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2"/>
      </w:pPr>
      <w:r>
        <w:rPr>
          <w:rFonts w:ascii="微软雅黑" w:hAnsi="微软雅黑" w:eastAsia="微软雅黑" w:cs="微软雅黑"/>
          <w:sz w:val="16"/>
        </w:rPr>
        <w:t>附件2</w:t>
      </w:r>
    </w:p>
    <w:p>
      <w:pPr>
        <w:spacing w:after="0"/>
        <w:ind w:right="3091"/>
        <w:jc w:val="right"/>
      </w:pPr>
      <w:r>
        <w:rPr>
          <w:rFonts w:ascii="微软雅黑" w:hAnsi="微软雅黑" w:eastAsia="微软雅黑" w:cs="微软雅黑"/>
        </w:rPr>
        <w:t>中央对地方转移支</w:t>
      </w:r>
      <w:bookmarkStart w:id="0" w:name="_GoBack"/>
      <w:bookmarkEnd w:id="0"/>
      <w:r>
        <w:rPr>
          <w:rFonts w:ascii="微软雅黑" w:hAnsi="微软雅黑" w:eastAsia="微软雅黑" w:cs="微软雅黑"/>
        </w:rPr>
        <w:t>付区域绩效</w:t>
      </w:r>
      <w:r>
        <w:rPr>
          <w:rFonts w:ascii="微软雅黑" w:hAnsi="微软雅黑" w:eastAsia="微软雅黑" w:cs="微软雅黑"/>
          <w:lang w:val="en-US"/>
        </w:rPr>
        <w:t>目标表</w:t>
      </w:r>
    </w:p>
    <w:p>
      <w:pPr>
        <w:spacing w:after="0"/>
        <w:ind w:right="4397"/>
        <w:jc w:val="right"/>
      </w:pPr>
      <w:r>
        <w:rPr>
          <w:rFonts w:ascii="微软雅黑" w:hAnsi="微软雅黑" w:eastAsia="微软雅黑" w:cs="微软雅黑"/>
          <w:sz w:val="14"/>
        </w:rPr>
        <w:t>（202</w:t>
      </w:r>
      <w:r>
        <w:rPr>
          <w:rFonts w:hint="default" w:ascii="微软雅黑" w:hAnsi="微软雅黑" w:eastAsia="微软雅黑" w:cs="微软雅黑"/>
          <w:sz w:val="14"/>
          <w:lang w:val="en-US"/>
        </w:rPr>
        <w:t>4</w:t>
      </w:r>
      <w:r>
        <w:rPr>
          <w:rFonts w:ascii="微软雅黑" w:hAnsi="微软雅黑" w:eastAsia="微软雅黑" w:cs="微软雅黑"/>
          <w:sz w:val="14"/>
        </w:rPr>
        <w:t>度）</w:t>
      </w:r>
    </w:p>
    <w:tbl>
      <w:tblPr>
        <w:tblStyle w:val="8"/>
        <w:tblW w:w="9751" w:type="dxa"/>
        <w:tblInd w:w="-64" w:type="dxa"/>
        <w:tblLayout w:type="autofit"/>
        <w:tblCellMar>
          <w:top w:w="79" w:type="dxa"/>
          <w:left w:w="21" w:type="dxa"/>
          <w:bottom w:w="0" w:type="dxa"/>
          <w:right w:w="19" w:type="dxa"/>
        </w:tblCellMar>
      </w:tblPr>
      <w:tblGrid>
        <w:gridCol w:w="1221"/>
        <w:gridCol w:w="1222"/>
        <w:gridCol w:w="1503"/>
        <w:gridCol w:w="2051"/>
        <w:gridCol w:w="1327"/>
        <w:gridCol w:w="766"/>
        <w:gridCol w:w="1661"/>
      </w:tblGrid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333" w:hRule="atLeast"/>
        </w:trPr>
        <w:tc>
          <w:tcPr>
            <w:tcW w:w="24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36"/>
              <w:jc w:val="center"/>
            </w:pPr>
            <w:r>
              <w:rPr>
                <w:rFonts w:ascii="微软雅黑" w:hAnsi="微软雅黑" w:eastAsia="微软雅黑" w:cs="微软雅黑"/>
                <w:sz w:val="16"/>
              </w:rPr>
              <w:t>项目名称</w:t>
            </w:r>
          </w:p>
        </w:tc>
        <w:tc>
          <w:tcPr>
            <w:tcW w:w="730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29"/>
              <w:jc w:val="center"/>
            </w:pPr>
            <w:r>
              <w:rPr>
                <w:rFonts w:ascii="微软雅黑" w:hAnsi="微软雅黑" w:eastAsia="微软雅黑" w:cs="微软雅黑"/>
                <w:sz w:val="16"/>
              </w:rPr>
              <w:t>医疗服务与保障能力提升（公立医院综合改革）补助资金</w:t>
            </w:r>
          </w:p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326" w:hRule="atLeast"/>
        </w:trPr>
        <w:tc>
          <w:tcPr>
            <w:tcW w:w="24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31"/>
              <w:jc w:val="center"/>
            </w:pPr>
            <w:r>
              <w:rPr>
                <w:rFonts w:ascii="微软雅黑" w:hAnsi="微软雅黑" w:eastAsia="微软雅黑" w:cs="微软雅黑"/>
                <w:sz w:val="16"/>
              </w:rPr>
              <w:t>中央主管部门</w:t>
            </w:r>
          </w:p>
        </w:tc>
        <w:tc>
          <w:tcPr>
            <w:tcW w:w="730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10"/>
              <w:jc w:val="center"/>
            </w:pPr>
            <w:r>
              <w:rPr>
                <w:rFonts w:ascii="微软雅黑" w:hAnsi="微软雅黑" w:eastAsia="微软雅黑" w:cs="微软雅黑"/>
                <w:sz w:val="16"/>
              </w:rPr>
              <w:t>财政部、国家卫生健康委</w:t>
            </w:r>
          </w:p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331" w:hRule="atLeast"/>
        </w:trPr>
        <w:tc>
          <w:tcPr>
            <w:tcW w:w="24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12"/>
              <w:jc w:val="center"/>
            </w:pPr>
            <w:r>
              <w:rPr>
                <w:rFonts w:ascii="微软雅黑" w:hAnsi="微软雅黑" w:eastAsia="微软雅黑" w:cs="微软雅黑"/>
                <w:sz w:val="16"/>
              </w:rPr>
              <w:t>省级财政部门</w:t>
            </w:r>
          </w:p>
        </w:tc>
        <w:tc>
          <w:tcPr>
            <w:tcW w:w="35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10"/>
              <w:jc w:val="center"/>
            </w:pPr>
            <w:r>
              <w:rPr>
                <w:rFonts w:ascii="微软雅黑" w:hAnsi="微软雅黑" w:eastAsia="微软雅黑" w:cs="微软雅黑"/>
                <w:sz w:val="16"/>
              </w:rPr>
              <w:t>湖南省财政厅</w:t>
            </w: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181"/>
            </w:pPr>
            <w:r>
              <w:rPr>
                <w:rFonts w:ascii="微软雅黑" w:hAnsi="微软雅黑" w:eastAsia="微软雅黑" w:cs="微软雅黑"/>
                <w:sz w:val="14"/>
              </w:rPr>
              <w:t>省级主管部门</w:t>
            </w:r>
          </w:p>
        </w:tc>
        <w:tc>
          <w:tcPr>
            <w:tcW w:w="2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10"/>
              <w:jc w:val="center"/>
            </w:pPr>
            <w:r>
              <w:rPr>
                <w:rFonts w:ascii="微软雅黑" w:hAnsi="微软雅黑" w:eastAsia="微软雅黑" w:cs="微软雅黑"/>
                <w:sz w:val="16"/>
              </w:rPr>
              <w:t>湖南省卫生健康委</w:t>
            </w:r>
          </w:p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331" w:hRule="atLeast"/>
        </w:trPr>
        <w:tc>
          <w:tcPr>
            <w:tcW w:w="2443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16" w:lineRule="auto"/>
              <w:ind w:right="886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lang w:val="en-US" w:eastAsia="zh-CN"/>
              </w:rPr>
              <w:t xml:space="preserve">                 </w:t>
            </w:r>
            <w:r>
              <w:rPr>
                <w:rFonts w:hint="eastAsia" w:ascii="微软雅黑" w:hAnsi="微软雅黑" w:eastAsia="微软雅黑" w:cs="微软雅黑"/>
                <w:sz w:val="16"/>
                <w:lang w:eastAsia="zh-CN"/>
              </w:rPr>
              <w:t>资</w:t>
            </w:r>
            <w:r>
              <w:rPr>
                <w:rFonts w:ascii="微软雅黑" w:hAnsi="微软雅黑" w:eastAsia="微软雅黑" w:cs="微软雅黑"/>
                <w:sz w:val="16"/>
              </w:rPr>
              <w:t>金情况</w:t>
            </w:r>
          </w:p>
          <w:p>
            <w:pPr>
              <w:spacing w:after="0"/>
              <w:ind w:left="31" w:firstLine="800" w:firstLineChars="500"/>
              <w:jc w:val="both"/>
            </w:pPr>
            <w:r>
              <w:rPr>
                <w:rFonts w:ascii="微软雅黑" w:hAnsi="微软雅黑" w:eastAsia="微软雅黑" w:cs="微软雅黑"/>
                <w:sz w:val="16"/>
              </w:rPr>
              <w:t>（万元）</w:t>
            </w:r>
          </w:p>
        </w:tc>
        <w:tc>
          <w:tcPr>
            <w:tcW w:w="35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188"/>
            </w:pPr>
            <w:r>
              <w:rPr>
                <w:rFonts w:ascii="微软雅黑" w:hAnsi="微软雅黑" w:eastAsia="微软雅黑" w:cs="微软雅黑"/>
                <w:sz w:val="16"/>
              </w:rPr>
              <w:t>年度金额：</w:t>
            </w:r>
          </w:p>
        </w:tc>
        <w:tc>
          <w:tcPr>
            <w:tcW w:w="375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41"/>
              <w:jc w:val="center"/>
            </w:pPr>
            <w:r>
              <w:rPr>
                <w:rFonts w:ascii="微软雅黑" w:hAnsi="微软雅黑" w:eastAsia="微软雅黑" w:cs="微软雅黑"/>
                <w:sz w:val="16"/>
              </w:rPr>
              <w:t>10000</w:t>
            </w:r>
          </w:p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330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35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404"/>
              <w:jc w:val="center"/>
            </w:pPr>
            <w:r>
              <w:rPr>
                <w:rFonts w:ascii="微软雅黑" w:hAnsi="微软雅黑" w:eastAsia="微软雅黑" w:cs="微软雅黑"/>
                <w:sz w:val="16"/>
              </w:rPr>
              <w:t>其中：中央补助</w:t>
            </w:r>
          </w:p>
        </w:tc>
        <w:tc>
          <w:tcPr>
            <w:tcW w:w="375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32"/>
              <w:jc w:val="center"/>
            </w:pPr>
            <w:r>
              <w:rPr>
                <w:rFonts w:ascii="微软雅黑" w:hAnsi="微软雅黑" w:eastAsia="微软雅黑" w:cs="微软雅黑"/>
                <w:sz w:val="16"/>
              </w:rPr>
              <w:t>10000</w:t>
            </w:r>
          </w:p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331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5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879"/>
              <w:jc w:val="center"/>
            </w:pPr>
            <w:r>
              <w:rPr>
                <w:rFonts w:ascii="微软雅黑" w:hAnsi="微软雅黑" w:eastAsia="微软雅黑" w:cs="微软雅黑"/>
                <w:sz w:val="16"/>
              </w:rPr>
              <w:t>地方补助</w:t>
            </w:r>
          </w:p>
        </w:tc>
        <w:tc>
          <w:tcPr>
            <w:tcW w:w="375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2213" w:hRule="atLeast"/>
        </w:trPr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46" w:right="418"/>
              <w:jc w:val="both"/>
            </w:pPr>
            <w:r>
              <w:rPr>
                <w:rFonts w:ascii="微软雅黑" w:hAnsi="微软雅黑" w:eastAsia="微软雅黑" w:cs="微软雅黑"/>
                <w:sz w:val="16"/>
              </w:rPr>
              <w:t>年度总体目标</w:t>
            </w:r>
          </w:p>
        </w:tc>
        <w:tc>
          <w:tcPr>
            <w:tcW w:w="85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1"/>
            </w:pPr>
            <w:r>
              <w:rPr>
                <w:rFonts w:ascii="微软雅黑" w:hAnsi="微软雅黑" w:eastAsia="微软雅黑" w:cs="微软雅黑"/>
                <w:sz w:val="16"/>
              </w:rPr>
              <w:t>支持湖南省娄底市实施公立医院改革与高质量发展示范项目：</w:t>
            </w:r>
          </w:p>
          <w:p>
            <w:pPr>
              <w:spacing w:after="0" w:line="216" w:lineRule="auto"/>
              <w:ind w:left="37" w:firstLine="10"/>
            </w:pPr>
            <w:r>
              <w:rPr>
                <w:rFonts w:ascii="微软雅黑" w:hAnsi="微软雅黑" w:eastAsia="微软雅黑" w:cs="微软雅黑"/>
                <w:sz w:val="16"/>
              </w:rPr>
              <w:t>1.初步形成娄底市整合型医疗卫生服务体系架构，启动1个紧密型城市医疗集团建设和10个专科联盟建设，推动紧密型县域医共体提质扩面。</w:t>
            </w:r>
          </w:p>
          <w:p>
            <w:pPr>
              <w:spacing w:after="0" w:line="216" w:lineRule="auto"/>
              <w:ind w:left="42" w:hanging="10"/>
              <w:jc w:val="both"/>
            </w:pPr>
            <w:r>
              <w:rPr>
                <w:rFonts w:ascii="微软雅黑" w:hAnsi="微软雅黑" w:eastAsia="微软雅黑" w:cs="微软雅黑"/>
                <w:sz w:val="16"/>
              </w:rPr>
              <w:t>2．提升临床诊疗、人才支撑、精益运行和智慧健康能力，推动公立医院高质量发展，启动建设省级临床重点专科15个以上、市级临床重点专科17个以上，提升医疗服务能力。</w:t>
            </w:r>
          </w:p>
          <w:p>
            <w:pPr>
              <w:spacing w:after="0"/>
              <w:ind w:left="37"/>
            </w:pPr>
            <w:r>
              <w:rPr>
                <w:rFonts w:ascii="微软雅黑" w:hAnsi="微软雅黑" w:eastAsia="微软雅黑" w:cs="微软雅黑"/>
                <w:sz w:val="16"/>
              </w:rPr>
              <w:t>3．启动“三医联动”数字一张网、“三位一体”智慧医院、县域院前急救体系5G项目规划设计。</w:t>
            </w:r>
          </w:p>
          <w:p>
            <w:pPr>
              <w:spacing w:after="0"/>
              <w:ind w:left="32"/>
            </w:pPr>
            <w:r>
              <w:rPr>
                <w:rFonts w:ascii="微软雅黑" w:hAnsi="微软雅黑" w:eastAsia="微软雅黑" w:cs="微软雅黑"/>
                <w:sz w:val="16"/>
              </w:rPr>
              <w:t>4·深入推广三明医改经验，深化“医疗服务价格动态调整机制改革”等4项改革，推进“三医”协同发展和治理。</w:t>
            </w:r>
          </w:p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329" w:hRule="atLeast"/>
        </w:trPr>
        <w:tc>
          <w:tcPr>
            <w:tcW w:w="12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27" w:right="293"/>
            </w:pPr>
            <w:r>
              <w:rPr>
                <w:rFonts w:ascii="微软雅黑" w:hAnsi="微软雅黑" w:eastAsia="微软雅黑" w:cs="微软雅黑"/>
                <w:sz w:val="16"/>
              </w:rPr>
              <w:t>绩效指标</w:t>
            </w:r>
          </w:p>
        </w:tc>
        <w:tc>
          <w:tcPr>
            <w:tcW w:w="12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20"/>
              <w:jc w:val="center"/>
            </w:pPr>
            <w:r>
              <w:rPr>
                <w:rFonts w:ascii="微软雅黑" w:hAnsi="微软雅黑" w:eastAsia="微软雅黑" w:cs="微软雅黑"/>
                <w:sz w:val="16"/>
              </w:rPr>
              <w:t>一级指标</w:t>
            </w:r>
          </w:p>
        </w:tc>
        <w:tc>
          <w:tcPr>
            <w:tcW w:w="15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right="2"/>
              <w:jc w:val="center"/>
            </w:pPr>
            <w:r>
              <w:rPr>
                <w:rFonts w:ascii="微软雅黑" w:hAnsi="微软雅黑" w:eastAsia="微软雅黑" w:cs="微软雅黑"/>
                <w:sz w:val="16"/>
              </w:rPr>
              <w:t>二级指标</w:t>
            </w:r>
          </w:p>
        </w:tc>
        <w:tc>
          <w:tcPr>
            <w:tcW w:w="41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right="5"/>
              <w:jc w:val="center"/>
            </w:pPr>
            <w:r>
              <w:rPr>
                <w:rFonts w:ascii="微软雅黑" w:hAnsi="微软雅黑" w:eastAsia="微软雅黑" w:cs="微软雅黑"/>
                <w:sz w:val="14"/>
              </w:rPr>
              <w:t>三级指标</w:t>
            </w:r>
          </w:p>
        </w:tc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8"/>
              <w:jc w:val="center"/>
            </w:pPr>
            <w:r>
              <w:rPr>
                <w:rFonts w:ascii="微软雅黑" w:hAnsi="微软雅黑" w:eastAsia="微软雅黑" w:cs="微软雅黑"/>
                <w:sz w:val="16"/>
              </w:rPr>
              <w:t>指标值</w:t>
            </w:r>
          </w:p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52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12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"/>
              <w:jc w:val="center"/>
            </w:pPr>
            <w:r>
              <w:rPr>
                <w:rFonts w:ascii="微软雅黑" w:hAnsi="微软雅黑" w:eastAsia="微软雅黑" w:cs="微软雅黑"/>
                <w:sz w:val="16"/>
              </w:rPr>
              <w:t>产出指标</w:t>
            </w:r>
          </w:p>
        </w:tc>
        <w:tc>
          <w:tcPr>
            <w:tcW w:w="150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7"/>
              <w:jc w:val="center"/>
            </w:pPr>
            <w:r>
              <w:rPr>
                <w:rFonts w:ascii="微软雅黑" w:hAnsi="微软雅黑" w:eastAsia="微软雅黑" w:cs="微软雅黑"/>
                <w:sz w:val="16"/>
              </w:rPr>
              <w:t>成本指标</w:t>
            </w:r>
          </w:p>
        </w:tc>
        <w:tc>
          <w:tcPr>
            <w:tcW w:w="41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9"/>
            </w:pPr>
            <w:r>
              <w:rPr>
                <w:rFonts w:ascii="微软雅黑" w:hAnsi="微软雅黑" w:eastAsia="微软雅黑" w:cs="微软雅黑"/>
                <w:sz w:val="16"/>
              </w:rPr>
              <w:t>公立医院门诊和住院次均费用增幅</w:t>
            </w:r>
          </w:p>
        </w:tc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421" w:right="259" w:firstLine="14"/>
              <w:jc w:val="both"/>
              <w:rPr>
                <w:rFonts w:ascii="微软雅黑" w:hAnsi="微软雅黑" w:eastAsia="微软雅黑" w:cs="微软雅黑"/>
                <w:sz w:val="16"/>
              </w:rPr>
            </w:pPr>
            <w:r>
              <w:rPr>
                <w:rFonts w:ascii="微软雅黑" w:hAnsi="微软雅黑" w:eastAsia="微软雅黑" w:cs="微软雅黑"/>
                <w:sz w:val="16"/>
              </w:rPr>
              <w:t>门诊</w:t>
            </w:r>
            <w:r>
              <w:rPr>
                <w:rFonts w:hint="eastAsia" w:ascii="微软雅黑" w:hAnsi="微软雅黑" w:eastAsia="微软雅黑" w:cs="微软雅黑"/>
                <w:sz w:val="16"/>
                <w:lang w:eastAsia="zh-CN"/>
              </w:rPr>
              <w:t>：≤</w:t>
            </w:r>
            <w:r>
              <w:rPr>
                <w:rFonts w:ascii="微软雅黑" w:hAnsi="微软雅黑" w:eastAsia="微软雅黑" w:cs="微软雅黑"/>
                <w:sz w:val="16"/>
              </w:rPr>
              <w:t>4％</w:t>
            </w:r>
          </w:p>
          <w:p>
            <w:pPr>
              <w:spacing w:after="0"/>
              <w:ind w:left="421" w:right="259" w:firstLine="14"/>
              <w:jc w:val="both"/>
            </w:pPr>
            <w:r>
              <w:rPr>
                <w:rFonts w:ascii="微软雅黑" w:hAnsi="微软雅黑" w:eastAsia="微软雅黑" w:cs="微软雅黑"/>
                <w:sz w:val="16"/>
              </w:rPr>
              <w:t>住院</w:t>
            </w:r>
            <w:r>
              <w:rPr>
                <w:rFonts w:hint="eastAsia" w:ascii="微软雅黑" w:hAnsi="微软雅黑" w:eastAsia="微软雅黑" w:cs="微软雅黑"/>
                <w:sz w:val="16"/>
                <w:lang w:eastAsia="zh-CN"/>
              </w:rPr>
              <w:t>：≤</w:t>
            </w:r>
            <w:r>
              <w:rPr>
                <w:rFonts w:ascii="微软雅黑" w:hAnsi="微软雅黑" w:eastAsia="微软雅黑" w:cs="微软雅黑"/>
                <w:sz w:val="16"/>
              </w:rPr>
              <w:t>3％</w:t>
            </w:r>
          </w:p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33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41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19"/>
            </w:pPr>
            <w:r>
              <w:rPr>
                <w:rFonts w:ascii="微软雅黑" w:hAnsi="微软雅黑" w:eastAsia="微软雅黑" w:cs="微软雅黑"/>
                <w:sz w:val="14"/>
              </w:rPr>
              <w:t>管理费用占公立医院费用总额的比重</w:t>
            </w:r>
          </w:p>
        </w:tc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185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lang w:eastAsia="zh-CN"/>
              </w:rPr>
              <w:t>≤</w:t>
            </w:r>
            <w:r>
              <w:rPr>
                <w:rFonts w:ascii="微软雅黑" w:hAnsi="微软雅黑" w:eastAsia="微软雅黑" w:cs="微软雅黑"/>
                <w:sz w:val="16"/>
              </w:rPr>
              <w:t>15％</w:t>
            </w:r>
          </w:p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33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41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14"/>
            </w:pPr>
            <w:r>
              <w:rPr>
                <w:rFonts w:ascii="微软雅黑" w:hAnsi="微软雅黑" w:eastAsia="微软雅黑" w:cs="微软雅黑"/>
                <w:sz w:val="16"/>
              </w:rPr>
              <w:t>无基本建设和设备购置非流动负债的公立医院占比</w:t>
            </w:r>
          </w:p>
        </w:tc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27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18"/>
              </w:rPr>
              <w:t>61％</w:t>
            </w:r>
          </w:p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33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1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14"/>
            </w:pPr>
            <w:r>
              <w:rPr>
                <w:rFonts w:ascii="微软雅黑" w:hAnsi="微软雅黑" w:eastAsia="微软雅黑" w:cs="微软雅黑"/>
                <w:sz w:val="16"/>
              </w:rPr>
              <w:t>实现收支平衡的公立医院占比</w:t>
            </w:r>
          </w:p>
        </w:tc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22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14"/>
              </w:rPr>
              <w:t>75％</w:t>
            </w:r>
          </w:p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52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150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7"/>
              <w:jc w:val="center"/>
            </w:pPr>
            <w:r>
              <w:rPr>
                <w:rFonts w:ascii="微软雅黑" w:hAnsi="微软雅黑" w:eastAsia="微软雅黑" w:cs="微软雅黑"/>
                <w:sz w:val="16"/>
              </w:rPr>
              <w:t>数量指标</w:t>
            </w:r>
          </w:p>
        </w:tc>
        <w:tc>
          <w:tcPr>
            <w:tcW w:w="41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14"/>
            </w:pPr>
            <w:r>
              <w:rPr>
                <w:rFonts w:ascii="微软雅黑" w:hAnsi="微软雅黑" w:eastAsia="微软雅黑" w:cs="微软雅黑"/>
                <w:sz w:val="16"/>
              </w:rPr>
              <w:t>按病种付费(DRG、DIP、单病种）的住院参保人员数占公立医院总住院参保人员数的比例</w:t>
            </w:r>
          </w:p>
        </w:tc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2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14"/>
              </w:rPr>
              <w:t>92％</w:t>
            </w:r>
          </w:p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32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41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14"/>
            </w:pPr>
            <w:r>
              <w:rPr>
                <w:rFonts w:ascii="微软雅黑" w:hAnsi="微软雅黑" w:eastAsia="微软雅黑" w:cs="微软雅黑"/>
                <w:sz w:val="16"/>
              </w:rPr>
              <w:t>建立医疗服务价格动态调整机制的公立医院比例</w:t>
            </w:r>
          </w:p>
        </w:tc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61"/>
              <w:jc w:val="center"/>
            </w:pPr>
            <w:r>
              <w:rPr>
                <w:rFonts w:ascii="微软雅黑" w:hAnsi="微软雅黑" w:eastAsia="微软雅黑" w:cs="微软雅黑"/>
                <w:sz w:val="16"/>
              </w:rPr>
              <w:t>100％</w:t>
            </w:r>
          </w:p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32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41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10"/>
            </w:pPr>
            <w:r>
              <w:rPr>
                <w:rFonts w:ascii="微软雅黑" w:hAnsi="微软雅黑" w:eastAsia="微软雅黑" w:cs="微软雅黑"/>
                <w:sz w:val="16"/>
              </w:rPr>
              <w:t>合理确定并动态调整薪酬的公立医院比例</w:t>
            </w:r>
          </w:p>
        </w:tc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61"/>
              <w:jc w:val="center"/>
            </w:pPr>
            <w:r>
              <w:rPr>
                <w:rFonts w:ascii="微软雅黑" w:hAnsi="微软雅黑" w:eastAsia="微软雅黑" w:cs="微软雅黑"/>
                <w:sz w:val="16"/>
              </w:rPr>
              <w:t>100％</w:t>
            </w:r>
          </w:p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53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41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10" w:firstLine="5"/>
              <w:jc w:val="both"/>
            </w:pPr>
            <w:r>
              <w:rPr>
                <w:rFonts w:ascii="微软雅黑" w:hAnsi="微软雅黑" w:eastAsia="微软雅黑" w:cs="微软雅黑"/>
                <w:sz w:val="16"/>
              </w:rPr>
              <w:t>市县两级由一位政府负责同志统一分管医疗、医保、医药工作的比例</w:t>
            </w:r>
          </w:p>
        </w:tc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56"/>
              <w:jc w:val="center"/>
            </w:pPr>
            <w:r>
              <w:rPr>
                <w:rFonts w:ascii="微软雅黑" w:hAnsi="微软雅黑" w:eastAsia="微软雅黑" w:cs="微软雅黑"/>
                <w:sz w:val="16"/>
              </w:rPr>
              <w:t>100％</w:t>
            </w:r>
          </w:p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41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5"/>
            </w:pPr>
            <w:r>
              <w:rPr>
                <w:rFonts w:ascii="微软雅黑" w:hAnsi="微软雅黑" w:eastAsia="微软雅黑" w:cs="微软雅黑"/>
                <w:sz w:val="16"/>
              </w:rPr>
              <w:t>实行党委领导下的院长负责制的公立医院比例</w:t>
            </w:r>
          </w:p>
        </w:tc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right="112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lang w:val="en-US" w:eastAsia="zh-CN"/>
              </w:rPr>
              <w:t xml:space="preserve">    </w:t>
            </w:r>
            <w:r>
              <w:rPr>
                <w:rFonts w:ascii="微软雅黑" w:hAnsi="微软雅黑" w:eastAsia="微软雅黑" w:cs="微软雅黑"/>
                <w:sz w:val="16"/>
              </w:rPr>
              <w:t>100％</w:t>
            </w:r>
          </w:p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33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1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5"/>
            </w:pPr>
            <w:r>
              <w:rPr>
                <w:rFonts w:ascii="微软雅黑" w:hAnsi="微软雅黑" w:eastAsia="微软雅黑" w:cs="微软雅黑"/>
                <w:sz w:val="16"/>
              </w:rPr>
              <w:t>三级公立医院设置总会计师的比例</w:t>
            </w:r>
          </w:p>
        </w:tc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51"/>
              <w:jc w:val="center"/>
            </w:pPr>
            <w:r>
              <w:rPr>
                <w:rFonts w:ascii="微软雅黑" w:hAnsi="微软雅黑" w:eastAsia="微软雅黑" w:cs="微软雅黑"/>
                <w:sz w:val="16"/>
              </w:rPr>
              <w:t>100％</w:t>
            </w:r>
          </w:p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3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150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31"/>
              <w:jc w:val="center"/>
            </w:pPr>
            <w:r>
              <w:rPr>
                <w:rFonts w:ascii="微软雅黑" w:hAnsi="微软雅黑" w:eastAsia="微软雅黑" w:cs="微软雅黑"/>
                <w:sz w:val="14"/>
              </w:rPr>
              <w:t>质量指标</w:t>
            </w:r>
          </w:p>
        </w:tc>
        <w:tc>
          <w:tcPr>
            <w:tcW w:w="41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5"/>
            </w:pPr>
            <w:r>
              <w:rPr>
                <w:rFonts w:ascii="微软雅黑" w:hAnsi="微软雅黑" w:eastAsia="微软雅黑" w:cs="微软雅黑"/>
                <w:sz w:val="16"/>
              </w:rPr>
              <w:t>三级公立医院病例组合指数(CMI值）</w:t>
            </w:r>
          </w:p>
        </w:tc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13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4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sz w:val="14"/>
                <w:lang w:val="en-US" w:eastAsia="zh-CN"/>
              </w:rPr>
              <w:t>0.94</w:t>
            </w:r>
          </w:p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32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41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5"/>
            </w:pPr>
            <w:r>
              <w:rPr>
                <w:rFonts w:ascii="微软雅黑" w:hAnsi="微软雅黑" w:eastAsia="微软雅黑" w:cs="微软雅黑"/>
                <w:sz w:val="16"/>
              </w:rPr>
              <w:t>三级公立医院出院患者四级手术比例</w:t>
            </w:r>
          </w:p>
        </w:tc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17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18"/>
              </w:rPr>
              <w:t>21％</w:t>
            </w:r>
          </w:p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3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41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5"/>
            </w:pPr>
            <w:r>
              <w:rPr>
                <w:rFonts w:ascii="微软雅黑" w:hAnsi="微软雅黑" w:eastAsia="微软雅黑" w:cs="微软雅黑"/>
                <w:sz w:val="16"/>
              </w:rPr>
              <w:t>参与同级检查结果互认的公立医院占比</w:t>
            </w:r>
          </w:p>
        </w:tc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6"/>
              <w:jc w:val="center"/>
            </w:pPr>
            <w:r>
              <w:rPr>
                <w:rFonts w:ascii="微软雅黑" w:hAnsi="微软雅黑" w:eastAsia="微软雅黑" w:cs="微软雅黑"/>
                <w:sz w:val="16"/>
              </w:rPr>
              <w:t>100％</w:t>
            </w:r>
          </w:p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32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41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16"/>
              </w:rPr>
              <w:t>三级公立医院平均住院日</w:t>
            </w:r>
          </w:p>
        </w:tc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147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lang w:eastAsia="zh-CN"/>
              </w:rPr>
              <w:t>≤</w:t>
            </w:r>
            <w:r>
              <w:rPr>
                <w:rFonts w:ascii="微软雅黑" w:hAnsi="微软雅黑" w:eastAsia="微软雅黑" w:cs="微软雅黑"/>
                <w:sz w:val="16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16"/>
                <w:lang w:val="en-US" w:eastAsia="zh-CN"/>
              </w:rPr>
              <w:t>.</w:t>
            </w:r>
            <w:r>
              <w:rPr>
                <w:rFonts w:ascii="微软雅黑" w:hAnsi="微软雅黑" w:eastAsia="微软雅黑" w:cs="微软雅黑"/>
                <w:sz w:val="16"/>
              </w:rPr>
              <w:t>5天</w:t>
            </w:r>
          </w:p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32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41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16"/>
              </w:rPr>
              <w:t>三级公立医院门诊人次数与出院人次数比</w:t>
            </w:r>
          </w:p>
        </w:tc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right="7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lang w:eastAsia="zh-CN"/>
              </w:rPr>
              <w:t>≤</w:t>
            </w:r>
            <w:r>
              <w:rPr>
                <w:rFonts w:ascii="微软雅黑" w:hAnsi="微软雅黑" w:eastAsia="微软雅黑" w:cs="微软雅黑"/>
                <w:sz w:val="16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6"/>
                <w:lang w:val="en-US" w:eastAsia="zh-CN"/>
              </w:rPr>
              <w:t>.</w:t>
            </w:r>
            <w:r>
              <w:rPr>
                <w:rFonts w:ascii="微软雅黑" w:hAnsi="微软雅黑" w:eastAsia="微软雅黑" w:cs="微软雅黑"/>
                <w:sz w:val="16"/>
              </w:rPr>
              <w:t>41</w:t>
            </w:r>
          </w:p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5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41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firstLine="10"/>
              <w:jc w:val="both"/>
            </w:pPr>
            <w:r>
              <w:rPr>
                <w:rFonts w:ascii="微软雅黑" w:hAnsi="微软雅黑" w:eastAsia="微软雅黑" w:cs="微软雅黑"/>
                <w:sz w:val="16"/>
              </w:rPr>
              <w:t>医疗服务收入（不含药品、耗材、检查、化验收入）占公立医院医疗收入的比例</w:t>
            </w:r>
          </w:p>
        </w:tc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3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16"/>
              </w:rPr>
              <w:t>35％</w:t>
            </w:r>
          </w:p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33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1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5"/>
            </w:pPr>
            <w:r>
              <w:rPr>
                <w:rFonts w:ascii="微软雅黑" w:hAnsi="微软雅黑" w:eastAsia="微软雅黑" w:cs="微软雅黑"/>
                <w:sz w:val="16"/>
              </w:rPr>
              <w:t>公立医院人员薪酬中稳定收入的比例</w:t>
            </w:r>
          </w:p>
        </w:tc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8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14"/>
              </w:rPr>
              <w:t>40％</w:t>
            </w:r>
          </w:p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33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12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4"/>
              <w:jc w:val="center"/>
            </w:pPr>
            <w:r>
              <w:rPr>
                <w:rFonts w:ascii="微软雅黑" w:hAnsi="微软雅黑" w:eastAsia="微软雅黑" w:cs="微软雅黑"/>
                <w:sz w:val="16"/>
              </w:rPr>
              <w:t>效益指标</w:t>
            </w:r>
          </w:p>
        </w:tc>
        <w:tc>
          <w:tcPr>
            <w:tcW w:w="150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557" w:right="291" w:hanging="163"/>
            </w:pPr>
            <w:r>
              <w:rPr>
                <w:rFonts w:ascii="微软雅黑" w:hAnsi="微软雅黑" w:eastAsia="微软雅黑" w:cs="微软雅黑"/>
                <w:sz w:val="16"/>
              </w:rPr>
              <w:t>社会效益指标</w:t>
            </w:r>
          </w:p>
        </w:tc>
        <w:tc>
          <w:tcPr>
            <w:tcW w:w="41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5"/>
            </w:pPr>
            <w:r>
              <w:rPr>
                <w:rFonts w:ascii="微软雅黑" w:hAnsi="微软雅黑" w:eastAsia="微软雅黑" w:cs="微软雅黑"/>
                <w:sz w:val="16"/>
              </w:rPr>
              <w:t>县域内住院量占比</w:t>
            </w:r>
          </w:p>
        </w:tc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8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16"/>
              </w:rPr>
              <w:t>90％</w:t>
            </w:r>
          </w:p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32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1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16"/>
              </w:rPr>
              <w:t>基层医疗卫生机构诊疗量占总诊疗量的比例</w:t>
            </w:r>
          </w:p>
        </w:tc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8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16"/>
              </w:rPr>
              <w:t>60％</w:t>
            </w:r>
          </w:p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5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12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26" w:right="218" w:hanging="82"/>
              <w:jc w:val="both"/>
            </w:pPr>
            <w:r>
              <w:rPr>
                <w:rFonts w:ascii="微软雅黑" w:hAnsi="微软雅黑" w:eastAsia="微软雅黑" w:cs="微软雅黑"/>
                <w:sz w:val="16"/>
              </w:rPr>
              <w:t>满意度指标</w:t>
            </w:r>
          </w:p>
        </w:tc>
        <w:tc>
          <w:tcPr>
            <w:tcW w:w="150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50"/>
              <w:jc w:val="center"/>
            </w:pPr>
            <w:r>
              <w:rPr>
                <w:rFonts w:ascii="微软雅黑" w:hAnsi="微软雅黑" w:eastAsia="微软雅黑" w:cs="微软雅黑"/>
                <w:sz w:val="16"/>
              </w:rPr>
              <w:t>服务对象</w:t>
            </w:r>
          </w:p>
          <w:p>
            <w:pPr>
              <w:spacing w:after="0"/>
              <w:ind w:left="236"/>
            </w:pPr>
            <w:r>
              <w:rPr>
                <w:rFonts w:ascii="微软雅黑" w:hAnsi="微软雅黑" w:eastAsia="微软雅黑" w:cs="微软雅黑"/>
                <w:sz w:val="16"/>
              </w:rPr>
              <w:t>受益程度指标</w:t>
            </w:r>
          </w:p>
        </w:tc>
        <w:tc>
          <w:tcPr>
            <w:tcW w:w="41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5"/>
            </w:pPr>
            <w:r>
              <w:rPr>
                <w:rFonts w:ascii="微软雅黑" w:hAnsi="微软雅黑" w:eastAsia="微软雅黑" w:cs="微软雅黑"/>
                <w:sz w:val="16"/>
              </w:rPr>
              <w:t>公立医院门诊和住院患者满意度</w:t>
            </w:r>
          </w:p>
        </w:tc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368" w:right="230" w:firstLine="14"/>
              <w:jc w:val="both"/>
            </w:pPr>
            <w:r>
              <w:rPr>
                <w:rFonts w:ascii="微软雅黑" w:hAnsi="微软雅黑" w:eastAsia="微软雅黑" w:cs="微软雅黑"/>
                <w:sz w:val="16"/>
              </w:rPr>
              <w:t>门诊：</w:t>
            </w:r>
            <w:r>
              <w:rPr>
                <w:rFonts w:hint="eastAsia" w:ascii="微软雅黑" w:hAnsi="微软雅黑" w:eastAsia="微软雅黑" w:cs="微软雅黑"/>
                <w:sz w:val="14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16"/>
              </w:rPr>
              <w:t>90％住院：</w:t>
            </w:r>
            <w:r>
              <w:rPr>
                <w:rFonts w:hint="eastAsia" w:ascii="微软雅黑" w:hAnsi="微软雅黑" w:eastAsia="微软雅黑" w:cs="微软雅黑"/>
                <w:sz w:val="14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16"/>
              </w:rPr>
              <w:t>93％</w:t>
            </w:r>
          </w:p>
        </w:tc>
      </w:tr>
      <w:tr>
        <w:tblPrEx>
          <w:tblCellMar>
            <w:top w:w="79" w:type="dxa"/>
            <w:left w:w="21" w:type="dxa"/>
            <w:bottom w:w="0" w:type="dxa"/>
            <w:right w:w="19" w:type="dxa"/>
          </w:tblCellMar>
        </w:tblPrEx>
        <w:trPr>
          <w:trHeight w:val="32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1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16"/>
              </w:rPr>
              <w:t>公立医院医务人员满意度</w:t>
            </w:r>
          </w:p>
        </w:tc>
        <w:tc>
          <w:tcPr>
            <w:tcW w:w="1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3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16"/>
              </w:rPr>
              <w:t>85％</w:t>
            </w:r>
          </w:p>
        </w:tc>
      </w:tr>
    </w:tbl>
    <w:p/>
    <w:sectPr>
      <w:pgSz w:w="11904" w:h="16834"/>
      <w:pgMar w:top="1449" w:right="1248" w:bottom="1066" w:left="103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9F"/>
    <w:rsid w:val="001F6F5A"/>
    <w:rsid w:val="0027446F"/>
    <w:rsid w:val="007E2D9F"/>
    <w:rsid w:val="4FFEE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  <w14:ligatures w14:val="standardContextual"/>
    </w:rPr>
  </w:style>
  <w:style w:type="paragraph" w:styleId="2">
    <w:name w:val="heading 1"/>
    <w:next w:val="1"/>
    <w:link w:val="7"/>
    <w:qFormat/>
    <w:uiPriority w:val="9"/>
    <w:pPr>
      <w:keepNext/>
      <w:keepLines/>
      <w:spacing w:line="259" w:lineRule="auto"/>
      <w:ind w:left="768" w:hanging="10"/>
      <w:outlineLvl w:val="0"/>
    </w:pPr>
    <w:rPr>
      <w:rFonts w:ascii="微软雅黑" w:hAnsi="微软雅黑" w:eastAsia="微软雅黑" w:cs="微软雅黑"/>
      <w:color w:val="000000"/>
      <w:kern w:val="2"/>
      <w:sz w:val="80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标题 1 字符"/>
    <w:link w:val="2"/>
    <w:qFormat/>
    <w:uiPriority w:val="0"/>
    <w:rPr>
      <w:rFonts w:ascii="微软雅黑" w:hAnsi="微软雅黑" w:eastAsia="微软雅黑" w:cs="微软雅黑"/>
      <w:color w:val="000000"/>
      <w:sz w:val="80"/>
    </w:rPr>
  </w:style>
  <w:style w:type="table" w:customStyle="1" w:styleId="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958</Characters>
  <Lines>7</Lines>
  <Paragraphs>2</Paragraphs>
  <TotalTime>0</TotalTime>
  <ScaleCrop>false</ScaleCrop>
  <LinksUpToDate>false</LinksUpToDate>
  <CharactersWithSpaces>1124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2024-11-08T15:10:00Z</dcterms:created>
  <dc:creator>珊珊 龙</dc:creator>
  <cp:lastModifiedBy>greatwall</cp:lastModifiedBy>
  <dcterms:modified xsi:type="dcterms:W3CDTF">2024-11-08T15:21:10Z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B0859FF13090DC1BE6BB2D675EFDE27B</vt:lpwstr>
  </property>
</Properties>
</file>