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ind w:left="0"/>
        <w:jc w:val="both"/>
        <w:rPr>
          <w:rFonts w:hint="default"/>
          <w:b/>
          <w:bCs/>
          <w:spacing w:val="-16"/>
          <w:sz w:val="21"/>
          <w:szCs w:val="21"/>
          <w:lang w:val="en-US" w:eastAsia="zh-CN"/>
        </w:rPr>
      </w:pPr>
      <w:r>
        <w:rPr>
          <w:rFonts w:hint="eastAsia"/>
          <w:b/>
          <w:bCs/>
          <w:spacing w:val="-16"/>
          <w:sz w:val="21"/>
          <w:szCs w:val="21"/>
          <w:lang w:eastAsia="zh-CN"/>
        </w:rPr>
        <w:t>附件</w:t>
      </w:r>
      <w:r>
        <w:rPr>
          <w:rFonts w:hint="eastAsia"/>
          <w:b/>
          <w:bCs/>
          <w:spacing w:val="-16"/>
          <w:sz w:val="21"/>
          <w:szCs w:val="21"/>
          <w:lang w:val="en-US" w:eastAsia="zh-CN"/>
        </w:rPr>
        <w:t>2</w:t>
      </w:r>
    </w:p>
    <w:p>
      <w:pPr>
        <w:pStyle w:val="2"/>
        <w:spacing w:before="42" w:line="219" w:lineRule="auto"/>
        <w:ind w:left="3507"/>
        <w:rPr>
          <w:sz w:val="21"/>
          <w:szCs w:val="21"/>
          <w:lang w:eastAsia="zh-CN"/>
        </w:rPr>
      </w:pPr>
      <w:r>
        <w:rPr>
          <w:b/>
          <w:bCs/>
          <w:spacing w:val="-16"/>
          <w:sz w:val="21"/>
          <w:szCs w:val="21"/>
          <w:lang w:eastAsia="zh-CN"/>
        </w:rPr>
        <w:t>中央对地方转移支付区域绩效目标表</w:t>
      </w:r>
    </w:p>
    <w:p>
      <w:pPr>
        <w:pStyle w:val="2"/>
        <w:spacing w:before="112" w:line="219" w:lineRule="auto"/>
        <w:ind w:left="4665"/>
        <w:rPr>
          <w:sz w:val="17"/>
          <w:szCs w:val="17"/>
        </w:rPr>
      </w:pPr>
      <w:r>
        <w:rPr>
          <w:spacing w:val="-5"/>
          <w:sz w:val="17"/>
          <w:szCs w:val="17"/>
        </w:rPr>
        <w:t>(2024年度)</w:t>
      </w:r>
    </w:p>
    <w:p>
      <w:pPr>
        <w:spacing w:line="156" w:lineRule="exact"/>
      </w:pPr>
    </w:p>
    <w:tbl>
      <w:tblPr>
        <w:tblStyle w:val="7"/>
        <w:tblW w:w="100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789"/>
        <w:gridCol w:w="1159"/>
        <w:gridCol w:w="679"/>
        <w:gridCol w:w="1189"/>
        <w:gridCol w:w="739"/>
        <w:gridCol w:w="3467"/>
        <w:gridCol w:w="16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204" w:type="dxa"/>
            <w:gridSpan w:val="2"/>
          </w:tcPr>
          <w:p>
            <w:pPr>
              <w:pStyle w:val="8"/>
              <w:spacing w:before="122" w:line="220" w:lineRule="auto"/>
              <w:ind w:left="2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项目名称</w:t>
            </w:r>
          </w:p>
        </w:tc>
        <w:tc>
          <w:tcPr>
            <w:tcW w:w="8846" w:type="dxa"/>
            <w:gridSpan w:val="6"/>
          </w:tcPr>
          <w:p>
            <w:pPr>
              <w:pStyle w:val="8"/>
              <w:spacing w:before="122" w:line="219" w:lineRule="auto"/>
              <w:ind w:left="2371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医疗服务与保障能力提升(公立医院综合改革)补助资金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4" w:type="dxa"/>
            <w:gridSpan w:val="2"/>
          </w:tcPr>
          <w:p>
            <w:pPr>
              <w:pStyle w:val="8"/>
              <w:spacing w:before="117" w:line="219" w:lineRule="auto"/>
              <w:ind w:left="8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中央主管部门</w:t>
            </w:r>
          </w:p>
        </w:tc>
        <w:tc>
          <w:tcPr>
            <w:tcW w:w="8846" w:type="dxa"/>
            <w:gridSpan w:val="6"/>
          </w:tcPr>
          <w:p>
            <w:pPr>
              <w:pStyle w:val="8"/>
              <w:spacing w:before="117" w:line="219" w:lineRule="auto"/>
              <w:ind w:left="3051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国家卫生健康委、国家中医药管理局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4" w:type="dxa"/>
            <w:gridSpan w:val="2"/>
          </w:tcPr>
          <w:p>
            <w:pPr>
              <w:pStyle w:val="8"/>
              <w:spacing w:before="117" w:line="219" w:lineRule="auto"/>
              <w:ind w:left="8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省级财政部门</w:t>
            </w:r>
          </w:p>
        </w:tc>
        <w:tc>
          <w:tcPr>
            <w:tcW w:w="1838" w:type="dxa"/>
            <w:gridSpan w:val="2"/>
          </w:tcPr>
          <w:p>
            <w:pPr>
              <w:pStyle w:val="8"/>
              <w:spacing w:before="117" w:line="219" w:lineRule="auto"/>
              <w:ind w:left="40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湖南省财政厅</w:t>
            </w:r>
          </w:p>
        </w:tc>
        <w:tc>
          <w:tcPr>
            <w:tcW w:w="1189" w:type="dxa"/>
          </w:tcPr>
          <w:p>
            <w:pPr>
              <w:pStyle w:val="8"/>
              <w:spacing w:before="117" w:line="219" w:lineRule="auto"/>
              <w:ind w:left="93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省级主管部门</w:t>
            </w:r>
          </w:p>
        </w:tc>
        <w:tc>
          <w:tcPr>
            <w:tcW w:w="5819" w:type="dxa"/>
            <w:gridSpan w:val="3"/>
          </w:tcPr>
          <w:p>
            <w:pPr>
              <w:pStyle w:val="8"/>
              <w:spacing w:before="117" w:line="219" w:lineRule="auto"/>
              <w:ind w:left="1504"/>
              <w:rPr>
                <w:sz w:val="17"/>
                <w:szCs w:val="17"/>
                <w:lang w:eastAsia="zh-CN"/>
              </w:rPr>
            </w:pPr>
            <w:r>
              <w:rPr>
                <w:spacing w:val="1"/>
                <w:sz w:val="17"/>
                <w:szCs w:val="17"/>
                <w:lang w:eastAsia="zh-CN"/>
              </w:rPr>
              <w:t>湖南省卫生健康委、中医药主管部门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4" w:type="dxa"/>
            <w:gridSpan w:val="2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lang w:eastAsia="zh-CN"/>
              </w:rPr>
            </w:pPr>
          </w:p>
          <w:p>
            <w:pPr>
              <w:pStyle w:val="8"/>
              <w:spacing w:before="55" w:line="221" w:lineRule="auto"/>
              <w:ind w:left="42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资金</w:t>
            </w:r>
          </w:p>
          <w:p>
            <w:pPr>
              <w:pStyle w:val="8"/>
              <w:spacing w:before="6" w:line="229" w:lineRule="exact"/>
              <w:ind w:left="425"/>
              <w:rPr>
                <w:sz w:val="17"/>
                <w:szCs w:val="17"/>
              </w:rPr>
            </w:pPr>
            <w:r>
              <w:rPr>
                <w:spacing w:val="-2"/>
                <w:position w:val="4"/>
                <w:sz w:val="17"/>
                <w:szCs w:val="17"/>
              </w:rPr>
              <w:t>情况</w:t>
            </w:r>
          </w:p>
          <w:p>
            <w:pPr>
              <w:pStyle w:val="8"/>
              <w:spacing w:line="220" w:lineRule="auto"/>
              <w:ind w:left="335"/>
              <w:rPr>
                <w:sz w:val="17"/>
                <w:szCs w:val="17"/>
              </w:rPr>
            </w:pPr>
            <w:r>
              <w:rPr>
                <w:spacing w:val="9"/>
                <w:sz w:val="17"/>
                <w:szCs w:val="17"/>
              </w:rPr>
              <w:t>(万元)</w:t>
            </w:r>
          </w:p>
        </w:tc>
        <w:tc>
          <w:tcPr>
            <w:tcW w:w="1838" w:type="dxa"/>
            <w:gridSpan w:val="2"/>
          </w:tcPr>
          <w:p>
            <w:pPr>
              <w:pStyle w:val="8"/>
              <w:spacing w:before="117" w:line="219" w:lineRule="auto"/>
              <w:ind w:left="21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年度金额：</w:t>
            </w:r>
          </w:p>
        </w:tc>
        <w:tc>
          <w:tcPr>
            <w:tcW w:w="700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4" w:type="dxa"/>
            <w:gridSpan w:val="2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1838" w:type="dxa"/>
            <w:gridSpan w:val="2"/>
          </w:tcPr>
          <w:p>
            <w:pPr>
              <w:pStyle w:val="8"/>
              <w:spacing w:before="107" w:line="220" w:lineRule="auto"/>
              <w:ind w:left="49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其中：中央补助</w:t>
            </w:r>
          </w:p>
        </w:tc>
        <w:tc>
          <w:tcPr>
            <w:tcW w:w="7008" w:type="dxa"/>
            <w:gridSpan w:val="4"/>
          </w:tcPr>
          <w:p>
            <w:pPr>
              <w:pStyle w:val="8"/>
              <w:spacing w:before="130" w:line="184" w:lineRule="auto"/>
              <w:ind w:left="3233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27163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04" w:type="dxa"/>
            <w:gridSpan w:val="2"/>
            <w:vMerge w:val="continue"/>
            <w:tcBorders>
              <w:top w:val="nil"/>
            </w:tcBorders>
          </w:tcPr>
          <w:p/>
        </w:tc>
        <w:tc>
          <w:tcPr>
            <w:tcW w:w="1838" w:type="dxa"/>
            <w:gridSpan w:val="2"/>
          </w:tcPr>
          <w:p>
            <w:pPr>
              <w:pStyle w:val="8"/>
              <w:spacing w:before="117" w:line="220" w:lineRule="auto"/>
              <w:ind w:left="100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地方补助</w:t>
            </w:r>
          </w:p>
        </w:tc>
        <w:tc>
          <w:tcPr>
            <w:tcW w:w="7008" w:type="dxa"/>
            <w:gridSpan w:val="4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415" w:type="dxa"/>
            <w:textDirection w:val="tbRlV"/>
          </w:tcPr>
          <w:p>
            <w:pPr>
              <w:pStyle w:val="8"/>
              <w:spacing w:before="150" w:line="216" w:lineRule="auto"/>
              <w:ind w:left="4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年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度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总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体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目</w:t>
            </w:r>
            <w:r>
              <w:rPr>
                <w:spacing w:val="-31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标</w:t>
            </w:r>
          </w:p>
        </w:tc>
        <w:tc>
          <w:tcPr>
            <w:tcW w:w="9635" w:type="dxa"/>
            <w:gridSpan w:val="7"/>
          </w:tcPr>
          <w:p>
            <w:pPr>
              <w:spacing w:line="467" w:lineRule="auto"/>
              <w:rPr>
                <w:lang w:eastAsia="zh-CN"/>
              </w:rPr>
            </w:pPr>
          </w:p>
          <w:p>
            <w:pPr>
              <w:pStyle w:val="8"/>
              <w:spacing w:before="56" w:line="227" w:lineRule="auto"/>
              <w:ind w:left="10" w:right="441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深化以公益性为导向的公立医院改革，推动公立医院高质量发展，深入推广三明医改经验，促进医保、医</w:t>
            </w:r>
            <w:r>
              <w:rPr>
                <w:spacing w:val="-1"/>
                <w:sz w:val="17"/>
                <w:szCs w:val="17"/>
                <w:lang w:eastAsia="zh-CN"/>
              </w:rPr>
              <w:t>疗、医药协同发展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和治理。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415" w:type="dxa"/>
            <w:vMerge w:val="restart"/>
            <w:tcBorders>
              <w:bottom w:val="nil"/>
            </w:tcBorders>
            <w:textDirection w:val="tbRlV"/>
          </w:tcPr>
          <w:p>
            <w:pPr>
              <w:pStyle w:val="8"/>
              <w:spacing w:before="169" w:line="217" w:lineRule="auto"/>
              <w:ind w:left="306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绩</w:t>
            </w:r>
            <w:r>
              <w:rPr>
                <w:spacing w:val="-2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</w:t>
            </w:r>
            <w:r>
              <w:rPr>
                <w:spacing w:val="-2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指</w:t>
            </w:r>
            <w:r>
              <w:rPr>
                <w:spacing w:val="-28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标</w:t>
            </w:r>
          </w:p>
        </w:tc>
        <w:tc>
          <w:tcPr>
            <w:tcW w:w="789" w:type="dxa"/>
          </w:tcPr>
          <w:p>
            <w:pPr>
              <w:pStyle w:val="8"/>
              <w:spacing w:before="49" w:line="194" w:lineRule="auto"/>
              <w:ind w:left="210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一级</w:t>
            </w:r>
          </w:p>
          <w:p>
            <w:pPr>
              <w:pStyle w:val="8"/>
              <w:spacing w:line="206" w:lineRule="auto"/>
              <w:ind w:left="21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指标</w:t>
            </w:r>
          </w:p>
        </w:tc>
        <w:tc>
          <w:tcPr>
            <w:tcW w:w="1159" w:type="dxa"/>
          </w:tcPr>
          <w:p>
            <w:pPr>
              <w:pStyle w:val="8"/>
              <w:spacing w:before="128" w:line="220" w:lineRule="auto"/>
              <w:ind w:left="23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128" w:line="220" w:lineRule="auto"/>
              <w:ind w:left="96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3467" w:type="dxa"/>
          </w:tcPr>
          <w:p>
            <w:pPr>
              <w:pStyle w:val="8"/>
              <w:spacing w:before="128" w:line="219" w:lineRule="auto"/>
              <w:ind w:left="139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计算公式</w:t>
            </w:r>
          </w:p>
        </w:tc>
        <w:tc>
          <w:tcPr>
            <w:tcW w:w="1613" w:type="dxa"/>
          </w:tcPr>
          <w:p>
            <w:pPr>
              <w:pStyle w:val="8"/>
              <w:spacing w:before="128" w:line="219" w:lineRule="auto"/>
              <w:ind w:left="54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44" w:lineRule="auto"/>
            </w:pPr>
          </w:p>
          <w:p>
            <w:pPr>
              <w:pStyle w:val="8"/>
              <w:spacing w:before="57" w:line="216" w:lineRule="auto"/>
              <w:ind w:left="1043"/>
              <w:rPr>
                <w:sz w:val="17"/>
                <w:szCs w:val="17"/>
              </w:rPr>
            </w:pPr>
            <w:r>
              <w:rPr>
                <w:spacing w:val="37"/>
                <w:sz w:val="17"/>
                <w:szCs w:val="17"/>
              </w:rPr>
              <w:t>产出指标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</w:tcPr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4" w:lineRule="auto"/>
            </w:pPr>
          </w:p>
          <w:p>
            <w:pPr>
              <w:spacing w:line="265" w:lineRule="auto"/>
            </w:pPr>
          </w:p>
          <w:p>
            <w:pPr>
              <w:pStyle w:val="8"/>
              <w:spacing w:before="55" w:line="219" w:lineRule="auto"/>
              <w:ind w:left="23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数量指标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89" w:line="232" w:lineRule="auto"/>
              <w:ind w:left="12" w:right="281"/>
              <w:jc w:val="both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公立医院医疗服务收入(不含药</w:t>
            </w:r>
            <w:r>
              <w:rPr>
                <w:spacing w:val="1"/>
                <w:sz w:val="17"/>
                <w:szCs w:val="17"/>
                <w:lang w:eastAsia="zh-CN"/>
              </w:rPr>
              <w:t xml:space="preserve"> </w:t>
            </w:r>
            <w:r>
              <w:rPr>
                <w:sz w:val="17"/>
                <w:szCs w:val="17"/>
                <w:lang w:eastAsia="zh-CN"/>
              </w:rPr>
              <w:t>品、耗材、检查、化验收入)占</w:t>
            </w:r>
            <w:r>
              <w:rPr>
                <w:spacing w:val="7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"/>
                <w:sz w:val="17"/>
                <w:szCs w:val="17"/>
                <w:lang w:eastAsia="zh-CN"/>
              </w:rPr>
              <w:t>医疗收入的比例</w:t>
            </w:r>
          </w:p>
        </w:tc>
        <w:tc>
          <w:tcPr>
            <w:tcW w:w="3467" w:type="dxa"/>
          </w:tcPr>
          <w:p>
            <w:pPr>
              <w:pStyle w:val="8"/>
              <w:spacing w:before="178"/>
              <w:ind w:left="15" w:right="145" w:firstLine="59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(医疗收入-药品收入-卫生材料收入-检查收</w:t>
            </w:r>
            <w:r>
              <w:rPr>
                <w:spacing w:val="5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入-化验收入)/医疗收入×100%</w:t>
            </w:r>
          </w:p>
        </w:tc>
        <w:tc>
          <w:tcPr>
            <w:tcW w:w="1613" w:type="dxa"/>
          </w:tcPr>
          <w:p>
            <w:pPr>
              <w:spacing w:line="252" w:lineRule="auto"/>
              <w:rPr>
                <w:lang w:eastAsia="zh-CN"/>
              </w:rPr>
            </w:pPr>
          </w:p>
          <w:p>
            <w:pPr>
              <w:pStyle w:val="8"/>
              <w:spacing w:before="55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1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60" w:line="235" w:lineRule="auto"/>
              <w:ind w:left="12" w:right="190"/>
              <w:rPr>
                <w:sz w:val="17"/>
                <w:szCs w:val="17"/>
                <w:lang w:eastAsia="zh-CN"/>
              </w:rPr>
            </w:pPr>
            <w:r>
              <w:rPr>
                <w:spacing w:val="1"/>
                <w:sz w:val="17"/>
                <w:szCs w:val="17"/>
                <w:lang w:eastAsia="zh-CN"/>
              </w:rPr>
              <w:t>按病种付费的住院参保人员占总</w:t>
            </w:r>
            <w:r>
              <w:rPr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住院参保人员的比例</w:t>
            </w:r>
          </w:p>
        </w:tc>
        <w:tc>
          <w:tcPr>
            <w:tcW w:w="3467" w:type="dxa"/>
          </w:tcPr>
          <w:p>
            <w:pPr>
              <w:pStyle w:val="8"/>
              <w:spacing w:before="59" w:line="244" w:lineRule="auto"/>
              <w:ind w:left="15" w:right="304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按病种付费的住院参保人员/总住院参保人</w:t>
            </w:r>
            <w:r>
              <w:rPr>
                <w:spacing w:val="10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2"/>
                <w:sz w:val="17"/>
                <w:szCs w:val="17"/>
                <w:lang w:eastAsia="zh-CN"/>
              </w:rPr>
              <w:t>员×100%</w:t>
            </w:r>
          </w:p>
        </w:tc>
        <w:tc>
          <w:tcPr>
            <w:tcW w:w="1613" w:type="dxa"/>
          </w:tcPr>
          <w:p>
            <w:pPr>
              <w:pStyle w:val="8"/>
              <w:spacing w:before="180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159" w:type="dxa"/>
            <w:vMerge w:val="continue"/>
            <w:tcBorders>
              <w:top w:val="nil"/>
              <w:bottom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181" w:line="219" w:lineRule="auto"/>
              <w:ind w:left="12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二级以上公立医院安检覆盖率</w:t>
            </w:r>
          </w:p>
        </w:tc>
        <w:tc>
          <w:tcPr>
            <w:tcW w:w="3467" w:type="dxa"/>
          </w:tcPr>
          <w:p>
            <w:pPr>
              <w:pStyle w:val="8"/>
              <w:spacing w:before="70"/>
              <w:ind w:left="15" w:right="306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二级以上公立医院安检覆盖量/二级以上公</w:t>
            </w:r>
            <w:r>
              <w:rPr>
                <w:spacing w:val="8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立医院总数×100%</w:t>
            </w:r>
          </w:p>
        </w:tc>
        <w:tc>
          <w:tcPr>
            <w:tcW w:w="1613" w:type="dxa"/>
          </w:tcPr>
          <w:p>
            <w:pPr>
              <w:pStyle w:val="8"/>
              <w:spacing w:before="197" w:line="237" w:lineRule="auto"/>
              <w:ind w:left="588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≥75%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159" w:type="dxa"/>
            <w:vMerge w:val="continue"/>
            <w:tcBorders>
              <w:top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72" w:line="229" w:lineRule="auto"/>
              <w:ind w:left="12" w:right="194" w:firstLine="20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二级以上公立医院安防系统建设</w:t>
            </w:r>
            <w:r>
              <w:rPr>
                <w:spacing w:val="3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2"/>
                <w:sz w:val="17"/>
                <w:szCs w:val="17"/>
                <w:lang w:eastAsia="zh-CN"/>
              </w:rPr>
              <w:t>达标率</w:t>
            </w:r>
          </w:p>
        </w:tc>
        <w:tc>
          <w:tcPr>
            <w:tcW w:w="3467" w:type="dxa"/>
          </w:tcPr>
          <w:p>
            <w:pPr>
              <w:pStyle w:val="8"/>
              <w:spacing w:before="72" w:line="235" w:lineRule="auto"/>
              <w:ind w:left="15" w:right="306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二级以上公立医院安防系统建设达标量/二</w:t>
            </w:r>
            <w:r>
              <w:rPr>
                <w:spacing w:val="8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级以上公立医院安防系统建设总量×100%</w:t>
            </w:r>
          </w:p>
        </w:tc>
        <w:tc>
          <w:tcPr>
            <w:tcW w:w="1613" w:type="dxa"/>
          </w:tcPr>
          <w:p>
            <w:pPr>
              <w:pStyle w:val="8"/>
              <w:spacing w:before="208" w:line="237" w:lineRule="auto"/>
              <w:ind w:left="588"/>
              <w:rPr>
                <w:sz w:val="17"/>
                <w:szCs w:val="17"/>
              </w:rPr>
            </w:pPr>
            <w:r>
              <w:rPr>
                <w:spacing w:val="-5"/>
                <w:sz w:val="17"/>
                <w:szCs w:val="17"/>
              </w:rPr>
              <w:t>≥85%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159" w:type="dxa"/>
          </w:tcPr>
          <w:p>
            <w:pPr>
              <w:pStyle w:val="8"/>
              <w:spacing w:before="183" w:line="220" w:lineRule="auto"/>
              <w:ind w:left="23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质量指标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183" w:line="220" w:lineRule="auto"/>
              <w:ind w:left="12"/>
              <w:rPr>
                <w:sz w:val="17"/>
                <w:szCs w:val="17"/>
                <w:lang w:eastAsia="zh-CN"/>
              </w:rPr>
            </w:pPr>
            <w:r>
              <w:rPr>
                <w:spacing w:val="2"/>
                <w:sz w:val="17"/>
                <w:szCs w:val="17"/>
                <w:lang w:eastAsia="zh-CN"/>
              </w:rPr>
              <w:t>三级公立医院平均住院日</w:t>
            </w:r>
          </w:p>
        </w:tc>
        <w:tc>
          <w:tcPr>
            <w:tcW w:w="3467" w:type="dxa"/>
          </w:tcPr>
          <w:p>
            <w:pPr>
              <w:pStyle w:val="8"/>
              <w:spacing w:before="83" w:line="218" w:lineRule="auto"/>
              <w:ind w:left="15" w:right="303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三级公立医院出院者占用总床日数/出院人</w:t>
            </w:r>
            <w:r>
              <w:rPr>
                <w:spacing w:val="11"/>
                <w:sz w:val="17"/>
                <w:szCs w:val="17"/>
                <w:lang w:eastAsia="zh-CN"/>
              </w:rPr>
              <w:t xml:space="preserve"> </w:t>
            </w:r>
            <w:r>
              <w:rPr>
                <w:sz w:val="17"/>
                <w:szCs w:val="17"/>
                <w:lang w:eastAsia="zh-CN"/>
              </w:rPr>
              <w:t>数</w:t>
            </w:r>
          </w:p>
        </w:tc>
        <w:tc>
          <w:tcPr>
            <w:tcW w:w="1613" w:type="dxa"/>
          </w:tcPr>
          <w:p>
            <w:pPr>
              <w:pStyle w:val="8"/>
              <w:spacing w:before="183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restart"/>
            <w:tcBorders>
              <w:bottom w:val="nil"/>
            </w:tcBorders>
            <w:textDirection w:val="tbRlV"/>
          </w:tcPr>
          <w:p>
            <w:pPr>
              <w:spacing w:line="244" w:lineRule="auto"/>
            </w:pPr>
          </w:p>
          <w:p>
            <w:pPr>
              <w:pStyle w:val="8"/>
              <w:spacing w:before="57" w:line="217" w:lineRule="auto"/>
              <w:ind w:left="767"/>
              <w:rPr>
                <w:sz w:val="17"/>
                <w:szCs w:val="17"/>
              </w:rPr>
            </w:pPr>
            <w:r>
              <w:rPr>
                <w:spacing w:val="38"/>
                <w:sz w:val="17"/>
                <w:szCs w:val="17"/>
              </w:rPr>
              <w:t>效益指标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</w:tcPr>
          <w:p>
            <w:pPr>
              <w:spacing w:line="324" w:lineRule="auto"/>
            </w:pPr>
          </w:p>
          <w:p>
            <w:pPr>
              <w:pStyle w:val="8"/>
              <w:spacing w:before="56" w:line="208" w:lineRule="auto"/>
              <w:ind w:left="23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社会效益</w:t>
            </w:r>
          </w:p>
          <w:p>
            <w:pPr>
              <w:pStyle w:val="8"/>
              <w:spacing w:line="220" w:lineRule="auto"/>
              <w:ind w:left="401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71" w:line="236" w:lineRule="auto"/>
              <w:ind w:left="12" w:right="211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基层医疗卫生机构诊疗量占总诊</w:t>
            </w:r>
            <w:r>
              <w:rPr>
                <w:spacing w:val="6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疗量的比例</w:t>
            </w:r>
          </w:p>
        </w:tc>
        <w:tc>
          <w:tcPr>
            <w:tcW w:w="3467" w:type="dxa"/>
          </w:tcPr>
          <w:p>
            <w:pPr>
              <w:pStyle w:val="8"/>
              <w:spacing w:before="62" w:line="252" w:lineRule="auto"/>
              <w:ind w:left="15" w:right="303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基层医疗卫生机构诊疗量/医疗卫生机构总</w:t>
            </w:r>
            <w:r>
              <w:rPr>
                <w:spacing w:val="11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诊疗量×100%</w:t>
            </w:r>
          </w:p>
        </w:tc>
        <w:tc>
          <w:tcPr>
            <w:tcW w:w="1613" w:type="dxa"/>
          </w:tcPr>
          <w:p>
            <w:pPr>
              <w:pStyle w:val="8"/>
              <w:spacing w:before="193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159" w:type="dxa"/>
            <w:vMerge w:val="continue"/>
            <w:tcBorders>
              <w:top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83" w:line="237" w:lineRule="auto"/>
              <w:ind w:left="12" w:right="211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三级公立医院门诊人次数与出院</w:t>
            </w:r>
            <w:r>
              <w:rPr>
                <w:spacing w:val="6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2"/>
                <w:sz w:val="17"/>
                <w:szCs w:val="17"/>
                <w:lang w:eastAsia="zh-CN"/>
              </w:rPr>
              <w:t>人次数比</w:t>
            </w:r>
          </w:p>
        </w:tc>
        <w:tc>
          <w:tcPr>
            <w:tcW w:w="3467" w:type="dxa"/>
          </w:tcPr>
          <w:p>
            <w:pPr>
              <w:pStyle w:val="8"/>
              <w:spacing w:before="184" w:line="219" w:lineRule="auto"/>
              <w:ind w:left="15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三级公立医院门诊人次数/同期出院人次数</w:t>
            </w:r>
          </w:p>
        </w:tc>
        <w:tc>
          <w:tcPr>
            <w:tcW w:w="1613" w:type="dxa"/>
          </w:tcPr>
          <w:p>
            <w:pPr>
              <w:pStyle w:val="8"/>
              <w:spacing w:before="184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1159" w:type="dxa"/>
            <w:vMerge w:val="restart"/>
            <w:tcBorders>
              <w:bottom w:val="nil"/>
            </w:tcBorders>
          </w:tcPr>
          <w:p>
            <w:pPr>
              <w:spacing w:line="435" w:lineRule="auto"/>
            </w:pPr>
          </w:p>
          <w:p>
            <w:pPr>
              <w:pStyle w:val="8"/>
              <w:spacing w:before="56" w:line="219" w:lineRule="auto"/>
              <w:ind w:left="400" w:right="143" w:hanging="260"/>
              <w:rPr>
                <w:sz w:val="17"/>
                <w:szCs w:val="17"/>
              </w:rPr>
            </w:pPr>
            <w:r>
              <w:rPr>
                <w:spacing w:val="2"/>
                <w:sz w:val="17"/>
                <w:szCs w:val="17"/>
              </w:rPr>
              <w:t>可持续影响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184" w:line="219" w:lineRule="auto"/>
              <w:ind w:left="1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公立医院资产负债率</w:t>
            </w:r>
          </w:p>
        </w:tc>
        <w:tc>
          <w:tcPr>
            <w:tcW w:w="3467" w:type="dxa"/>
          </w:tcPr>
          <w:p>
            <w:pPr>
              <w:pStyle w:val="8"/>
              <w:spacing w:before="83" w:line="237" w:lineRule="auto"/>
              <w:ind w:left="15" w:right="648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公立医院负债总额/公立医院资产总额</w:t>
            </w:r>
            <w:r>
              <w:rPr>
                <w:spacing w:val="4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6"/>
                <w:sz w:val="17"/>
                <w:szCs w:val="17"/>
                <w:lang w:eastAsia="zh-CN"/>
              </w:rPr>
              <w:t>×100%</w:t>
            </w:r>
          </w:p>
        </w:tc>
        <w:tc>
          <w:tcPr>
            <w:tcW w:w="1613" w:type="dxa"/>
          </w:tcPr>
          <w:p>
            <w:pPr>
              <w:pStyle w:val="8"/>
              <w:spacing w:before="184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1159" w:type="dxa"/>
            <w:vMerge w:val="continue"/>
            <w:tcBorders>
              <w:top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204" w:line="229" w:lineRule="auto"/>
              <w:ind w:left="12" w:right="194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实现收支平衡的公立医院数占公</w:t>
            </w:r>
            <w:r>
              <w:rPr>
                <w:spacing w:val="9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"/>
                <w:sz w:val="17"/>
                <w:szCs w:val="17"/>
                <w:lang w:eastAsia="zh-CN"/>
              </w:rPr>
              <w:t>立医院总数的比例</w:t>
            </w:r>
          </w:p>
        </w:tc>
        <w:tc>
          <w:tcPr>
            <w:tcW w:w="3467" w:type="dxa"/>
          </w:tcPr>
          <w:p>
            <w:pPr>
              <w:pStyle w:val="8"/>
              <w:spacing w:before="104" w:line="206" w:lineRule="auto"/>
              <w:ind w:left="15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总收入-总支出≥0即为实现收支平衡</w:t>
            </w:r>
          </w:p>
          <w:p>
            <w:pPr>
              <w:pStyle w:val="8"/>
              <w:spacing w:before="1" w:line="241" w:lineRule="auto"/>
              <w:ind w:left="15" w:right="307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实现收支平衡的公立医院数/公立医院总数</w:t>
            </w:r>
            <w:r>
              <w:rPr>
                <w:spacing w:val="7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6"/>
                <w:sz w:val="17"/>
                <w:szCs w:val="17"/>
                <w:lang w:eastAsia="zh-CN"/>
              </w:rPr>
              <w:t>×100%</w:t>
            </w:r>
          </w:p>
        </w:tc>
        <w:tc>
          <w:tcPr>
            <w:tcW w:w="1613" w:type="dxa"/>
          </w:tcPr>
          <w:p>
            <w:pPr>
              <w:pStyle w:val="8"/>
              <w:spacing w:before="294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较上年提高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textDirection w:val="tbRlV"/>
          </w:tcPr>
          <w:p/>
        </w:tc>
        <w:tc>
          <w:tcPr>
            <w:tcW w:w="789" w:type="dxa"/>
            <w:vMerge w:val="restart"/>
            <w:tcBorders>
              <w:bottom w:val="nil"/>
            </w:tcBorders>
          </w:tcPr>
          <w:p>
            <w:pPr>
              <w:spacing w:line="396" w:lineRule="auto"/>
            </w:pPr>
          </w:p>
          <w:p>
            <w:pPr>
              <w:pStyle w:val="8"/>
              <w:spacing w:before="55" w:line="214" w:lineRule="auto"/>
              <w:ind w:left="209" w:right="145" w:hanging="79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满意度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-3"/>
                <w:sz w:val="17"/>
                <w:szCs w:val="17"/>
              </w:rPr>
              <w:t>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</w:tcPr>
          <w:p>
            <w:pPr>
              <w:spacing w:line="397" w:lineRule="auto"/>
              <w:rPr>
                <w:lang w:eastAsia="zh-CN"/>
              </w:rPr>
            </w:pPr>
          </w:p>
          <w:p>
            <w:pPr>
              <w:pStyle w:val="8"/>
              <w:spacing w:before="55" w:line="218" w:lineRule="auto"/>
              <w:ind w:left="231"/>
              <w:rPr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服务对象</w:t>
            </w:r>
          </w:p>
          <w:p>
            <w:pPr>
              <w:pStyle w:val="8"/>
              <w:spacing w:line="220" w:lineRule="auto"/>
              <w:ind w:left="61"/>
              <w:rPr>
                <w:sz w:val="17"/>
                <w:szCs w:val="17"/>
                <w:lang w:eastAsia="zh-CN"/>
              </w:rPr>
            </w:pPr>
            <w:r>
              <w:rPr>
                <w:spacing w:val="-2"/>
                <w:sz w:val="17"/>
                <w:szCs w:val="17"/>
                <w:lang w:eastAsia="zh-CN"/>
              </w:rPr>
              <w:t>受益程度指标</w:t>
            </w:r>
          </w:p>
        </w:tc>
        <w:tc>
          <w:tcPr>
            <w:tcW w:w="2607" w:type="dxa"/>
            <w:gridSpan w:val="3"/>
          </w:tcPr>
          <w:p>
            <w:pPr>
              <w:pStyle w:val="8"/>
              <w:spacing w:before="193" w:line="218" w:lineRule="auto"/>
              <w:ind w:left="12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公立医院次均门诊费用增幅</w:t>
            </w:r>
          </w:p>
        </w:tc>
        <w:tc>
          <w:tcPr>
            <w:tcW w:w="3467" w:type="dxa"/>
          </w:tcPr>
          <w:p>
            <w:pPr>
              <w:pStyle w:val="8"/>
              <w:spacing w:before="94" w:line="236" w:lineRule="auto"/>
              <w:ind w:left="15" w:right="375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(本年门诊次均费用-上年门诊次均费用)/</w:t>
            </w:r>
            <w:r>
              <w:rPr>
                <w:spacing w:val="5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-1"/>
                <w:sz w:val="17"/>
                <w:szCs w:val="17"/>
                <w:lang w:eastAsia="zh-CN"/>
              </w:rPr>
              <w:t>上年门诊次均费用×100%</w:t>
            </w:r>
          </w:p>
        </w:tc>
        <w:tc>
          <w:tcPr>
            <w:tcW w:w="1613" w:type="dxa"/>
          </w:tcPr>
          <w:p>
            <w:pPr>
              <w:pStyle w:val="8"/>
              <w:spacing w:before="195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较上年降低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5" w:type="dxa"/>
            <w:vMerge w:val="continue"/>
            <w:tcBorders>
              <w:top w:val="nil"/>
            </w:tcBorders>
            <w:textDirection w:val="tbRlV"/>
          </w:tcPr>
          <w:p/>
        </w:tc>
        <w:tc>
          <w:tcPr>
            <w:tcW w:w="789" w:type="dxa"/>
            <w:vMerge w:val="continue"/>
            <w:tcBorders>
              <w:top w:val="nil"/>
            </w:tcBorders>
          </w:tcPr>
          <w:p/>
        </w:tc>
        <w:tc>
          <w:tcPr>
            <w:tcW w:w="1159" w:type="dxa"/>
            <w:vMerge w:val="continue"/>
            <w:tcBorders>
              <w:top w:val="nil"/>
            </w:tcBorders>
          </w:tcPr>
          <w:p/>
        </w:tc>
        <w:tc>
          <w:tcPr>
            <w:tcW w:w="2607" w:type="dxa"/>
            <w:gridSpan w:val="3"/>
          </w:tcPr>
          <w:p>
            <w:pPr>
              <w:pStyle w:val="8"/>
              <w:spacing w:before="264" w:line="218" w:lineRule="auto"/>
              <w:ind w:left="12"/>
              <w:rPr>
                <w:sz w:val="17"/>
                <w:szCs w:val="17"/>
                <w:lang w:eastAsia="zh-CN"/>
              </w:rPr>
            </w:pPr>
            <w:r>
              <w:rPr>
                <w:spacing w:val="-1"/>
                <w:sz w:val="17"/>
                <w:szCs w:val="17"/>
                <w:lang w:eastAsia="zh-CN"/>
              </w:rPr>
              <w:t>公立医院人均住院费用增幅</w:t>
            </w:r>
          </w:p>
        </w:tc>
        <w:tc>
          <w:tcPr>
            <w:tcW w:w="3467" w:type="dxa"/>
          </w:tcPr>
          <w:p>
            <w:pPr>
              <w:pStyle w:val="8"/>
              <w:spacing w:before="66" w:line="218" w:lineRule="auto"/>
              <w:ind w:left="15" w:right="233" w:firstLine="140"/>
              <w:rPr>
                <w:sz w:val="17"/>
                <w:szCs w:val="17"/>
                <w:lang w:eastAsia="zh-CN"/>
              </w:rPr>
            </w:pPr>
            <w:r>
              <w:rPr>
                <w:sz w:val="17"/>
                <w:szCs w:val="17"/>
                <w:lang w:eastAsia="zh-CN"/>
              </w:rPr>
              <w:t>(本年出院者平均医药费用-上年出院者平</w:t>
            </w:r>
            <w:r>
              <w:rPr>
                <w:spacing w:val="7"/>
                <w:sz w:val="17"/>
                <w:szCs w:val="17"/>
                <w:lang w:eastAsia="zh-CN"/>
              </w:rPr>
              <w:t xml:space="preserve"> </w:t>
            </w:r>
            <w:r>
              <w:rPr>
                <w:spacing w:val="1"/>
                <w:sz w:val="17"/>
                <w:szCs w:val="17"/>
                <w:lang w:eastAsia="zh-CN"/>
              </w:rPr>
              <w:t>均医药费用)/上年出院者平均医药费用</w:t>
            </w:r>
          </w:p>
          <w:p>
            <w:pPr>
              <w:pStyle w:val="8"/>
              <w:spacing w:before="81" w:line="125" w:lineRule="exact"/>
              <w:ind w:left="15"/>
              <w:rPr>
                <w:sz w:val="17"/>
                <w:szCs w:val="17"/>
              </w:rPr>
            </w:pPr>
            <w:r>
              <w:rPr>
                <w:spacing w:val="-6"/>
                <w:position w:val="-2"/>
                <w:sz w:val="17"/>
                <w:szCs w:val="17"/>
              </w:rPr>
              <w:t>×100%</w:t>
            </w:r>
          </w:p>
        </w:tc>
        <w:tc>
          <w:tcPr>
            <w:tcW w:w="1613" w:type="dxa"/>
          </w:tcPr>
          <w:p>
            <w:pPr>
              <w:pStyle w:val="8"/>
              <w:spacing w:before="266" w:line="219" w:lineRule="auto"/>
              <w:ind w:left="37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较上年降低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</w:pPr>
      <w:bookmarkStart w:id="0" w:name="_GoBack"/>
      <w:bookmarkEnd w:id="0"/>
    </w:p>
    <w:sectPr>
      <w:footerReference r:id="rId5" w:type="default"/>
      <w:pgSz w:w="12060" w:h="16940"/>
      <w:pgMar w:top="923" w:right="1314" w:bottom="400" w:left="6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80"/>
    <w:rsid w:val="00707F80"/>
    <w:rsid w:val="00983751"/>
    <w:rsid w:val="00C4739A"/>
    <w:rsid w:val="00C60887"/>
    <w:rsid w:val="3FEF62E8"/>
    <w:rsid w:val="46D79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1"/>
      <w:szCs w:val="9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4"/>
      <w:szCs w:val="1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151</Words>
  <Characters>861</Characters>
  <Lines>7</Lines>
  <Paragraphs>2</Paragraphs>
  <TotalTime>16</TotalTime>
  <ScaleCrop>false</ScaleCrop>
  <LinksUpToDate>false</LinksUpToDate>
  <CharactersWithSpaces>1010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2024-06-13T11:25:00Z</dcterms:created>
  <dc:creator>龙珊珊</dc:creator>
  <cp:lastModifiedBy>greatwall</cp:lastModifiedBy>
  <dcterms:modified xsi:type="dcterms:W3CDTF">2024-06-13T15:47:20Z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2024-06-13T11:23:24Z</vt:filetime>
  </property>
  <property fmtid="{D5CDD505-2E9C-101B-9397-08002B2CF9AE}" pid="4" name="UsrData">
    <vt:lpwstr>666a662649b030001f53eaedwl</vt:lpwstr>
  </property>
  <property fmtid="{D5CDD505-2E9C-101B-9397-08002B2CF9AE}" pid="5" name="KSOProductBuildVer">
    <vt:lpwstr>2052-11.8.2.11717</vt:lpwstr>
  </property>
  <property fmtid="{D5CDD505-2E9C-101B-9397-08002B2CF9AE}" pid="6" name="ICV">
    <vt:lpwstr>C314D1059CB94EED61A36A66CE8177B4</vt:lpwstr>
  </property>
</Properties>
</file>