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ind w:left="96"/>
      </w:pPr>
      <w:r>
        <w:rPr>
          <w:rFonts w:ascii="微软雅黑" w:hAnsi="微软雅黑" w:eastAsia="微软雅黑" w:cs="微软雅黑"/>
          <w:sz w:val="24"/>
        </w:rPr>
        <w:t>附件2</w:t>
      </w:r>
    </w:p>
    <w:p>
      <w:pPr>
        <w:spacing w:after="0"/>
        <w:ind w:right="2659"/>
        <w:jc w:val="right"/>
      </w:pPr>
      <w:r>
        <w:rPr>
          <w:rFonts w:ascii="微软雅黑" w:hAnsi="微软雅黑" w:eastAsia="微软雅黑" w:cs="微软雅黑"/>
          <w:sz w:val="32"/>
        </w:rPr>
        <w:t>中央对地方转移支付区域绩效目标表</w:t>
      </w:r>
    </w:p>
    <w:p>
      <w:pPr>
        <w:spacing w:after="0"/>
        <w:ind w:right="86"/>
        <w:jc w:val="center"/>
      </w:pPr>
      <w:r>
        <w:rPr>
          <w:rFonts w:ascii="微软雅黑" w:hAnsi="微软雅黑" w:eastAsia="微软雅黑" w:cs="微软雅黑"/>
        </w:rPr>
        <w:t>（2024年度）</w:t>
      </w:r>
    </w:p>
    <w:tbl>
      <w:tblPr>
        <w:tblStyle w:val="10"/>
        <w:tblW w:w="10227" w:type="dxa"/>
        <w:tblInd w:w="-10" w:type="dxa"/>
        <w:tblLayout w:type="autofit"/>
        <w:tblCellMar>
          <w:top w:w="22" w:type="dxa"/>
          <w:left w:w="53" w:type="dxa"/>
          <w:bottom w:w="15" w:type="dxa"/>
          <w:right w:w="71" w:type="dxa"/>
        </w:tblCellMar>
      </w:tblPr>
      <w:tblGrid>
        <w:gridCol w:w="825"/>
        <w:gridCol w:w="997"/>
        <w:gridCol w:w="1893"/>
        <w:gridCol w:w="1433"/>
        <w:gridCol w:w="1556"/>
        <w:gridCol w:w="1326"/>
        <w:gridCol w:w="2197"/>
      </w:tblGrid>
      <w:tr>
        <w:trPr>
          <w:trHeight w:val="447" w:hRule="atLeast"/>
        </w:trPr>
        <w:tc>
          <w:tcPr>
            <w:tcW w:w="182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78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项目名称</w:t>
            </w:r>
          </w:p>
        </w:tc>
        <w:tc>
          <w:tcPr>
            <w:tcW w:w="840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61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基本药物制度补助资金</w:t>
            </w:r>
          </w:p>
        </w:tc>
      </w:tr>
      <w:tr>
        <w:trPr>
          <w:trHeight w:val="447" w:hRule="atLeast"/>
        </w:trPr>
        <w:tc>
          <w:tcPr>
            <w:tcW w:w="182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87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中央主管部门</w:t>
            </w:r>
          </w:p>
        </w:tc>
        <w:tc>
          <w:tcPr>
            <w:tcW w:w="840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国家卫生健康委</w:t>
            </w:r>
          </w:p>
        </w:tc>
      </w:tr>
      <w:tr>
        <w:trPr>
          <w:trHeight w:val="739" w:hRule="atLeast"/>
        </w:trPr>
        <w:tc>
          <w:tcPr>
            <w:tcW w:w="182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68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省级财政部门</w:t>
            </w:r>
          </w:p>
        </w:tc>
        <w:tc>
          <w:tcPr>
            <w:tcW w:w="33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32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湖南省财政厅</w:t>
            </w:r>
          </w:p>
        </w:tc>
        <w:tc>
          <w:tcPr>
            <w:tcW w:w="1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31"/>
              <w:jc w:val="both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省级主管部门</w:t>
            </w:r>
          </w:p>
        </w:tc>
        <w:tc>
          <w:tcPr>
            <w:tcW w:w="352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74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湖南省卫生健康委</w:t>
            </w:r>
          </w:p>
        </w:tc>
      </w:tr>
      <w:tr>
        <w:trPr>
          <w:trHeight w:val="451" w:hRule="atLeast"/>
        </w:trPr>
        <w:tc>
          <w:tcPr>
            <w:tcW w:w="1822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133"/>
              <w:ind w:left="68"/>
              <w:jc w:val="center"/>
              <w:rPr>
                <w:rFonts w:hint="eastAsia" w:eastAsia="微软雅黑"/>
                <w:sz w:val="20"/>
                <w:szCs w:val="20"/>
                <w:lang w:eastAsia="zh-CN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资金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情况</w:t>
            </w:r>
          </w:p>
          <w:p>
            <w:pPr>
              <w:spacing w:after="0"/>
              <w:ind w:left="54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（万元）</w:t>
            </w:r>
          </w:p>
        </w:tc>
        <w:tc>
          <w:tcPr>
            <w:tcW w:w="33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256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年度金额：</w:t>
            </w:r>
          </w:p>
        </w:tc>
        <w:tc>
          <w:tcPr>
            <w:tcW w:w="50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rPr>
                <w:sz w:val="20"/>
                <w:szCs w:val="20"/>
              </w:rPr>
            </w:pPr>
          </w:p>
        </w:tc>
      </w:tr>
      <w:tr>
        <w:trPr>
          <w:trHeight w:val="439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firstLine="1800" w:firstLineChars="900"/>
              <w:jc w:val="both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其中：中央补助</w:t>
            </w:r>
          </w:p>
        </w:tc>
        <w:tc>
          <w:tcPr>
            <w:tcW w:w="50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32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51991</w:t>
            </w:r>
          </w:p>
        </w:tc>
      </w:tr>
      <w:tr>
        <w:trPr>
          <w:trHeight w:val="445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right="287"/>
              <w:jc w:val="right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地方补助</w:t>
            </w:r>
          </w:p>
        </w:tc>
        <w:tc>
          <w:tcPr>
            <w:tcW w:w="50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rPr>
                <w:sz w:val="20"/>
                <w:szCs w:val="20"/>
              </w:rPr>
            </w:pPr>
          </w:p>
        </w:tc>
      </w:tr>
      <w:tr>
        <w:trPr>
          <w:trHeight w:val="1874" w:hRule="atLeast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bottom"/>
          </w:tcPr>
          <w:p>
            <w:pPr>
              <w:spacing w:after="0"/>
              <w:ind w:left="175" w:right="147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年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度总体目标</w:t>
            </w:r>
          </w:p>
        </w:tc>
        <w:tc>
          <w:tcPr>
            <w:tcW w:w="9401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58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目标1：基层医疗卫生机构按要求实施基本药物制度。</w:t>
            </w:r>
          </w:p>
          <w:p>
            <w:pPr>
              <w:spacing w:after="0"/>
              <w:ind w:left="53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目标2：基本药物制度在村卫生室顺利实施。</w:t>
            </w:r>
          </w:p>
          <w:p>
            <w:pPr>
              <w:spacing w:after="0"/>
              <w:ind w:left="53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目标3：基层医疗卫生机构服务质量进一步提高。</w:t>
            </w:r>
          </w:p>
          <w:p>
            <w:pPr>
              <w:spacing w:after="0"/>
              <w:ind w:left="48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目标4：紧密型县域医共体等基层卫生综合改革在县域内稳步推进。</w:t>
            </w:r>
          </w:p>
        </w:tc>
      </w:tr>
      <w:tr>
        <w:trPr>
          <w:trHeight w:val="739" w:hRule="atLeast"/>
        </w:trPr>
        <w:tc>
          <w:tcPr>
            <w:tcW w:w="8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235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绩效指标</w:t>
            </w:r>
          </w:p>
        </w:tc>
        <w:tc>
          <w:tcPr>
            <w:tcW w:w="9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bottom"/>
          </w:tcPr>
          <w:p>
            <w:pPr>
              <w:spacing w:after="0"/>
              <w:ind w:left="206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一级</w:t>
            </w:r>
          </w:p>
          <w:p>
            <w:pPr>
              <w:spacing w:after="0"/>
              <w:ind w:left="206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指标</w:t>
            </w:r>
          </w:p>
        </w:tc>
        <w:tc>
          <w:tcPr>
            <w:tcW w:w="18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54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二级指标</w:t>
            </w:r>
          </w:p>
        </w:tc>
        <w:tc>
          <w:tcPr>
            <w:tcW w:w="431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57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三级指标</w:t>
            </w:r>
          </w:p>
        </w:tc>
        <w:tc>
          <w:tcPr>
            <w:tcW w:w="2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59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指标值</w:t>
            </w:r>
          </w:p>
        </w:tc>
      </w:tr>
      <w:tr>
        <w:trPr>
          <w:trHeight w:val="81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97" w:right="18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产出</w:t>
            </w:r>
          </w:p>
          <w:p>
            <w:pPr>
              <w:spacing w:after="0"/>
              <w:ind w:left="197" w:right="18"/>
              <w:jc w:val="both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指标</w:t>
            </w:r>
          </w:p>
        </w:tc>
        <w:tc>
          <w:tcPr>
            <w:tcW w:w="189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49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数量指标</w:t>
            </w:r>
          </w:p>
        </w:tc>
        <w:tc>
          <w:tcPr>
            <w:tcW w:w="431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29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实施基本药物制度的政府办基层医疗卫生机构占比</w:t>
            </w:r>
          </w:p>
        </w:tc>
        <w:tc>
          <w:tcPr>
            <w:tcW w:w="2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73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100％</w:t>
            </w:r>
          </w:p>
        </w:tc>
      </w:tr>
      <w:tr>
        <w:trPr>
          <w:trHeight w:val="79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31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24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实施基本药物制度的村卫生室占比</w:t>
            </w:r>
          </w:p>
        </w:tc>
        <w:tc>
          <w:tcPr>
            <w:tcW w:w="2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64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100％</w:t>
            </w:r>
          </w:p>
        </w:tc>
      </w:tr>
      <w:tr>
        <w:trPr>
          <w:trHeight w:val="80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9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30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质量指标</w:t>
            </w:r>
          </w:p>
        </w:tc>
        <w:tc>
          <w:tcPr>
            <w:tcW w:w="431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9" w:hanging="5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基层医疗卫生机构“优质服务基层行"活动开展评价机构数比例</w:t>
            </w:r>
          </w:p>
        </w:tc>
        <w:tc>
          <w:tcPr>
            <w:tcW w:w="2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64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≥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95％</w:t>
            </w:r>
          </w:p>
        </w:tc>
      </w:tr>
      <w:tr>
        <w:trPr>
          <w:trHeight w:val="79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31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4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基层医疗卫生机构“优质服务基层行" 活动达到基本标准及以上的比例</w:t>
            </w:r>
          </w:p>
        </w:tc>
        <w:tc>
          <w:tcPr>
            <w:tcW w:w="2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202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较上年度有提高</w:t>
            </w:r>
          </w:p>
        </w:tc>
      </w:tr>
      <w:tr>
        <w:trPr>
          <w:trHeight w:val="80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87" w:right="8" w:firstLine="5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效益</w:t>
            </w:r>
          </w:p>
          <w:p>
            <w:pPr>
              <w:spacing w:after="0"/>
              <w:ind w:left="187" w:right="8" w:firstLine="5"/>
              <w:jc w:val="both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指标</w:t>
            </w:r>
          </w:p>
        </w:tc>
        <w:tc>
          <w:tcPr>
            <w:tcW w:w="18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79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社会效益指标</w:t>
            </w:r>
          </w:p>
        </w:tc>
        <w:tc>
          <w:tcPr>
            <w:tcW w:w="431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9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乡村医生收入</w:t>
            </w:r>
          </w:p>
        </w:tc>
        <w:tc>
          <w:tcPr>
            <w:tcW w:w="2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保持稳定</w:t>
            </w:r>
          </w:p>
        </w:tc>
      </w:tr>
      <w:tr>
        <w:trPr>
          <w:trHeight w:val="801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9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可持续影响指标</w:t>
            </w:r>
          </w:p>
        </w:tc>
        <w:tc>
          <w:tcPr>
            <w:tcW w:w="431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5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基本药物制度在基层持续实施</w:t>
            </w:r>
          </w:p>
        </w:tc>
        <w:tc>
          <w:tcPr>
            <w:tcW w:w="2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6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中长期</w:t>
            </w:r>
          </w:p>
        </w:tc>
      </w:tr>
      <w:tr>
        <w:trPr>
          <w:trHeight w:val="90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31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19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医共体建设符合“紧密型"“促分工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”“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同质化" 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“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控费用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”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“保健康"发展方向</w:t>
            </w:r>
          </w:p>
        </w:tc>
        <w:tc>
          <w:tcPr>
            <w:tcW w:w="2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稳步发展</w:t>
            </w:r>
          </w:p>
        </w:tc>
      </w:tr>
      <w:tr>
        <w:trPr>
          <w:trHeight w:val="567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183" w:hanging="12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满意度</w:t>
            </w:r>
          </w:p>
          <w:p>
            <w:pPr>
              <w:spacing w:after="0"/>
              <w:ind w:left="183" w:hanging="125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指标</w:t>
            </w:r>
          </w:p>
        </w:tc>
        <w:tc>
          <w:tcPr>
            <w:tcW w:w="18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right="188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服务对象满意度指标</w:t>
            </w:r>
          </w:p>
        </w:tc>
        <w:tc>
          <w:tcPr>
            <w:tcW w:w="431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基层医疗卫生机构满意度</w:t>
            </w:r>
          </w:p>
        </w:tc>
        <w:tc>
          <w:tcPr>
            <w:tcW w:w="2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25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≥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80％</w:t>
            </w:r>
          </w:p>
        </w:tc>
      </w:tr>
    </w:tbl>
    <w:p/>
    <w:sectPr>
      <w:pgSz w:w="11904" w:h="16834"/>
      <w:pgMar w:top="670" w:right="1013" w:bottom="286" w:left="52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9C"/>
    <w:rsid w:val="0001506F"/>
    <w:rsid w:val="006E5619"/>
    <w:rsid w:val="00C60887"/>
    <w:rsid w:val="00E1109C"/>
    <w:rsid w:val="DD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next w:val="1"/>
    <w:link w:val="9"/>
    <w:qFormat/>
    <w:uiPriority w:val="9"/>
    <w:pPr>
      <w:keepNext/>
      <w:keepLines/>
      <w:spacing w:after="0" w:line="259" w:lineRule="auto"/>
      <w:ind w:left="1263" w:hanging="10"/>
      <w:outlineLvl w:val="0"/>
    </w:pPr>
    <w:rPr>
      <w:rFonts w:ascii="微软雅黑" w:hAnsi="微软雅黑" w:eastAsia="微软雅黑" w:cs="微软雅黑"/>
      <w:color w:val="000000"/>
      <w:kern w:val="2"/>
      <w:sz w:val="80"/>
      <w:szCs w:val="24"/>
      <w:lang w:val="en-US" w:eastAsia="zh-CN" w:bidi="ar-SA"/>
      <w14:ligatures w14:val="standardContextual"/>
    </w:rPr>
  </w:style>
  <w:style w:type="paragraph" w:styleId="3">
    <w:name w:val="heading 2"/>
    <w:next w:val="1"/>
    <w:link w:val="8"/>
    <w:unhideWhenUsed/>
    <w:qFormat/>
    <w:uiPriority w:val="9"/>
    <w:pPr>
      <w:keepNext/>
      <w:keepLines/>
      <w:spacing w:after="545" w:line="216" w:lineRule="auto"/>
      <w:ind w:left="718" w:right="660"/>
      <w:jc w:val="center"/>
      <w:outlineLvl w:val="1"/>
    </w:pPr>
    <w:rPr>
      <w:rFonts w:ascii="微软雅黑" w:hAnsi="微软雅黑" w:eastAsia="微软雅黑" w:cs="微软雅黑"/>
      <w:color w:val="000000"/>
      <w:kern w:val="2"/>
      <w:sz w:val="46"/>
      <w:szCs w:val="24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标题 2 字符"/>
    <w:link w:val="3"/>
    <w:qFormat/>
    <w:uiPriority w:val="0"/>
    <w:rPr>
      <w:rFonts w:ascii="微软雅黑" w:hAnsi="微软雅黑" w:eastAsia="微软雅黑" w:cs="微软雅黑"/>
      <w:color w:val="000000"/>
      <w:sz w:val="46"/>
    </w:rPr>
  </w:style>
  <w:style w:type="character" w:customStyle="1" w:styleId="9">
    <w:name w:val="标题 1 字符"/>
    <w:link w:val="2"/>
    <w:qFormat/>
    <w:uiPriority w:val="0"/>
    <w:rPr>
      <w:rFonts w:ascii="微软雅黑" w:hAnsi="微软雅黑" w:eastAsia="微软雅黑" w:cs="微软雅黑"/>
      <w:color w:val="000000"/>
      <w:sz w:val="80"/>
    </w:rPr>
  </w:style>
  <w:style w:type="table" w:customStyle="1" w:styleId="10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眉 字符"/>
    <w:basedOn w:val="7"/>
    <w:link w:val="5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rFonts w:ascii="Calibri" w:hAnsi="Calibri" w:eastAsia="Calibri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477</Characters>
  <Lines>3</Lines>
  <Paragraphs>1</Paragraphs>
  <TotalTime>2</TotalTime>
  <ScaleCrop>false</ScaleCrop>
  <LinksUpToDate>false</LinksUpToDate>
  <CharactersWithSpaces>559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2024-06-13T10:36:00Z</dcterms:created>
  <dc:creator>珊珊 龙</dc:creator>
  <cp:lastModifiedBy>greatwall</cp:lastModifiedBy>
  <dcterms:modified xsi:type="dcterms:W3CDTF">2024-06-13T15:10:21Z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143348C4FBFB6EF55D9B6A66008C95D7</vt:lpwstr>
  </property>
</Properties>
</file>