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ascii="Times New Roman" w:hAnsi="Times New Roman" w:cs="Times New Roman"/>
          <w:sz w:val="56"/>
          <w:szCs w:val="56"/>
          <w:lang w:val="en-US" w:eastAsia="zh-CN"/>
        </w:rPr>
      </w:pPr>
      <w:r>
        <w:rPr>
          <w:rFonts w:hint="eastAsia" w:ascii="Times New Roman" w:hAnsi="Times New Roman" w:cs="Times New Roman"/>
          <w:sz w:val="56"/>
          <w:szCs w:val="56"/>
          <w:lang w:val="en-US" w:eastAsia="zh-CN"/>
        </w:rPr>
        <w:t xml:space="preserve">  </w:t>
      </w:r>
    </w:p>
    <w:p>
      <w:pPr>
        <w:pStyle w:val="12"/>
        <w:jc w:val="center"/>
        <w:rPr>
          <w:rFonts w:hint="eastAsia" w:ascii="Times New Roman" w:hAnsi="Times New Roman" w:cs="Times New Roman"/>
          <w:sz w:val="56"/>
          <w:szCs w:val="56"/>
          <w:lang w:val="en-US" w:eastAsia="zh-CN"/>
        </w:rPr>
      </w:pPr>
    </w:p>
    <w:p>
      <w:pPr>
        <w:pStyle w:val="12"/>
        <w:jc w:val="center"/>
        <w:rPr>
          <w:rFonts w:ascii="Times New Roman" w:hAnsi="Times New Roman" w:cs="Times New Roman"/>
          <w:sz w:val="84"/>
          <w:szCs w:val="84"/>
        </w:rPr>
      </w:pPr>
    </w:p>
    <w:p>
      <w:pPr>
        <w:pStyle w:val="12"/>
        <w:jc w:val="center"/>
        <w:rPr>
          <w:rFonts w:ascii="Times New Roman" w:hAnsi="Times New Roman" w:cs="Times New Roman"/>
          <w:sz w:val="84"/>
          <w:szCs w:val="84"/>
        </w:rPr>
      </w:pPr>
    </w:p>
    <w:p>
      <w:pPr>
        <w:pStyle w:val="12"/>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2"/>
        <w:jc w:val="center"/>
        <w:rPr>
          <w:rFonts w:hint="eastAsia"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中共湖南省纪律检查委员会</w:t>
      </w:r>
    </w:p>
    <w:p>
      <w:pPr>
        <w:pStyle w:val="12"/>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湖南省监察委员会</w:t>
      </w:r>
      <w:r>
        <w:rPr>
          <w:rFonts w:ascii="Times New Roman" w:hAnsi="Times New Roman" w:eastAsia="方正小标宋简体" w:cs="Times New Roman"/>
          <w:sz w:val="72"/>
          <w:szCs w:val="72"/>
        </w:rPr>
        <w:t>部门决算</w:t>
      </w:r>
    </w:p>
    <w:p>
      <w:pPr>
        <w:pStyle w:val="12"/>
        <w:jc w:val="center"/>
        <w:rPr>
          <w:rFonts w:ascii="Times New Roman" w:hAnsi="Times New Roman" w:eastAsia="方正小标宋_GBK" w:cs="Times New Roman"/>
          <w:sz w:val="56"/>
          <w:szCs w:val="56"/>
        </w:rPr>
      </w:pPr>
    </w:p>
    <w:p>
      <w:pPr>
        <w:pStyle w:val="12"/>
        <w:jc w:val="center"/>
        <w:rPr>
          <w:rFonts w:ascii="Times New Roman" w:hAnsi="Times New Roman" w:cs="Times New Roman"/>
          <w:sz w:val="56"/>
          <w:szCs w:val="56"/>
        </w:rPr>
      </w:pPr>
    </w:p>
    <w:p>
      <w:pPr>
        <w:pStyle w:val="12"/>
        <w:rPr>
          <w:rFonts w:ascii="Times New Roman" w:hAnsi="Times New Roman" w:cs="Times New Roman"/>
          <w:sz w:val="56"/>
          <w:szCs w:val="56"/>
        </w:rPr>
      </w:pPr>
    </w:p>
    <w:p>
      <w:pPr>
        <w:pStyle w:val="12"/>
        <w:jc w:val="center"/>
        <w:rPr>
          <w:rFonts w:ascii="Times New Roman" w:hAnsi="Times New Roman" w:cs="Times New Roman"/>
          <w:sz w:val="32"/>
          <w:szCs w:val="32"/>
        </w:rPr>
      </w:pPr>
    </w:p>
    <w:p>
      <w:pPr>
        <w:pStyle w:val="12"/>
        <w:jc w:val="center"/>
        <w:rPr>
          <w:rFonts w:ascii="Times New Roman" w:hAnsi="Times New Roman" w:cs="Times New Roman"/>
          <w:sz w:val="32"/>
          <w:szCs w:val="32"/>
        </w:rPr>
      </w:pPr>
    </w:p>
    <w:p>
      <w:pPr>
        <w:pStyle w:val="12"/>
        <w:jc w:val="center"/>
        <w:rPr>
          <w:rFonts w:ascii="Times New Roman" w:hAnsi="Times New Roman" w:cs="Times New Roman"/>
          <w:sz w:val="32"/>
          <w:szCs w:val="32"/>
        </w:rPr>
      </w:pPr>
    </w:p>
    <w:p>
      <w:pPr>
        <w:pStyle w:val="12"/>
        <w:jc w:val="center"/>
        <w:rPr>
          <w:rFonts w:ascii="Times New Roman" w:hAnsi="Times New Roman" w:cs="Times New Roman"/>
          <w:sz w:val="32"/>
          <w:szCs w:val="32"/>
        </w:rPr>
      </w:pPr>
    </w:p>
    <w:p>
      <w:pPr>
        <w:pStyle w:val="12"/>
        <w:jc w:val="center"/>
        <w:rPr>
          <w:rFonts w:ascii="Times New Roman" w:hAnsi="Times New Roman" w:cs="Times New Roman"/>
          <w:sz w:val="32"/>
          <w:szCs w:val="32"/>
        </w:rPr>
      </w:pPr>
    </w:p>
    <w:p>
      <w:pPr>
        <w:pStyle w:val="12"/>
        <w:jc w:val="center"/>
        <w:rPr>
          <w:rFonts w:ascii="Times New Roman" w:hAnsi="Times New Roman" w:cs="Times New Roman"/>
          <w:sz w:val="32"/>
          <w:szCs w:val="32"/>
        </w:rPr>
      </w:pPr>
    </w:p>
    <w:p>
      <w:pPr>
        <w:pStyle w:val="12"/>
        <w:spacing w:line="540" w:lineRule="exact"/>
        <w:jc w:val="center"/>
        <w:rPr>
          <w:rFonts w:ascii="Times New Roman" w:hAnsi="Times New Roman" w:cs="Times New Roman"/>
          <w:sz w:val="56"/>
          <w:szCs w:val="56"/>
        </w:rPr>
      </w:pPr>
    </w:p>
    <w:p>
      <w:pPr>
        <w:pStyle w:val="12"/>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pPr>
        <w:pStyle w:val="12"/>
        <w:spacing w:line="600" w:lineRule="exact"/>
        <w:jc w:val="both"/>
        <w:rPr>
          <w:rFonts w:ascii="Times New Roman" w:hAnsi="Times New Roman" w:cs="Times New Roman"/>
          <w:b/>
          <w:sz w:val="36"/>
          <w:szCs w:val="28"/>
        </w:rPr>
      </w:pPr>
    </w:p>
    <w:p>
      <w:pPr>
        <w:pStyle w:val="12"/>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2"/>
        <w:spacing w:line="600" w:lineRule="exact"/>
        <w:jc w:val="center"/>
        <w:rPr>
          <w:rFonts w:ascii="Times New Roman" w:hAnsi="Times New Roman" w:cs="Times New Roman"/>
          <w:b/>
          <w:sz w:val="36"/>
          <w:szCs w:val="28"/>
        </w:rPr>
      </w:pPr>
    </w:p>
    <w:p>
      <w:pPr>
        <w:pStyle w:val="12"/>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rPr>
        <w:t>中共湖南省纪律检查委员会湖南省监察委员会</w:t>
      </w:r>
      <w:r>
        <w:rPr>
          <w:rFonts w:ascii="Times New Roman" w:hAnsi="Times New Roman" w:cs="Times New Roman"/>
          <w:bCs/>
          <w:sz w:val="32"/>
          <w:szCs w:val="32"/>
        </w:rPr>
        <w:t>概况</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bookmarkStart w:id="3" w:name="_GoBack"/>
      <w:bookmarkEnd w:id="3"/>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2"/>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2"/>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中共湖南省纪律检查委员会湖南省监察委员会</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3"/>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根据《中共湖南省纪律检查委员会、湖南省监察委员会机关内设机构和人员编制方案》，省纪委与省监委合署办公，履行党的纪律检查和国家监察两项职责，主要负责全省党的纪律检查工作；依照党的章程和其他党内法规履行监督、执纪、问责职责；在省委领导下组织开展巡视工作；负责全省监察工作；依照法律规定履行监督、调查、处置职责；负责协调落实中央纪委国家监委交办的反腐败国际交流合作、追逃追赃等相关工作。</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rPr>
        <w:t>省纪委监委机关设立办公厅、组织部、宣传部、政策法规室、党风政风监督室、信访室、案件监督管理室、第一至第九监督检查室、第十至第十六审查调查室、案件审理室、纪检监察干部监督室、调查技术保障室、机关党委、离退休人员管理服务处。此外，设有传媒与教育中心、机关案件管理中心、信访举报中心等直属单位。</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Times New Roman"/>
          <w:bCs/>
          <w:kern w:val="0"/>
          <w:sz w:val="32"/>
          <w:szCs w:val="32"/>
        </w:rPr>
        <w:t>省纪委监委</w:t>
      </w:r>
      <w:r>
        <w:rPr>
          <w:rFonts w:ascii="Times New Roman" w:hAnsi="Times New Roman" w:eastAsia="仿宋_GB2312" w:cs="Times New Roman"/>
          <w:bCs/>
          <w:kern w:val="0"/>
          <w:sz w:val="32"/>
          <w:szCs w:val="32"/>
        </w:rPr>
        <w:t>2024年部门决算汇总公开单位构成</w:t>
      </w:r>
      <w:r>
        <w:rPr>
          <w:rFonts w:hint="eastAsia" w:ascii="Times New Roman" w:hAnsi="Times New Roman" w:eastAsia="仿宋_GB2312" w:cs="Times New Roman"/>
          <w:bCs/>
          <w:kern w:val="0"/>
          <w:sz w:val="32"/>
          <w:szCs w:val="32"/>
        </w:rPr>
        <w:t>只有委机关本级，无其他独立预算的二级单位。</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left="0" w:leftChars="0" w:right="0" w:rightChars="0" w:firstLine="0" w:firstLineChars="0"/>
        <w:jc w:val="center"/>
        <w:textAlignment w:val="auto"/>
        <w:outlineLvl w:val="9"/>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0" w:firstLineChars="0"/>
        <w:jc w:val="center"/>
        <w:textAlignment w:val="center"/>
        <w:outlineLvl w:val="9"/>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9"/>
        <w:tblW w:w="14896" w:type="dxa"/>
        <w:jc w:val="center"/>
        <w:tblInd w:w="0" w:type="dxa"/>
        <w:tblLayout w:type="fixed"/>
        <w:tblCellMar>
          <w:top w:w="0" w:type="dxa"/>
          <w:left w:w="108" w:type="dxa"/>
          <w:bottom w:w="0" w:type="dxa"/>
          <w:right w:w="108" w:type="dxa"/>
        </w:tblCellMar>
      </w:tblPr>
      <w:tblGrid>
        <w:gridCol w:w="5763"/>
        <w:gridCol w:w="850"/>
        <w:gridCol w:w="1291"/>
        <w:gridCol w:w="4851"/>
        <w:gridCol w:w="850"/>
        <w:gridCol w:w="1291"/>
      </w:tblGrid>
      <w:tr>
        <w:tblPrEx>
          <w:tblLayout w:type="fixed"/>
          <w:tblCellMar>
            <w:top w:w="0" w:type="dxa"/>
            <w:left w:w="108" w:type="dxa"/>
            <w:bottom w:w="0" w:type="dxa"/>
            <w:right w:w="108" w:type="dxa"/>
          </w:tblCellMar>
        </w:tblPrEx>
        <w:trPr>
          <w:trHeight w:val="340" w:hRule="exact"/>
          <w:jc w:val="center"/>
        </w:trPr>
        <w:tc>
          <w:tcPr>
            <w:tcW w:w="790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收入</w:t>
            </w:r>
          </w:p>
        </w:tc>
        <w:tc>
          <w:tcPr>
            <w:tcW w:w="6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支出</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hAnsi="Times New Roman" w:eastAsia="仿宋_GB2312" w:cs="Times New Roman"/>
                <w:color w:val="000000"/>
                <w:sz w:val="24"/>
                <w:szCs w:val="24"/>
              </w:rPr>
            </w:pP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hAnsi="Times New Roman" w:eastAsia="仿宋_GB2312" w:cs="Times New Roman"/>
                <w:color w:val="000000"/>
                <w:sz w:val="24"/>
                <w:szCs w:val="24"/>
              </w:rPr>
            </w:pP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22</w:t>
            </w:r>
            <w:r>
              <w:rPr>
                <w:rFonts w:hint="eastAsia" w:ascii="Times New Roman" w:hAnsi="Times New Roman" w:eastAsia="仿宋_GB2312" w:cs="Times New Roman"/>
                <w:color w:val="000000"/>
                <w:sz w:val="22"/>
                <w:lang w:val="en-US" w:eastAsia="zh-CN"/>
              </w:rPr>
              <w:t>,</w:t>
            </w:r>
            <w:r>
              <w:rPr>
                <w:rFonts w:hint="eastAsia" w:ascii="Times New Roman" w:hAnsi="Times New Roman" w:eastAsia="仿宋_GB2312" w:cs="Times New Roman"/>
                <w:color w:val="000000"/>
                <w:sz w:val="22"/>
              </w:rPr>
              <w:t>896.48</w:t>
            </w: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一、一般公共服务支出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14</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20,564.35</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二、政府性基金预算财政拨款收入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二、外交支出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15</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三、国有资本经营预算财政拨款收入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16</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四、上级补助收入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四、公共安全支出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17</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五、事业收入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五、教育支出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18</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六、经营收入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六、科学技术支出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19</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七、附属单位上缴收入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七、文化旅游体育与传媒支出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20</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八、其他收入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八、社会保障和就业支出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21</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2"/>
              </w:rPr>
              <w:t>九、卫生健康支出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22</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imes New Roman" w:hAnsi="Times New Roman" w:eastAsia="仿宋_GB2312" w:cs="Times New Roman"/>
                <w:color w:val="000000"/>
                <w:sz w:val="22"/>
              </w:rPr>
            </w:pPr>
            <w:r>
              <w:rPr>
                <w:rFonts w:hint="eastAsia" w:ascii="Times New Roman" w:hAnsi="Times New Roman" w:eastAsia="仿宋_GB2312" w:cs="Times New Roman"/>
                <w:color w:val="000000"/>
                <w:sz w:val="22"/>
              </w:rPr>
              <w:t>十、节能环保支出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23</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b/>
                <w:color w:val="000000"/>
                <w:sz w:val="22"/>
                <w:lang w:val="en-US" w:eastAsia="zh-CN"/>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imes New Roman" w:hAnsi="Times New Roman" w:eastAsia="仿宋_GB2312" w:cs="Times New Roman"/>
                <w:color w:val="000000"/>
                <w:sz w:val="22"/>
              </w:rPr>
            </w:pPr>
            <w:r>
              <w:rPr>
                <w:rFonts w:hint="eastAsia" w:ascii="Times New Roman" w:hAnsi="Times New Roman" w:eastAsia="仿宋_GB2312" w:cs="Times New Roman"/>
                <w:color w:val="000000"/>
                <w:sz w:val="22"/>
              </w:rPr>
              <w:t>十</w:t>
            </w:r>
            <w:r>
              <w:rPr>
                <w:rFonts w:hint="eastAsia" w:ascii="Times New Roman" w:hAnsi="Times New Roman" w:eastAsia="仿宋_GB2312" w:cs="Times New Roman"/>
                <w:color w:val="000000"/>
                <w:sz w:val="22"/>
                <w:lang w:eastAsia="zh-CN"/>
              </w:rPr>
              <w:t>一</w:t>
            </w:r>
            <w:r>
              <w:rPr>
                <w:rFonts w:hint="eastAsia" w:ascii="Times New Roman" w:hAnsi="Times New Roman" w:eastAsia="仿宋_GB2312" w:cs="Times New Roman"/>
                <w:color w:val="000000"/>
                <w:sz w:val="22"/>
              </w:rPr>
              <w:t>、住房保障支出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24</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b/>
                <w:color w:val="000000"/>
                <w:sz w:val="22"/>
              </w:rPr>
            </w:pPr>
            <w:r>
              <w:rPr>
                <w:rFonts w:hint="eastAsia" w:ascii="Times New Roman" w:hAnsi="Times New Roman" w:eastAsia="仿宋_GB2312" w:cs="Times New Roman"/>
                <w:color w:val="000000"/>
                <w:sz w:val="22"/>
                <w:lang w:val="en-US" w:eastAsia="zh-CN"/>
              </w:rPr>
              <w:t>648.00</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imes New Roman" w:hAnsi="Times New Roman" w:eastAsia="仿宋_GB2312" w:cs="Times New Roman"/>
                <w:color w:val="000000"/>
                <w:sz w:val="22"/>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b/>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本年收入合计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22</w:t>
            </w:r>
            <w:r>
              <w:rPr>
                <w:rFonts w:hint="eastAsia" w:ascii="Times New Roman" w:hAnsi="Times New Roman" w:eastAsia="仿宋_GB2312" w:cs="Times New Roman"/>
                <w:color w:val="000000"/>
                <w:sz w:val="22"/>
                <w:lang w:val="en-US" w:eastAsia="zh-CN"/>
              </w:rPr>
              <w:t>,</w:t>
            </w:r>
            <w:r>
              <w:rPr>
                <w:rFonts w:hint="eastAsia" w:ascii="Times New Roman" w:hAnsi="Times New Roman" w:eastAsia="仿宋_GB2312" w:cs="Times New Roman"/>
                <w:color w:val="000000"/>
                <w:sz w:val="22"/>
              </w:rPr>
              <w:t>896.48</w:t>
            </w: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本年支出合计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r>
              <w:rPr>
                <w:rFonts w:hint="eastAsia" w:ascii="Times New Roman" w:hAnsi="Times New Roman" w:eastAsia="仿宋_GB2312" w:cs="Times New Roman"/>
                <w:color w:val="000000"/>
                <w:kern w:val="0"/>
                <w:sz w:val="22"/>
                <w:lang w:val="en-US" w:eastAsia="zh-CN"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23</w:t>
            </w:r>
            <w:r>
              <w:rPr>
                <w:rFonts w:hint="eastAsia" w:ascii="Times New Roman" w:hAnsi="Times New Roman" w:eastAsia="仿宋_GB2312" w:cs="Times New Roman"/>
                <w:color w:val="000000"/>
                <w:sz w:val="22"/>
                <w:lang w:val="en-US" w:eastAsia="zh-CN"/>
              </w:rPr>
              <w:t>,</w:t>
            </w:r>
            <w:r>
              <w:rPr>
                <w:rFonts w:hint="eastAsia" w:ascii="Times New Roman" w:hAnsi="Times New Roman" w:eastAsia="仿宋_GB2312" w:cs="Times New Roman"/>
                <w:color w:val="000000"/>
                <w:sz w:val="22"/>
              </w:rPr>
              <w:t>449.46</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使用非财政拨款结余（含专用结余）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结余分配</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r>
              <w:rPr>
                <w:rFonts w:hint="eastAsia" w:ascii="Times New Roman" w:hAnsi="Times New Roman" w:eastAsia="仿宋_GB2312" w:cs="Times New Roman"/>
                <w:color w:val="000000"/>
                <w:kern w:val="0"/>
                <w:sz w:val="22"/>
                <w:lang w:val="en-US" w:eastAsia="zh-CN"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年初结转和结余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4,509.82</w:t>
            </w:r>
          </w:p>
        </w:tc>
        <w:tc>
          <w:tcPr>
            <w:tcW w:w="4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年末结转和结余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r>
              <w:rPr>
                <w:rFonts w:hint="eastAsia" w:ascii="Times New Roman" w:hAnsi="Times New Roman" w:eastAsia="仿宋_GB2312" w:cs="Times New Roman"/>
                <w:color w:val="000000"/>
                <w:kern w:val="0"/>
                <w:sz w:val="22"/>
                <w:lang w:val="en-US" w:eastAsia="zh-CN"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3,956.84</w:t>
            </w:r>
          </w:p>
        </w:tc>
      </w:tr>
      <w:tr>
        <w:tblPrEx>
          <w:tblLayout w:type="fixed"/>
          <w:tblCellMar>
            <w:top w:w="0" w:type="dxa"/>
            <w:left w:w="108" w:type="dxa"/>
            <w:bottom w:w="0" w:type="dxa"/>
            <w:right w:w="108" w:type="dxa"/>
          </w:tblCellMar>
        </w:tblPrEx>
        <w:trPr>
          <w:trHeight w:val="340" w:hRule="exact"/>
          <w:jc w:val="center"/>
        </w:trPr>
        <w:tc>
          <w:tcPr>
            <w:tcW w:w="57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13</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27,406.29</w:t>
            </w:r>
          </w:p>
        </w:tc>
        <w:tc>
          <w:tcPr>
            <w:tcW w:w="48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r>
              <w:rPr>
                <w:rFonts w:hint="eastAsia" w:ascii="Times New Roman" w:hAnsi="Times New Roman" w:eastAsia="仿宋_GB2312" w:cs="Times New Roman"/>
                <w:color w:val="000000"/>
                <w:kern w:val="0"/>
                <w:sz w:val="22"/>
                <w:lang w:val="en-US" w:eastAsia="zh-CN"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27,406.29</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color w:val="000000"/>
          <w:sz w:val="20"/>
          <w:szCs w:val="20"/>
        </w:rPr>
        <w:t>单位：万元</w:t>
      </w:r>
    </w:p>
    <w:tbl>
      <w:tblPr>
        <w:tblStyle w:val="9"/>
        <w:tblW w:w="14666" w:type="dxa"/>
        <w:jc w:val="center"/>
        <w:tblInd w:w="0" w:type="dxa"/>
        <w:tblLayout w:type="fixed"/>
        <w:tblCellMar>
          <w:top w:w="0" w:type="dxa"/>
          <w:left w:w="0" w:type="dxa"/>
          <w:bottom w:w="0" w:type="dxa"/>
          <w:right w:w="0" w:type="dxa"/>
        </w:tblCellMar>
      </w:tblPr>
      <w:tblGrid>
        <w:gridCol w:w="1258"/>
        <w:gridCol w:w="3645"/>
        <w:gridCol w:w="1995"/>
        <w:gridCol w:w="1800"/>
        <w:gridCol w:w="1455"/>
        <w:gridCol w:w="1110"/>
        <w:gridCol w:w="1155"/>
        <w:gridCol w:w="1140"/>
        <w:gridCol w:w="1108"/>
      </w:tblGrid>
      <w:tr>
        <w:tblPrEx>
          <w:tblLayout w:type="fixed"/>
          <w:tblCellMar>
            <w:top w:w="0" w:type="dxa"/>
            <w:left w:w="0" w:type="dxa"/>
            <w:bottom w:w="0" w:type="dxa"/>
            <w:right w:w="0" w:type="dxa"/>
          </w:tblCellMar>
        </w:tblPrEx>
        <w:trPr>
          <w:trHeight w:val="440" w:hRule="atLeast"/>
          <w:jc w:val="center"/>
        </w:trPr>
        <w:tc>
          <w:tcPr>
            <w:tcW w:w="4903"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99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4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11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1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11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10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tblPrEx>
          <w:tblLayout w:type="fixed"/>
          <w:tblCellMar>
            <w:top w:w="0" w:type="dxa"/>
            <w:left w:w="0" w:type="dxa"/>
            <w:bottom w:w="0" w:type="dxa"/>
            <w:right w:w="0" w:type="dxa"/>
          </w:tblCellMar>
        </w:tblPrEx>
        <w:trPr>
          <w:trHeight w:val="334" w:hRule="exact"/>
          <w:jc w:val="center"/>
        </w:trPr>
        <w:tc>
          <w:tcPr>
            <w:tcW w:w="125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3645"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99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45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1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Layout w:type="fixed"/>
          <w:tblCellMar>
            <w:top w:w="0" w:type="dxa"/>
            <w:left w:w="0" w:type="dxa"/>
            <w:bottom w:w="0" w:type="dxa"/>
            <w:right w:w="0" w:type="dxa"/>
          </w:tblCellMar>
        </w:tblPrEx>
        <w:trPr>
          <w:trHeight w:val="312" w:hRule="atLeast"/>
          <w:jc w:val="center"/>
        </w:trPr>
        <w:tc>
          <w:tcPr>
            <w:tcW w:w="1258"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3645" w:type="dxa"/>
            <w:vMerge w:val="continue"/>
            <w:tcBorders>
              <w:top w:val="nil"/>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99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45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1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Layout w:type="fixed"/>
          <w:tblCellMar>
            <w:top w:w="0" w:type="dxa"/>
            <w:left w:w="0" w:type="dxa"/>
            <w:bottom w:w="0" w:type="dxa"/>
            <w:right w:w="0" w:type="dxa"/>
          </w:tblCellMar>
        </w:tblPrEx>
        <w:trPr>
          <w:trHeight w:val="315" w:hRule="atLeast"/>
          <w:jc w:val="center"/>
        </w:trPr>
        <w:tc>
          <w:tcPr>
            <w:tcW w:w="4903"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995"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800"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455"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110"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155"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1140"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108"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tblPrEx>
          <w:tblLayout w:type="fixed"/>
          <w:tblCellMar>
            <w:top w:w="0" w:type="dxa"/>
            <w:left w:w="0" w:type="dxa"/>
            <w:bottom w:w="0" w:type="dxa"/>
            <w:right w:w="0" w:type="dxa"/>
          </w:tblCellMar>
        </w:tblPrEx>
        <w:trPr>
          <w:trHeight w:val="450" w:hRule="atLeast"/>
          <w:jc w:val="center"/>
        </w:trPr>
        <w:tc>
          <w:tcPr>
            <w:tcW w:w="4903"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99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22,896.48</w:t>
            </w:r>
          </w:p>
        </w:tc>
        <w:tc>
          <w:tcPr>
            <w:tcW w:w="18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22,896.48</w:t>
            </w:r>
          </w:p>
        </w:tc>
        <w:tc>
          <w:tcPr>
            <w:tcW w:w="14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201</w:t>
            </w:r>
          </w:p>
        </w:tc>
        <w:tc>
          <w:tcPr>
            <w:tcW w:w="364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一般公共服务支出</w:t>
            </w:r>
          </w:p>
        </w:tc>
        <w:tc>
          <w:tcPr>
            <w:tcW w:w="199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19,923.47 </w:t>
            </w:r>
          </w:p>
        </w:tc>
        <w:tc>
          <w:tcPr>
            <w:tcW w:w="18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19,923.47 </w:t>
            </w:r>
          </w:p>
        </w:tc>
        <w:tc>
          <w:tcPr>
            <w:tcW w:w="14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20111</w:t>
            </w:r>
          </w:p>
        </w:tc>
        <w:tc>
          <w:tcPr>
            <w:tcW w:w="364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纪检监察事务</w:t>
            </w:r>
          </w:p>
        </w:tc>
        <w:tc>
          <w:tcPr>
            <w:tcW w:w="199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19,922.47 </w:t>
            </w:r>
          </w:p>
        </w:tc>
        <w:tc>
          <w:tcPr>
            <w:tcW w:w="18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19,922.47 </w:t>
            </w:r>
          </w:p>
        </w:tc>
        <w:tc>
          <w:tcPr>
            <w:tcW w:w="14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20136</w:t>
            </w:r>
          </w:p>
        </w:tc>
        <w:tc>
          <w:tcPr>
            <w:tcW w:w="364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其他共产党事务支出</w:t>
            </w:r>
          </w:p>
        </w:tc>
        <w:tc>
          <w:tcPr>
            <w:tcW w:w="199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 </w:t>
            </w:r>
          </w:p>
        </w:tc>
        <w:tc>
          <w:tcPr>
            <w:tcW w:w="18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 </w:t>
            </w:r>
          </w:p>
        </w:tc>
        <w:tc>
          <w:tcPr>
            <w:tcW w:w="14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2013602</w:t>
            </w:r>
          </w:p>
        </w:tc>
        <w:tc>
          <w:tcPr>
            <w:tcW w:w="364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一般行政管理事务</w:t>
            </w:r>
          </w:p>
        </w:tc>
        <w:tc>
          <w:tcPr>
            <w:tcW w:w="199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 </w:t>
            </w:r>
          </w:p>
        </w:tc>
        <w:tc>
          <w:tcPr>
            <w:tcW w:w="18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 </w:t>
            </w:r>
          </w:p>
        </w:tc>
        <w:tc>
          <w:tcPr>
            <w:tcW w:w="14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205</w:t>
            </w:r>
          </w:p>
        </w:tc>
        <w:tc>
          <w:tcPr>
            <w:tcW w:w="364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教育支出</w:t>
            </w:r>
          </w:p>
        </w:tc>
        <w:tc>
          <w:tcPr>
            <w:tcW w:w="1995"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220.00 </w:t>
            </w:r>
          </w:p>
        </w:tc>
        <w:tc>
          <w:tcPr>
            <w:tcW w:w="18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220.00 </w:t>
            </w:r>
          </w:p>
        </w:tc>
        <w:tc>
          <w:tcPr>
            <w:tcW w:w="14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20508</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进修及培训</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220.00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220.00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2050803</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培训支出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220.00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220.00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社会保障和就业支出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1,415.01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1,415.01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20805</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行政事业单位养老支出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1,254.38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1,254.38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2080501</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行政单位离退休</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594.38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594.38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2080505</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机关事业单位基本养老保险缴费支出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660.00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660.00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20808</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抚恤</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100.63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100.63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2080801</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死亡抚恤</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100.63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100.63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20899</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其他社会保障和就业支出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2089999</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其他社会保障和就业支出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卫生健康支出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690.00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690.00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行政事业单位医疗</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690.00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690.00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2101101</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行政单位医疗</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355.00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355.00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452" w:hRule="atLeast"/>
          <w:jc w:val="center"/>
        </w:trPr>
        <w:tc>
          <w:tcPr>
            <w:tcW w:w="4903"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Times New Roman" w:hAnsi="Times New Roman" w:eastAsia="仿宋_GB2312" w:cs="Times New Roman"/>
                <w:b/>
                <w:bCs/>
                <w:lang w:eastAsia="zh-CN"/>
              </w:rPr>
            </w:pPr>
            <w:r>
              <w:rPr>
                <w:rFonts w:hint="eastAsia" w:ascii="Times New Roman" w:hAnsi="Times New Roman" w:eastAsia="仿宋_GB2312" w:cs="Times New Roman"/>
                <w:b/>
                <w:bCs/>
                <w:lang w:eastAsia="zh-CN"/>
              </w:rPr>
              <w:t>项目</w:t>
            </w:r>
          </w:p>
        </w:tc>
        <w:tc>
          <w:tcPr>
            <w:tcW w:w="1995" w:type="dxa"/>
            <w:vMerge w:val="restart"/>
            <w:tcBorders>
              <w:top w:val="single" w:color="auto" w:sz="4" w:space="0"/>
              <w:left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本年收入合计</w:t>
            </w:r>
          </w:p>
        </w:tc>
        <w:tc>
          <w:tcPr>
            <w:tcW w:w="1800" w:type="dxa"/>
            <w:vMerge w:val="restart"/>
            <w:tcBorders>
              <w:top w:val="single" w:color="auto" w:sz="4" w:space="0"/>
              <w:left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财政拨款收入</w:t>
            </w:r>
          </w:p>
        </w:tc>
        <w:tc>
          <w:tcPr>
            <w:tcW w:w="1455" w:type="dxa"/>
            <w:vMerge w:val="restart"/>
            <w:tcBorders>
              <w:top w:val="single" w:color="auto" w:sz="4" w:space="0"/>
              <w:left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上级补助收入</w:t>
            </w:r>
          </w:p>
        </w:tc>
        <w:tc>
          <w:tcPr>
            <w:tcW w:w="1110" w:type="dxa"/>
            <w:vMerge w:val="restart"/>
            <w:tcBorders>
              <w:top w:val="single" w:color="auto" w:sz="4" w:space="0"/>
              <w:left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事业收入</w:t>
            </w:r>
          </w:p>
        </w:tc>
        <w:tc>
          <w:tcPr>
            <w:tcW w:w="1155" w:type="dxa"/>
            <w:vMerge w:val="restart"/>
            <w:tcBorders>
              <w:top w:val="single" w:color="auto" w:sz="4" w:space="0"/>
              <w:left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经营收入</w:t>
            </w:r>
          </w:p>
        </w:tc>
        <w:tc>
          <w:tcPr>
            <w:tcW w:w="1140" w:type="dxa"/>
            <w:vMerge w:val="restart"/>
            <w:tcBorders>
              <w:top w:val="single" w:color="auto" w:sz="4" w:space="0"/>
              <w:left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附属单位上缴收入</w:t>
            </w:r>
          </w:p>
        </w:tc>
        <w:tc>
          <w:tcPr>
            <w:tcW w:w="1108" w:type="dxa"/>
            <w:vMerge w:val="restart"/>
            <w:tcBorders>
              <w:top w:val="single" w:color="auto" w:sz="4" w:space="0"/>
              <w:left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rPr>
            </w:pPr>
            <w:r>
              <w:rPr>
                <w:rFonts w:ascii="Times New Roman" w:hAnsi="Times New Roman" w:eastAsia="仿宋_GB2312" w:cs="Times New Roman"/>
                <w:b/>
                <w:bCs/>
              </w:rPr>
              <w:t>其他收入</w:t>
            </w: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i w:val="0"/>
                <w:color w:val="000000"/>
                <w:kern w:val="0"/>
                <w:sz w:val="22"/>
                <w:szCs w:val="22"/>
                <w:u w:val="none"/>
                <w:lang w:val="en-US" w:eastAsia="zh-CN" w:bidi="ar"/>
              </w:rPr>
            </w:pPr>
            <w:r>
              <w:rPr>
                <w:rFonts w:ascii="Times New Roman" w:hAnsi="Times New Roman" w:eastAsia="仿宋_GB2312" w:cs="Times New Roman"/>
                <w:b/>
                <w:bCs/>
              </w:rPr>
              <w:t>功能分类科目编码</w:t>
            </w:r>
          </w:p>
        </w:tc>
        <w:tc>
          <w:tcPr>
            <w:tcW w:w="364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i w:val="0"/>
                <w:color w:val="000000"/>
                <w:kern w:val="0"/>
                <w:sz w:val="22"/>
                <w:szCs w:val="22"/>
                <w:u w:val="none"/>
                <w:lang w:val="en-US" w:eastAsia="zh-CN" w:bidi="ar"/>
              </w:rPr>
            </w:pPr>
            <w:r>
              <w:rPr>
                <w:rFonts w:ascii="Times New Roman" w:hAnsi="Times New Roman" w:eastAsia="仿宋_GB2312" w:cs="Times New Roman"/>
                <w:b/>
                <w:bCs/>
              </w:rPr>
              <w:t>科目名称</w:t>
            </w:r>
          </w:p>
        </w:tc>
        <w:tc>
          <w:tcPr>
            <w:tcW w:w="1995"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800"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455"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vMerge w:val="continue"/>
            <w:tcBorders>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2101103</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公务员医疗补助</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335.00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335.00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住房保障支出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648.00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648.00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住房改革支出</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648.00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648.00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r>
        <w:tblPrEx>
          <w:tblLayout w:type="fixed"/>
          <w:tblCellMar>
            <w:top w:w="0" w:type="dxa"/>
            <w:left w:w="0" w:type="dxa"/>
            <w:bottom w:w="0" w:type="dxa"/>
            <w:right w:w="0" w:type="dxa"/>
          </w:tblCellMar>
        </w:tblPrEx>
        <w:trPr>
          <w:trHeight w:val="23" w:hRule="atLeast"/>
          <w:jc w:val="center"/>
        </w:trPr>
        <w:tc>
          <w:tcPr>
            <w:tcW w:w="125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2210201</w:t>
            </w:r>
          </w:p>
        </w:tc>
        <w:tc>
          <w:tcPr>
            <w:tcW w:w="364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住房公积金</w:t>
            </w:r>
          </w:p>
        </w:tc>
        <w:tc>
          <w:tcPr>
            <w:tcW w:w="199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648.00 </w:t>
            </w:r>
          </w:p>
        </w:tc>
        <w:tc>
          <w:tcPr>
            <w:tcW w:w="18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648.00 </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c>
          <w:tcPr>
            <w:tcW w:w="11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right"/>
              <w:rPr>
                <w:rFonts w:ascii="Times New Roman" w:hAnsi="Times New Roman" w:eastAsia="仿宋_GB2312" w:cs="Times New Roman"/>
              </w:rPr>
            </w:pP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color w:val="000000"/>
          <w:kern w:val="0"/>
          <w:sz w:val="32"/>
          <w:szCs w:val="32"/>
          <w:lang w:bidi="ar"/>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0" w:firstLineChars="0"/>
        <w:jc w:val="center"/>
        <w:textAlignment w:val="center"/>
        <w:outlineLvl w:val="9"/>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9"/>
        <w:tblW w:w="14214" w:type="dxa"/>
        <w:jc w:val="center"/>
        <w:tblInd w:w="0" w:type="dxa"/>
        <w:tblLayout w:type="fixed"/>
        <w:tblCellMar>
          <w:top w:w="0" w:type="dxa"/>
          <w:left w:w="108" w:type="dxa"/>
          <w:bottom w:w="0" w:type="dxa"/>
          <w:right w:w="108" w:type="dxa"/>
        </w:tblCellMar>
      </w:tblPr>
      <w:tblGrid>
        <w:gridCol w:w="1212"/>
        <w:gridCol w:w="3795"/>
        <w:gridCol w:w="2070"/>
        <w:gridCol w:w="1950"/>
        <w:gridCol w:w="1725"/>
        <w:gridCol w:w="1095"/>
        <w:gridCol w:w="1230"/>
        <w:gridCol w:w="1137"/>
      </w:tblGrid>
      <w:tr>
        <w:tblPrEx>
          <w:tblLayout w:type="fixed"/>
          <w:tblCellMar>
            <w:top w:w="0" w:type="dxa"/>
            <w:left w:w="108" w:type="dxa"/>
            <w:bottom w:w="0" w:type="dxa"/>
            <w:right w:w="108" w:type="dxa"/>
          </w:tblCellMar>
        </w:tblPrEx>
        <w:trPr>
          <w:trHeight w:val="450" w:hRule="atLeast"/>
          <w:jc w:val="center"/>
        </w:trPr>
        <w:tc>
          <w:tcPr>
            <w:tcW w:w="5007"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    目</w:t>
            </w:r>
          </w:p>
        </w:tc>
        <w:tc>
          <w:tcPr>
            <w:tcW w:w="207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本年支出合计</w:t>
            </w:r>
          </w:p>
        </w:tc>
        <w:tc>
          <w:tcPr>
            <w:tcW w:w="19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基本支出</w:t>
            </w:r>
          </w:p>
        </w:tc>
        <w:tc>
          <w:tcPr>
            <w:tcW w:w="17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项目支出</w:t>
            </w:r>
          </w:p>
        </w:tc>
        <w:tc>
          <w:tcPr>
            <w:tcW w:w="109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上缴上级支出</w:t>
            </w:r>
          </w:p>
        </w:tc>
        <w:tc>
          <w:tcPr>
            <w:tcW w:w="123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经营支出</w:t>
            </w:r>
          </w:p>
        </w:tc>
        <w:tc>
          <w:tcPr>
            <w:tcW w:w="113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对附属单位补助支出</w:t>
            </w:r>
          </w:p>
        </w:tc>
      </w:tr>
      <w:tr>
        <w:tblPrEx>
          <w:tblLayout w:type="fixed"/>
          <w:tblCellMar>
            <w:top w:w="0" w:type="dxa"/>
            <w:left w:w="108" w:type="dxa"/>
            <w:bottom w:w="0" w:type="dxa"/>
            <w:right w:w="108" w:type="dxa"/>
          </w:tblCellMar>
        </w:tblPrEx>
        <w:trPr>
          <w:trHeight w:val="312" w:hRule="exact"/>
          <w:jc w:val="center"/>
        </w:trPr>
        <w:tc>
          <w:tcPr>
            <w:tcW w:w="121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功能分类科目编码</w:t>
            </w:r>
          </w:p>
        </w:tc>
        <w:tc>
          <w:tcPr>
            <w:tcW w:w="379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科目名称</w:t>
            </w:r>
          </w:p>
        </w:tc>
        <w:tc>
          <w:tcPr>
            <w:tcW w:w="20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9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2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r>
      <w:tr>
        <w:tblPrEx>
          <w:tblLayout w:type="fixed"/>
          <w:tblCellMar>
            <w:top w:w="0" w:type="dxa"/>
            <w:left w:w="108" w:type="dxa"/>
            <w:bottom w:w="0" w:type="dxa"/>
            <w:right w:w="108" w:type="dxa"/>
          </w:tblCellMar>
        </w:tblPrEx>
        <w:trPr>
          <w:trHeight w:val="312" w:hRule="atLeast"/>
          <w:jc w:val="center"/>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3795"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20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9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2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55" w:hRule="atLeast"/>
          <w:jc w:val="center"/>
        </w:trPr>
        <w:tc>
          <w:tcPr>
            <w:tcW w:w="5007"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栏次</w:t>
            </w:r>
          </w:p>
        </w:tc>
        <w:tc>
          <w:tcPr>
            <w:tcW w:w="2070"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1950"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725"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095"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230"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1137"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r>
      <w:tr>
        <w:tblPrEx>
          <w:tblLayout w:type="fixed"/>
          <w:tblCellMar>
            <w:top w:w="0" w:type="dxa"/>
            <w:left w:w="108" w:type="dxa"/>
            <w:bottom w:w="0" w:type="dxa"/>
            <w:right w:w="108" w:type="dxa"/>
          </w:tblCellMar>
        </w:tblPrEx>
        <w:trPr>
          <w:trHeight w:val="415" w:hRule="atLeast"/>
          <w:jc w:val="center"/>
        </w:trPr>
        <w:tc>
          <w:tcPr>
            <w:tcW w:w="5007"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23,449.46</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10,370.68</w:t>
            </w: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13,078.78</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w:t>
            </w:r>
          </w:p>
        </w:tc>
        <w:tc>
          <w:tcPr>
            <w:tcW w:w="3795"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一般公共服务支出</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20,564.35</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7,623.20</w:t>
            </w: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12,941.15</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20111</w:t>
            </w:r>
          </w:p>
        </w:tc>
        <w:tc>
          <w:tcPr>
            <w:tcW w:w="3795"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纪检监察事务</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20,563.35</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7,623.20</w:t>
            </w: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12,940.15</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20136</w:t>
            </w:r>
          </w:p>
        </w:tc>
        <w:tc>
          <w:tcPr>
            <w:tcW w:w="3795"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其他共产党事务支出</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2013602</w:t>
            </w:r>
          </w:p>
        </w:tc>
        <w:tc>
          <w:tcPr>
            <w:tcW w:w="3795"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一般行政管理事务</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w:t>
            </w:r>
          </w:p>
        </w:tc>
        <w:tc>
          <w:tcPr>
            <w:tcW w:w="3795"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教育支出</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20508</w:t>
            </w:r>
          </w:p>
        </w:tc>
        <w:tc>
          <w:tcPr>
            <w:tcW w:w="3795"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进修及培训</w:t>
            </w:r>
          </w:p>
        </w:tc>
        <w:tc>
          <w:tcPr>
            <w:tcW w:w="207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95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72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09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3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2050803</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培训支出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社会保障和就业支出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行政事业单位养老支出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1,248.85</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1,248.85</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2080501</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行政单位离退休</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588.85</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588.85</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2080505</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机关事业单位基本养老保险缴费支出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660.00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660.00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20808</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抚恤</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2080801</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死亡抚恤</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20899</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其他社会保障和就业支出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2089999</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其他社会保障和就业支出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卫生健康支出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行政事业单位医疗</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2101101</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行政单位医疗</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355.00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355.00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525" w:hRule="atLeast"/>
          <w:jc w:val="center"/>
        </w:trPr>
        <w:tc>
          <w:tcPr>
            <w:tcW w:w="500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ascii="Times New Roman" w:hAnsi="Times New Roman" w:eastAsia="仿宋_GB2312" w:cs="Times New Roman"/>
                <w:b/>
                <w:bCs/>
                <w:kern w:val="0"/>
                <w:sz w:val="24"/>
                <w:szCs w:val="24"/>
              </w:rPr>
              <w:t>项    目</w:t>
            </w:r>
          </w:p>
        </w:tc>
        <w:tc>
          <w:tcPr>
            <w:tcW w:w="2070"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bCs/>
                <w:kern w:val="0"/>
                <w:sz w:val="24"/>
                <w:szCs w:val="24"/>
              </w:rPr>
              <w:t>本年支出合计</w:t>
            </w:r>
          </w:p>
        </w:tc>
        <w:tc>
          <w:tcPr>
            <w:tcW w:w="1950"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bCs/>
                <w:kern w:val="0"/>
                <w:sz w:val="24"/>
                <w:szCs w:val="24"/>
              </w:rPr>
              <w:t>基本支出</w:t>
            </w:r>
          </w:p>
        </w:tc>
        <w:tc>
          <w:tcPr>
            <w:tcW w:w="1725"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bCs/>
                <w:kern w:val="0"/>
                <w:sz w:val="24"/>
                <w:szCs w:val="24"/>
              </w:rPr>
              <w:t>项目支出</w:t>
            </w:r>
          </w:p>
        </w:tc>
        <w:tc>
          <w:tcPr>
            <w:tcW w:w="1095"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b/>
                <w:bCs/>
                <w:kern w:val="0"/>
                <w:sz w:val="24"/>
                <w:szCs w:val="24"/>
              </w:rPr>
              <w:t>上缴上级支出</w:t>
            </w:r>
          </w:p>
        </w:tc>
        <w:tc>
          <w:tcPr>
            <w:tcW w:w="1230"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b/>
                <w:bCs/>
                <w:kern w:val="0"/>
                <w:sz w:val="24"/>
                <w:szCs w:val="24"/>
              </w:rPr>
              <w:t>经营支出</w:t>
            </w:r>
          </w:p>
        </w:tc>
        <w:tc>
          <w:tcPr>
            <w:tcW w:w="1137"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b/>
                <w:bCs/>
                <w:kern w:val="0"/>
                <w:sz w:val="24"/>
                <w:szCs w:val="24"/>
              </w:rPr>
              <w:t>对附属单位补助支出</w:t>
            </w:r>
          </w:p>
        </w:tc>
      </w:tr>
      <w:tr>
        <w:tblPrEx>
          <w:tblLayout w:type="fixed"/>
          <w:tblCellMar>
            <w:top w:w="0" w:type="dxa"/>
            <w:left w:w="108" w:type="dxa"/>
            <w:bottom w:w="0" w:type="dxa"/>
            <w:right w:w="108" w:type="dxa"/>
          </w:tblCellMar>
        </w:tblPrEx>
        <w:trPr>
          <w:trHeight w:val="689" w:hRule="atLeast"/>
          <w:jc w:val="center"/>
        </w:trPr>
        <w:tc>
          <w:tcPr>
            <w:tcW w:w="1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Times New Roman" w:hAnsi="Times New Roman" w:eastAsia="仿宋_GB2312" w:cs="Times New Roman"/>
                <w:color w:val="000000"/>
                <w:kern w:val="0"/>
                <w:sz w:val="22"/>
                <w:lang w:val="en-US" w:eastAsia="zh-CN" w:bidi="ar"/>
              </w:rPr>
            </w:pPr>
            <w:r>
              <w:rPr>
                <w:rFonts w:ascii="Times New Roman" w:hAnsi="Times New Roman" w:eastAsia="仿宋_GB2312" w:cs="Times New Roman"/>
                <w:b/>
                <w:bCs/>
                <w:kern w:val="0"/>
                <w:sz w:val="24"/>
                <w:szCs w:val="24"/>
              </w:rPr>
              <w:t>功能分类科目编码</w:t>
            </w:r>
          </w:p>
        </w:tc>
        <w:tc>
          <w:tcPr>
            <w:tcW w:w="379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Times New Roman" w:hAnsi="Times New Roman" w:eastAsia="仿宋_GB2312" w:cs="Times New Roman"/>
                <w:color w:val="000000"/>
                <w:kern w:val="0"/>
                <w:sz w:val="22"/>
                <w:lang w:val="en-US" w:eastAsia="zh-CN" w:bidi="ar"/>
              </w:rPr>
            </w:pPr>
            <w:r>
              <w:rPr>
                <w:rFonts w:ascii="Times New Roman" w:hAnsi="Times New Roman" w:eastAsia="仿宋_GB2312" w:cs="Times New Roman"/>
                <w:b/>
                <w:bCs/>
                <w:kern w:val="0"/>
                <w:sz w:val="24"/>
                <w:szCs w:val="24"/>
              </w:rPr>
              <w:t>科目名称</w:t>
            </w:r>
          </w:p>
        </w:tc>
        <w:tc>
          <w:tcPr>
            <w:tcW w:w="2070" w:type="dxa"/>
            <w:vMerge w:val="continue"/>
            <w:tcBorders>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950" w:type="dxa"/>
            <w:vMerge w:val="continue"/>
            <w:tcBorders>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725" w:type="dxa"/>
            <w:vMerge w:val="continue"/>
            <w:tcBorders>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vMerge w:val="continue"/>
            <w:tcBorders>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vMerge w:val="continue"/>
            <w:tcBorders>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2101103</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公务员医疗补助</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335.00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335.00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住房保障支出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住房改革支出</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r>
        <w:tblPrEx>
          <w:tblLayout w:type="fixed"/>
          <w:tblCellMar>
            <w:top w:w="0" w:type="dxa"/>
            <w:left w:w="108" w:type="dxa"/>
            <w:bottom w:w="0" w:type="dxa"/>
            <w:right w:w="108" w:type="dxa"/>
          </w:tblCellMar>
        </w:tblPrEx>
        <w:trPr>
          <w:trHeight w:val="340" w:hRule="atLeast"/>
          <w:jc w:val="center"/>
        </w:trPr>
        <w:tc>
          <w:tcPr>
            <w:tcW w:w="12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2210201</w:t>
            </w:r>
          </w:p>
        </w:tc>
        <w:tc>
          <w:tcPr>
            <w:tcW w:w="3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住房公积金</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95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72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4"/>
                <w:szCs w:val="24"/>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pStyle w:val="2"/>
        <w:rPr>
          <w:rFonts w:ascii="Times New Roman" w:hAnsi="Times New Roman" w:eastAsia="黑体" w:cs="Times New Roman"/>
          <w:color w:val="000000"/>
          <w:kern w:val="0"/>
          <w:sz w:val="32"/>
          <w:szCs w:val="32"/>
          <w:lang w:bidi="ar"/>
        </w:rPr>
      </w:pPr>
    </w:p>
    <w:p>
      <w:pPr>
        <w:pStyle w:val="3"/>
        <w:rPr>
          <w:rFonts w:ascii="Times New Roman" w:hAnsi="Times New Roman" w:eastAsia="黑体" w:cs="Times New Roman"/>
          <w:color w:val="000000"/>
          <w:kern w:val="0"/>
          <w:sz w:val="32"/>
          <w:szCs w:val="32"/>
          <w:lang w:bidi="ar"/>
        </w:rPr>
      </w:pPr>
    </w:p>
    <w:p>
      <w:pPr>
        <w:rPr>
          <w:rFonts w:ascii="Times New Roman" w:hAnsi="Times New Roman" w:eastAsia="黑体" w:cs="Times New Roman"/>
          <w:color w:val="000000"/>
          <w:kern w:val="0"/>
          <w:sz w:val="32"/>
          <w:szCs w:val="32"/>
          <w:lang w:bidi="ar"/>
        </w:rPr>
      </w:pPr>
    </w:p>
    <w:p>
      <w:pPr>
        <w:pStyle w:val="2"/>
        <w:rPr>
          <w:rFonts w:ascii="Times New Roman" w:hAnsi="Times New Roman" w:eastAsia="黑体" w:cs="Times New Roman"/>
          <w:color w:val="000000"/>
          <w:kern w:val="0"/>
          <w:sz w:val="32"/>
          <w:szCs w:val="32"/>
          <w:lang w:bidi="ar"/>
        </w:rPr>
      </w:pPr>
    </w:p>
    <w:p>
      <w:pPr>
        <w:pStyle w:val="3"/>
        <w:rPr>
          <w:rFonts w:ascii="Times New Roman" w:hAnsi="Times New Roman" w:eastAsia="黑体" w:cs="Times New Roman"/>
          <w:color w:val="000000"/>
          <w:kern w:val="0"/>
          <w:sz w:val="32"/>
          <w:szCs w:val="32"/>
          <w:lang w:bidi="ar"/>
        </w:rPr>
      </w:pPr>
    </w:p>
    <w:p>
      <w:pPr>
        <w:rPr>
          <w:rFonts w:ascii="Times New Roman" w:hAnsi="Times New Roman" w:eastAsia="黑体" w:cs="Times New Roman"/>
          <w:color w:val="000000"/>
          <w:kern w:val="0"/>
          <w:sz w:val="32"/>
          <w:szCs w:val="32"/>
          <w:lang w:bidi="ar"/>
        </w:rPr>
      </w:pPr>
    </w:p>
    <w:p>
      <w:pPr>
        <w:pStyle w:val="2"/>
        <w:rPr>
          <w:rFonts w:ascii="Times New Roman" w:hAnsi="Times New Roman" w:eastAsia="黑体" w:cs="Times New Roman"/>
          <w:color w:val="000000"/>
          <w:kern w:val="0"/>
          <w:sz w:val="32"/>
          <w:szCs w:val="32"/>
          <w:lang w:bidi="ar"/>
        </w:rPr>
      </w:pPr>
    </w:p>
    <w:p>
      <w:pPr>
        <w:pStyle w:val="3"/>
        <w:rPr>
          <w:rFonts w:ascii="Times New Roman" w:hAnsi="Times New Roman" w:eastAsia="黑体" w:cs="Times New Roman"/>
          <w:color w:val="000000"/>
          <w:kern w:val="0"/>
          <w:sz w:val="32"/>
          <w:szCs w:val="32"/>
          <w:lang w:bidi="ar"/>
        </w:rPr>
      </w:pPr>
    </w:p>
    <w:p>
      <w:pPr>
        <w:rPr>
          <w:rFonts w:ascii="Times New Roman" w:hAnsi="Times New Roman" w:eastAsia="黑体" w:cs="Times New Roman"/>
          <w:color w:val="000000"/>
          <w:kern w:val="0"/>
          <w:sz w:val="32"/>
          <w:szCs w:val="32"/>
          <w:lang w:bidi="ar"/>
        </w:rPr>
      </w:pPr>
    </w:p>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0" w:firstLineChars="0"/>
        <w:jc w:val="center"/>
        <w:textAlignment w:val="center"/>
        <w:outlineLvl w:val="9"/>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9"/>
        <w:tblW w:w="14220" w:type="dxa"/>
        <w:jc w:val="center"/>
        <w:tblInd w:w="0" w:type="dxa"/>
        <w:tblLayout w:type="fixed"/>
        <w:tblCellMar>
          <w:top w:w="0" w:type="dxa"/>
          <w:left w:w="108" w:type="dxa"/>
          <w:bottom w:w="0" w:type="dxa"/>
          <w:right w:w="108" w:type="dxa"/>
        </w:tblCellMar>
      </w:tblPr>
      <w:tblGrid>
        <w:gridCol w:w="3516"/>
        <w:gridCol w:w="489"/>
        <w:gridCol w:w="1485"/>
        <w:gridCol w:w="2790"/>
        <w:gridCol w:w="480"/>
        <w:gridCol w:w="1530"/>
        <w:gridCol w:w="1440"/>
        <w:gridCol w:w="1185"/>
        <w:gridCol w:w="1305"/>
      </w:tblGrid>
      <w:tr>
        <w:tblPrEx>
          <w:tblLayout w:type="fixed"/>
          <w:tblCellMar>
            <w:top w:w="0" w:type="dxa"/>
            <w:left w:w="108" w:type="dxa"/>
            <w:bottom w:w="0" w:type="dxa"/>
            <w:right w:w="108" w:type="dxa"/>
          </w:tblCellMar>
        </w:tblPrEx>
        <w:trPr>
          <w:trHeight w:val="402" w:hRule="atLeast"/>
          <w:jc w:val="center"/>
        </w:trPr>
        <w:tc>
          <w:tcPr>
            <w:tcW w:w="549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收入</w:t>
            </w:r>
          </w:p>
        </w:tc>
        <w:tc>
          <w:tcPr>
            <w:tcW w:w="8730" w:type="dxa"/>
            <w:gridSpan w:val="6"/>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支出</w:t>
            </w:r>
          </w:p>
        </w:tc>
      </w:tr>
      <w:tr>
        <w:tblPrEx>
          <w:tblLayout w:type="fixed"/>
          <w:tblCellMar>
            <w:top w:w="0" w:type="dxa"/>
            <w:left w:w="108" w:type="dxa"/>
            <w:bottom w:w="0" w:type="dxa"/>
            <w:right w:w="108" w:type="dxa"/>
          </w:tblCellMar>
        </w:tblPrEx>
        <w:trPr>
          <w:trHeight w:val="951"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27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153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一般公共预算财政拨款</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政府性基金预算财政拨款</w:t>
            </w:r>
          </w:p>
        </w:tc>
        <w:tc>
          <w:tcPr>
            <w:tcW w:w="13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27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53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3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一、一般公共预算财政拨款</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22,896.48</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一、一般公共服务支出</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15</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20,564.35</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20,564.35</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二、政府性基金预算财政拨款</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二、教育支出</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16</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三、国有资本经营预算财政拨款</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w:t>
            </w:r>
            <w:r>
              <w:rPr>
                <w:rFonts w:hint="eastAsia" w:ascii="Times New Roman" w:hAnsi="Times New Roman" w:eastAsia="仿宋_GB2312" w:cs="Times New Roman"/>
                <w:kern w:val="0"/>
                <w:sz w:val="22"/>
              </w:rPr>
              <w:t>社会保障和就业支出</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17</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四、</w:t>
            </w:r>
            <w:r>
              <w:rPr>
                <w:rFonts w:hint="eastAsia" w:ascii="Times New Roman" w:hAnsi="Times New Roman" w:eastAsia="仿宋_GB2312" w:cs="Times New Roman"/>
                <w:kern w:val="0"/>
                <w:sz w:val="22"/>
              </w:rPr>
              <w:t>卫生健康支出</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18</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5</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五、</w:t>
            </w:r>
            <w:r>
              <w:rPr>
                <w:rFonts w:hint="eastAsia" w:ascii="Times New Roman" w:hAnsi="Times New Roman" w:eastAsia="仿宋_GB2312" w:cs="Times New Roman"/>
                <w:kern w:val="0"/>
                <w:sz w:val="22"/>
              </w:rPr>
              <w:t>住房保障支出</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19</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6</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20</w:t>
            </w:r>
          </w:p>
        </w:tc>
        <w:tc>
          <w:tcPr>
            <w:tcW w:w="153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7</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21</w:t>
            </w:r>
          </w:p>
        </w:tc>
        <w:tc>
          <w:tcPr>
            <w:tcW w:w="153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8</w:t>
            </w:r>
          </w:p>
        </w:tc>
        <w:tc>
          <w:tcPr>
            <w:tcW w:w="1485"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22</w:t>
            </w:r>
          </w:p>
        </w:tc>
        <w:tc>
          <w:tcPr>
            <w:tcW w:w="153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本年收入合计</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9</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22,896.48</w:t>
            </w:r>
          </w:p>
        </w:tc>
        <w:tc>
          <w:tcPr>
            <w:tcW w:w="27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本年支出合计</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23</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23,449.46</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23,449.46</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年初财政拨款结转和结余</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10</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4,509.82</w:t>
            </w:r>
          </w:p>
        </w:tc>
        <w:tc>
          <w:tcPr>
            <w:tcW w:w="27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年末财政拨款结转和结余</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24</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3,956.84</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3,956.84</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一般公共预算财政拨款</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11</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4,509.82</w:t>
            </w: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25</w:t>
            </w:r>
          </w:p>
        </w:tc>
        <w:tc>
          <w:tcPr>
            <w:tcW w:w="1530"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1440"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政府性基金预算财政拨款</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12</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26</w:t>
            </w:r>
          </w:p>
        </w:tc>
        <w:tc>
          <w:tcPr>
            <w:tcW w:w="1530"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1440"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国有资本经营预算财政拨款</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13</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279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27</w:t>
            </w:r>
          </w:p>
        </w:tc>
        <w:tc>
          <w:tcPr>
            <w:tcW w:w="1530"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1440" w:type="dxa"/>
            <w:tcBorders>
              <w:top w:val="nil"/>
              <w:left w:val="nil"/>
              <w:bottom w:val="single" w:color="auto" w:sz="4" w:space="0"/>
              <w:right w:val="single" w:color="auto"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Layout w:type="fixed"/>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489"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14</w:t>
            </w:r>
          </w:p>
        </w:tc>
        <w:tc>
          <w:tcPr>
            <w:tcW w:w="148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27,406.29</w:t>
            </w:r>
          </w:p>
        </w:tc>
        <w:tc>
          <w:tcPr>
            <w:tcW w:w="2790"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480" w:type="dxa"/>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28</w:t>
            </w:r>
          </w:p>
        </w:tc>
        <w:tc>
          <w:tcPr>
            <w:tcW w:w="15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27,406.29</w:t>
            </w:r>
          </w:p>
        </w:tc>
        <w:tc>
          <w:tcPr>
            <w:tcW w:w="144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27,406.29</w:t>
            </w:r>
          </w:p>
        </w:tc>
        <w:tc>
          <w:tcPr>
            <w:tcW w:w="118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c>
          <w:tcPr>
            <w:tcW w:w="13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0" w:firstLineChars="0"/>
        <w:jc w:val="center"/>
        <w:textAlignment w:val="center"/>
        <w:outlineLvl w:val="9"/>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4219" w:type="dxa"/>
        <w:jc w:val="center"/>
        <w:tblInd w:w="0" w:type="dxa"/>
        <w:tblLayout w:type="fixed"/>
        <w:tblCellMar>
          <w:top w:w="0" w:type="dxa"/>
          <w:left w:w="108" w:type="dxa"/>
          <w:bottom w:w="0" w:type="dxa"/>
          <w:right w:w="108" w:type="dxa"/>
        </w:tblCellMar>
      </w:tblPr>
      <w:tblGrid>
        <w:gridCol w:w="1200"/>
        <w:gridCol w:w="3870"/>
        <w:gridCol w:w="3000"/>
        <w:gridCol w:w="3105"/>
        <w:gridCol w:w="3044"/>
      </w:tblGrid>
      <w:tr>
        <w:tblPrEx>
          <w:tblLayout w:type="fixed"/>
          <w:tblCellMar>
            <w:top w:w="0" w:type="dxa"/>
            <w:left w:w="108" w:type="dxa"/>
            <w:bottom w:w="0" w:type="dxa"/>
            <w:right w:w="108" w:type="dxa"/>
          </w:tblCellMar>
        </w:tblPrEx>
        <w:trPr>
          <w:trHeight w:val="400" w:hRule="atLeast"/>
          <w:jc w:val="center"/>
        </w:trPr>
        <w:tc>
          <w:tcPr>
            <w:tcW w:w="5070"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149"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312"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8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10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44"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8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0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44"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8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0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44"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00" w:hRule="atLeast"/>
          <w:jc w:val="center"/>
        </w:trPr>
        <w:tc>
          <w:tcPr>
            <w:tcW w:w="507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44"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507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44"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w:t>
            </w:r>
          </w:p>
        </w:tc>
        <w:tc>
          <w:tcPr>
            <w:tcW w:w="3870"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一般公共服务支出</w:t>
            </w:r>
          </w:p>
        </w:tc>
        <w:tc>
          <w:tcPr>
            <w:tcW w:w="300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20,564.35</w:t>
            </w:r>
          </w:p>
        </w:tc>
        <w:tc>
          <w:tcPr>
            <w:tcW w:w="310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7,623.20</w:t>
            </w:r>
          </w:p>
        </w:tc>
        <w:tc>
          <w:tcPr>
            <w:tcW w:w="3044" w:type="dxa"/>
            <w:tcBorders>
              <w:top w:val="nil"/>
              <w:left w:val="nil"/>
              <w:bottom w:val="single" w:color="auto" w:sz="4" w:space="0"/>
              <w:right w:val="single" w:color="auto" w:sz="8"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12,941.15</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20111</w:t>
            </w:r>
          </w:p>
        </w:tc>
        <w:tc>
          <w:tcPr>
            <w:tcW w:w="3870"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纪检监察事务</w:t>
            </w:r>
          </w:p>
        </w:tc>
        <w:tc>
          <w:tcPr>
            <w:tcW w:w="300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20,563.35</w:t>
            </w:r>
          </w:p>
        </w:tc>
        <w:tc>
          <w:tcPr>
            <w:tcW w:w="310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7,623.20</w:t>
            </w:r>
          </w:p>
        </w:tc>
        <w:tc>
          <w:tcPr>
            <w:tcW w:w="3044" w:type="dxa"/>
            <w:tcBorders>
              <w:top w:val="nil"/>
              <w:left w:val="nil"/>
              <w:bottom w:val="single" w:color="auto" w:sz="4" w:space="0"/>
              <w:right w:val="single" w:color="auto" w:sz="8"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12,940.15</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20136</w:t>
            </w:r>
          </w:p>
        </w:tc>
        <w:tc>
          <w:tcPr>
            <w:tcW w:w="3870"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其他共产党事务支出</w:t>
            </w:r>
          </w:p>
        </w:tc>
        <w:tc>
          <w:tcPr>
            <w:tcW w:w="300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310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3044" w:type="dxa"/>
            <w:tcBorders>
              <w:top w:val="nil"/>
              <w:left w:val="nil"/>
              <w:bottom w:val="single" w:color="auto" w:sz="4" w:space="0"/>
              <w:right w:val="single" w:color="auto" w:sz="8"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2013602</w:t>
            </w:r>
          </w:p>
        </w:tc>
        <w:tc>
          <w:tcPr>
            <w:tcW w:w="3870"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一般行政管理事务</w:t>
            </w:r>
          </w:p>
        </w:tc>
        <w:tc>
          <w:tcPr>
            <w:tcW w:w="300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310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3044" w:type="dxa"/>
            <w:tcBorders>
              <w:top w:val="nil"/>
              <w:left w:val="nil"/>
              <w:bottom w:val="single" w:color="auto" w:sz="4" w:space="0"/>
              <w:right w:val="single" w:color="auto" w:sz="8"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w:t>
            </w:r>
          </w:p>
        </w:tc>
        <w:tc>
          <w:tcPr>
            <w:tcW w:w="3870"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教育支出</w:t>
            </w:r>
          </w:p>
        </w:tc>
        <w:tc>
          <w:tcPr>
            <w:tcW w:w="300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310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3044" w:type="dxa"/>
            <w:tcBorders>
              <w:top w:val="nil"/>
              <w:left w:val="nil"/>
              <w:bottom w:val="single" w:color="auto" w:sz="4" w:space="0"/>
              <w:right w:val="single" w:color="auto" w:sz="8"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20508</w:t>
            </w:r>
          </w:p>
        </w:tc>
        <w:tc>
          <w:tcPr>
            <w:tcW w:w="3870" w:type="dxa"/>
            <w:tcBorders>
              <w:top w:val="nil"/>
              <w:left w:val="nil"/>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进修及培训</w:t>
            </w:r>
          </w:p>
        </w:tc>
        <w:tc>
          <w:tcPr>
            <w:tcW w:w="300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310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3044" w:type="dxa"/>
            <w:tcBorders>
              <w:top w:val="nil"/>
              <w:left w:val="nil"/>
              <w:bottom w:val="single" w:color="auto" w:sz="4" w:space="0"/>
              <w:right w:val="single" w:color="auto" w:sz="8"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2050803</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培训支出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137.64</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1,409.47</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行政事业单位养老支出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1,248.85</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1,248.85</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2080501</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行政单位离退休</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588.85</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588.85</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2080505</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机关事业单位基本养老保险缴费支出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660.00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660.00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20808</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抚恤</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2080801</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死亡抚恤</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100.63</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20899</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其他社会保障和就业支出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2089999</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其他社会保障和就业支出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507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14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000000"/>
                <w:kern w:val="0"/>
                <w:sz w:val="22"/>
                <w:lang w:val="en-US" w:eastAsia="zh-CN" w:bidi="ar"/>
              </w:rPr>
            </w:pPr>
            <w:r>
              <w:rPr>
                <w:rFonts w:ascii="Times New Roman" w:hAnsi="Times New Roman" w:eastAsia="仿宋_GB2312" w:cs="Times New Roman"/>
                <w:b/>
                <w:kern w:val="0"/>
                <w:szCs w:val="21"/>
              </w:rPr>
              <w:t>功能分类科目编码</w:t>
            </w:r>
          </w:p>
        </w:tc>
        <w:tc>
          <w:tcPr>
            <w:tcW w:w="3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000000"/>
                <w:kern w:val="0"/>
                <w:sz w:val="22"/>
                <w:lang w:val="en-US" w:eastAsia="zh-CN" w:bidi="ar"/>
              </w:rPr>
            </w:pPr>
            <w:r>
              <w:rPr>
                <w:rFonts w:ascii="Times New Roman" w:hAnsi="Times New Roman" w:eastAsia="仿宋_GB2312" w:cs="Times New Roman"/>
                <w:b/>
                <w:kern w:val="0"/>
                <w:szCs w:val="21"/>
              </w:rPr>
              <w:t>科目名称</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kern w:val="0"/>
                <w:szCs w:val="21"/>
              </w:rPr>
              <w:t>小计</w:t>
            </w:r>
          </w:p>
        </w:tc>
        <w:tc>
          <w:tcPr>
            <w:tcW w:w="3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kern w:val="0"/>
                <w:szCs w:val="21"/>
              </w:rPr>
              <w:t>基本支出</w:t>
            </w:r>
          </w:p>
        </w:tc>
        <w:tc>
          <w:tcPr>
            <w:tcW w:w="30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000000"/>
                <w:sz w:val="22"/>
                <w:lang w:val="en-US" w:eastAsia="zh-CN"/>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卫生健康支出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行政事业单位医疗</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690.00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2101101</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行政单位医疗</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355.00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355.00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2101103</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公务员医疗补助</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335.00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335.00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住房保障支出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住房改革支出</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r>
        <w:tblPrEx>
          <w:tblLayout w:type="fixed"/>
          <w:tblCellMar>
            <w:top w:w="0" w:type="dxa"/>
            <w:left w:w="108" w:type="dxa"/>
            <w:bottom w:w="0" w:type="dxa"/>
            <w:right w:w="108" w:type="dxa"/>
          </w:tblCellMar>
        </w:tblPrEx>
        <w:trPr>
          <w:trHeight w:val="386"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2210201</w:t>
            </w:r>
          </w:p>
        </w:tc>
        <w:tc>
          <w:tcPr>
            <w:tcW w:w="387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住房公积金</w:t>
            </w:r>
          </w:p>
        </w:tc>
        <w:tc>
          <w:tcPr>
            <w:tcW w:w="3000"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3105"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648.00</w:t>
            </w:r>
          </w:p>
        </w:tc>
        <w:tc>
          <w:tcPr>
            <w:tcW w:w="3044" w:type="dxa"/>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0" w:firstLineChars="0"/>
        <w:jc w:val="center"/>
        <w:textAlignment w:val="center"/>
        <w:outlineLvl w:val="9"/>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9"/>
        <w:tblW w:w="14802" w:type="dxa"/>
        <w:jc w:val="center"/>
        <w:tblInd w:w="0" w:type="dxa"/>
        <w:tblLayout w:type="fixed"/>
        <w:tblCellMar>
          <w:top w:w="0" w:type="dxa"/>
          <w:left w:w="108" w:type="dxa"/>
          <w:bottom w:w="0" w:type="dxa"/>
          <w:right w:w="108" w:type="dxa"/>
        </w:tblCellMar>
      </w:tblPr>
      <w:tblGrid>
        <w:gridCol w:w="1029"/>
        <w:gridCol w:w="2775"/>
        <w:gridCol w:w="1215"/>
        <w:gridCol w:w="1110"/>
        <w:gridCol w:w="2040"/>
        <w:gridCol w:w="1230"/>
        <w:gridCol w:w="1065"/>
        <w:gridCol w:w="3333"/>
        <w:gridCol w:w="1005"/>
      </w:tblGrid>
      <w:tr>
        <w:tblPrEx>
          <w:tblLayout w:type="fixed"/>
          <w:tblCellMar>
            <w:top w:w="0" w:type="dxa"/>
            <w:left w:w="108" w:type="dxa"/>
            <w:bottom w:w="0" w:type="dxa"/>
            <w:right w:w="108" w:type="dxa"/>
          </w:tblCellMar>
        </w:tblPrEx>
        <w:trPr>
          <w:trHeight w:val="530" w:hRule="atLeast"/>
          <w:jc w:val="center"/>
        </w:trPr>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77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21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2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3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00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7,747.72</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1,874.42</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1,937.00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107.95</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1,720.00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22.93</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1,696.97</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247.00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43.75</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20.00</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660.00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178.03</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21.88</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355.00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5.99</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335.00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91.32</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60.00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100.00</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648.00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45.00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32.49</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748.54</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20.49</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53.58</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533.17</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5.18</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r>
              <w:rPr>
                <w:rFonts w:hint="eastAsia" w:ascii="Times New Roman" w:hAnsi="Times New Roman" w:eastAsia="仿宋_GB2312" w:cs="Times New Roman"/>
                <w:color w:val="000000"/>
                <w:kern w:val="0"/>
                <w:szCs w:val="20"/>
                <w:lang w:val="en-US" w:eastAsia="zh-CN"/>
              </w:rPr>
              <w:t xml:space="preserve"> </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100.63</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477.99</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29.16</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96.00</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39.31</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150.93</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343.88</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32.00</w:t>
            </w: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102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77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111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1230"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160.05</w:t>
            </w:r>
          </w:p>
        </w:tc>
        <w:tc>
          <w:tcPr>
            <w:tcW w:w="10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33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Layout w:type="fixed"/>
          <w:tblCellMar>
            <w:top w:w="0" w:type="dxa"/>
            <w:left w:w="108" w:type="dxa"/>
            <w:bottom w:w="0" w:type="dxa"/>
            <w:right w:w="108" w:type="dxa"/>
          </w:tblCellMar>
        </w:tblPrEx>
        <w:trPr>
          <w:trHeight w:val="255" w:hRule="exact"/>
          <w:jc w:val="center"/>
        </w:trPr>
        <w:tc>
          <w:tcPr>
            <w:tcW w:w="3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1215" w:type="dxa"/>
            <w:tcBorders>
              <w:top w:val="nil"/>
              <w:left w:val="nil"/>
              <w:bottom w:val="single" w:color="auto" w:sz="4" w:space="0"/>
              <w:right w:val="single" w:color="auto"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8,496.25</w:t>
            </w:r>
          </w:p>
        </w:tc>
        <w:tc>
          <w:tcPr>
            <w:tcW w:w="877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100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color w:val="000000"/>
                <w:kern w:val="0"/>
                <w:szCs w:val="18"/>
              </w:rPr>
            </w:pPr>
            <w:r>
              <w:rPr>
                <w:rFonts w:hint="eastAsia" w:ascii="Times New Roman" w:hAnsi="Times New Roman" w:eastAsia="仿宋_GB2312" w:cs="Times New Roman"/>
                <w:color w:val="000000"/>
                <w:kern w:val="0"/>
                <w:szCs w:val="18"/>
              </w:rPr>
              <w:t>1,874.42</w:t>
            </w:r>
          </w:p>
          <w:p>
            <w:pPr>
              <w:widowControl/>
              <w:jc w:val="left"/>
              <w:rPr>
                <w:rFonts w:ascii="Times New Roman" w:hAnsi="Times New Roman" w:eastAsia="仿宋_GB2312" w:cs="Times New Roman"/>
                <w:color w:val="000000"/>
                <w:kern w:val="0"/>
                <w:szCs w:val="18"/>
              </w:rPr>
            </w:pPr>
          </w:p>
        </w:tc>
      </w:tr>
    </w:tbl>
    <w:p>
      <w:pPr>
        <w:widowControl/>
        <w:jc w:val="left"/>
        <w:rPr>
          <w:rFonts w:ascii="Times New Roman" w:hAnsi="Times New Roman" w:eastAsia="仿宋_GB2312" w:cs="Times New Roman"/>
          <w:color w:val="000000"/>
          <w:kern w:val="0"/>
          <w:sz w:val="32"/>
          <w:szCs w:val="32"/>
          <w:lang w:bidi="ar"/>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9"/>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5"/>
                <w:rFonts w:hint="default" w:ascii="Times New Roman" w:hAnsi="Times New Roman" w:eastAsia="仿宋_GB2312" w:cs="Times New Roman"/>
                <w:b/>
                <w:bCs/>
                <w:lang w:bidi="ar"/>
              </w:rPr>
              <w:t xml:space="preserve">   </w:t>
            </w:r>
            <w:r>
              <w:rPr>
                <w:rStyle w:val="16"/>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b w:val="0"/>
          <w:bCs w:val="0"/>
          <w:color w:val="000000"/>
          <w:kern w:val="0"/>
          <w:sz w:val="24"/>
          <w:szCs w:val="24"/>
          <w:lang w:bidi="ar"/>
        </w:rPr>
      </w:pPr>
      <w:r>
        <w:rPr>
          <w:rFonts w:ascii="Times New Roman" w:hAnsi="Times New Roman" w:eastAsia="仿宋_GB2312" w:cs="Times New Roman"/>
          <w:b w:val="0"/>
          <w:bCs w:val="0"/>
          <w:kern w:val="0"/>
          <w:sz w:val="24"/>
          <w:szCs w:val="24"/>
          <w:lang w:bidi="ar"/>
        </w:rPr>
        <w:t>说明：</w:t>
      </w:r>
      <w:r>
        <w:rPr>
          <w:rFonts w:hint="eastAsia" w:ascii="Times New Roman" w:hAnsi="Times New Roman" w:eastAsia="仿宋_GB2312" w:cs="Times New Roman"/>
          <w:b w:val="0"/>
          <w:bCs w:val="0"/>
          <w:kern w:val="0"/>
          <w:sz w:val="24"/>
          <w:szCs w:val="24"/>
          <w:lang w:eastAsia="zh-CN" w:bidi="ar"/>
        </w:rPr>
        <w:t>本部门</w:t>
      </w:r>
      <w:r>
        <w:rPr>
          <w:rFonts w:ascii="Times New Roman" w:hAnsi="Times New Roman" w:eastAsia="仿宋_GB2312" w:cs="Times New Roman"/>
          <w:b w:val="0"/>
          <w:bCs w:val="0"/>
          <w:kern w:val="0"/>
          <w:sz w:val="24"/>
          <w:szCs w:val="24"/>
          <w:lang w:bidi="ar"/>
        </w:rPr>
        <w:t>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9"/>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17"/>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b w:val="0"/>
          <w:bCs w:val="0"/>
          <w:color w:val="000000"/>
          <w:kern w:val="0"/>
          <w:sz w:val="24"/>
          <w:szCs w:val="24"/>
          <w:lang w:bidi="ar"/>
        </w:rPr>
      </w:pPr>
      <w:r>
        <w:rPr>
          <w:rFonts w:ascii="Times New Roman" w:hAnsi="Times New Roman" w:eastAsia="楷体_GB2312" w:cs="Times New Roman"/>
          <w:b w:val="0"/>
          <w:bCs w:val="0"/>
          <w:kern w:val="0"/>
          <w:sz w:val="24"/>
          <w:szCs w:val="24"/>
          <w:lang w:bidi="ar"/>
        </w:rPr>
        <w:t>说明：</w:t>
      </w:r>
      <w:r>
        <w:rPr>
          <w:rFonts w:hint="eastAsia" w:ascii="Times New Roman" w:hAnsi="Times New Roman" w:eastAsia="楷体_GB2312" w:cs="Times New Roman"/>
          <w:b w:val="0"/>
          <w:bCs w:val="0"/>
          <w:kern w:val="0"/>
          <w:sz w:val="24"/>
          <w:szCs w:val="24"/>
          <w:lang w:eastAsia="zh-CN" w:bidi="ar"/>
        </w:rPr>
        <w:t>本部门</w:t>
      </w:r>
      <w:r>
        <w:rPr>
          <w:rFonts w:ascii="Times New Roman" w:hAnsi="Times New Roman" w:eastAsia="楷体_GB2312" w:cs="Times New Roman"/>
          <w:b w:val="0"/>
          <w:bCs w:val="0"/>
          <w:kern w:val="0"/>
          <w:sz w:val="24"/>
          <w:szCs w:val="24"/>
          <w:lang w:bidi="ar"/>
        </w:rPr>
        <w:t>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湖南省纪委监委</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9"/>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285.00</w:t>
            </w:r>
          </w:p>
        </w:tc>
        <w:tc>
          <w:tcPr>
            <w:tcW w:w="1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25.00</w:t>
            </w:r>
          </w:p>
        </w:tc>
        <w:tc>
          <w:tcPr>
            <w:tcW w:w="10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230.00</w:t>
            </w:r>
          </w:p>
        </w:tc>
        <w:tc>
          <w:tcPr>
            <w:tcW w:w="11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75.00</w:t>
            </w:r>
          </w:p>
        </w:tc>
        <w:tc>
          <w:tcPr>
            <w:tcW w:w="1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155.00</w:t>
            </w:r>
          </w:p>
        </w:tc>
        <w:tc>
          <w:tcPr>
            <w:tcW w:w="13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30.00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199.07</w:t>
            </w:r>
          </w:p>
        </w:tc>
        <w:tc>
          <w:tcPr>
            <w:tcW w:w="1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193.89</w:t>
            </w:r>
          </w:p>
        </w:tc>
        <w:tc>
          <w:tcPr>
            <w:tcW w:w="1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42.96</w:t>
            </w:r>
          </w:p>
        </w:tc>
        <w:tc>
          <w:tcPr>
            <w:tcW w:w="1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150.93</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kern w:val="2"/>
                <w:sz w:val="22"/>
                <w:szCs w:val="22"/>
                <w:lang w:val="en-US" w:eastAsia="zh-CN" w:bidi="ar-SA"/>
              </w:rPr>
              <w:t>5.18</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2"/>
        <w:rPr>
          <w:rFonts w:ascii="Times New Roman" w:hAnsi="Times New Roman" w:cs="Times New Roman"/>
          <w:sz w:val="72"/>
          <w:szCs w:val="72"/>
        </w:rPr>
      </w:pPr>
    </w:p>
    <w:p>
      <w:pPr>
        <w:pStyle w:val="12"/>
        <w:rPr>
          <w:rFonts w:ascii="Times New Roman" w:hAnsi="Times New Roman" w:cs="Times New Roman"/>
          <w:sz w:val="72"/>
          <w:szCs w:val="72"/>
        </w:rPr>
      </w:pPr>
    </w:p>
    <w:p>
      <w:pPr>
        <w:pStyle w:val="12"/>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eastAsia="方正小标宋_GBK" w:cs="Times New Roman"/>
          <w:sz w:val="72"/>
          <w:szCs w:val="72"/>
        </w:rPr>
      </w:pP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rPr>
        <w:t>27</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406.29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1,631.87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5.62</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rPr>
        <w:t>上年结转结余减少。</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rPr>
        <w:t>27,406.29</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rPr>
        <w:t>27</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406.29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rPr>
        <w:t>23</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449.46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10,370.68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44.23</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13,078.78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55.77</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rPr>
        <w:t>27,406.29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与上年相比，减少1</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631.87万元，降低5.62%</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rPr>
        <w:t>上年结转结余减少。</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23</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449.46</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339.34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1.43</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shd w:val="clear"/>
        </w:rPr>
        <w:t>主要是因为</w:t>
      </w:r>
      <w:r>
        <w:rPr>
          <w:rFonts w:hint="eastAsia" w:ascii="Times New Roman" w:hAnsi="Times New Roman" w:eastAsia="仿宋_GB2312" w:cs="Times New Roman"/>
          <w:sz w:val="32"/>
          <w:szCs w:val="32"/>
          <w:highlight w:val="none"/>
          <w:shd w:val="clear"/>
        </w:rPr>
        <w:t>进一步落实“过紧日子”要求，</w:t>
      </w:r>
      <w:r>
        <w:rPr>
          <w:rFonts w:hint="eastAsia" w:ascii="Times New Roman" w:hAnsi="Times New Roman" w:eastAsia="仿宋_GB2312" w:cs="Times New Roman"/>
          <w:sz w:val="32"/>
          <w:szCs w:val="32"/>
          <w:highlight w:val="none"/>
          <w:shd w:val="clear"/>
          <w:lang w:eastAsia="zh-CN"/>
        </w:rPr>
        <w:t>在人员增加、办案数量增加的情况下，公用经费及业务工作经费较上年减少。</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23</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449.46</w:t>
      </w:r>
      <w:r>
        <w:rPr>
          <w:rFonts w:ascii="Times New Roman" w:hAnsi="Times New Roman" w:eastAsia="仿宋_GB2312" w:cs="Times New Roman"/>
          <w:sz w:val="32"/>
          <w:szCs w:val="32"/>
        </w:rPr>
        <w:t>万元，主要用于以下方面：一般公共服务（类）支出</w:t>
      </w:r>
      <w:r>
        <w:rPr>
          <w:rFonts w:hint="eastAsia" w:ascii="Times New Roman" w:hAnsi="Times New Roman" w:eastAsia="仿宋_GB2312" w:cs="Times New Roman"/>
          <w:sz w:val="32"/>
          <w:szCs w:val="32"/>
        </w:rPr>
        <w:t>20,564.35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87.7</w:t>
      </w:r>
      <w:r>
        <w:rPr>
          <w:rFonts w:ascii="Times New Roman" w:hAnsi="Times New Roman" w:eastAsia="仿宋_GB2312" w:cs="Times New Roman"/>
          <w:sz w:val="32"/>
          <w:szCs w:val="32"/>
        </w:rPr>
        <w:t>%；教育（类）支出</w:t>
      </w:r>
      <w:r>
        <w:rPr>
          <w:rFonts w:hint="eastAsia" w:ascii="Times New Roman" w:hAnsi="Times New Roman" w:eastAsia="仿宋_GB2312" w:cs="Times New Roman"/>
          <w:sz w:val="32"/>
          <w:szCs w:val="32"/>
          <w:lang w:val="en-US" w:eastAsia="zh-CN"/>
        </w:rPr>
        <w:t>137.64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支出1</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409.47</w:t>
      </w:r>
      <w:r>
        <w:rPr>
          <w:rFonts w:hint="eastAsia" w:ascii="Times New Roman" w:hAnsi="Times New Roman" w:eastAsia="仿宋_GB2312" w:cs="Times New Roman"/>
          <w:sz w:val="32"/>
          <w:szCs w:val="32"/>
          <w:lang w:val="en-US" w:eastAsia="zh-CN"/>
        </w:rPr>
        <w:t>万元，占6%；卫生健康</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val="en-US" w:eastAsia="zh-CN"/>
        </w:rPr>
        <w:t>支出690万元，占2.94%；住房保障</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val="en-US" w:eastAsia="zh-CN"/>
        </w:rPr>
        <w:t>支出648万元，占2.76%。</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rPr>
        <w:t>26,476.54</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rPr>
        <w:t>23</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449.46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88.57</w:t>
      </w:r>
      <w:r>
        <w:rPr>
          <w:rFonts w:ascii="Times New Roman" w:hAnsi="Times New Roman" w:eastAsia="仿宋_GB2312" w:cs="Times New Roman"/>
          <w:sz w:val="32"/>
          <w:szCs w:val="32"/>
        </w:rPr>
        <w:t>%，其中：</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1、一般公共服务（类）</w:t>
      </w:r>
      <w:r>
        <w:rPr>
          <w:rFonts w:hint="eastAsia" w:ascii="Times New Roman" w:hAnsi="Times New Roman" w:eastAsia="仿宋_GB2312" w:cs="Times New Roman"/>
          <w:sz w:val="32"/>
          <w:szCs w:val="32"/>
        </w:rPr>
        <w:t>纪检监察事务</w:t>
      </w:r>
      <w:r>
        <w:rPr>
          <w:rFonts w:ascii="Times New Roman" w:hAnsi="Times New Roman" w:eastAsia="仿宋_GB2312" w:cs="Times New Roman"/>
          <w:sz w:val="32"/>
          <w:szCs w:val="32"/>
        </w:rPr>
        <w:t>（款）。</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rPr>
        <w:t>23,588.54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20,563.35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87.18</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决算数小于年初预算数的主要原因是：</w:t>
      </w:r>
      <w:r>
        <w:rPr>
          <w:rFonts w:hint="eastAsia" w:ascii="Times New Roman" w:hAnsi="Times New Roman" w:eastAsia="仿宋_GB2312" w:cs="Times New Roman"/>
          <w:sz w:val="32"/>
          <w:szCs w:val="32"/>
          <w:highlight w:val="none"/>
        </w:rPr>
        <w:t>部分项目经费本年暂未结算，形成结余。</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2、一般公共服务（类）</w:t>
      </w:r>
      <w:r>
        <w:rPr>
          <w:rFonts w:hint="eastAsia" w:ascii="Times New Roman" w:hAnsi="Times New Roman" w:eastAsia="仿宋_GB2312" w:cs="Times New Roman"/>
          <w:sz w:val="32"/>
          <w:szCs w:val="32"/>
        </w:rPr>
        <w:t>其他共产党事务支出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一般行政管理事务</w:t>
      </w:r>
      <w:r>
        <w:rPr>
          <w:rFonts w:ascii="Times New Roman" w:hAnsi="Times New Roman" w:eastAsia="仿宋_GB2312" w:cs="Times New Roman"/>
          <w:sz w:val="32"/>
          <w:szCs w:val="32"/>
        </w:rPr>
        <w:t>（项）。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万元，决算数大于年初预算数的主要原因是：</w:t>
      </w:r>
      <w:r>
        <w:rPr>
          <w:rFonts w:hint="eastAsia" w:ascii="Times New Roman" w:hAnsi="Times New Roman" w:eastAsia="仿宋_GB2312" w:cs="Times New Roman"/>
          <w:sz w:val="32"/>
          <w:szCs w:val="32"/>
          <w:lang w:eastAsia="zh-CN"/>
        </w:rPr>
        <w:t>年中追加了省直工委机关党建立项课题研究经费。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3、教育支出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培训支出</w:t>
      </w:r>
      <w:r>
        <w:rPr>
          <w:rFonts w:ascii="Times New Roman" w:hAnsi="Times New Roman" w:eastAsia="仿宋_GB2312" w:cs="Times New Roman"/>
          <w:sz w:val="32"/>
          <w:szCs w:val="32"/>
        </w:rPr>
        <w:t>（项）。</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年初预算为220万元，支出决算为137.64万元，完成年初预算的62.56%，决算数小于年初预算数的主要原因是：本年部分培训通过线上开展，节约了培训费用。</w:t>
      </w:r>
    </w:p>
    <w:p>
      <w:pPr>
        <w:pStyle w:val="12"/>
        <w:numPr>
          <w:ilvl w:val="0"/>
          <w:numId w:val="1"/>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社会保障和就业支出（类）行政事业单位养老支出（款）行政单位离退休（项）。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年初预算为580万元，支出决算为588.85万元，完成年初预算的101.53%，决算数大于年初预算数的主要原因是：年中有在职转退休人员。</w:t>
      </w:r>
    </w:p>
    <w:p>
      <w:pPr>
        <w:pStyle w:val="12"/>
        <w:keepNext w:val="0"/>
        <w:keepLines w:val="0"/>
        <w:pageBreakBefore w:val="0"/>
        <w:widowControl w:val="0"/>
        <w:numPr>
          <w:ilvl w:val="0"/>
          <w:numId w:val="1"/>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社会保障和就业支出（类）行政事业单位养老支出（款）机关事业单位基本养老保险缴费支出（项）。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年初预算为660万元，支出决算为660万元，完成年初预算的100%。</w:t>
      </w:r>
    </w:p>
    <w:p>
      <w:pPr>
        <w:pStyle w:val="12"/>
        <w:keepNext w:val="0"/>
        <w:keepLines w:val="0"/>
        <w:pageBreakBefore w:val="0"/>
        <w:widowControl w:val="0"/>
        <w:numPr>
          <w:ilvl w:val="0"/>
          <w:numId w:val="1"/>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社会保障和就业支出（类）抚恤（款）死亡抚恤（项）。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年初预算为30万元，支出决算为100.63万元，完成年初预算的330.4%，决算数大于年初预算数的主要原因是：需抚恤人员无法精准预估，年中进行了调剂与追加。</w:t>
      </w:r>
    </w:p>
    <w:p>
      <w:pPr>
        <w:pStyle w:val="12"/>
        <w:keepNext w:val="0"/>
        <w:keepLines w:val="0"/>
        <w:pageBreakBefore w:val="0"/>
        <w:widowControl w:val="0"/>
        <w:numPr>
          <w:ilvl w:val="0"/>
          <w:numId w:val="1"/>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社会保障和就业支出（类）其他社会保障和就业支出（款）其他社会保障和就业支出（项）。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年初预算为60万元，支出决算为60万元，完成年初预算的100%。</w:t>
      </w:r>
    </w:p>
    <w:p>
      <w:pPr>
        <w:pStyle w:val="12"/>
        <w:keepNext w:val="0"/>
        <w:keepLines w:val="0"/>
        <w:pageBreakBefore w:val="0"/>
        <w:widowControl w:val="0"/>
        <w:numPr>
          <w:ilvl w:val="0"/>
          <w:numId w:val="1"/>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卫生健康支出（类）行政事业单位医疗（款）行政单位医疗（项）。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年初预算为355万元，支出决算为355万元，完成年初预算的100%。</w:t>
      </w:r>
    </w:p>
    <w:p>
      <w:pPr>
        <w:pStyle w:val="12"/>
        <w:keepNext w:val="0"/>
        <w:keepLines w:val="0"/>
        <w:pageBreakBefore w:val="0"/>
        <w:widowControl w:val="0"/>
        <w:numPr>
          <w:ilvl w:val="0"/>
          <w:numId w:val="1"/>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卫生健康支出（类）行政事业单位医疗（款）公务员医疗补助（项）。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年初预算为335万元，支出决算为335万元，完成年初预算的100%。</w:t>
      </w:r>
    </w:p>
    <w:p>
      <w:pPr>
        <w:pStyle w:val="12"/>
        <w:keepNext w:val="0"/>
        <w:keepLines w:val="0"/>
        <w:pageBreakBefore w:val="0"/>
        <w:widowControl w:val="0"/>
        <w:numPr>
          <w:ilvl w:val="0"/>
          <w:numId w:val="1"/>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住房保障支出（类）住房改革支出（款）住房公积金（项）。</w:t>
      </w:r>
    </w:p>
    <w:p>
      <w:pPr>
        <w:pStyle w:val="12"/>
        <w:keepNext w:val="0"/>
        <w:keepLines w:val="0"/>
        <w:pageBreakBefore w:val="0"/>
        <w:widowControl w:val="0"/>
        <w:numPr>
          <w:ilvl w:val="0"/>
          <w:numId w:val="0"/>
        </w:numPr>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年初预算为648万元，支出决算为648万元，完成年初预算的100%。</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rPr>
        <w:t>10,370.68</w:t>
      </w:r>
      <w:r>
        <w:rPr>
          <w:rFonts w:ascii="Times New Roman" w:hAnsi="Times New Roman" w:eastAsia="仿宋_GB2312" w:cs="Times New Roman"/>
          <w:sz w:val="32"/>
          <w:szCs w:val="32"/>
        </w:rPr>
        <w:t>万元，其中：</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rPr>
        <w:t>8,496.25</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81.93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、绩效工资、机关事业单位基本养老保险缴费、职工基本医疗保险缴费、公务员医疗补助缴费、其他社会保障缴费、住房公积金、其他工资福利支出、对个人和家庭的补助等</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rPr>
        <w:t>1,874.42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18.07</w:t>
      </w:r>
      <w:r>
        <w:rPr>
          <w:rFonts w:ascii="Times New Roman" w:hAnsi="Times New Roman" w:eastAsia="仿宋_GB2312" w:cs="Times New Roman"/>
          <w:sz w:val="32"/>
          <w:szCs w:val="32"/>
        </w:rPr>
        <w:t>%，主要包括办公费、印刷费、</w:t>
      </w:r>
      <w:r>
        <w:rPr>
          <w:rFonts w:hint="eastAsia" w:ascii="Times New Roman" w:hAnsi="Times New Roman" w:eastAsia="仿宋_GB2312" w:cs="Times New Roman"/>
          <w:sz w:val="32"/>
          <w:szCs w:val="32"/>
        </w:rPr>
        <w:t>水费、电费、邮电费、取暖费、物业管理费、差旅费、租赁费、会议费、公务接待费、劳务费、工会经费、福利费、公务用车运行维护费、其他交通费用、其他商品和服务支出等</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285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199.07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69.85</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55.94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21.94</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进一步落实“过紧日子”要求，有效控制“三公”经费开支</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rPr>
        <w:t>公务接待费和公务用车购置及运行维护费下降。</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本年度未产生因公出国（境）事务</w:t>
      </w:r>
      <w:r>
        <w:rPr>
          <w:rFonts w:hint="eastAsia" w:ascii="Times New Roman" w:hAnsi="Times New Roman" w:eastAsia="仿宋_GB2312" w:cs="Times New Roman"/>
          <w:sz w:val="32"/>
          <w:szCs w:val="32"/>
          <w:lang w:eastAsia="zh-CN"/>
        </w:rPr>
        <w:t>。</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230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193.89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84.3</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49.09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20.2</w:t>
      </w:r>
      <w:r>
        <w:rPr>
          <w:rFonts w:ascii="Times New Roman" w:hAnsi="Times New Roman" w:eastAsia="仿宋_GB2312" w:cs="Times New Roman"/>
          <w:sz w:val="32"/>
          <w:szCs w:val="32"/>
        </w:rPr>
        <w:t>%。其中：</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75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42.96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57.28</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30.04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41.15</w:t>
      </w:r>
      <w:r>
        <w:rPr>
          <w:rFonts w:ascii="Times New Roman" w:hAnsi="Times New Roman" w:eastAsia="仿宋_GB2312" w:cs="Times New Roman"/>
          <w:sz w:val="32"/>
          <w:szCs w:val="32"/>
        </w:rPr>
        <w:t>%。决算数小于预算数的</w:t>
      </w:r>
      <w:r>
        <w:rPr>
          <w:rFonts w:ascii="Times New Roman" w:hAnsi="Times New Roman" w:eastAsia="仿宋_GB2312" w:cs="Times New Roman"/>
          <w:sz w:val="32"/>
          <w:szCs w:val="32"/>
          <w:highlight w:val="none"/>
        </w:rPr>
        <w:t>主要原因是</w:t>
      </w:r>
      <w:r>
        <w:rPr>
          <w:rFonts w:hint="eastAsia" w:ascii="Times New Roman" w:hAnsi="Times New Roman" w:eastAsia="仿宋_GB2312" w:cs="Times New Roman"/>
          <w:sz w:val="32"/>
          <w:szCs w:val="32"/>
          <w:highlight w:val="none"/>
          <w:lang w:eastAsia="zh-CN"/>
        </w:rPr>
        <w:t>计划购置</w:t>
      </w:r>
      <w:r>
        <w:rPr>
          <w:rFonts w:hint="eastAsia" w:ascii="Times New Roman" w:hAnsi="Times New Roman" w:eastAsia="仿宋_GB2312" w:cs="Times New Roman"/>
          <w:sz w:val="32"/>
          <w:szCs w:val="32"/>
          <w:highlight w:val="none"/>
          <w:lang w:val="en-US" w:eastAsia="zh-CN"/>
        </w:rPr>
        <w:t>3辆公车</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实际购置</w:t>
      </w:r>
      <w:r>
        <w:rPr>
          <w:rFonts w:hint="eastAsia" w:ascii="Times New Roman" w:hAnsi="Times New Roman" w:eastAsia="仿宋_GB2312" w:cs="Times New Roman"/>
          <w:sz w:val="32"/>
          <w:szCs w:val="32"/>
          <w:lang w:val="en-US" w:eastAsia="zh-CN"/>
        </w:rPr>
        <w:t>2辆。</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rPr>
        <w:t>2024年购置2辆公车，较2023年减少1辆</w:t>
      </w:r>
      <w:r>
        <w:rPr>
          <w:rFonts w:ascii="Times New Roman" w:hAnsi="Times New Roman" w:eastAsia="仿宋_GB2312" w:cs="Times New Roman"/>
          <w:sz w:val="32"/>
          <w:szCs w:val="32"/>
        </w:rPr>
        <w:t>。</w:t>
      </w:r>
    </w:p>
    <w:p>
      <w:pPr>
        <w:pStyle w:val="12"/>
        <w:keepNext w:val="0"/>
        <w:keepLines w:val="0"/>
        <w:pageBreakBefore w:val="0"/>
        <w:widowControl w:val="0"/>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155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150.93</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公务用车汽油费、保险费、路桥费以及维修维护费等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97.37</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19.05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11.2</w:t>
      </w:r>
      <w:r>
        <w:rPr>
          <w:rFonts w:ascii="Times New Roman" w:hAnsi="Times New Roman" w:eastAsia="仿宋_GB2312" w:cs="Times New Roman"/>
          <w:sz w:val="32"/>
          <w:szCs w:val="32"/>
        </w:rPr>
        <w:t>%。决算数小于预算数的</w:t>
      </w:r>
      <w:r>
        <w:rPr>
          <w:rFonts w:ascii="Times New Roman" w:hAnsi="Times New Roman" w:eastAsia="仿宋_GB2312" w:cs="Times New Roman"/>
          <w:sz w:val="32"/>
          <w:szCs w:val="32"/>
          <w:highlight w:val="none"/>
          <w:shd w:val="clear"/>
        </w:rPr>
        <w:t>主要原因是</w:t>
      </w:r>
      <w:r>
        <w:rPr>
          <w:rFonts w:hint="eastAsia" w:ascii="Times New Roman" w:hAnsi="Times New Roman" w:eastAsia="仿宋_GB2312" w:cs="Times New Roman"/>
          <w:sz w:val="32"/>
          <w:szCs w:val="32"/>
          <w:highlight w:val="none"/>
          <w:shd w:val="clear"/>
          <w:lang w:eastAsia="zh-CN"/>
        </w:rPr>
        <w:t>车辆更新后维修维护费用减少</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2024年部分公车在机关清洗，洗车费小幅下降，新能源汽车占比提高，燃油费小幅下降，跨区域长途派车减少，路桥费用小幅下降</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36</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2"/>
        <w:keepNext w:val="0"/>
        <w:keepLines w:val="0"/>
        <w:pageBreakBefore w:val="0"/>
        <w:widowControl w:val="0"/>
        <w:kinsoku/>
        <w:wordWrap/>
        <w:overflowPunct w:val="0"/>
        <w:topLinePunct w:val="0"/>
        <w:autoSpaceDE/>
        <w:autoSpaceDN/>
        <w:bidi w:val="0"/>
        <w:adjustRightInd w:val="0"/>
        <w:snapToGrid/>
        <w:spacing w:line="600" w:lineRule="exact"/>
        <w:ind w:left="0" w:leftChars="0" w:right="0" w:rightChars="0" w:firstLine="640" w:firstLineChars="200"/>
        <w:jc w:val="both"/>
        <w:textAlignment w:val="auto"/>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5.18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17.27</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6.85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57</w:t>
      </w:r>
      <w:r>
        <w:rPr>
          <w:rFonts w:ascii="Times New Roman" w:hAnsi="Times New Roman" w:eastAsia="仿宋_GB2312" w:cs="Times New Roman"/>
          <w:sz w:val="32"/>
          <w:szCs w:val="32"/>
        </w:rPr>
        <w:t>%。决算数小于预算数的</w:t>
      </w:r>
      <w:r>
        <w:rPr>
          <w:rFonts w:ascii="Times New Roman" w:hAnsi="Times New Roman" w:eastAsia="仿宋_GB2312" w:cs="Times New Roman"/>
          <w:sz w:val="32"/>
          <w:szCs w:val="32"/>
          <w:highlight w:val="none"/>
          <w:shd w:val="clear"/>
        </w:rPr>
        <w:t>主要原因是</w:t>
      </w:r>
      <w:r>
        <w:rPr>
          <w:rFonts w:hint="eastAsia" w:ascii="Times New Roman" w:hAnsi="Times New Roman" w:eastAsia="仿宋_GB2312" w:cs="Times New Roman"/>
          <w:sz w:val="32"/>
          <w:szCs w:val="32"/>
          <w:highlight w:val="none"/>
          <w:shd w:val="clear"/>
        </w:rPr>
        <w:t>从严控制“三公”经费支出</w:t>
      </w:r>
      <w:r>
        <w:rPr>
          <w:rFonts w:hint="eastAsia" w:ascii="Times New Roman" w:hAnsi="Times New Roman" w:eastAsia="仿宋_GB2312" w:cs="Times New Roman"/>
          <w:sz w:val="32"/>
          <w:szCs w:val="32"/>
          <w:highlight w:val="none"/>
          <w:shd w:val="clear"/>
          <w:lang w:eastAsia="zh-CN"/>
        </w:rPr>
        <w:t>，加强公务接待管理</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2024年接待批次减少，接待费用减少</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37</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274</w:t>
      </w:r>
      <w:r>
        <w:rPr>
          <w:rFonts w:ascii="Times New Roman" w:hAnsi="Times New Roman" w:eastAsia="仿宋_GB2312" w:cs="Times New Roman"/>
          <w:sz w:val="32"/>
          <w:szCs w:val="32"/>
        </w:rPr>
        <w:t>人次，</w:t>
      </w:r>
      <w:r>
        <w:rPr>
          <w:rFonts w:ascii="Times New Roman" w:hAnsi="Times New Roman" w:eastAsia="仿宋_GB2312" w:cs="Times New Roman"/>
          <w:sz w:val="32"/>
          <w:szCs w:val="32"/>
          <w:highlight w:val="none"/>
        </w:rPr>
        <w:t>主要是</w:t>
      </w:r>
      <w:r>
        <w:rPr>
          <w:rFonts w:hint="eastAsia" w:ascii="Times New Roman" w:hAnsi="Times New Roman" w:eastAsia="仿宋_GB2312" w:cs="Times New Roman"/>
          <w:sz w:val="32"/>
          <w:szCs w:val="32"/>
          <w:highlight w:val="none"/>
        </w:rPr>
        <w:t>纪检监察业务交流发生的</w:t>
      </w:r>
      <w:r>
        <w:rPr>
          <w:rFonts w:ascii="Times New Roman" w:hAnsi="Times New Roman" w:eastAsia="仿宋_GB2312" w:cs="Times New Roman"/>
          <w:sz w:val="32"/>
          <w:szCs w:val="32"/>
          <w:highlight w:val="none"/>
        </w:rPr>
        <w:t>接待支出。</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本部门无政府性基金收</w:t>
      </w:r>
      <w:r>
        <w:rPr>
          <w:rFonts w:hint="eastAsia" w:ascii="Times New Roman" w:hAnsi="Times New Roman" w:eastAsia="仿宋_GB2312" w:cs="Times New Roman"/>
          <w:sz w:val="32"/>
          <w:szCs w:val="32"/>
          <w:lang w:eastAsia="zh-CN"/>
        </w:rPr>
        <w:t>入</w:t>
      </w:r>
      <w:r>
        <w:rPr>
          <w:rFonts w:hint="eastAsia" w:ascii="Times New Roman" w:hAnsi="Times New Roman" w:eastAsia="仿宋_GB2312" w:cs="Times New Roman"/>
          <w:sz w:val="32"/>
          <w:szCs w:val="32"/>
        </w:rPr>
        <w:t>支</w:t>
      </w:r>
      <w:r>
        <w:rPr>
          <w:rFonts w:hint="eastAsia" w:ascii="Times New Roman" w:hAnsi="Times New Roman" w:eastAsia="仿宋_GB2312" w:cs="Times New Roman"/>
          <w:sz w:val="32"/>
          <w:szCs w:val="32"/>
          <w:lang w:eastAsia="zh-CN"/>
        </w:rPr>
        <w:t>出情况</w:t>
      </w:r>
      <w:r>
        <w:rPr>
          <w:rFonts w:hint="eastAsia"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rPr>
        <w:t>1,874.42</w:t>
      </w:r>
      <w:r>
        <w:rPr>
          <w:rFonts w:ascii="Times New Roman" w:hAnsi="Times New Roman" w:eastAsia="仿宋_GB2312" w:cs="Times New Roman"/>
          <w:sz w:val="32"/>
          <w:szCs w:val="32"/>
        </w:rPr>
        <w:t>万元，比上年决算数减少</w:t>
      </w:r>
      <w:r>
        <w:rPr>
          <w:rFonts w:hint="eastAsia" w:ascii="Times New Roman" w:hAnsi="Times New Roman" w:eastAsia="仿宋_GB2312" w:cs="Times New Roman"/>
          <w:sz w:val="32"/>
          <w:szCs w:val="32"/>
          <w:lang w:val="en-US" w:eastAsia="zh-CN"/>
        </w:rPr>
        <w:t>212.98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10.2</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进一步落实“过紧日子”要求，</w:t>
      </w:r>
      <w:r>
        <w:rPr>
          <w:rFonts w:hint="eastAsia" w:ascii="Times New Roman" w:hAnsi="Times New Roman" w:eastAsia="仿宋_GB2312" w:cs="Times New Roman"/>
          <w:sz w:val="32"/>
          <w:szCs w:val="32"/>
          <w:lang w:eastAsia="zh-CN"/>
        </w:rPr>
        <w:t>持续</w:t>
      </w:r>
      <w:r>
        <w:rPr>
          <w:rFonts w:hint="eastAsia" w:ascii="Times New Roman" w:hAnsi="Times New Roman" w:eastAsia="仿宋_GB2312" w:cs="Times New Roman"/>
          <w:sz w:val="32"/>
          <w:szCs w:val="32"/>
        </w:rPr>
        <w:t>压减一般性支出</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rPr>
        <w:t>20.49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主要</w:t>
      </w:r>
      <w:r>
        <w:rPr>
          <w:rFonts w:ascii="Times New Roman" w:hAnsi="Times New Roman" w:eastAsia="仿宋_GB2312" w:cs="Times New Roman"/>
          <w:sz w:val="32"/>
          <w:szCs w:val="32"/>
        </w:rPr>
        <w:t>用于</w:t>
      </w:r>
      <w:r>
        <w:rPr>
          <w:rFonts w:hint="eastAsia" w:ascii="Times New Roman" w:hAnsi="Times New Roman" w:eastAsia="仿宋_GB2312" w:cs="Times New Roman"/>
          <w:sz w:val="32"/>
          <w:szCs w:val="32"/>
        </w:rPr>
        <w:t>召开</w:t>
      </w:r>
      <w:r>
        <w:rPr>
          <w:rFonts w:hint="eastAsia" w:ascii="Times New Roman" w:hAnsi="Times New Roman" w:eastAsia="仿宋_GB2312" w:cs="Times New Roman"/>
          <w:sz w:val="32"/>
          <w:szCs w:val="32"/>
          <w:lang w:eastAsia="zh-CN"/>
        </w:rPr>
        <w:t>省纪委全会等会议</w:t>
      </w: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rPr>
        <w:t>141.53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主要</w:t>
      </w:r>
      <w:r>
        <w:rPr>
          <w:rFonts w:ascii="Times New Roman" w:hAnsi="Times New Roman" w:eastAsia="仿宋_GB2312" w:cs="Times New Roman"/>
          <w:sz w:val="32"/>
          <w:szCs w:val="32"/>
        </w:rPr>
        <w:t>用于开展</w:t>
      </w:r>
      <w:r>
        <w:rPr>
          <w:rFonts w:hint="eastAsia" w:ascii="Times New Roman" w:hAnsi="Times New Roman" w:eastAsia="仿宋_GB2312" w:cs="Times New Roman"/>
          <w:sz w:val="32"/>
          <w:szCs w:val="32"/>
          <w:lang w:val="en-US" w:eastAsia="zh-CN"/>
        </w:rPr>
        <w:t>2024年全省纪检监察案件审理业务</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lang w:eastAsia="zh-CN"/>
        </w:rPr>
        <w:t>、全省纪检监察信访举报工作法治化培训等；无</w:t>
      </w:r>
      <w:r>
        <w:rPr>
          <w:rFonts w:ascii="Times New Roman" w:hAnsi="Times New Roman" w:eastAsia="仿宋_GB2312" w:cs="Times New Roman"/>
          <w:sz w:val="32"/>
          <w:szCs w:val="32"/>
        </w:rPr>
        <w:t>举办节庆、晚会、论坛、赛事活动</w:t>
      </w:r>
      <w:r>
        <w:rPr>
          <w:rFonts w:hint="eastAsia" w:ascii="Times New Roman" w:hAnsi="Times New Roman" w:eastAsia="仿宋_GB2312" w:cs="Times New Roman"/>
          <w:sz w:val="32"/>
          <w:szCs w:val="32"/>
          <w:lang w:eastAsia="zh-CN"/>
        </w:rPr>
        <w:t>的</w:t>
      </w:r>
      <w:r>
        <w:rPr>
          <w:rFonts w:ascii="Times New Roman" w:hAnsi="Times New Roman" w:eastAsia="仿宋_GB2312" w:cs="Times New Roman"/>
          <w:sz w:val="32"/>
          <w:szCs w:val="32"/>
        </w:rPr>
        <w:t>开支</w:t>
      </w:r>
      <w:r>
        <w:rPr>
          <w:rFonts w:hint="eastAsia" w:ascii="Times New Roman" w:hAnsi="Times New Roman" w:eastAsia="仿宋_GB2312" w:cs="Times New Roman"/>
          <w:sz w:val="32"/>
          <w:szCs w:val="32"/>
          <w:lang w:eastAsia="zh-CN"/>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544.23</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414.32</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20.83</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109.08</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259.92</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47.76</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rPr>
        <w:t>259.92</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62.73</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p>
    <w:p>
      <w:pPr>
        <w:pStyle w:val="12"/>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2"/>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w:t>
      </w:r>
      <w:r>
        <w:rPr>
          <w:rFonts w:hint="eastAsia" w:ascii="Times New Roman" w:hAnsi="Times New Roman" w:eastAsia="仿宋_GB2312" w:cs="Times New Roman"/>
          <w:color w:val="auto"/>
          <w:sz w:val="32"/>
          <w:szCs w:val="32"/>
          <w:lang w:eastAsia="zh-CN"/>
        </w:rPr>
        <w:t>本</w:t>
      </w:r>
      <w:r>
        <w:rPr>
          <w:rFonts w:ascii="Times New Roman" w:hAnsi="Times New Roman" w:eastAsia="仿宋_GB2312" w:cs="Times New Roman"/>
          <w:color w:val="auto"/>
          <w:sz w:val="32"/>
          <w:szCs w:val="32"/>
        </w:rPr>
        <w:t>部门共有车辆</w:t>
      </w:r>
      <w:r>
        <w:rPr>
          <w:rFonts w:hint="eastAsia" w:ascii="Times New Roman" w:hAnsi="Times New Roman" w:eastAsia="仿宋_GB2312" w:cs="Times New Roman"/>
          <w:color w:val="auto"/>
          <w:sz w:val="32"/>
          <w:szCs w:val="32"/>
          <w:lang w:val="en-US" w:eastAsia="zh-CN"/>
        </w:rPr>
        <w:t>36</w:t>
      </w:r>
      <w:r>
        <w:rPr>
          <w:rFonts w:ascii="Times New Roman" w:hAnsi="Times New Roman" w:eastAsia="仿宋_GB2312" w:cs="Times New Roman"/>
          <w:color w:val="auto"/>
          <w:sz w:val="32"/>
          <w:szCs w:val="32"/>
        </w:rPr>
        <w:t>辆，其中，机要通信用车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13</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10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rPr>
        <w:t>实物保障用车</w:t>
      </w:r>
      <w:r>
        <w:rPr>
          <w:rFonts w:hint="eastAsia" w:ascii="Times New Roman" w:hAnsi="Times New Roman" w:eastAsia="仿宋_GB2312" w:cs="Times New Roman"/>
          <w:color w:val="auto"/>
          <w:sz w:val="32"/>
          <w:szCs w:val="32"/>
          <w:lang w:eastAsia="zh-CN"/>
        </w:rPr>
        <w:t>等</w:t>
      </w:r>
      <w:r>
        <w:rPr>
          <w:rFonts w:hint="eastAsia" w:ascii="Times New Roman" w:hAnsi="Times New Roman" w:eastAsia="仿宋_GB2312" w:cs="Times New Roman"/>
          <w:color w:val="auto"/>
          <w:sz w:val="32"/>
          <w:szCs w:val="32"/>
          <w:lang w:val="en-US" w:eastAsia="zh-CN"/>
        </w:rPr>
        <w:t>6</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台（套）。</w:t>
      </w:r>
    </w:p>
    <w:p>
      <w:pPr>
        <w:pStyle w:val="12"/>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楷体" w:cs="Times New Roman"/>
          <w:b/>
          <w:bCs/>
          <w:sz w:val="32"/>
          <w:szCs w:val="32"/>
        </w:rPr>
      </w:pPr>
      <w:r>
        <w:rPr>
          <w:rFonts w:ascii="Times New Roman" w:hAnsi="Times New Roman" w:eastAsia="楷体_GB2312" w:cs="Times New Roman"/>
          <w:b/>
          <w:bCs/>
          <w:sz w:val="32"/>
          <w:szCs w:val="32"/>
        </w:rPr>
        <w:t>（一）绩效评价工作开展情况。</w:t>
      </w:r>
      <w:r>
        <w:rPr>
          <w:rFonts w:hint="eastAsia" w:ascii="Times New Roman" w:hAnsi="Times New Roman" w:eastAsia="仿宋_GB2312" w:cs="Times New Roman"/>
          <w:sz w:val="32"/>
          <w:szCs w:val="32"/>
          <w:lang w:eastAsia="zh-CN"/>
        </w:rPr>
        <w:t>项目涉密，不予公开。</w:t>
      </w:r>
    </w:p>
    <w:p>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hint="eastAsia" w:ascii="Times New Roman" w:hAnsi="Times New Roman" w:eastAsia="仿宋_GB2312" w:cs="Times New Roman"/>
          <w:sz w:val="32"/>
          <w:szCs w:val="32"/>
          <w:lang w:eastAsia="zh-CN"/>
        </w:rPr>
        <w:t>项目涉密，不予公开。</w:t>
      </w:r>
    </w:p>
    <w:p>
      <w:pPr>
        <w:pStyle w:val="12"/>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rPr>
        <w:t>年度部门整体支出未偏离绩效目标。后阶段我们将严格按照预算编制的相关制度和要求，细化预算指标，提高预算编制科学性。进一步加强预算管理意识，定期做好预算执行情况分析，掌握预算执行进度，把控好预算实际执行情况与预算编制上的偏差，提高部门预算执行率，确保财政资金投入的成效。</w:t>
      </w:r>
    </w:p>
    <w:p>
      <w:pPr>
        <w:pStyle w:val="12"/>
        <w:jc w:val="center"/>
        <w:rPr>
          <w:rFonts w:ascii="Times New Roman" w:hAnsi="Times New Roman" w:cs="Times New Roman"/>
          <w:sz w:val="72"/>
          <w:szCs w:val="72"/>
        </w:rPr>
      </w:pPr>
    </w:p>
    <w:p>
      <w:pPr>
        <w:pStyle w:val="12"/>
        <w:jc w:val="both"/>
        <w:rPr>
          <w:rFonts w:ascii="Times New Roman" w:hAnsi="Times New Roman" w:cs="Times New Roman"/>
          <w:sz w:val="72"/>
          <w:szCs w:val="72"/>
        </w:rPr>
      </w:pPr>
    </w:p>
    <w:p>
      <w:pPr>
        <w:pStyle w:val="12"/>
        <w:spacing w:line="360" w:lineRule="auto"/>
        <w:jc w:val="center"/>
        <w:rPr>
          <w:rFonts w:ascii="Times New Roman" w:hAnsi="Times New Roman" w:eastAsia="方正小标宋_GBK" w:cs="Times New Roman"/>
          <w:sz w:val="52"/>
          <w:szCs w:val="52"/>
        </w:rPr>
      </w:pPr>
    </w:p>
    <w:p>
      <w:pPr>
        <w:pStyle w:val="12"/>
        <w:spacing w:line="360" w:lineRule="auto"/>
        <w:jc w:val="center"/>
        <w:rPr>
          <w:rFonts w:ascii="Times New Roman" w:hAnsi="Times New Roman" w:cs="Times New Roman"/>
          <w:color w:val="000000"/>
          <w:kern w:val="0"/>
          <w:sz w:val="32"/>
          <w:szCs w:val="32"/>
        </w:rPr>
      </w:pPr>
      <w:r>
        <w:rPr>
          <w:rFonts w:ascii="Times New Roman" w:hAnsi="Times New Roman" w:eastAsia="方正小标宋_GBK" w:cs="Times New Roman"/>
          <w:sz w:val="52"/>
          <w:szCs w:val="52"/>
        </w:rPr>
        <w:t>第四部分    名词解释</w:t>
      </w:r>
    </w:p>
    <w:p>
      <w:pPr>
        <w:pStyle w:val="12"/>
        <w:spacing w:line="600"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一般公共财政拨款：指省级财政当年拨付的资金。</w:t>
      </w:r>
    </w:p>
    <w:p>
      <w:pPr>
        <w:pStyle w:val="12"/>
        <w:spacing w:line="600"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基本支出：指为保障机构正常运转、完成日常工作任务而发生的人员支出和公用支出。</w:t>
      </w:r>
    </w:p>
    <w:p>
      <w:pPr>
        <w:pStyle w:val="12"/>
        <w:spacing w:line="600"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项目支出：指在基本支出以外为完成相关行政任务和事业发展目标所发生的支出。</w:t>
      </w:r>
    </w:p>
    <w:p>
      <w:pPr>
        <w:pStyle w:val="12"/>
        <w:spacing w:line="600"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三公”经费：指通过财政拨款资金安排的因公出国(境)费、公务用车购置及运行费和公务接待费支出。其中：因公出国(境)费指单位工作人员公务出国(境)的往返机票费、住宿费、伙食费、培训费等支出;公务用车购置及运行费指单位购置公务用车支出及公务用车使用过程中发生的租用费、燃料费、维修费、过路过桥费、保险费等支出;公务接待费指单位按规定开支的各类公务接待支出。</w:t>
      </w:r>
    </w:p>
    <w:p>
      <w:pPr>
        <w:pStyle w:val="12"/>
        <w:spacing w:line="600"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机关运行经费：是指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2"/>
        <w:spacing w:line="600" w:lineRule="exact"/>
        <w:ind w:firstLine="640" w:firstLineChars="200"/>
        <w:rPr>
          <w:rFonts w:ascii="Times New Roman" w:hAnsi="Times New Roman" w:eastAsia="方正小标宋_GBK" w:cs="Times New Roman"/>
          <w:sz w:val="52"/>
          <w:szCs w:val="52"/>
        </w:rPr>
      </w:pPr>
      <w:r>
        <w:rPr>
          <w:rFonts w:hint="eastAsia" w:ascii="Times New Roman" w:hAnsi="Times New Roman" w:eastAsia="仿宋_GB2312" w:cs="Times New Roman"/>
          <w:color w:val="000000"/>
          <w:kern w:val="0"/>
          <w:sz w:val="32"/>
          <w:szCs w:val="32"/>
        </w:rPr>
        <w:t>年末结转和结余：指本年度或以前年度预算安排、因客观条件发生变化无法按原计划实施，需要延迟到以后年度按有关规定继续使用的资金，既包括财政拨款结转和结余，也包括事业收入、其他收入的结转和结余。</w:t>
      </w: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2"/>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r>
        <w:rPr>
          <w:rFonts w:hint="eastAsia" w:ascii="Times New Roman" w:hAnsi="Times New Roman" w:eastAsia="仿宋_GB2312" w:cs="Times New Roman"/>
          <w:sz w:val="32"/>
          <w:szCs w:val="32"/>
          <w:lang w:eastAsia="zh-CN"/>
        </w:rPr>
        <w:t>（项目涉密，不予公开）</w:t>
      </w:r>
    </w:p>
    <w:p>
      <w:pPr>
        <w:pStyle w:val="12"/>
        <w:spacing w:line="600" w:lineRule="exact"/>
        <w:ind w:firstLine="640" w:firstLineChars="200"/>
        <w:rPr>
          <w:rFonts w:ascii="Times New Roman" w:hAnsi="Times New Roman" w:eastAsia="仿宋_GB2312" w:cs="Times New Roman"/>
          <w:sz w:val="32"/>
          <w:szCs w:val="3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5D5342"/>
    <w:multiLevelType w:val="singleLevel"/>
    <w:tmpl w:val="6A5D5342"/>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A62C59"/>
    <w:rsid w:val="027F36D7"/>
    <w:rsid w:val="02E27FAB"/>
    <w:rsid w:val="07E1261E"/>
    <w:rsid w:val="104D7984"/>
    <w:rsid w:val="10A4310A"/>
    <w:rsid w:val="12C227C3"/>
    <w:rsid w:val="14717EDF"/>
    <w:rsid w:val="18351BCF"/>
    <w:rsid w:val="18773E21"/>
    <w:rsid w:val="1A130AE9"/>
    <w:rsid w:val="1BD3107C"/>
    <w:rsid w:val="1D8D0790"/>
    <w:rsid w:val="1D97DEFF"/>
    <w:rsid w:val="1DFF72E5"/>
    <w:rsid w:val="1E2B25A6"/>
    <w:rsid w:val="1EFC6F07"/>
    <w:rsid w:val="1FD024AB"/>
    <w:rsid w:val="23955F3D"/>
    <w:rsid w:val="247424E3"/>
    <w:rsid w:val="256841A2"/>
    <w:rsid w:val="2FDF85B8"/>
    <w:rsid w:val="2FFFEE04"/>
    <w:rsid w:val="30D129F3"/>
    <w:rsid w:val="31AC45FC"/>
    <w:rsid w:val="33265983"/>
    <w:rsid w:val="34DF85B0"/>
    <w:rsid w:val="3573211F"/>
    <w:rsid w:val="3A95417D"/>
    <w:rsid w:val="3B8F36BC"/>
    <w:rsid w:val="3F4A0514"/>
    <w:rsid w:val="48AE0D5E"/>
    <w:rsid w:val="491FF225"/>
    <w:rsid w:val="4A4E5DD3"/>
    <w:rsid w:val="4D20690D"/>
    <w:rsid w:val="4E466678"/>
    <w:rsid w:val="4EC9602C"/>
    <w:rsid w:val="4FFD214C"/>
    <w:rsid w:val="5777D4F5"/>
    <w:rsid w:val="5785153C"/>
    <w:rsid w:val="59DD8326"/>
    <w:rsid w:val="5DEF592A"/>
    <w:rsid w:val="5FC6BB1E"/>
    <w:rsid w:val="5FF720F1"/>
    <w:rsid w:val="67FF5C0B"/>
    <w:rsid w:val="6ACB57CB"/>
    <w:rsid w:val="6EFC0924"/>
    <w:rsid w:val="6FB74722"/>
    <w:rsid w:val="6FEF8B7E"/>
    <w:rsid w:val="7187353A"/>
    <w:rsid w:val="71A6591B"/>
    <w:rsid w:val="71BD0F48"/>
    <w:rsid w:val="71E97068"/>
    <w:rsid w:val="732E7735"/>
    <w:rsid w:val="737D59BA"/>
    <w:rsid w:val="76BC3E60"/>
    <w:rsid w:val="77C37683"/>
    <w:rsid w:val="79D19834"/>
    <w:rsid w:val="79FF515B"/>
    <w:rsid w:val="7E9E1962"/>
    <w:rsid w:val="7E9F11B4"/>
    <w:rsid w:val="7EE817B7"/>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qFormat/>
    <w:uiPriority w:val="99"/>
    <w:rPr>
      <w:sz w:val="18"/>
      <w:szCs w:val="18"/>
    </w:rPr>
  </w:style>
  <w:style w:type="character" w:customStyle="1" w:styleId="11">
    <w:name w:val="页脚 Char"/>
    <w:basedOn w:val="8"/>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8"/>
    <w:link w:val="5"/>
    <w:semiHidden/>
    <w:qFormat/>
    <w:uiPriority w:val="99"/>
    <w:rPr>
      <w:sz w:val="18"/>
      <w:szCs w:val="18"/>
    </w:rPr>
  </w:style>
  <w:style w:type="character" w:customStyle="1" w:styleId="15">
    <w:name w:val="font01"/>
    <w:basedOn w:val="8"/>
    <w:qFormat/>
    <w:uiPriority w:val="0"/>
    <w:rPr>
      <w:rFonts w:hint="eastAsia" w:ascii="宋体" w:hAnsi="宋体" w:eastAsia="宋体" w:cs="宋体"/>
      <w:color w:val="000000"/>
      <w:sz w:val="22"/>
      <w:szCs w:val="22"/>
      <w:u w:val="none"/>
    </w:rPr>
  </w:style>
  <w:style w:type="character" w:customStyle="1" w:styleId="16">
    <w:name w:val="font21"/>
    <w:basedOn w:val="8"/>
    <w:qFormat/>
    <w:uiPriority w:val="0"/>
    <w:rPr>
      <w:rFonts w:hint="eastAsia" w:ascii="宋体" w:hAnsi="宋体" w:eastAsia="宋体" w:cs="宋体"/>
      <w:color w:val="000000"/>
      <w:sz w:val="24"/>
      <w:szCs w:val="24"/>
      <w:u w:val="none"/>
    </w:rPr>
  </w:style>
  <w:style w:type="character" w:customStyle="1" w:styleId="17">
    <w:name w:val="font1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ScaleCrop>false</ScaleCrop>
  <LinksUpToDate>false</LinksUpToDate>
  <CharactersWithSpaces>9786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2025-08-18T10:17:00Z</dcterms:created>
  <dc:creator>李航 null</dc:creator>
  <cp:lastModifiedBy>Administrator</cp:lastModifiedBy>
  <cp:lastPrinted>2025-09-04T01:38:10Z</cp:lastPrinted>
  <dcterms:modified xsi:type="dcterms:W3CDTF">2025-09-04T02:22:48Z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BB7B6AA21D207914D6FDA268992A22D6</vt:lpwstr>
  </property>
</Properties>
</file>