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sz w:val="56"/>
          <w:szCs w:val="56"/>
        </w:rPr>
      </w:pPr>
    </w:p>
    <w:p>
      <w:pPr>
        <w:pStyle w:val="16"/>
        <w:jc w:val="center"/>
        <w:rPr>
          <w:sz w:val="56"/>
          <w:szCs w:val="56"/>
        </w:rPr>
      </w:pPr>
    </w:p>
    <w:p>
      <w:pPr>
        <w:pStyle w:val="16"/>
        <w:jc w:val="center"/>
        <w:rPr>
          <w:sz w:val="84"/>
          <w:szCs w:val="84"/>
        </w:rPr>
      </w:pPr>
    </w:p>
    <w:p>
      <w:pPr>
        <w:pStyle w:val="16"/>
        <w:jc w:val="center"/>
        <w:rPr>
          <w:sz w:val="84"/>
          <w:szCs w:val="84"/>
        </w:rPr>
      </w:pPr>
    </w:p>
    <w:p>
      <w:pPr>
        <w:pStyle w:val="16"/>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202</w:t>
      </w:r>
      <w:r>
        <w:rPr>
          <w:rFonts w:hint="eastAsia" w:ascii="方正小标宋简体" w:hAnsi="方正小标宋简体" w:eastAsia="方正小标宋简体" w:cs="方正小标宋简体"/>
          <w:sz w:val="84"/>
          <w:szCs w:val="84"/>
          <w:lang w:val="en-US" w:eastAsia="zh-CN"/>
        </w:rPr>
        <w:t>3</w:t>
      </w:r>
      <w:r>
        <w:rPr>
          <w:rFonts w:hint="eastAsia" w:ascii="方正小标宋简体" w:hAnsi="方正小标宋简体" w:eastAsia="方正小标宋简体" w:cs="方正小标宋简体"/>
          <w:sz w:val="84"/>
          <w:szCs w:val="84"/>
        </w:rPr>
        <w:t>年度</w:t>
      </w:r>
    </w:p>
    <w:p>
      <w:pPr>
        <w:pStyle w:val="16"/>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lang w:eastAsia="zh-CN"/>
        </w:rPr>
        <w:t>湖南省信访局</w:t>
      </w:r>
      <w:r>
        <w:rPr>
          <w:rFonts w:hint="eastAsia" w:ascii="方正小标宋简体" w:hAnsi="方正小标宋简体" w:eastAsia="方正小标宋简体" w:cs="方正小标宋简体"/>
          <w:sz w:val="84"/>
          <w:szCs w:val="84"/>
        </w:rPr>
        <w:t>部门决算</w:t>
      </w:r>
    </w:p>
    <w:p>
      <w:pPr>
        <w:pStyle w:val="16"/>
        <w:jc w:val="center"/>
        <w:rPr>
          <w:rFonts w:hint="eastAsia" w:ascii="方正小标宋_GBK" w:hAnsi="方正小标宋_GBK" w:eastAsia="方正小标宋_GBK" w:cs="方正小标宋_GBK"/>
          <w:sz w:val="56"/>
          <w:szCs w:val="56"/>
        </w:rPr>
      </w:pPr>
    </w:p>
    <w:p>
      <w:pPr>
        <w:pStyle w:val="16"/>
        <w:jc w:val="center"/>
        <w:rPr>
          <w:sz w:val="56"/>
          <w:szCs w:val="56"/>
        </w:rPr>
      </w:pPr>
    </w:p>
    <w:p>
      <w:pPr>
        <w:pStyle w:val="16"/>
        <w:jc w:val="center"/>
        <w:rPr>
          <w:sz w:val="56"/>
          <w:szCs w:val="56"/>
        </w:rPr>
      </w:pPr>
    </w:p>
    <w:p>
      <w:pPr>
        <w:pStyle w:val="16"/>
        <w:jc w:val="center"/>
        <w:rPr>
          <w:sz w:val="56"/>
          <w:szCs w:val="56"/>
        </w:rPr>
      </w:pPr>
    </w:p>
    <w:p>
      <w:pPr>
        <w:pStyle w:val="16"/>
        <w:jc w:val="center"/>
        <w:rPr>
          <w:sz w:val="32"/>
          <w:szCs w:val="32"/>
        </w:rPr>
      </w:pPr>
    </w:p>
    <w:p>
      <w:pPr>
        <w:pStyle w:val="16"/>
        <w:jc w:val="center"/>
        <w:rPr>
          <w:sz w:val="32"/>
          <w:szCs w:val="32"/>
        </w:rPr>
      </w:pPr>
    </w:p>
    <w:p>
      <w:pPr>
        <w:pStyle w:val="16"/>
        <w:spacing w:line="500" w:lineRule="exact"/>
        <w:jc w:val="center"/>
        <w:rPr>
          <w:b/>
          <w:sz w:val="36"/>
          <w:szCs w:val="28"/>
        </w:rPr>
      </w:pPr>
      <w:r>
        <w:rPr>
          <w:rFonts w:hint="eastAsia"/>
          <w:b/>
          <w:sz w:val="36"/>
          <w:szCs w:val="28"/>
        </w:rPr>
        <w:t>目录</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default" w:hAnsi="黑体" w:cs="黑体"/>
          <w:b w:val="0"/>
          <w:bCs/>
          <w:sz w:val="28"/>
          <w:szCs w:val="28"/>
          <w:lang w:eastAsia="zh-CN"/>
        </w:rPr>
        <w:t>（单位）</w:t>
      </w:r>
      <w:r>
        <w:rPr>
          <w:rFonts w:hint="eastAsia" w:ascii="黑体" w:hAnsi="黑体" w:eastAsia="黑体" w:cs="黑体"/>
          <w:b w:val="0"/>
          <w:bCs/>
          <w:sz w:val="28"/>
          <w:szCs w:val="28"/>
        </w:rPr>
        <w:t>概况</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6"/>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第一部分</w:t>
      </w: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湖南省信访局</w:t>
      </w:r>
      <w:r>
        <w:rPr>
          <w:rFonts w:hint="eastAsia" w:ascii="方正小标宋_GBK" w:hAnsi="方正小标宋_GBK" w:eastAsia="方正小标宋_GBK" w:cs="方正小标宋_GBK"/>
          <w:sz w:val="84"/>
          <w:szCs w:val="84"/>
        </w:rPr>
        <w:t>概况</w:t>
      </w:r>
    </w:p>
    <w:p>
      <w:pPr>
        <w:pStyle w:val="16"/>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72"/>
          <w:szCs w:val="72"/>
        </w:rPr>
      </w:pPr>
    </w:p>
    <w:p>
      <w:pPr>
        <w:pStyle w:val="10"/>
        <w:rPr>
          <w:rFonts w:hint="eastAsia"/>
        </w:rPr>
      </w:pPr>
    </w:p>
    <w:p>
      <w:pPr>
        <w:pStyle w:val="10"/>
        <w:rPr>
          <w:rFonts w:hint="eastAsia"/>
        </w:rPr>
      </w:pPr>
    </w:p>
    <w:p>
      <w:pPr>
        <w:jc w:val="center"/>
        <w:rPr>
          <w:rFonts w:hint="eastAsia" w:ascii="方正小标宋_GBK" w:hAnsi="方正小标宋_GBK" w:eastAsia="方正小标宋_GBK" w:cs="方正小标宋_GBK"/>
          <w:sz w:val="72"/>
          <w:szCs w:val="72"/>
        </w:rPr>
      </w:pPr>
    </w:p>
    <w:p>
      <w:pPr>
        <w:pStyle w:val="17"/>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（一）认真贯彻落实习近平总书记关于加强和改进人民信访工作的重要思想，督促检查中央和省委、省政府关于信访工作决策部署的落实。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）负责处理群众给省委、省政府和省信访局及其领导同志的来信，接待群众来访，为领导同志接待信访群众做好相关准备和保障工作。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办理上级交办的信访事项；向有关地方和部门转送、交办信访事项；完善和督促落实信访工作责任制，督办领导同志有关批示件和重要信访事项，协调处理重大疑难复杂的信访事项，推动信访问题依法及时就地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）负责向省委、省政府报告群众来信来访中提出的重要意见、建议和问题，研究分析信访信息和情况，开展调查研究，为省委、省政府提出完善政策和改进工作的建议。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）加大信访宣传，规范信访工作行为和信访人的信访行为，引导群众依法逐级理性表达利益诉求，驻京劝返进京上访人员，配合有关部门维护信访秩序。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）综合指导全省信访工作，研究、起草有关信访工作法律制度，推进全省信访工作制度改革和法治化建设。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）指导全省信访工作信息化建设，为全省“互联网＋信访”工作提供技术支持。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）指导全省信访干部队伍建设，制定信访干部人才队伍建设和教育培训计划，并组织实施。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）承担省信访工作联席会议日常工作，督促省信访工作联席会议决议事项的落实；承担省人民政府信访事项复查复核委员会日常工作，办理群众向省政府申请复查复核的信访事项。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）完成省委、省政府交办的其他任务。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湖南省信访局</w:t>
      </w:r>
      <w:r>
        <w:rPr>
          <w:rFonts w:hint="eastAsia" w:ascii="Times New Roman" w:hAnsi="Times New Roman" w:eastAsia="仿宋_GB2312" w:cs="仿宋_GB2312"/>
          <w:bCs/>
          <w:kern w:val="0"/>
          <w:sz w:val="32"/>
          <w:szCs w:val="32"/>
        </w:rPr>
        <w:t>内设机构包括：</w:t>
      </w:r>
      <w:r>
        <w:rPr>
          <w:rFonts w:hint="eastAsia" w:ascii="仿宋_GB2312" w:hAnsi="仿宋_GB2312" w:eastAsia="仿宋_GB2312" w:cs="仿宋_GB2312"/>
          <w:sz w:val="32"/>
          <w:szCs w:val="32"/>
          <w:lang w:val="en-US" w:eastAsia="zh-CN"/>
        </w:rPr>
        <w:t>办公室、综合调研处、督查处、办信处、网络信访处、接访一处、接访二处、驻京劝返处、政策法规处、机关党委（人事处）等10个职能处室。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湖南省信访局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年部门决算公开单位构成</w:t>
      </w:r>
      <w:r>
        <w:rPr>
          <w:rFonts w:hint="default" w:ascii="Times New Roman" w:hAnsi="Times New Roman" w:eastAsia="仿宋_GB2312" w:cs="仿宋_GB2312"/>
          <w:bCs/>
          <w:kern w:val="0"/>
          <w:sz w:val="32"/>
          <w:szCs w:val="32"/>
        </w:rPr>
        <w:t>仅</w:t>
      </w:r>
      <w:r>
        <w:rPr>
          <w:rFonts w:hint="eastAsia" w:ascii="Times New Roman" w:hAnsi="Times New Roman" w:eastAsia="仿宋_GB2312" w:cs="仿宋_GB2312"/>
          <w:bCs/>
          <w:kern w:val="0"/>
          <w:sz w:val="32"/>
          <w:szCs w:val="32"/>
          <w:lang w:eastAsia="zh-CN"/>
        </w:rPr>
        <w:t>湖南省信访局机关</w:t>
      </w:r>
      <w:r>
        <w:rPr>
          <w:rFonts w:hint="eastAsia" w:ascii="Times New Roman" w:hAnsi="Times New Roman" w:eastAsia="仿宋_GB2312" w:cs="仿宋_GB2312"/>
          <w:bCs/>
          <w:kern w:val="0"/>
          <w:sz w:val="32"/>
          <w:szCs w:val="32"/>
        </w:rPr>
        <w:t>本</w:t>
      </w:r>
      <w:r>
        <w:rPr>
          <w:rFonts w:hint="eastAsia" w:ascii="Times New Roman" w:hAnsi="Times New Roman" w:eastAsia="仿宋_GB2312" w:cs="仿宋_GB2312"/>
          <w:bCs/>
          <w:kern w:val="0"/>
          <w:sz w:val="32"/>
          <w:szCs w:val="32"/>
          <w:lang w:eastAsia="zh-CN"/>
        </w:rPr>
        <w:t>级</w:t>
      </w:r>
      <w:r>
        <w:rPr>
          <w:rFonts w:hint="eastAsia" w:ascii="Times New Roman" w:hAnsi="Times New Roman" w:eastAsia="仿宋_GB2312" w:cs="仿宋_GB2312"/>
          <w:bCs/>
          <w:kern w:val="0"/>
          <w:sz w:val="32"/>
          <w:szCs w:val="32"/>
          <w:lang w:val="en-US" w:eastAsia="zh-CN"/>
        </w:rPr>
        <w:t>1个单位。</w:t>
      </w:r>
    </w:p>
    <w:p>
      <w:pPr>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br w:type="page"/>
      </w:r>
      <w:bookmarkStart w:id="3" w:name="_GoBack"/>
      <w:bookmarkEnd w:id="3"/>
    </w:p>
    <w:p>
      <w:pPr>
        <w:keepNext w:val="0"/>
        <w:keepLines w:val="0"/>
        <w:pageBreakBefore w:val="0"/>
        <w:widowControl w:val="0"/>
        <w:kinsoku/>
        <w:wordWrap/>
        <w:overflowPunct/>
        <w:topLinePunct w:val="0"/>
        <w:bidi w:val="0"/>
        <w:snapToGrid/>
        <w:jc w:val="center"/>
        <w:textAlignment w:val="auto"/>
        <w:rPr>
          <w:sz w:val="72"/>
          <w:szCs w:val="72"/>
        </w:rPr>
      </w:pPr>
    </w:p>
    <w:p>
      <w:pPr>
        <w:pStyle w:val="16"/>
        <w:keepNext w:val="0"/>
        <w:keepLines w:val="0"/>
        <w:pageBreakBefore w:val="0"/>
        <w:widowControl w:val="0"/>
        <w:kinsoku/>
        <w:wordWrap/>
        <w:overflowPunct/>
        <w:topLinePunct w:val="0"/>
        <w:bidi w:val="0"/>
        <w:snapToGrid/>
        <w:jc w:val="center"/>
        <w:textAlignment w:val="auto"/>
        <w:rPr>
          <w:rFonts w:hint="eastAsia" w:ascii="方正小标宋_GBK" w:hAnsi="方正小标宋_GBK" w:eastAsia="方正小标宋_GBK" w:cs="方正小标宋_GBK"/>
          <w:sz w:val="84"/>
          <w:szCs w:val="84"/>
        </w:rPr>
      </w:pPr>
    </w:p>
    <w:p>
      <w:pPr>
        <w:pStyle w:val="16"/>
        <w:keepNext w:val="0"/>
        <w:keepLines w:val="0"/>
        <w:pageBreakBefore w:val="0"/>
        <w:widowControl w:val="0"/>
        <w:kinsoku/>
        <w:wordWrap/>
        <w:overflowPunct/>
        <w:topLinePunct w:val="0"/>
        <w:bidi w:val="0"/>
        <w:snapToGrid/>
        <w:jc w:val="center"/>
        <w:textAlignment w:val="auto"/>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6"/>
        <w:keepNext w:val="0"/>
        <w:keepLines w:val="0"/>
        <w:pageBreakBefore w:val="0"/>
        <w:widowControl w:val="0"/>
        <w:kinsoku/>
        <w:wordWrap/>
        <w:overflowPunct/>
        <w:topLinePunct w:val="0"/>
        <w:bidi w:val="0"/>
        <w:snapToGrid/>
        <w:jc w:val="center"/>
        <w:textAlignment w:val="auto"/>
        <w:rPr>
          <w:rFonts w:hint="eastAsia" w:ascii="方正小标宋_GBK" w:hAnsi="方正小标宋_GBK" w:eastAsia="方正小标宋_GBK" w:cs="方正小标宋_GBK"/>
          <w:sz w:val="84"/>
          <w:szCs w:val="84"/>
        </w:rPr>
      </w:pPr>
    </w:p>
    <w:p>
      <w:pPr>
        <w:pStyle w:val="16"/>
        <w:keepNext w:val="0"/>
        <w:keepLines w:val="0"/>
        <w:pageBreakBefore w:val="0"/>
        <w:widowControl w:val="0"/>
        <w:kinsoku/>
        <w:wordWrap/>
        <w:overflowPunct/>
        <w:topLinePunct w:val="0"/>
        <w:bidi w:val="0"/>
        <w:snapToGrid/>
        <w:jc w:val="center"/>
        <w:textAlignment w:val="auto"/>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headerReference r:id="rId3" w:type="first"/>
          <w:footerReference r:id="rId4" w:type="default"/>
          <w:pgSz w:w="11906" w:h="16838"/>
          <w:pgMar w:top="2098" w:right="1474" w:bottom="1984" w:left="1587" w:header="851" w:footer="992" w:gutter="0"/>
          <w:pgNumType w:fmt="numberInDash"/>
          <w:cols w:space="0" w:num="1"/>
          <w:titlePg/>
          <w:rtlGutter w:val="0"/>
          <w:docGrid w:type="lines" w:linePitch="312" w:charSpace="0"/>
        </w:sectPr>
      </w:pPr>
    </w:p>
    <w:tbl>
      <w:tblPr>
        <w:tblStyle w:val="12"/>
        <w:tblW w:w="15640" w:type="dxa"/>
        <w:jc w:val="center"/>
        <w:tblLayout w:type="autofit"/>
        <w:tblCellMar>
          <w:top w:w="0" w:type="dxa"/>
          <w:left w:w="0" w:type="dxa"/>
          <w:bottom w:w="0" w:type="dxa"/>
          <w:right w:w="0" w:type="dxa"/>
        </w:tblCellMar>
      </w:tblPr>
      <w:tblGrid>
        <w:gridCol w:w="106"/>
        <w:gridCol w:w="164"/>
        <w:gridCol w:w="748"/>
        <w:gridCol w:w="218"/>
        <w:gridCol w:w="263"/>
        <w:gridCol w:w="2202"/>
        <w:gridCol w:w="436"/>
        <w:gridCol w:w="646"/>
        <w:gridCol w:w="432"/>
        <w:gridCol w:w="272"/>
        <w:gridCol w:w="751"/>
        <w:gridCol w:w="974"/>
        <w:gridCol w:w="646"/>
        <w:gridCol w:w="768"/>
        <w:gridCol w:w="386"/>
        <w:gridCol w:w="241"/>
        <w:gridCol w:w="5"/>
        <w:gridCol w:w="435"/>
        <w:gridCol w:w="909"/>
        <w:gridCol w:w="121"/>
        <w:gridCol w:w="543"/>
        <w:gridCol w:w="672"/>
        <w:gridCol w:w="359"/>
        <w:gridCol w:w="363"/>
        <w:gridCol w:w="628"/>
        <w:gridCol w:w="689"/>
        <w:gridCol w:w="77"/>
        <w:gridCol w:w="1468"/>
        <w:gridCol w:w="105"/>
        <w:gridCol w:w="13"/>
      </w:tblGrid>
      <w:tr>
        <w:tblPrEx>
          <w:tblCellMar>
            <w:top w:w="0" w:type="dxa"/>
            <w:left w:w="0" w:type="dxa"/>
            <w:bottom w:w="0" w:type="dxa"/>
            <w:right w:w="0" w:type="dxa"/>
          </w:tblCellMar>
        </w:tblPrEx>
        <w:trPr>
          <w:gridAfter w:val="2"/>
          <w:wAfter w:w="118" w:type="dxa"/>
          <w:trHeight w:val="680" w:hRule="atLeast"/>
          <w:jc w:val="center"/>
        </w:trPr>
        <w:tc>
          <w:tcPr>
            <w:tcW w:w="15522" w:type="dxa"/>
            <w:gridSpan w:val="28"/>
            <w:tcBorders>
              <w:top w:val="nil"/>
              <w:left w:val="nil"/>
              <w:bottom w:val="nil"/>
              <w:right w:val="nil"/>
            </w:tcBorders>
            <w:shd w:val="clear" w:color="auto" w:fill="auto"/>
            <w:noWrap/>
            <w:tcMar>
              <w:top w:w="15" w:type="dxa"/>
              <w:left w:w="15" w:type="dxa"/>
              <w:bottom w:w="0" w:type="dxa"/>
              <w:right w:w="15" w:type="dxa"/>
            </w:tcMar>
            <w:vAlign w:val="center"/>
          </w:tcPr>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16"/>
              <w:gridCol w:w="636"/>
              <w:gridCol w:w="2349"/>
              <w:gridCol w:w="3768"/>
              <w:gridCol w:w="1552"/>
              <w:gridCol w:w="567"/>
              <w:gridCol w:w="2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61" w:type="pct"/>
                  <w:tcBorders>
                    <w:top w:val="nil"/>
                    <w:left w:val="nil"/>
                    <w:bottom w:val="nil"/>
                    <w:right w:val="nil"/>
                  </w:tcBorders>
                  <w:shd w:val="clear" w:color="auto" w:fill="FFFFFF"/>
                  <w:noWrap/>
                  <w:vAlign w:val="center"/>
                </w:tcPr>
                <w:p>
                  <w:pPr>
                    <w:jc w:val="right"/>
                    <w:rPr>
                      <w:rFonts w:hint="eastAsia" w:ascii="仿宋_GB2312" w:hAnsi="仿宋_GB2312" w:eastAsia="仿宋_GB2312" w:cs="仿宋_GB2312"/>
                      <w:i w:val="0"/>
                      <w:color w:val="000000"/>
                      <w:sz w:val="21"/>
                      <w:szCs w:val="21"/>
                      <w:u w:val="none"/>
                    </w:rPr>
                  </w:pPr>
                </w:p>
              </w:tc>
              <w:tc>
                <w:tcPr>
                  <w:tcW w:w="205" w:type="pct"/>
                  <w:tcBorders>
                    <w:top w:val="nil"/>
                    <w:left w:val="nil"/>
                    <w:bottom w:val="nil"/>
                    <w:right w:val="nil"/>
                  </w:tcBorders>
                  <w:shd w:val="clear" w:color="auto" w:fill="FFFFFF"/>
                  <w:noWrap/>
                  <w:vAlign w:val="center"/>
                </w:tcPr>
                <w:p>
                  <w:pPr>
                    <w:jc w:val="right"/>
                    <w:rPr>
                      <w:rFonts w:hint="eastAsia" w:ascii="仿宋_GB2312" w:hAnsi="仿宋_GB2312" w:eastAsia="仿宋_GB2312" w:cs="仿宋_GB2312"/>
                      <w:i w:val="0"/>
                      <w:color w:val="000000"/>
                      <w:sz w:val="21"/>
                      <w:szCs w:val="21"/>
                      <w:u w:val="none"/>
                    </w:rPr>
                  </w:pPr>
                </w:p>
              </w:tc>
              <w:tc>
                <w:tcPr>
                  <w:tcW w:w="758" w:type="pct"/>
                  <w:tcBorders>
                    <w:top w:val="nil"/>
                    <w:left w:val="nil"/>
                    <w:bottom w:val="nil"/>
                    <w:right w:val="nil"/>
                  </w:tcBorders>
                  <w:shd w:val="clear" w:color="auto" w:fill="FFFFFF"/>
                  <w:noWrap/>
                  <w:vAlign w:val="center"/>
                </w:tcPr>
                <w:p>
                  <w:pPr>
                    <w:jc w:val="right"/>
                    <w:rPr>
                      <w:rFonts w:hint="eastAsia" w:ascii="仿宋_GB2312" w:hAnsi="仿宋_GB2312" w:eastAsia="仿宋_GB2312" w:cs="仿宋_GB2312"/>
                      <w:i w:val="0"/>
                      <w:color w:val="000000"/>
                      <w:sz w:val="21"/>
                      <w:szCs w:val="21"/>
                      <w:u w:val="none"/>
                    </w:rPr>
                  </w:pPr>
                </w:p>
              </w:tc>
              <w:tc>
                <w:tcPr>
                  <w:tcW w:w="1216" w:type="pct"/>
                  <w:tcBorders>
                    <w:top w:val="nil"/>
                    <w:left w:val="nil"/>
                    <w:bottom w:val="nil"/>
                    <w:right w:val="nil"/>
                  </w:tcBorders>
                  <w:shd w:val="clear" w:color="auto" w:fill="FFFFFF"/>
                  <w:noWrap/>
                  <w:vAlign w:val="center"/>
                </w:tcPr>
                <w:p>
                  <w:pPr>
                    <w:jc w:val="right"/>
                    <w:rPr>
                      <w:rFonts w:hint="eastAsia" w:ascii="仿宋_GB2312" w:hAnsi="仿宋_GB2312" w:eastAsia="仿宋_GB2312" w:cs="仿宋_GB2312"/>
                      <w:i w:val="0"/>
                      <w:color w:val="000000"/>
                      <w:sz w:val="21"/>
                      <w:szCs w:val="21"/>
                      <w:u w:val="none"/>
                    </w:rPr>
                  </w:pPr>
                </w:p>
              </w:tc>
              <w:tc>
                <w:tcPr>
                  <w:tcW w:w="684" w:type="pct"/>
                  <w:gridSpan w:val="2"/>
                  <w:tcBorders>
                    <w:top w:val="nil"/>
                    <w:left w:val="nil"/>
                    <w:bottom w:val="nil"/>
                    <w:right w:val="nil"/>
                  </w:tcBorders>
                  <w:shd w:val="clear" w:color="auto" w:fill="FFFFFF"/>
                  <w:noWrap/>
                  <w:vAlign w:val="center"/>
                </w:tcPr>
                <w:p>
                  <w:pPr>
                    <w:jc w:val="center"/>
                    <w:rPr>
                      <w:rFonts w:hint="eastAsia" w:ascii="仿宋_GB2312" w:hAnsi="仿宋_GB2312" w:eastAsia="仿宋_GB2312" w:cs="仿宋_GB2312"/>
                      <w:i w:val="0"/>
                      <w:color w:val="000000"/>
                      <w:sz w:val="21"/>
                      <w:szCs w:val="21"/>
                      <w:u w:val="none"/>
                    </w:rPr>
                  </w:pPr>
                </w:p>
              </w:tc>
              <w:tc>
                <w:tcPr>
                  <w:tcW w:w="775" w:type="pct"/>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61"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部门：湖南省信访局</w:t>
                  </w:r>
                </w:p>
              </w:tc>
              <w:tc>
                <w:tcPr>
                  <w:tcW w:w="205" w:type="pct"/>
                  <w:tcBorders>
                    <w:top w:val="nil"/>
                    <w:left w:val="nil"/>
                    <w:bottom w:val="nil"/>
                    <w:right w:val="nil"/>
                  </w:tcBorders>
                  <w:shd w:val="clear" w:color="auto" w:fill="FFFFFF"/>
                  <w:noWrap/>
                  <w:vAlign w:val="center"/>
                </w:tcPr>
                <w:p>
                  <w:pPr>
                    <w:jc w:val="right"/>
                    <w:rPr>
                      <w:rFonts w:hint="eastAsia" w:ascii="仿宋_GB2312" w:hAnsi="仿宋_GB2312" w:eastAsia="仿宋_GB2312" w:cs="仿宋_GB2312"/>
                      <w:i w:val="0"/>
                      <w:color w:val="000000"/>
                      <w:sz w:val="21"/>
                      <w:szCs w:val="21"/>
                      <w:u w:val="none"/>
                    </w:rPr>
                  </w:pPr>
                </w:p>
              </w:tc>
              <w:tc>
                <w:tcPr>
                  <w:tcW w:w="758" w:type="pct"/>
                  <w:tcBorders>
                    <w:top w:val="nil"/>
                    <w:left w:val="nil"/>
                    <w:bottom w:val="nil"/>
                    <w:right w:val="nil"/>
                  </w:tcBorders>
                  <w:shd w:val="clear" w:color="auto" w:fill="FFFFFF"/>
                  <w:noWrap/>
                  <w:vAlign w:val="center"/>
                </w:tcPr>
                <w:p>
                  <w:pPr>
                    <w:jc w:val="right"/>
                    <w:rPr>
                      <w:rFonts w:hint="eastAsia" w:ascii="仿宋_GB2312" w:hAnsi="仿宋_GB2312" w:eastAsia="仿宋_GB2312" w:cs="仿宋_GB2312"/>
                      <w:i w:val="0"/>
                      <w:color w:val="000000"/>
                      <w:sz w:val="21"/>
                      <w:szCs w:val="21"/>
                      <w:u w:val="none"/>
                    </w:rPr>
                  </w:pPr>
                </w:p>
              </w:tc>
              <w:tc>
                <w:tcPr>
                  <w:tcW w:w="1216" w:type="pct"/>
                  <w:tcBorders>
                    <w:top w:val="nil"/>
                    <w:left w:val="nil"/>
                    <w:bottom w:val="nil"/>
                    <w:right w:val="nil"/>
                  </w:tcBorders>
                  <w:shd w:val="clear" w:color="auto" w:fill="FFFFFF"/>
                  <w:noWrap/>
                  <w:vAlign w:val="center"/>
                </w:tcPr>
                <w:p>
                  <w:pPr>
                    <w:jc w:val="right"/>
                    <w:rPr>
                      <w:rFonts w:hint="eastAsia" w:ascii="仿宋_GB2312" w:hAnsi="仿宋_GB2312" w:eastAsia="仿宋_GB2312" w:cs="仿宋_GB2312"/>
                      <w:i w:val="0"/>
                      <w:color w:val="000000"/>
                      <w:sz w:val="21"/>
                      <w:szCs w:val="21"/>
                      <w:u w:val="none"/>
                    </w:rPr>
                  </w:pPr>
                </w:p>
              </w:tc>
              <w:tc>
                <w:tcPr>
                  <w:tcW w:w="684" w:type="pct"/>
                  <w:gridSpan w:val="2"/>
                  <w:tcBorders>
                    <w:top w:val="nil"/>
                    <w:left w:val="nil"/>
                    <w:bottom w:val="nil"/>
                    <w:right w:val="nil"/>
                  </w:tcBorders>
                  <w:shd w:val="clear" w:color="auto" w:fill="FFFFFF"/>
                  <w:noWrap/>
                  <w:vAlign w:val="center"/>
                </w:tcPr>
                <w:p>
                  <w:pPr>
                    <w:jc w:val="center"/>
                    <w:rPr>
                      <w:rFonts w:hint="eastAsia" w:ascii="仿宋_GB2312" w:hAnsi="仿宋_GB2312" w:eastAsia="仿宋_GB2312" w:cs="仿宋_GB2312"/>
                      <w:i w:val="0"/>
                      <w:color w:val="000000"/>
                      <w:sz w:val="21"/>
                      <w:szCs w:val="21"/>
                      <w:u w:val="none"/>
                    </w:rPr>
                  </w:pPr>
                </w:p>
              </w:tc>
              <w:tc>
                <w:tcPr>
                  <w:tcW w:w="775" w:type="pct"/>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2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收入</w:t>
                  </w:r>
                </w:p>
              </w:tc>
              <w:tc>
                <w:tcPr>
                  <w:tcW w:w="2675"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    目</w:t>
                  </w:r>
                </w:p>
              </w:tc>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行次</w:t>
                  </w:r>
                </w:p>
              </w:tc>
              <w:tc>
                <w:tcPr>
                  <w:tcW w:w="7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决算数</w:t>
                  </w:r>
                </w:p>
              </w:tc>
              <w:tc>
                <w:tcPr>
                  <w:tcW w:w="1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    目</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行次</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栏    次</w:t>
                  </w:r>
                </w:p>
              </w:tc>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i w:val="0"/>
                      <w:color w:val="000000"/>
                      <w:sz w:val="21"/>
                      <w:szCs w:val="21"/>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栏    次</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i w:val="0"/>
                      <w:color w:val="000000"/>
                      <w:sz w:val="21"/>
                      <w:szCs w:val="21"/>
                      <w:u w:val="none"/>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一、一般公共预算财政拨款收入</w:t>
                  </w:r>
                </w:p>
              </w:tc>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4662.30</w:t>
                  </w:r>
                </w:p>
              </w:tc>
              <w:tc>
                <w:tcPr>
                  <w:tcW w:w="1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一、一般公共服务支出</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3826.93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二、政府性基金预算财政拨款收入</w:t>
                  </w:r>
                </w:p>
              </w:tc>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二、外交支出</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三、国有资本经营预算财政拨款收入</w:t>
                  </w:r>
                </w:p>
              </w:tc>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三、国防支出</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四、上级补助收入</w:t>
                  </w:r>
                </w:p>
              </w:tc>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四、公共安全支出</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五、事业收入</w:t>
                  </w:r>
                </w:p>
              </w:tc>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五、教育支出</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43.80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六、经营收入</w:t>
                  </w:r>
                </w:p>
              </w:tc>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六、科学技术支出</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1" w:type="pct"/>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七、附属单位上缴收入</w:t>
                  </w:r>
                </w:p>
              </w:tc>
              <w:tc>
                <w:tcPr>
                  <w:tcW w:w="205" w:type="pct"/>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75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rPr>
                  </w:pPr>
                </w:p>
              </w:tc>
              <w:tc>
                <w:tcPr>
                  <w:tcW w:w="121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七、文化旅游体育与传媒支出</w:t>
                  </w:r>
                </w:p>
              </w:tc>
              <w:tc>
                <w:tcPr>
                  <w:tcW w:w="501" w:type="pct"/>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958"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八、其他收入</w:t>
                  </w: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75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_GB2312" w:hAnsi="仿宋_GB2312" w:eastAsia="仿宋_GB2312" w:cs="仿宋_GB2312"/>
                      <w:i w:val="0"/>
                      <w:color w:val="000000"/>
                      <w:sz w:val="21"/>
                      <w:szCs w:val="21"/>
                      <w:u w:val="none"/>
                    </w:rPr>
                  </w:pPr>
                </w:p>
              </w:tc>
              <w:tc>
                <w:tcPr>
                  <w:tcW w:w="121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八、社会保障和就业支出</w:t>
                  </w:r>
                </w:p>
              </w:tc>
              <w:tc>
                <w:tcPr>
                  <w:tcW w:w="50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w:t>
                  </w: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413.35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75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rPr>
                  </w:pPr>
                </w:p>
              </w:tc>
              <w:tc>
                <w:tcPr>
                  <w:tcW w:w="121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rPr>
                  </w:pPr>
                </w:p>
              </w:tc>
              <w:tc>
                <w:tcPr>
                  <w:tcW w:w="50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本年收入合计</w:t>
                  </w: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75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4662.30</w:t>
                  </w:r>
                </w:p>
              </w:tc>
              <w:tc>
                <w:tcPr>
                  <w:tcW w:w="12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本年支出合计</w:t>
                  </w:r>
                </w:p>
              </w:tc>
              <w:tc>
                <w:tcPr>
                  <w:tcW w:w="50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w:t>
                  </w: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4284.08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使用非财政拨款结余（含专用结余）</w:t>
                  </w:r>
                </w:p>
              </w:tc>
              <w:tc>
                <w:tcPr>
                  <w:tcW w:w="205" w:type="pct"/>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75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rPr>
                  </w:pPr>
                </w:p>
              </w:tc>
              <w:tc>
                <w:tcPr>
                  <w:tcW w:w="121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结余分配</w:t>
                  </w:r>
                </w:p>
              </w:tc>
              <w:tc>
                <w:tcPr>
                  <w:tcW w:w="501" w:type="pct"/>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958" w:type="pct"/>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年初结转和结余</w:t>
                  </w:r>
                </w:p>
              </w:tc>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427.50</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年末结转和结余</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805.72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总计</w:t>
                  </w:r>
                </w:p>
              </w:tc>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5089.80</w:t>
                  </w:r>
                </w:p>
              </w:tc>
              <w:tc>
                <w:tcPr>
                  <w:tcW w:w="1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总计</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b/>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5089.80</w:t>
                  </w:r>
                </w:p>
              </w:tc>
            </w:tr>
          </w:tbl>
          <w:p>
            <w:pPr>
              <w:keepNext w:val="0"/>
              <w:keepLines w:val="0"/>
              <w:widowControl/>
              <w:suppressLineNumbers w:val="0"/>
              <w:jc w:val="left"/>
              <w:textAlignment w:val="center"/>
              <w:rPr>
                <w:rFonts w:hint="eastAsia"/>
                <w:lang w:val="en-US" w:eastAsia="zh-CN"/>
              </w:rPr>
            </w:pPr>
            <w:r>
              <w:rPr>
                <w:rFonts w:hint="eastAsia"/>
                <w:lang w:val="en-US" w:eastAsia="zh-CN"/>
              </w:rPr>
              <w:t>注：1.本表反映部门本年度的总收支和年末结转结余情况。</w:t>
            </w:r>
            <w:r>
              <w:rPr>
                <w:rFonts w:hint="eastAsia"/>
                <w:lang w:val="en-US" w:eastAsia="zh-CN"/>
              </w:rPr>
              <w:br w:type="textWrapping"/>
            </w:r>
            <w:r>
              <w:rPr>
                <w:rFonts w:hint="eastAsia"/>
                <w:lang w:val="en-US" w:eastAsia="zh-CN"/>
              </w:rPr>
              <w:t xml:space="preserve">    2.本套报表金额单位转换时可能存在尾数误差。</w:t>
            </w:r>
          </w:p>
          <w:p>
            <w:pPr>
              <w:jc w:val="center"/>
              <w:rPr>
                <w:rFonts w:hint="eastAsia" w:ascii="方正小标宋简体" w:hAnsi="方正小标宋简体" w:eastAsia="方正小标宋简体" w:cs="方正小标宋简体"/>
                <w:color w:val="000000"/>
                <w:sz w:val="32"/>
                <w:szCs w:val="32"/>
              </w:rPr>
            </w:pPr>
          </w:p>
          <w:p>
            <w:pPr>
              <w:jc w:val="center"/>
              <w:rPr>
                <w:rFonts w:hint="eastAsia" w:ascii="方正小标宋简体" w:hAnsi="方正小标宋简体" w:eastAsia="方正小标宋简体" w:cs="方正小标宋简体"/>
                <w:color w:val="000000"/>
                <w:sz w:val="32"/>
                <w:szCs w:val="32"/>
              </w:rPr>
            </w:pPr>
          </w:p>
          <w:p>
            <w:pPr>
              <w:jc w:val="center"/>
              <w:rPr>
                <w:rFonts w:ascii="华文中宋" w:hAnsi="华文中宋" w:eastAsia="华文中宋" w:cs="宋体"/>
                <w:color w:val="000000"/>
                <w:sz w:val="32"/>
                <w:szCs w:val="32"/>
              </w:rPr>
            </w:pPr>
            <w:r>
              <w:rPr>
                <w:rFonts w:hint="eastAsia" w:ascii="方正小标宋简体" w:hAnsi="方正小标宋简体" w:eastAsia="方正小标宋简体" w:cs="方正小标宋简体"/>
                <w:color w:val="000000"/>
                <w:sz w:val="32"/>
                <w:szCs w:val="32"/>
              </w:rPr>
              <w:t>收入决算表</w:t>
            </w:r>
          </w:p>
        </w:tc>
      </w:tr>
      <w:tr>
        <w:tblPrEx>
          <w:tblCellMar>
            <w:top w:w="0" w:type="dxa"/>
            <w:left w:w="0" w:type="dxa"/>
            <w:bottom w:w="0" w:type="dxa"/>
            <w:right w:w="0" w:type="dxa"/>
          </w:tblCellMar>
        </w:tblPrEx>
        <w:trPr>
          <w:gridAfter w:val="2"/>
          <w:wAfter w:w="118" w:type="dxa"/>
          <w:trHeight w:val="285" w:hRule="atLeast"/>
          <w:jc w:val="center"/>
        </w:trPr>
        <w:tc>
          <w:tcPr>
            <w:tcW w:w="27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74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3765"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45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62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39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470"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215"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350"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223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公开02表</w:t>
            </w:r>
          </w:p>
        </w:tc>
      </w:tr>
      <w:tr>
        <w:tblPrEx>
          <w:tblCellMar>
            <w:top w:w="0" w:type="dxa"/>
            <w:left w:w="0" w:type="dxa"/>
            <w:bottom w:w="0" w:type="dxa"/>
            <w:right w:w="0" w:type="dxa"/>
          </w:tblCellMar>
        </w:tblPrEx>
        <w:trPr>
          <w:gridAfter w:val="2"/>
          <w:wAfter w:w="118" w:type="dxa"/>
          <w:trHeight w:val="285" w:hRule="atLeast"/>
          <w:jc w:val="center"/>
        </w:trPr>
        <w:tc>
          <w:tcPr>
            <w:tcW w:w="1018"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部门：</w:t>
            </w:r>
          </w:p>
        </w:tc>
        <w:tc>
          <w:tcPr>
            <w:tcW w:w="3765"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湖南省信访局</w:t>
            </w:r>
            <w:r>
              <w:rPr>
                <w:rFonts w:hint="eastAsia" w:ascii="仿宋_GB2312" w:hAnsi="仿宋_GB2312" w:eastAsia="仿宋_GB2312" w:cs="仿宋_GB2312"/>
                <w:sz w:val="21"/>
                <w:szCs w:val="21"/>
              </w:rPr>
              <w:t>　</w:t>
            </w:r>
          </w:p>
        </w:tc>
        <w:tc>
          <w:tcPr>
            <w:tcW w:w="145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62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39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w:t>
            </w:r>
          </w:p>
        </w:tc>
        <w:tc>
          <w:tcPr>
            <w:tcW w:w="1470"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215"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350"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223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单位：万元</w:t>
            </w:r>
          </w:p>
        </w:tc>
      </w:tr>
      <w:tr>
        <w:tblPrEx>
          <w:tblCellMar>
            <w:top w:w="0" w:type="dxa"/>
            <w:left w:w="0" w:type="dxa"/>
            <w:bottom w:w="0" w:type="dxa"/>
            <w:right w:w="0" w:type="dxa"/>
          </w:tblCellMar>
        </w:tblPrEx>
        <w:trPr>
          <w:gridAfter w:val="2"/>
          <w:wAfter w:w="118" w:type="dxa"/>
          <w:trHeight w:val="450" w:hRule="atLeast"/>
          <w:jc w:val="center"/>
        </w:trPr>
        <w:tc>
          <w:tcPr>
            <w:tcW w:w="4783" w:type="dxa"/>
            <w:gridSpan w:val="8"/>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    目</w:t>
            </w:r>
          </w:p>
        </w:tc>
        <w:tc>
          <w:tcPr>
            <w:tcW w:w="1455"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本年收入合计</w:t>
            </w:r>
          </w:p>
        </w:tc>
        <w:tc>
          <w:tcPr>
            <w:tcW w:w="162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财政拨款收入</w:t>
            </w:r>
          </w:p>
        </w:tc>
        <w:tc>
          <w:tcPr>
            <w:tcW w:w="1395"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上级补助收入</w:t>
            </w:r>
          </w:p>
        </w:tc>
        <w:tc>
          <w:tcPr>
            <w:tcW w:w="1470"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事业收入</w:t>
            </w:r>
          </w:p>
        </w:tc>
        <w:tc>
          <w:tcPr>
            <w:tcW w:w="121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经营收入</w:t>
            </w:r>
          </w:p>
        </w:tc>
        <w:tc>
          <w:tcPr>
            <w:tcW w:w="1350"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附属单位上缴收入</w:t>
            </w:r>
          </w:p>
        </w:tc>
        <w:tc>
          <w:tcPr>
            <w:tcW w:w="2234"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其他收入</w:t>
            </w:r>
          </w:p>
        </w:tc>
      </w:tr>
      <w:tr>
        <w:tblPrEx>
          <w:tblCellMar>
            <w:top w:w="0" w:type="dxa"/>
            <w:left w:w="0" w:type="dxa"/>
            <w:bottom w:w="0" w:type="dxa"/>
            <w:right w:w="0" w:type="dxa"/>
          </w:tblCellMar>
        </w:tblPrEx>
        <w:trPr>
          <w:gridAfter w:val="2"/>
          <w:wAfter w:w="118" w:type="dxa"/>
          <w:trHeight w:val="450" w:hRule="atLeast"/>
          <w:jc w:val="center"/>
        </w:trPr>
        <w:tc>
          <w:tcPr>
            <w:tcW w:w="1018"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功能分类科目编码</w:t>
            </w:r>
          </w:p>
        </w:tc>
        <w:tc>
          <w:tcPr>
            <w:tcW w:w="3765" w:type="dxa"/>
            <w:gridSpan w:val="5"/>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科目名称</w:t>
            </w:r>
          </w:p>
        </w:tc>
        <w:tc>
          <w:tcPr>
            <w:tcW w:w="145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62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39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47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21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35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223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After w:val="2"/>
          <w:wAfter w:w="118" w:type="dxa"/>
          <w:trHeight w:val="450" w:hRule="atLeast"/>
          <w:jc w:val="center"/>
        </w:trPr>
        <w:tc>
          <w:tcPr>
            <w:tcW w:w="1018"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3765" w:type="dxa"/>
            <w:gridSpan w:val="5"/>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45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62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39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47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21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35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223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After w:val="2"/>
          <w:wAfter w:w="118" w:type="dxa"/>
          <w:trHeight w:val="737" w:hRule="atLeast"/>
          <w:jc w:val="center"/>
        </w:trPr>
        <w:tc>
          <w:tcPr>
            <w:tcW w:w="4783" w:type="dxa"/>
            <w:gridSpan w:val="8"/>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栏次</w:t>
            </w:r>
          </w:p>
        </w:tc>
        <w:tc>
          <w:tcPr>
            <w:tcW w:w="145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6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39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470"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21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3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223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r>
      <w:tr>
        <w:tblPrEx>
          <w:tblCellMar>
            <w:top w:w="0" w:type="dxa"/>
            <w:left w:w="0" w:type="dxa"/>
            <w:bottom w:w="0" w:type="dxa"/>
            <w:right w:w="0" w:type="dxa"/>
          </w:tblCellMar>
        </w:tblPrEx>
        <w:trPr>
          <w:gridAfter w:val="2"/>
          <w:wAfter w:w="118" w:type="dxa"/>
          <w:trHeight w:val="737" w:hRule="atLeast"/>
          <w:jc w:val="center"/>
        </w:trPr>
        <w:tc>
          <w:tcPr>
            <w:tcW w:w="4783" w:type="dxa"/>
            <w:gridSpan w:val="8"/>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145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4662.30</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4662.30</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47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21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223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After w:val="2"/>
          <w:wAfter w:w="118" w:type="dxa"/>
          <w:trHeight w:val="737" w:hRule="atLeast"/>
          <w:jc w:val="center"/>
        </w:trPr>
        <w:tc>
          <w:tcPr>
            <w:tcW w:w="101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2010301</w:t>
            </w:r>
          </w:p>
        </w:tc>
        <w:tc>
          <w:tcPr>
            <w:tcW w:w="3765"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行政运行</w:t>
            </w:r>
          </w:p>
        </w:tc>
        <w:tc>
          <w:tcPr>
            <w:tcW w:w="145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2314.48</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2314.48</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47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21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223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After w:val="2"/>
          <w:wAfter w:w="118" w:type="dxa"/>
          <w:trHeight w:val="737" w:hRule="atLeast"/>
          <w:jc w:val="center"/>
        </w:trPr>
        <w:tc>
          <w:tcPr>
            <w:tcW w:w="101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2010302</w:t>
            </w:r>
          </w:p>
        </w:tc>
        <w:tc>
          <w:tcPr>
            <w:tcW w:w="3765"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一般行政管理事务</w:t>
            </w:r>
          </w:p>
        </w:tc>
        <w:tc>
          <w:tcPr>
            <w:tcW w:w="145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1511.95</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1511.95</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47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21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223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After w:val="2"/>
          <w:wAfter w:w="118" w:type="dxa"/>
          <w:trHeight w:val="737" w:hRule="atLeast"/>
          <w:jc w:val="center"/>
        </w:trPr>
        <w:tc>
          <w:tcPr>
            <w:tcW w:w="101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2010308</w:t>
            </w:r>
          </w:p>
        </w:tc>
        <w:tc>
          <w:tcPr>
            <w:tcW w:w="3765"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信访事务</w:t>
            </w:r>
          </w:p>
        </w:tc>
        <w:tc>
          <w:tcPr>
            <w:tcW w:w="145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366.74</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366.74</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47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21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223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After w:val="2"/>
          <w:wAfter w:w="118" w:type="dxa"/>
          <w:trHeight w:val="737" w:hRule="atLeast"/>
          <w:jc w:val="center"/>
        </w:trPr>
        <w:tc>
          <w:tcPr>
            <w:tcW w:w="101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2013102</w:t>
            </w:r>
          </w:p>
        </w:tc>
        <w:tc>
          <w:tcPr>
            <w:tcW w:w="3765"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一般行政管理事务</w:t>
            </w:r>
          </w:p>
        </w:tc>
        <w:tc>
          <w:tcPr>
            <w:tcW w:w="145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50.00</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50.00</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47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21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223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After w:val="2"/>
          <w:wAfter w:w="118" w:type="dxa"/>
          <w:trHeight w:val="737" w:hRule="atLeast"/>
          <w:jc w:val="center"/>
        </w:trPr>
        <w:tc>
          <w:tcPr>
            <w:tcW w:w="101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2080505</w:t>
            </w:r>
          </w:p>
        </w:tc>
        <w:tc>
          <w:tcPr>
            <w:tcW w:w="3765"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机关事业单位基本养老保险缴费支出</w:t>
            </w:r>
          </w:p>
        </w:tc>
        <w:tc>
          <w:tcPr>
            <w:tcW w:w="145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382.50</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382.50</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47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21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223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After w:val="2"/>
          <w:wAfter w:w="118" w:type="dxa"/>
          <w:trHeight w:val="737" w:hRule="atLeast"/>
          <w:jc w:val="center"/>
        </w:trPr>
        <w:tc>
          <w:tcPr>
            <w:tcW w:w="101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2080801</w:t>
            </w:r>
          </w:p>
        </w:tc>
        <w:tc>
          <w:tcPr>
            <w:tcW w:w="3765"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死亡抚恤</w:t>
            </w:r>
          </w:p>
        </w:tc>
        <w:tc>
          <w:tcPr>
            <w:tcW w:w="145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36.63</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36.63</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47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21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c>
          <w:tcPr>
            <w:tcW w:w="223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left="0" w:leftChars="0" w:right="0" w:rightChars="0" w:firstLine="0" w:firstLineChars="0"/>
              <w:jc w:val="cente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After w:val="2"/>
          <w:wAfter w:w="118" w:type="dxa"/>
          <w:trHeight w:val="615" w:hRule="atLeast"/>
          <w:jc w:val="center"/>
        </w:trPr>
        <w:tc>
          <w:tcPr>
            <w:tcW w:w="15522" w:type="dxa"/>
            <w:gridSpan w:val="28"/>
            <w:tcBorders>
              <w:top w:val="single" w:color="auto" w:sz="4" w:space="0"/>
              <w:left w:val="nil"/>
              <w:bottom w:val="nil"/>
              <w:right w:val="nil"/>
            </w:tcBorders>
            <w:shd w:val="clear" w:color="auto" w:fill="auto"/>
            <w:tcMar>
              <w:top w:w="15" w:type="dxa"/>
              <w:left w:w="15" w:type="dxa"/>
              <w:bottom w:w="0" w:type="dxa"/>
              <w:right w:w="15"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注：本表反映部门本年度取得的各项收入情况。</w:t>
            </w:r>
          </w:p>
        </w:tc>
      </w:tr>
      <w:tr>
        <w:tblPrEx>
          <w:tblCellMar>
            <w:top w:w="0" w:type="dxa"/>
            <w:left w:w="108" w:type="dxa"/>
            <w:bottom w:w="0" w:type="dxa"/>
            <w:right w:w="108" w:type="dxa"/>
          </w:tblCellMar>
        </w:tblPrEx>
        <w:trPr>
          <w:trHeight w:val="90" w:hRule="atLeast"/>
          <w:jc w:val="center"/>
        </w:trPr>
        <w:tc>
          <w:tcPr>
            <w:tcW w:w="15640" w:type="dxa"/>
            <w:gridSpan w:val="30"/>
            <w:tcBorders>
              <w:top w:val="nil"/>
              <w:left w:val="nil"/>
              <w:bottom w:val="nil"/>
              <w:right w:val="nil"/>
            </w:tcBorders>
            <w:shd w:val="clear" w:color="auto" w:fill="auto"/>
            <w:noWrap/>
            <w:vAlign w:val="center"/>
          </w:tcPr>
          <w:p>
            <w:pPr>
              <w:widowControl/>
              <w:ind w:left="0" w:leftChars="0" w:right="0" w:rightChars="0" w:firstLine="0" w:firstLineChars="0"/>
              <w:jc w:val="center"/>
              <w:rPr>
                <w:rFonts w:hint="eastAsia" w:ascii="方正小标宋简体" w:hAnsi="方正小标宋简体" w:eastAsia="方正小标宋简体" w:cs="方正小标宋简体"/>
                <w:color w:val="000000"/>
                <w:kern w:val="0"/>
                <w:sz w:val="32"/>
                <w:szCs w:val="32"/>
              </w:rPr>
            </w:pPr>
          </w:p>
          <w:p>
            <w:pPr>
              <w:widowControl/>
              <w:ind w:left="0" w:leftChars="0" w:right="0" w:rightChars="0" w:firstLine="0" w:firstLineChars="0"/>
              <w:jc w:val="center"/>
              <w:rPr>
                <w:rFonts w:ascii="华文中宋" w:hAnsi="华文中宋" w:eastAsia="华文中宋" w:cs="宋体"/>
                <w:color w:val="000000"/>
                <w:kern w:val="0"/>
                <w:sz w:val="32"/>
                <w:szCs w:val="32"/>
              </w:rPr>
            </w:pPr>
            <w:r>
              <w:rPr>
                <w:rFonts w:hint="eastAsia" w:ascii="方正小标宋简体" w:hAnsi="方正小标宋简体" w:eastAsia="方正小标宋简体" w:cs="方正小标宋简体"/>
                <w:color w:val="000000"/>
                <w:kern w:val="0"/>
                <w:sz w:val="32"/>
                <w:szCs w:val="32"/>
              </w:rPr>
              <w:t>支出决算表</w:t>
            </w:r>
          </w:p>
        </w:tc>
      </w:tr>
      <w:tr>
        <w:tblPrEx>
          <w:tblCellMar>
            <w:top w:w="0" w:type="dxa"/>
            <w:left w:w="108" w:type="dxa"/>
            <w:bottom w:w="0" w:type="dxa"/>
            <w:right w:w="108" w:type="dxa"/>
          </w:tblCellMar>
        </w:tblPrEx>
        <w:trPr>
          <w:trHeight w:val="283" w:hRule="atLeast"/>
          <w:jc w:val="center"/>
        </w:trPr>
        <w:tc>
          <w:tcPr>
            <w:tcW w:w="1236" w:type="dxa"/>
            <w:gridSpan w:val="4"/>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63" w:type="dxa"/>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3988" w:type="dxa"/>
            <w:gridSpan w:val="5"/>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725" w:type="dxa"/>
            <w:gridSpan w:val="2"/>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800" w:type="dxa"/>
            <w:gridSpan w:val="3"/>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590" w:type="dxa"/>
            <w:gridSpan w:val="4"/>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695" w:type="dxa"/>
            <w:gridSpan w:val="4"/>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680" w:type="dxa"/>
            <w:gridSpan w:val="3"/>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663" w:type="dxa"/>
            <w:gridSpan w:val="4"/>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公开03表</w:t>
            </w:r>
          </w:p>
        </w:tc>
      </w:tr>
      <w:tr>
        <w:tblPrEx>
          <w:tblCellMar>
            <w:top w:w="0" w:type="dxa"/>
            <w:left w:w="108" w:type="dxa"/>
            <w:bottom w:w="0" w:type="dxa"/>
            <w:right w:w="108" w:type="dxa"/>
          </w:tblCellMar>
        </w:tblPrEx>
        <w:trPr>
          <w:trHeight w:val="283" w:hRule="atLeast"/>
          <w:jc w:val="center"/>
        </w:trPr>
        <w:tc>
          <w:tcPr>
            <w:tcW w:w="5487" w:type="dxa"/>
            <w:gridSpan w:val="10"/>
            <w:tcBorders>
              <w:top w:val="nil"/>
              <w:left w:val="nil"/>
              <w:bottom w:val="nil"/>
              <w:right w:val="nil"/>
            </w:tcBorders>
            <w:shd w:val="clear" w:color="000000" w:fill="FFFFFF"/>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部门：</w:t>
            </w:r>
            <w:r>
              <w:rPr>
                <w:rFonts w:hint="eastAsia" w:ascii="仿宋_GB2312" w:hAnsi="仿宋_GB2312" w:eastAsia="仿宋_GB2312" w:cs="仿宋_GB2312"/>
                <w:sz w:val="21"/>
                <w:szCs w:val="21"/>
                <w:lang w:eastAsia="zh-CN"/>
              </w:rPr>
              <w:t>湖南省信访局</w:t>
            </w:r>
            <w:r>
              <w:rPr>
                <w:rFonts w:hint="eastAsia" w:ascii="仿宋_GB2312" w:hAnsi="仿宋_GB2312" w:eastAsia="仿宋_GB2312" w:cs="仿宋_GB2312"/>
                <w:sz w:val="21"/>
                <w:szCs w:val="21"/>
              </w:rPr>
              <w:t>　</w:t>
            </w:r>
            <w:r>
              <w:rPr>
                <w:rFonts w:hint="eastAsia" w:ascii="仿宋_GB2312" w:hAnsi="仿宋_GB2312" w:eastAsia="仿宋_GB2312" w:cs="仿宋_GB2312"/>
                <w:kern w:val="0"/>
                <w:sz w:val="21"/>
                <w:szCs w:val="21"/>
              </w:rPr>
              <w:t>　　</w:t>
            </w:r>
          </w:p>
        </w:tc>
        <w:tc>
          <w:tcPr>
            <w:tcW w:w="1725" w:type="dxa"/>
            <w:gridSpan w:val="2"/>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800" w:type="dxa"/>
            <w:gridSpan w:val="3"/>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590" w:type="dxa"/>
            <w:gridSpan w:val="4"/>
            <w:tcBorders>
              <w:top w:val="nil"/>
              <w:left w:val="nil"/>
              <w:bottom w:val="nil"/>
              <w:right w:val="nil"/>
            </w:tcBorders>
            <w:shd w:val="clear" w:color="000000" w:fill="FFFFFF"/>
            <w:noWrap/>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695" w:type="dxa"/>
            <w:gridSpan w:val="4"/>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680" w:type="dxa"/>
            <w:gridSpan w:val="3"/>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663" w:type="dxa"/>
            <w:gridSpan w:val="4"/>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单位：万元</w:t>
            </w:r>
          </w:p>
        </w:tc>
      </w:tr>
      <w:tr>
        <w:tblPrEx>
          <w:tblCellMar>
            <w:top w:w="0" w:type="dxa"/>
            <w:left w:w="108" w:type="dxa"/>
            <w:bottom w:w="0" w:type="dxa"/>
            <w:right w:w="108" w:type="dxa"/>
          </w:tblCellMar>
        </w:tblPrEx>
        <w:trPr>
          <w:trHeight w:val="595" w:hRule="atLeast"/>
          <w:jc w:val="center"/>
        </w:trPr>
        <w:tc>
          <w:tcPr>
            <w:tcW w:w="5487"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    目</w:t>
            </w:r>
          </w:p>
        </w:tc>
        <w:tc>
          <w:tcPr>
            <w:tcW w:w="172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本年支出合计</w:t>
            </w:r>
          </w:p>
        </w:tc>
        <w:tc>
          <w:tcPr>
            <w:tcW w:w="180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基本支出</w:t>
            </w:r>
          </w:p>
        </w:tc>
        <w:tc>
          <w:tcPr>
            <w:tcW w:w="1590"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项目支出</w:t>
            </w:r>
          </w:p>
        </w:tc>
        <w:tc>
          <w:tcPr>
            <w:tcW w:w="169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上缴上级支出</w:t>
            </w:r>
          </w:p>
        </w:tc>
        <w:tc>
          <w:tcPr>
            <w:tcW w:w="168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经营支出</w:t>
            </w:r>
          </w:p>
        </w:tc>
        <w:tc>
          <w:tcPr>
            <w:tcW w:w="1663"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对附属单位补助支出</w:t>
            </w:r>
          </w:p>
        </w:tc>
      </w:tr>
      <w:tr>
        <w:tblPrEx>
          <w:tblCellMar>
            <w:top w:w="0" w:type="dxa"/>
            <w:left w:w="108" w:type="dxa"/>
            <w:bottom w:w="0" w:type="dxa"/>
            <w:right w:w="108" w:type="dxa"/>
          </w:tblCellMar>
        </w:tblPrEx>
        <w:trPr>
          <w:trHeight w:val="595" w:hRule="atLeast"/>
          <w:jc w:val="center"/>
        </w:trPr>
        <w:tc>
          <w:tcPr>
            <w:tcW w:w="1499"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功能分类科</w:t>
            </w:r>
            <w:r>
              <w:rPr>
                <w:rFonts w:hint="eastAsia" w:ascii="仿宋_GB2312" w:hAnsi="仿宋_GB2312" w:eastAsia="仿宋_GB2312" w:cs="仿宋_GB2312"/>
                <w:i/>
                <w:iCs/>
                <w:kern w:val="0"/>
                <w:sz w:val="21"/>
                <w:szCs w:val="21"/>
              </w:rPr>
              <w:t>目</w:t>
            </w:r>
            <w:r>
              <w:rPr>
                <w:rFonts w:hint="eastAsia" w:ascii="仿宋_GB2312" w:hAnsi="仿宋_GB2312" w:eastAsia="仿宋_GB2312" w:cs="仿宋_GB2312"/>
                <w:kern w:val="0"/>
                <w:sz w:val="21"/>
                <w:szCs w:val="21"/>
              </w:rPr>
              <w:t>编码</w:t>
            </w:r>
          </w:p>
        </w:tc>
        <w:tc>
          <w:tcPr>
            <w:tcW w:w="3988" w:type="dxa"/>
            <w:gridSpan w:val="5"/>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科目名称</w:t>
            </w:r>
          </w:p>
        </w:tc>
        <w:tc>
          <w:tcPr>
            <w:tcW w:w="172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8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59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69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6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66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3988"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72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8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59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69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6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66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95" w:hRule="atLeast"/>
          <w:jc w:val="center"/>
        </w:trPr>
        <w:tc>
          <w:tcPr>
            <w:tcW w:w="5487" w:type="dxa"/>
            <w:gridSpan w:val="10"/>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栏次</w:t>
            </w:r>
          </w:p>
        </w:tc>
        <w:tc>
          <w:tcPr>
            <w:tcW w:w="1725" w:type="dxa"/>
            <w:gridSpan w:val="2"/>
            <w:tcBorders>
              <w:top w:val="nil"/>
              <w:left w:val="nil"/>
              <w:bottom w:val="single" w:color="auto" w:sz="4" w:space="0"/>
              <w:right w:val="single" w:color="auto" w:sz="4" w:space="0"/>
            </w:tcBorders>
            <w:shd w:val="clear" w:color="000000" w:fill="FFFFFF"/>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800" w:type="dxa"/>
            <w:gridSpan w:val="3"/>
            <w:tcBorders>
              <w:top w:val="nil"/>
              <w:left w:val="nil"/>
              <w:bottom w:val="single" w:color="auto" w:sz="4" w:space="0"/>
              <w:right w:val="single" w:color="auto" w:sz="4" w:space="0"/>
            </w:tcBorders>
            <w:shd w:val="clear" w:color="000000" w:fill="FFFFFF"/>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1590" w:type="dxa"/>
            <w:gridSpan w:val="4"/>
            <w:tcBorders>
              <w:top w:val="nil"/>
              <w:left w:val="nil"/>
              <w:bottom w:val="single" w:color="auto" w:sz="4" w:space="0"/>
              <w:right w:val="single" w:color="auto" w:sz="4" w:space="0"/>
            </w:tcBorders>
            <w:shd w:val="clear" w:color="000000" w:fill="FFFFFF"/>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695" w:type="dxa"/>
            <w:gridSpan w:val="4"/>
            <w:tcBorders>
              <w:top w:val="nil"/>
              <w:left w:val="nil"/>
              <w:bottom w:val="single" w:color="auto" w:sz="4" w:space="0"/>
              <w:right w:val="single" w:color="auto" w:sz="4" w:space="0"/>
            </w:tcBorders>
            <w:shd w:val="clear" w:color="000000" w:fill="FFFFFF"/>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1680" w:type="dxa"/>
            <w:gridSpan w:val="3"/>
            <w:tcBorders>
              <w:top w:val="nil"/>
              <w:left w:val="nil"/>
              <w:bottom w:val="single" w:color="auto" w:sz="4" w:space="0"/>
              <w:right w:val="single" w:color="auto" w:sz="4" w:space="0"/>
            </w:tcBorders>
            <w:shd w:val="clear" w:color="000000" w:fill="FFFFFF"/>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663" w:type="dxa"/>
            <w:gridSpan w:val="4"/>
            <w:tcBorders>
              <w:top w:val="nil"/>
              <w:left w:val="nil"/>
              <w:bottom w:val="single" w:color="auto" w:sz="4" w:space="0"/>
              <w:right w:val="single" w:color="auto" w:sz="4" w:space="0"/>
            </w:tcBorders>
            <w:shd w:val="clear" w:color="000000" w:fill="FFFFFF"/>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p>
        </w:tc>
      </w:tr>
      <w:tr>
        <w:tblPrEx>
          <w:tblCellMar>
            <w:top w:w="0" w:type="dxa"/>
            <w:left w:w="108" w:type="dxa"/>
            <w:bottom w:w="0" w:type="dxa"/>
            <w:right w:w="108" w:type="dxa"/>
          </w:tblCellMar>
        </w:tblPrEx>
        <w:trPr>
          <w:trHeight w:val="595" w:hRule="atLeast"/>
          <w:jc w:val="center"/>
        </w:trPr>
        <w:tc>
          <w:tcPr>
            <w:tcW w:w="5487" w:type="dxa"/>
            <w:gridSpan w:val="10"/>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合计</w:t>
            </w:r>
          </w:p>
        </w:tc>
        <w:tc>
          <w:tcPr>
            <w:tcW w:w="1725"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4284.08</w:t>
            </w:r>
          </w:p>
        </w:tc>
        <w:tc>
          <w:tcPr>
            <w:tcW w:w="1800"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2556.86</w:t>
            </w:r>
          </w:p>
        </w:tc>
        <w:tc>
          <w:tcPr>
            <w:tcW w:w="1590"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1727.23</w:t>
            </w:r>
          </w:p>
        </w:tc>
        <w:tc>
          <w:tcPr>
            <w:tcW w:w="1695"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80"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63"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2010301</w:t>
            </w:r>
          </w:p>
        </w:tc>
        <w:tc>
          <w:tcPr>
            <w:tcW w:w="3988" w:type="dxa"/>
            <w:gridSpan w:val="5"/>
            <w:tcBorders>
              <w:top w:val="nil"/>
              <w:left w:val="nil"/>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行政运行</w:t>
            </w:r>
          </w:p>
        </w:tc>
        <w:tc>
          <w:tcPr>
            <w:tcW w:w="1725"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2167.66</w:t>
            </w:r>
          </w:p>
        </w:tc>
        <w:tc>
          <w:tcPr>
            <w:tcW w:w="1800"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2103.50</w:t>
            </w:r>
          </w:p>
        </w:tc>
        <w:tc>
          <w:tcPr>
            <w:tcW w:w="1590"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64.15</w:t>
            </w:r>
          </w:p>
        </w:tc>
        <w:tc>
          <w:tcPr>
            <w:tcW w:w="1695"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80"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63"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2010302</w:t>
            </w:r>
          </w:p>
        </w:tc>
        <w:tc>
          <w:tcPr>
            <w:tcW w:w="3988" w:type="dxa"/>
            <w:gridSpan w:val="5"/>
            <w:tcBorders>
              <w:top w:val="nil"/>
              <w:left w:val="nil"/>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一般行政管理事务</w:t>
            </w:r>
          </w:p>
        </w:tc>
        <w:tc>
          <w:tcPr>
            <w:tcW w:w="1725"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1275.07</w:t>
            </w:r>
          </w:p>
        </w:tc>
        <w:tc>
          <w:tcPr>
            <w:tcW w:w="1800"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40.00</w:t>
            </w:r>
          </w:p>
        </w:tc>
        <w:tc>
          <w:tcPr>
            <w:tcW w:w="1590"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1235.07</w:t>
            </w:r>
          </w:p>
        </w:tc>
        <w:tc>
          <w:tcPr>
            <w:tcW w:w="1695"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80"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63"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2010308</w:t>
            </w:r>
          </w:p>
        </w:tc>
        <w:tc>
          <w:tcPr>
            <w:tcW w:w="398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信访事务</w:t>
            </w:r>
          </w:p>
        </w:tc>
        <w:tc>
          <w:tcPr>
            <w:tcW w:w="172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355.34</w:t>
            </w:r>
          </w:p>
        </w:tc>
        <w:tc>
          <w:tcPr>
            <w:tcW w:w="18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0.00</w:t>
            </w:r>
          </w:p>
        </w:tc>
        <w:tc>
          <w:tcPr>
            <w:tcW w:w="159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355.34</w:t>
            </w:r>
          </w:p>
        </w:tc>
        <w:tc>
          <w:tcPr>
            <w:tcW w:w="169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6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2013102</w:t>
            </w:r>
          </w:p>
        </w:tc>
        <w:tc>
          <w:tcPr>
            <w:tcW w:w="398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一般行政管理事务</w:t>
            </w:r>
          </w:p>
        </w:tc>
        <w:tc>
          <w:tcPr>
            <w:tcW w:w="172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28.87</w:t>
            </w:r>
          </w:p>
        </w:tc>
        <w:tc>
          <w:tcPr>
            <w:tcW w:w="18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0.00</w:t>
            </w:r>
          </w:p>
        </w:tc>
        <w:tc>
          <w:tcPr>
            <w:tcW w:w="159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28.87</w:t>
            </w:r>
          </w:p>
        </w:tc>
        <w:tc>
          <w:tcPr>
            <w:tcW w:w="169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6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2050803</w:t>
            </w:r>
          </w:p>
        </w:tc>
        <w:tc>
          <w:tcPr>
            <w:tcW w:w="398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培训支出</w:t>
            </w:r>
          </w:p>
        </w:tc>
        <w:tc>
          <w:tcPr>
            <w:tcW w:w="172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43.80</w:t>
            </w:r>
          </w:p>
        </w:tc>
        <w:tc>
          <w:tcPr>
            <w:tcW w:w="18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0.00</w:t>
            </w:r>
          </w:p>
        </w:tc>
        <w:tc>
          <w:tcPr>
            <w:tcW w:w="159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43.80</w:t>
            </w:r>
          </w:p>
        </w:tc>
        <w:tc>
          <w:tcPr>
            <w:tcW w:w="169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6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2080505</w:t>
            </w:r>
          </w:p>
        </w:tc>
        <w:tc>
          <w:tcPr>
            <w:tcW w:w="3988" w:type="dxa"/>
            <w:gridSpan w:val="5"/>
            <w:tcBorders>
              <w:top w:val="single" w:color="auto" w:sz="4" w:space="0"/>
              <w:left w:val="nil"/>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机关事业单位基本养老保险缴费支出</w:t>
            </w:r>
          </w:p>
        </w:tc>
        <w:tc>
          <w:tcPr>
            <w:tcW w:w="172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376.72</w:t>
            </w:r>
          </w:p>
        </w:tc>
        <w:tc>
          <w:tcPr>
            <w:tcW w:w="18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376.72</w:t>
            </w:r>
          </w:p>
        </w:tc>
        <w:tc>
          <w:tcPr>
            <w:tcW w:w="159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0.00</w:t>
            </w:r>
          </w:p>
        </w:tc>
        <w:tc>
          <w:tcPr>
            <w:tcW w:w="169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8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63" w:type="dxa"/>
            <w:gridSpan w:val="4"/>
            <w:tcBorders>
              <w:top w:val="single" w:color="auto" w:sz="4" w:space="0"/>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2080801</w:t>
            </w:r>
          </w:p>
        </w:tc>
        <w:tc>
          <w:tcPr>
            <w:tcW w:w="3988" w:type="dxa"/>
            <w:gridSpan w:val="5"/>
            <w:tcBorders>
              <w:top w:val="nil"/>
              <w:left w:val="nil"/>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死亡抚恤</w:t>
            </w:r>
          </w:p>
        </w:tc>
        <w:tc>
          <w:tcPr>
            <w:tcW w:w="1725"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36.63</w:t>
            </w:r>
          </w:p>
        </w:tc>
        <w:tc>
          <w:tcPr>
            <w:tcW w:w="1800"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36.63</w:t>
            </w:r>
          </w:p>
        </w:tc>
        <w:tc>
          <w:tcPr>
            <w:tcW w:w="1590"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0.00</w:t>
            </w:r>
          </w:p>
        </w:tc>
        <w:tc>
          <w:tcPr>
            <w:tcW w:w="1695"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80"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663"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828" w:hRule="atLeast"/>
          <w:jc w:val="center"/>
        </w:trPr>
        <w:tc>
          <w:tcPr>
            <w:tcW w:w="15640" w:type="dxa"/>
            <w:gridSpan w:val="30"/>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注：本表反映部门本年度各项支出情况。</w:t>
            </w:r>
          </w:p>
        </w:tc>
      </w:tr>
      <w:tr>
        <w:tblPrEx>
          <w:tblCellMar>
            <w:top w:w="0" w:type="dxa"/>
            <w:left w:w="108" w:type="dxa"/>
            <w:bottom w:w="0" w:type="dxa"/>
            <w:right w:w="108" w:type="dxa"/>
          </w:tblCellMar>
        </w:tblPrEx>
        <w:trPr>
          <w:gridBefore w:val="1"/>
          <w:gridAfter w:val="1"/>
          <w:wBefore w:w="106" w:type="dxa"/>
          <w:wAfter w:w="13" w:type="dxa"/>
          <w:trHeight w:val="360" w:hRule="atLeast"/>
          <w:jc w:val="center"/>
        </w:trPr>
        <w:tc>
          <w:tcPr>
            <w:tcW w:w="15521" w:type="dxa"/>
            <w:gridSpan w:val="2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方正小标宋简体" w:hAnsi="方正小标宋简体" w:eastAsia="方正小标宋简体" w:cs="方正小标宋简体"/>
                <w:color w:val="000000"/>
                <w:kern w:val="0"/>
                <w:sz w:val="32"/>
                <w:szCs w:val="32"/>
              </w:rPr>
              <w:t>财政拨款收入支出决算总表</w:t>
            </w:r>
          </w:p>
        </w:tc>
      </w:tr>
      <w:tr>
        <w:tblPrEx>
          <w:tblCellMar>
            <w:top w:w="0" w:type="dxa"/>
            <w:left w:w="108" w:type="dxa"/>
            <w:bottom w:w="0" w:type="dxa"/>
            <w:right w:w="108" w:type="dxa"/>
          </w:tblCellMar>
        </w:tblPrEx>
        <w:trPr>
          <w:gridBefore w:val="1"/>
          <w:gridAfter w:val="1"/>
          <w:wBefore w:w="106" w:type="dxa"/>
          <w:wAfter w:w="13" w:type="dxa"/>
          <w:trHeight w:val="23" w:hRule="atLeast"/>
          <w:jc w:val="center"/>
        </w:trPr>
        <w:tc>
          <w:tcPr>
            <w:tcW w:w="3595" w:type="dxa"/>
            <w:gridSpan w:val="5"/>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436" w:type="dxa"/>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078" w:type="dxa"/>
            <w:gridSpan w:val="2"/>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4043" w:type="dxa"/>
            <w:gridSpan w:val="8"/>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435" w:type="dxa"/>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573" w:type="dxa"/>
            <w:gridSpan w:val="3"/>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394" w:type="dxa"/>
            <w:gridSpan w:val="3"/>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394" w:type="dxa"/>
            <w:gridSpan w:val="3"/>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573" w:type="dxa"/>
            <w:gridSpan w:val="2"/>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公开04表</w:t>
            </w:r>
          </w:p>
        </w:tc>
      </w:tr>
      <w:tr>
        <w:tblPrEx>
          <w:tblCellMar>
            <w:top w:w="0" w:type="dxa"/>
            <w:left w:w="108" w:type="dxa"/>
            <w:bottom w:w="0" w:type="dxa"/>
            <w:right w:w="108" w:type="dxa"/>
          </w:tblCellMar>
        </w:tblPrEx>
        <w:trPr>
          <w:gridBefore w:val="1"/>
          <w:gridAfter w:val="1"/>
          <w:wBefore w:w="106" w:type="dxa"/>
          <w:wAfter w:w="13" w:type="dxa"/>
          <w:trHeight w:val="23" w:hRule="atLeast"/>
          <w:jc w:val="center"/>
        </w:trPr>
        <w:tc>
          <w:tcPr>
            <w:tcW w:w="3595" w:type="dxa"/>
            <w:gridSpan w:val="5"/>
            <w:tcBorders>
              <w:top w:val="nil"/>
              <w:left w:val="nil"/>
              <w:bottom w:val="nil"/>
              <w:right w:val="nil"/>
            </w:tcBorders>
            <w:shd w:val="clear" w:color="000000" w:fill="FFFFFF"/>
            <w:noWrap/>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部门：</w:t>
            </w:r>
            <w:r>
              <w:rPr>
                <w:rFonts w:hint="eastAsia" w:ascii="仿宋_GB2312" w:hAnsi="仿宋_GB2312" w:eastAsia="仿宋_GB2312" w:cs="仿宋_GB2312"/>
                <w:sz w:val="21"/>
                <w:szCs w:val="21"/>
                <w:lang w:eastAsia="zh-CN"/>
              </w:rPr>
              <w:t>湖南省信访局</w:t>
            </w:r>
            <w:r>
              <w:rPr>
                <w:rFonts w:hint="eastAsia" w:ascii="仿宋_GB2312" w:hAnsi="仿宋_GB2312" w:eastAsia="仿宋_GB2312" w:cs="仿宋_GB2312"/>
                <w:sz w:val="21"/>
                <w:szCs w:val="21"/>
              </w:rPr>
              <w:t>　</w:t>
            </w:r>
          </w:p>
        </w:tc>
        <w:tc>
          <w:tcPr>
            <w:tcW w:w="436" w:type="dxa"/>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078" w:type="dxa"/>
            <w:gridSpan w:val="2"/>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4043" w:type="dxa"/>
            <w:gridSpan w:val="8"/>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435" w:type="dxa"/>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573" w:type="dxa"/>
            <w:gridSpan w:val="3"/>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394" w:type="dxa"/>
            <w:gridSpan w:val="3"/>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394" w:type="dxa"/>
            <w:gridSpan w:val="3"/>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573" w:type="dxa"/>
            <w:gridSpan w:val="2"/>
            <w:tcBorders>
              <w:top w:val="nil"/>
              <w:left w:val="nil"/>
              <w:bottom w:val="nil"/>
              <w:right w:val="nil"/>
            </w:tcBorders>
            <w:shd w:val="clear" w:color="000000" w:fill="FFFFFF"/>
            <w:noWrap/>
            <w:vAlign w:val="center"/>
          </w:tcPr>
          <w:p>
            <w:pPr>
              <w:widowControl/>
              <w:jc w:val="righ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单位：万元</w:t>
            </w:r>
          </w:p>
        </w:tc>
      </w:tr>
      <w:tr>
        <w:tblPrEx>
          <w:tblCellMar>
            <w:top w:w="0" w:type="dxa"/>
            <w:left w:w="108" w:type="dxa"/>
            <w:bottom w:w="0" w:type="dxa"/>
            <w:right w:w="108" w:type="dxa"/>
          </w:tblCellMar>
        </w:tblPrEx>
        <w:trPr>
          <w:gridBefore w:val="1"/>
          <w:gridAfter w:val="1"/>
          <w:wBefore w:w="106" w:type="dxa"/>
          <w:wAfter w:w="13" w:type="dxa"/>
          <w:trHeight w:val="402" w:hRule="atLeast"/>
          <w:jc w:val="center"/>
        </w:trPr>
        <w:tc>
          <w:tcPr>
            <w:tcW w:w="5109"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收入</w:t>
            </w:r>
          </w:p>
        </w:tc>
        <w:tc>
          <w:tcPr>
            <w:tcW w:w="10412" w:type="dxa"/>
            <w:gridSpan w:val="20"/>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支出</w:t>
            </w:r>
          </w:p>
        </w:tc>
      </w:tr>
      <w:tr>
        <w:tblPrEx>
          <w:tblCellMar>
            <w:top w:w="0" w:type="dxa"/>
            <w:left w:w="108" w:type="dxa"/>
            <w:bottom w:w="0" w:type="dxa"/>
            <w:right w:w="108" w:type="dxa"/>
          </w:tblCellMar>
        </w:tblPrEx>
        <w:trPr>
          <w:gridBefore w:val="1"/>
          <w:gridAfter w:val="1"/>
          <w:wBefore w:w="106" w:type="dxa"/>
          <w:wAfter w:w="13" w:type="dxa"/>
          <w:trHeight w:val="510" w:hRule="atLeast"/>
          <w:jc w:val="center"/>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金额</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    目</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行次</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合计</w:t>
            </w:r>
          </w:p>
        </w:tc>
        <w:tc>
          <w:tcPr>
            <w:tcW w:w="139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一般公共预算财政拨款</w:t>
            </w:r>
          </w:p>
        </w:tc>
        <w:tc>
          <w:tcPr>
            <w:tcW w:w="139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政府性基金预算财政拨款</w:t>
            </w:r>
          </w:p>
        </w:tc>
        <w:tc>
          <w:tcPr>
            <w:tcW w:w="15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国有资本经营预算财政拨款</w:t>
            </w:r>
          </w:p>
        </w:tc>
      </w:tr>
      <w:tr>
        <w:tblPrEx>
          <w:tblCellMar>
            <w:top w:w="0" w:type="dxa"/>
            <w:left w:w="108" w:type="dxa"/>
            <w:bottom w:w="0" w:type="dxa"/>
            <w:right w:w="108" w:type="dxa"/>
          </w:tblCellMar>
        </w:tblPrEx>
        <w:trPr>
          <w:gridBefore w:val="1"/>
          <w:gridAfter w:val="1"/>
          <w:wBefore w:w="106" w:type="dxa"/>
          <w:wAfter w:w="13" w:type="dxa"/>
          <w:trHeight w:val="454" w:hRule="atLeast"/>
          <w:jc w:val="center"/>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栏    次</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r>
      <w:tr>
        <w:tblPrEx>
          <w:tblCellMar>
            <w:top w:w="0" w:type="dxa"/>
            <w:left w:w="108" w:type="dxa"/>
            <w:bottom w:w="0" w:type="dxa"/>
            <w:right w:w="108" w:type="dxa"/>
          </w:tblCellMar>
        </w:tblPrEx>
        <w:trPr>
          <w:gridBefore w:val="1"/>
          <w:gridAfter w:val="1"/>
          <w:wBefore w:w="106" w:type="dxa"/>
          <w:wAfter w:w="13" w:type="dxa"/>
          <w:trHeight w:val="454" w:hRule="atLeast"/>
          <w:jc w:val="center"/>
        </w:trPr>
        <w:tc>
          <w:tcPr>
            <w:tcW w:w="35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一、一般公共预算财政拨款</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4662.30</w:t>
            </w:r>
          </w:p>
        </w:tc>
        <w:tc>
          <w:tcPr>
            <w:tcW w:w="34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一、一般公共服务支出</w:t>
            </w:r>
          </w:p>
        </w:tc>
        <w:tc>
          <w:tcPr>
            <w:tcW w:w="106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w:t>
            </w:r>
          </w:p>
        </w:tc>
        <w:tc>
          <w:tcPr>
            <w:tcW w:w="15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3826.93</w:t>
            </w:r>
          </w:p>
        </w:tc>
        <w:tc>
          <w:tcPr>
            <w:tcW w:w="13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3826.93</w:t>
            </w:r>
          </w:p>
        </w:tc>
        <w:tc>
          <w:tcPr>
            <w:tcW w:w="13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57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Before w:val="1"/>
          <w:gridAfter w:val="1"/>
          <w:wBefore w:w="106" w:type="dxa"/>
          <w:wAfter w:w="13" w:type="dxa"/>
          <w:trHeight w:val="454" w:hRule="atLeast"/>
          <w:jc w:val="center"/>
        </w:trPr>
        <w:tc>
          <w:tcPr>
            <w:tcW w:w="35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二、政府性基金预算财政拨款</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1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34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二、外交支出</w:t>
            </w:r>
          </w:p>
        </w:tc>
        <w:tc>
          <w:tcPr>
            <w:tcW w:w="106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16</w:t>
            </w:r>
          </w:p>
        </w:tc>
        <w:tc>
          <w:tcPr>
            <w:tcW w:w="15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57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Before w:val="1"/>
          <w:gridAfter w:val="1"/>
          <w:wBefore w:w="106" w:type="dxa"/>
          <w:wAfter w:w="13" w:type="dxa"/>
          <w:trHeight w:val="454" w:hRule="atLeast"/>
          <w:jc w:val="center"/>
        </w:trPr>
        <w:tc>
          <w:tcPr>
            <w:tcW w:w="35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三、国有资本经营预算财政拨款</w:t>
            </w:r>
          </w:p>
        </w:tc>
        <w:tc>
          <w:tcPr>
            <w:tcW w:w="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7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341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三、国防支出</w:t>
            </w:r>
          </w:p>
        </w:tc>
        <w:tc>
          <w:tcPr>
            <w:tcW w:w="1067" w:type="dxa"/>
            <w:gridSpan w:val="4"/>
            <w:tcBorders>
              <w:top w:val="single" w:color="auto" w:sz="4" w:space="0"/>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w:t>
            </w:r>
          </w:p>
        </w:tc>
        <w:tc>
          <w:tcPr>
            <w:tcW w:w="157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57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Before w:val="1"/>
          <w:gridAfter w:val="1"/>
          <w:wBefore w:w="106" w:type="dxa"/>
          <w:wAfter w:w="13" w:type="dxa"/>
          <w:trHeight w:val="454" w:hRule="atLeast"/>
          <w:jc w:val="center"/>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四、公共安全支出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18</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Before w:val="1"/>
          <w:gridAfter w:val="1"/>
          <w:wBefore w:w="106" w:type="dxa"/>
          <w:wAfter w:w="13" w:type="dxa"/>
          <w:trHeight w:val="454" w:hRule="atLeast"/>
          <w:jc w:val="center"/>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五、教育支出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19</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43.80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43.80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Before w:val="1"/>
          <w:gridAfter w:val="1"/>
          <w:wBefore w:w="106" w:type="dxa"/>
          <w:wAfter w:w="13" w:type="dxa"/>
          <w:trHeight w:val="454" w:hRule="atLeast"/>
          <w:jc w:val="center"/>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六、科学技术支出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Before w:val="1"/>
          <w:gridAfter w:val="1"/>
          <w:wBefore w:w="106" w:type="dxa"/>
          <w:wAfter w:w="13" w:type="dxa"/>
          <w:trHeight w:val="454" w:hRule="atLeast"/>
          <w:jc w:val="center"/>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七、文化旅游体育与传媒支出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21</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Before w:val="1"/>
          <w:gridAfter w:val="1"/>
          <w:wBefore w:w="106" w:type="dxa"/>
          <w:wAfter w:w="13" w:type="dxa"/>
          <w:trHeight w:val="454" w:hRule="atLeast"/>
          <w:jc w:val="center"/>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八、社会保障和就业支出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22</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413.35</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413.35</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Before w:val="1"/>
          <w:gridAfter w:val="1"/>
          <w:wBefore w:w="106" w:type="dxa"/>
          <w:wAfter w:w="13" w:type="dxa"/>
          <w:trHeight w:val="454" w:hRule="atLeast"/>
          <w:jc w:val="center"/>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4662.30</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本年支出合计</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23</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4284.08</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4284.08</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b/>
                <w:bCs/>
                <w:kern w:val="0"/>
                <w:sz w:val="21"/>
                <w:szCs w:val="21"/>
              </w:rPr>
            </w:pPr>
          </w:p>
        </w:tc>
      </w:tr>
      <w:tr>
        <w:tblPrEx>
          <w:tblCellMar>
            <w:top w:w="0" w:type="dxa"/>
            <w:left w:w="108" w:type="dxa"/>
            <w:bottom w:w="0" w:type="dxa"/>
            <w:right w:w="108" w:type="dxa"/>
          </w:tblCellMar>
        </w:tblPrEx>
        <w:trPr>
          <w:gridBefore w:val="1"/>
          <w:gridAfter w:val="1"/>
          <w:wBefore w:w="106" w:type="dxa"/>
          <w:wAfter w:w="13" w:type="dxa"/>
          <w:trHeight w:val="454" w:hRule="atLeast"/>
          <w:jc w:val="center"/>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427.50</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年末财政拨款结转和结余</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24</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805.72</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805.72</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Before w:val="1"/>
          <w:gridAfter w:val="1"/>
          <w:wBefore w:w="106" w:type="dxa"/>
          <w:wAfter w:w="13" w:type="dxa"/>
          <w:trHeight w:val="454" w:hRule="atLeast"/>
          <w:jc w:val="center"/>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427.50</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Before w:val="1"/>
          <w:gridAfter w:val="1"/>
          <w:wBefore w:w="106" w:type="dxa"/>
          <w:wAfter w:w="13" w:type="dxa"/>
          <w:trHeight w:val="454" w:hRule="atLeast"/>
          <w:jc w:val="center"/>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26</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Before w:val="1"/>
          <w:gridAfter w:val="1"/>
          <w:wBefore w:w="106" w:type="dxa"/>
          <w:wAfter w:w="13" w:type="dxa"/>
          <w:trHeight w:val="454" w:hRule="atLeast"/>
          <w:jc w:val="center"/>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27</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Before w:val="1"/>
          <w:gridAfter w:val="1"/>
          <w:wBefore w:w="106" w:type="dxa"/>
          <w:wAfter w:w="13" w:type="dxa"/>
          <w:trHeight w:val="454" w:hRule="atLeast"/>
          <w:jc w:val="center"/>
        </w:trPr>
        <w:tc>
          <w:tcPr>
            <w:tcW w:w="3595" w:type="dxa"/>
            <w:gridSpan w:val="5"/>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5089.80</w:t>
            </w:r>
          </w:p>
        </w:tc>
        <w:tc>
          <w:tcPr>
            <w:tcW w:w="3411"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总计</w:t>
            </w:r>
          </w:p>
        </w:tc>
        <w:tc>
          <w:tcPr>
            <w:tcW w:w="1067" w:type="dxa"/>
            <w:gridSpan w:val="4"/>
            <w:tcBorders>
              <w:top w:val="nil"/>
              <w:left w:val="nil"/>
              <w:bottom w:val="single" w:color="auto" w:sz="4" w:space="0"/>
              <w:right w:val="single" w:color="auto" w:sz="4" w:space="0"/>
            </w:tcBorders>
            <w:shd w:val="clear" w:color="000000" w:fill="FFFFFF"/>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28</w:t>
            </w:r>
          </w:p>
        </w:tc>
        <w:tc>
          <w:tcPr>
            <w:tcW w:w="1573" w:type="dxa"/>
            <w:gridSpan w:val="3"/>
            <w:tcBorders>
              <w:top w:val="nil"/>
              <w:left w:val="nil"/>
              <w:bottom w:val="single" w:color="auto" w:sz="4" w:space="0"/>
              <w:right w:val="single" w:color="auto" w:sz="4" w:space="0"/>
            </w:tcBorders>
            <w:shd w:val="clear" w:color="000000" w:fill="FFFFFF"/>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5089.80</w:t>
            </w:r>
          </w:p>
        </w:tc>
        <w:tc>
          <w:tcPr>
            <w:tcW w:w="1394" w:type="dxa"/>
            <w:gridSpan w:val="3"/>
            <w:tcBorders>
              <w:top w:val="nil"/>
              <w:left w:val="nil"/>
              <w:bottom w:val="single" w:color="auto" w:sz="4" w:space="0"/>
              <w:right w:val="single" w:color="auto" w:sz="4" w:space="0"/>
            </w:tcBorders>
            <w:shd w:val="clear" w:color="000000" w:fill="FFFFFF"/>
            <w:noWrap/>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5089.80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b/>
                <w:bCs/>
                <w:kern w:val="0"/>
                <w:sz w:val="21"/>
                <w:szCs w:val="21"/>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eastAsia" w:ascii="仿宋_GB2312" w:hAnsi="仿宋_GB2312" w:eastAsia="仿宋_GB2312" w:cs="仿宋_GB2312"/>
                <w:b/>
                <w:bCs/>
                <w:kern w:val="0"/>
                <w:sz w:val="21"/>
                <w:szCs w:val="21"/>
              </w:rPr>
            </w:pPr>
          </w:p>
        </w:tc>
      </w:tr>
    </w:tbl>
    <w:p>
      <w:pPr>
        <w:widowControl/>
        <w:jc w:val="both"/>
        <w:rPr>
          <w:rFonts w:hint="eastAsia" w:ascii="方正小标宋简体" w:hAnsi="方正小标宋简体" w:eastAsia="方正小标宋简体" w:cs="方正小标宋简体"/>
          <w:kern w:val="0"/>
          <w:sz w:val="32"/>
          <w:szCs w:val="32"/>
        </w:rPr>
      </w:pPr>
      <w:r>
        <w:rPr>
          <w:rFonts w:hint="eastAsia" w:ascii="仿宋_GB2312" w:hAnsi="仿宋_GB2312" w:eastAsia="仿宋_GB2312" w:cs="仿宋_GB2312"/>
          <w:kern w:val="0"/>
          <w:sz w:val="21"/>
          <w:szCs w:val="21"/>
        </w:rPr>
        <w:t>注：本表反映部门本年度一般公共预算财政拨款、政府性基金预算财政拨款和国有资本经营预算财政拨款的总收支和年末结转结余情况。</w:t>
      </w:r>
    </w:p>
    <w:p>
      <w:pPr>
        <w:widowControl/>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一般公共预算财政拨款支出决算表</w:t>
      </w:r>
      <w:bookmarkEnd w:id="1"/>
    </w:p>
    <w:p>
      <w:pPr>
        <w:widowControl/>
        <w:spacing w:before="156" w:beforeLines="50"/>
        <w:jc w:val="left"/>
        <w:rPr>
          <w:rFonts w:hint="eastAsia" w:ascii="仿宋_GB2312" w:hAnsi="仿宋_GB2312" w:eastAsia="仿宋_GB2312" w:cs="仿宋_GB2312"/>
          <w:color w:val="000000"/>
          <w:kern w:val="0"/>
          <w:sz w:val="21"/>
          <w:szCs w:val="21"/>
        </w:rPr>
      </w:pPr>
      <w:r>
        <w:rPr>
          <w:rFonts w:hint="eastAsia" w:ascii="Times New Roman" w:hAnsi="Times New Roman" w:eastAsia="仿宋_GB2312" w:cs="Times New Roman"/>
          <w:color w:val="000000"/>
          <w:kern w:val="0"/>
          <w:szCs w:val="21"/>
        </w:rPr>
        <w:t xml:space="preserve">     </w:t>
      </w:r>
      <w:r>
        <w:rPr>
          <w:rFonts w:hint="eastAsia" w:ascii="仿宋_GB2312" w:hAnsi="仿宋_GB2312" w:eastAsia="仿宋_GB2312" w:cs="仿宋_GB2312"/>
          <w:color w:val="000000"/>
          <w:kern w:val="0"/>
          <w:sz w:val="21"/>
          <w:szCs w:val="21"/>
        </w:rPr>
        <w:t>部门：</w:t>
      </w:r>
      <w:r>
        <w:rPr>
          <w:rFonts w:hint="eastAsia" w:ascii="仿宋_GB2312" w:hAnsi="仿宋_GB2312" w:eastAsia="仿宋_GB2312" w:cs="仿宋_GB2312"/>
          <w:sz w:val="21"/>
          <w:szCs w:val="21"/>
          <w:lang w:eastAsia="zh-CN"/>
        </w:rPr>
        <w:t>湖南省信访局</w:t>
      </w:r>
      <w:r>
        <w:rPr>
          <w:rFonts w:hint="eastAsia" w:ascii="仿宋_GB2312" w:hAnsi="仿宋_GB2312" w:eastAsia="仿宋_GB2312" w:cs="仿宋_GB2312"/>
          <w:sz w:val="21"/>
          <w:szCs w:val="21"/>
        </w:rPr>
        <w:t>　</w:t>
      </w:r>
      <w:r>
        <w:rPr>
          <w:rFonts w:hint="eastAsia" w:ascii="仿宋_GB2312" w:hAnsi="仿宋_GB2312" w:eastAsia="仿宋_GB2312" w:cs="仿宋_GB2312"/>
          <w:color w:val="000000"/>
          <w:kern w:val="0"/>
          <w:sz w:val="21"/>
          <w:szCs w:val="21"/>
        </w:rPr>
        <w:t xml:space="preserve">                                                                                             </w:t>
      </w:r>
      <w:r>
        <w:rPr>
          <w:rFonts w:hint="eastAsia" w:ascii="仿宋_GB2312" w:hAnsi="仿宋_GB2312" w:eastAsia="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 xml:space="preserve">    公开05表</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单位：万元</w:t>
      </w:r>
    </w:p>
    <w:tbl>
      <w:tblPr>
        <w:tblStyle w:val="12"/>
        <w:tblW w:w="14219" w:type="dxa"/>
        <w:jc w:val="center"/>
        <w:tblLayout w:type="autofit"/>
        <w:tblCellMar>
          <w:top w:w="0" w:type="dxa"/>
          <w:left w:w="108" w:type="dxa"/>
          <w:bottom w:w="0" w:type="dxa"/>
          <w:right w:w="108" w:type="dxa"/>
        </w:tblCellMar>
      </w:tblPr>
      <w:tblGrid>
        <w:gridCol w:w="1200"/>
        <w:gridCol w:w="3773"/>
        <w:gridCol w:w="2754"/>
        <w:gridCol w:w="3492"/>
        <w:gridCol w:w="3000"/>
      </w:tblGrid>
      <w:tr>
        <w:tblPrEx>
          <w:tblCellMar>
            <w:top w:w="0" w:type="dxa"/>
            <w:left w:w="108" w:type="dxa"/>
            <w:bottom w:w="0" w:type="dxa"/>
            <w:right w:w="108" w:type="dxa"/>
          </w:tblCellMar>
        </w:tblPrEx>
        <w:trPr>
          <w:trHeight w:val="405" w:hRule="atLeast"/>
          <w:jc w:val="center"/>
        </w:trPr>
        <w:tc>
          <w:tcPr>
            <w:tcW w:w="497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 xml:space="preserve">项 </w:t>
            </w:r>
            <w:r>
              <w:rPr>
                <w:rFonts w:hint="eastAsia" w:ascii="仿宋_GB2312" w:hAnsi="仿宋_GB2312" w:eastAsia="仿宋_GB2312" w:cs="仿宋_GB2312"/>
                <w:b/>
                <w:color w:val="000000"/>
                <w:kern w:val="0"/>
                <w:sz w:val="21"/>
                <w:szCs w:val="21"/>
              </w:rPr>
              <w:t xml:space="preserve">   </w:t>
            </w:r>
            <w:r>
              <w:rPr>
                <w:rFonts w:hint="eastAsia" w:ascii="仿宋_GB2312" w:hAnsi="仿宋_GB2312" w:eastAsia="仿宋_GB2312" w:cs="仿宋_GB2312"/>
                <w:b/>
                <w:kern w:val="0"/>
                <w:sz w:val="21"/>
                <w:szCs w:val="21"/>
              </w:rPr>
              <w:t>目</w:t>
            </w:r>
          </w:p>
        </w:tc>
        <w:tc>
          <w:tcPr>
            <w:tcW w:w="9246"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功能分类科目编码</w:t>
            </w:r>
          </w:p>
        </w:tc>
        <w:tc>
          <w:tcPr>
            <w:tcW w:w="377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科目名称</w:t>
            </w:r>
          </w:p>
        </w:tc>
        <w:tc>
          <w:tcPr>
            <w:tcW w:w="275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377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27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377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27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624" w:hRule="atLeast"/>
          <w:jc w:val="center"/>
        </w:trPr>
        <w:tc>
          <w:tcPr>
            <w:tcW w:w="497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栏次</w:t>
            </w:r>
          </w:p>
        </w:tc>
        <w:tc>
          <w:tcPr>
            <w:tcW w:w="275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CellMar>
            <w:top w:w="0" w:type="dxa"/>
            <w:left w:w="108" w:type="dxa"/>
            <w:bottom w:w="0" w:type="dxa"/>
            <w:right w:w="108" w:type="dxa"/>
          </w:tblCellMar>
        </w:tblPrEx>
        <w:trPr>
          <w:trHeight w:val="624" w:hRule="atLeast"/>
          <w:jc w:val="center"/>
        </w:trPr>
        <w:tc>
          <w:tcPr>
            <w:tcW w:w="497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合计</w:t>
            </w:r>
          </w:p>
        </w:tc>
        <w:tc>
          <w:tcPr>
            <w:tcW w:w="2754"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4284.08</w:t>
            </w:r>
          </w:p>
        </w:tc>
        <w:tc>
          <w:tcPr>
            <w:tcW w:w="3492"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2556.85</w:t>
            </w:r>
          </w:p>
        </w:tc>
        <w:tc>
          <w:tcPr>
            <w:tcW w:w="3000" w:type="dxa"/>
            <w:tcBorders>
              <w:top w:val="nil"/>
              <w:left w:val="nil"/>
              <w:bottom w:val="single" w:color="auto" w:sz="4" w:space="0"/>
              <w:right w:val="single" w:color="auto" w:sz="8"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1727.23</w:t>
            </w:r>
          </w:p>
        </w:tc>
      </w:tr>
      <w:tr>
        <w:tblPrEx>
          <w:tblCellMar>
            <w:top w:w="0" w:type="dxa"/>
            <w:left w:w="108" w:type="dxa"/>
            <w:bottom w:w="0" w:type="dxa"/>
            <w:right w:w="108" w:type="dxa"/>
          </w:tblCellMar>
        </w:tblPrEx>
        <w:trPr>
          <w:trHeight w:val="62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2010301</w:t>
            </w:r>
          </w:p>
        </w:tc>
        <w:tc>
          <w:tcPr>
            <w:tcW w:w="37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行政运行</w:t>
            </w:r>
          </w:p>
        </w:tc>
        <w:tc>
          <w:tcPr>
            <w:tcW w:w="2754"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2167.66</w:t>
            </w:r>
          </w:p>
        </w:tc>
        <w:tc>
          <w:tcPr>
            <w:tcW w:w="3492"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2103.50</w:t>
            </w:r>
          </w:p>
        </w:tc>
        <w:tc>
          <w:tcPr>
            <w:tcW w:w="3000" w:type="dxa"/>
            <w:tcBorders>
              <w:top w:val="nil"/>
              <w:left w:val="nil"/>
              <w:bottom w:val="single" w:color="auto" w:sz="4" w:space="0"/>
              <w:right w:val="single" w:color="auto" w:sz="8"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64.15</w:t>
            </w:r>
          </w:p>
        </w:tc>
      </w:tr>
      <w:tr>
        <w:tblPrEx>
          <w:tblCellMar>
            <w:top w:w="0" w:type="dxa"/>
            <w:left w:w="108" w:type="dxa"/>
            <w:bottom w:w="0" w:type="dxa"/>
            <w:right w:w="108" w:type="dxa"/>
          </w:tblCellMar>
        </w:tblPrEx>
        <w:trPr>
          <w:trHeight w:val="62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2010302</w:t>
            </w:r>
          </w:p>
        </w:tc>
        <w:tc>
          <w:tcPr>
            <w:tcW w:w="37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一般行政管理事务</w:t>
            </w:r>
          </w:p>
        </w:tc>
        <w:tc>
          <w:tcPr>
            <w:tcW w:w="2754"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1275.07</w:t>
            </w:r>
          </w:p>
        </w:tc>
        <w:tc>
          <w:tcPr>
            <w:tcW w:w="3492"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40.00</w:t>
            </w:r>
          </w:p>
        </w:tc>
        <w:tc>
          <w:tcPr>
            <w:tcW w:w="3000" w:type="dxa"/>
            <w:tcBorders>
              <w:top w:val="nil"/>
              <w:left w:val="nil"/>
              <w:bottom w:val="single" w:color="auto" w:sz="4" w:space="0"/>
              <w:right w:val="single" w:color="auto" w:sz="8"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1235.07</w:t>
            </w:r>
          </w:p>
        </w:tc>
      </w:tr>
      <w:tr>
        <w:tblPrEx>
          <w:tblCellMar>
            <w:top w:w="0" w:type="dxa"/>
            <w:left w:w="108" w:type="dxa"/>
            <w:bottom w:w="0" w:type="dxa"/>
            <w:right w:w="108" w:type="dxa"/>
          </w:tblCellMar>
        </w:tblPrEx>
        <w:trPr>
          <w:trHeight w:val="62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2010308</w:t>
            </w:r>
          </w:p>
        </w:tc>
        <w:tc>
          <w:tcPr>
            <w:tcW w:w="37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信访事务</w:t>
            </w:r>
          </w:p>
        </w:tc>
        <w:tc>
          <w:tcPr>
            <w:tcW w:w="2754"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355.34</w:t>
            </w:r>
          </w:p>
        </w:tc>
        <w:tc>
          <w:tcPr>
            <w:tcW w:w="3492"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355.34</w:t>
            </w:r>
          </w:p>
        </w:tc>
      </w:tr>
      <w:tr>
        <w:tblPrEx>
          <w:tblCellMar>
            <w:top w:w="0" w:type="dxa"/>
            <w:left w:w="108" w:type="dxa"/>
            <w:bottom w:w="0" w:type="dxa"/>
            <w:right w:w="108" w:type="dxa"/>
          </w:tblCellMar>
        </w:tblPrEx>
        <w:trPr>
          <w:trHeight w:val="62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2013102</w:t>
            </w:r>
          </w:p>
        </w:tc>
        <w:tc>
          <w:tcPr>
            <w:tcW w:w="37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一般行政管理事务</w:t>
            </w:r>
          </w:p>
        </w:tc>
        <w:tc>
          <w:tcPr>
            <w:tcW w:w="2754"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28.87</w:t>
            </w:r>
          </w:p>
        </w:tc>
        <w:tc>
          <w:tcPr>
            <w:tcW w:w="3492"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28.87</w:t>
            </w:r>
          </w:p>
        </w:tc>
      </w:tr>
      <w:tr>
        <w:tblPrEx>
          <w:tblCellMar>
            <w:top w:w="0" w:type="dxa"/>
            <w:left w:w="108" w:type="dxa"/>
            <w:bottom w:w="0" w:type="dxa"/>
            <w:right w:w="108" w:type="dxa"/>
          </w:tblCellMar>
        </w:tblPrEx>
        <w:trPr>
          <w:trHeight w:val="62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2050803</w:t>
            </w:r>
          </w:p>
        </w:tc>
        <w:tc>
          <w:tcPr>
            <w:tcW w:w="37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培训支出</w:t>
            </w:r>
          </w:p>
        </w:tc>
        <w:tc>
          <w:tcPr>
            <w:tcW w:w="2754"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43.80</w:t>
            </w:r>
          </w:p>
        </w:tc>
        <w:tc>
          <w:tcPr>
            <w:tcW w:w="3492"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43.80</w:t>
            </w:r>
          </w:p>
        </w:tc>
      </w:tr>
      <w:tr>
        <w:tblPrEx>
          <w:tblCellMar>
            <w:top w:w="0" w:type="dxa"/>
            <w:left w:w="108" w:type="dxa"/>
            <w:bottom w:w="0" w:type="dxa"/>
            <w:right w:w="108" w:type="dxa"/>
          </w:tblCellMar>
        </w:tblPrEx>
        <w:trPr>
          <w:trHeight w:val="62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2080505</w:t>
            </w:r>
          </w:p>
        </w:tc>
        <w:tc>
          <w:tcPr>
            <w:tcW w:w="37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机关事业单位基本养老保险缴费支出</w:t>
            </w:r>
          </w:p>
        </w:tc>
        <w:tc>
          <w:tcPr>
            <w:tcW w:w="2754"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376.72</w:t>
            </w:r>
          </w:p>
        </w:tc>
        <w:tc>
          <w:tcPr>
            <w:tcW w:w="3492"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376.32</w:t>
            </w:r>
          </w:p>
        </w:tc>
        <w:tc>
          <w:tcPr>
            <w:tcW w:w="3000" w:type="dxa"/>
            <w:tcBorders>
              <w:top w:val="nil"/>
              <w:left w:val="nil"/>
              <w:bottom w:val="single" w:color="auto" w:sz="4" w:space="0"/>
              <w:right w:val="single" w:color="auto" w:sz="8"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0.00</w:t>
            </w:r>
          </w:p>
        </w:tc>
      </w:tr>
      <w:tr>
        <w:tblPrEx>
          <w:tblCellMar>
            <w:top w:w="0" w:type="dxa"/>
            <w:left w:w="108" w:type="dxa"/>
            <w:bottom w:w="0" w:type="dxa"/>
            <w:right w:w="108" w:type="dxa"/>
          </w:tblCellMar>
        </w:tblPrEx>
        <w:trPr>
          <w:trHeight w:val="62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2080801</w:t>
            </w:r>
          </w:p>
        </w:tc>
        <w:tc>
          <w:tcPr>
            <w:tcW w:w="37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死亡抚恤</w:t>
            </w:r>
          </w:p>
        </w:tc>
        <w:tc>
          <w:tcPr>
            <w:tcW w:w="2754"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36.63</w:t>
            </w:r>
          </w:p>
        </w:tc>
        <w:tc>
          <w:tcPr>
            <w:tcW w:w="3492" w:type="dxa"/>
            <w:tcBorders>
              <w:top w:val="nil"/>
              <w:left w:val="nil"/>
              <w:bottom w:val="single" w:color="auto" w:sz="4" w:space="0"/>
              <w:right w:val="single" w:color="auto" w:sz="4"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36.63</w:t>
            </w:r>
          </w:p>
        </w:tc>
        <w:tc>
          <w:tcPr>
            <w:tcW w:w="3000" w:type="dxa"/>
            <w:tcBorders>
              <w:top w:val="nil"/>
              <w:left w:val="nil"/>
              <w:bottom w:val="single" w:color="auto" w:sz="4" w:space="0"/>
              <w:right w:val="single" w:color="auto" w:sz="8" w:space="0"/>
            </w:tcBorders>
            <w:shd w:val="clear" w:color="auto" w:fill="auto"/>
            <w:vAlign w:val="center"/>
          </w:tcPr>
          <w:p>
            <w:pPr>
              <w:widowControl/>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2"/>
        <w:tblW w:w="15840" w:type="dxa"/>
        <w:jc w:val="center"/>
        <w:tblLayout w:type="fixed"/>
        <w:tblCellMar>
          <w:top w:w="0" w:type="dxa"/>
          <w:left w:w="108" w:type="dxa"/>
          <w:bottom w:w="0" w:type="dxa"/>
          <w:right w:w="108" w:type="dxa"/>
        </w:tblCellMar>
      </w:tblPr>
      <w:tblGrid>
        <w:gridCol w:w="1003"/>
        <w:gridCol w:w="77"/>
        <w:gridCol w:w="163"/>
        <w:gridCol w:w="1402"/>
        <w:gridCol w:w="1648"/>
        <w:gridCol w:w="471"/>
        <w:gridCol w:w="587"/>
        <w:gridCol w:w="1084"/>
        <w:gridCol w:w="448"/>
        <w:gridCol w:w="1817"/>
        <w:gridCol w:w="302"/>
        <w:gridCol w:w="673"/>
        <w:gridCol w:w="1085"/>
        <w:gridCol w:w="361"/>
        <w:gridCol w:w="2119"/>
        <w:gridCol w:w="1726"/>
        <w:gridCol w:w="394"/>
        <w:gridCol w:w="480"/>
      </w:tblGrid>
      <w:tr>
        <w:tblPrEx>
          <w:tblCellMar>
            <w:top w:w="0" w:type="dxa"/>
            <w:left w:w="108" w:type="dxa"/>
            <w:bottom w:w="0" w:type="dxa"/>
            <w:right w:w="108" w:type="dxa"/>
          </w:tblCellMar>
        </w:tblPrEx>
        <w:trPr>
          <w:trHeight w:val="23" w:hRule="atLeast"/>
          <w:jc w:val="center"/>
        </w:trPr>
        <w:tc>
          <w:tcPr>
            <w:tcW w:w="15840" w:type="dxa"/>
            <w:gridSpan w:val="18"/>
            <w:tcBorders>
              <w:top w:val="nil"/>
              <w:left w:val="nil"/>
              <w:bottom w:val="nil"/>
              <w:right w:val="nil"/>
            </w:tcBorders>
            <w:shd w:val="clear" w:color="auto" w:fill="auto"/>
            <w:noWrap/>
            <w:vAlign w:val="center"/>
          </w:tcPr>
          <w:p>
            <w:pPr>
              <w:widowControl/>
              <w:jc w:val="center"/>
              <w:rPr>
                <w:rFonts w:hint="eastAsia" w:ascii="方正小标宋简体" w:hAnsi="方正小标宋简体" w:eastAsia="方正小标宋简体" w:cs="方正小标宋简体"/>
                <w:kern w:val="0"/>
                <w:sz w:val="32"/>
                <w:szCs w:val="32"/>
              </w:rPr>
            </w:pPr>
            <w:bookmarkStart w:id="2" w:name="RANGE!A1:I34"/>
            <w:r>
              <w:rPr>
                <w:rFonts w:hint="eastAsia" w:ascii="方正小标宋简体" w:hAnsi="方正小标宋简体" w:eastAsia="方正小标宋简体" w:cs="方正小标宋简体"/>
                <w:kern w:val="0"/>
                <w:sz w:val="32"/>
                <w:szCs w:val="32"/>
              </w:rPr>
              <w:t>一般公共预算财政拨款基本支出决算明细表</w:t>
            </w:r>
            <w:bookmarkEnd w:id="2"/>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Cs w:val="21"/>
              </w:rPr>
            </w:pPr>
            <w:r>
              <w:rPr>
                <w:rFonts w:hint="eastAsia" w:ascii="Times New Roman" w:hAnsi="Times New Roman" w:eastAsia="仿宋_GB2312" w:cs="Times New Roman"/>
                <w:color w:val="000000"/>
                <w:kern w:val="0"/>
                <w:szCs w:val="21"/>
              </w:rPr>
              <w:t xml:space="preserve"> </w:t>
            </w:r>
            <w:r>
              <w:rPr>
                <w:rFonts w:hint="eastAsia" w:ascii="仿宋_GB2312" w:hAnsi="仿宋_GB2312" w:eastAsia="仿宋_GB2312" w:cs="仿宋_GB2312"/>
                <w:color w:val="000000"/>
                <w:kern w:val="0"/>
                <w:szCs w:val="21"/>
              </w:rPr>
              <w:t xml:space="preserve"> 部门：</w:t>
            </w:r>
            <w:r>
              <w:rPr>
                <w:rFonts w:hint="eastAsia" w:ascii="仿宋_GB2312" w:hAnsi="仿宋_GB2312" w:eastAsia="仿宋_GB2312" w:cs="仿宋_GB2312"/>
                <w:lang w:eastAsia="zh-CN"/>
              </w:rPr>
              <w:t>湖南省信访局</w:t>
            </w:r>
            <w:r>
              <w:rPr>
                <w:rFonts w:hint="eastAsia" w:ascii="仿宋_GB2312" w:hAnsi="仿宋_GB2312" w:eastAsia="仿宋_GB2312" w:cs="仿宋_GB2312"/>
                <w:color w:val="000000"/>
                <w:kern w:val="0"/>
                <w:szCs w:val="21"/>
              </w:rPr>
              <w:t xml:space="preserve">                                                                                                                    公开06表</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华文中宋" w:hAnsi="华文中宋" w:eastAsia="华文中宋" w:cs="宋体"/>
                <w:color w:val="000000"/>
                <w:kern w:val="0"/>
                <w:szCs w:val="32"/>
              </w:rPr>
            </w:pP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单位：万元</w:t>
            </w:r>
          </w:p>
        </w:tc>
      </w:tr>
      <w:tr>
        <w:tblPrEx>
          <w:tblCellMar>
            <w:top w:w="0" w:type="dxa"/>
            <w:left w:w="108" w:type="dxa"/>
            <w:bottom w:w="0" w:type="dxa"/>
            <w:right w:w="108" w:type="dxa"/>
          </w:tblCellMar>
        </w:tblPrEx>
        <w:trPr>
          <w:trHeight w:val="57" w:hRule="atLeast"/>
          <w:jc w:val="center"/>
        </w:trPr>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经济分类科目编码</w:t>
            </w:r>
          </w:p>
        </w:tc>
        <w:tc>
          <w:tcPr>
            <w:tcW w:w="321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科目名称</w:t>
            </w:r>
          </w:p>
        </w:tc>
        <w:tc>
          <w:tcPr>
            <w:tcW w:w="105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决算数</w:t>
            </w:r>
          </w:p>
        </w:tc>
        <w:tc>
          <w:tcPr>
            <w:tcW w:w="10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经济分类科目编码</w:t>
            </w:r>
          </w:p>
        </w:tc>
        <w:tc>
          <w:tcPr>
            <w:tcW w:w="226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科目名称</w:t>
            </w:r>
          </w:p>
        </w:tc>
        <w:tc>
          <w:tcPr>
            <w:tcW w:w="97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决算数</w:t>
            </w:r>
          </w:p>
        </w:tc>
        <w:tc>
          <w:tcPr>
            <w:tcW w:w="10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科目名称</w:t>
            </w:r>
          </w:p>
        </w:tc>
        <w:tc>
          <w:tcPr>
            <w:tcW w:w="87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决算数</w:t>
            </w:r>
          </w:p>
        </w:tc>
      </w:tr>
      <w:tr>
        <w:tblPrEx>
          <w:tblCellMar>
            <w:top w:w="0" w:type="dxa"/>
            <w:left w:w="108" w:type="dxa"/>
            <w:bottom w:w="0" w:type="dxa"/>
            <w:right w:w="108" w:type="dxa"/>
          </w:tblCellMar>
        </w:tblPrEx>
        <w:trPr>
          <w:trHeight w:val="30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rPr>
            </w:pPr>
          </w:p>
          <w:p>
            <w:pPr>
              <w:pStyle w:val="2"/>
              <w:keepNext w:val="0"/>
              <w:keepLines w:val="0"/>
              <w:pageBreakBefore w:val="0"/>
              <w:widowControl/>
              <w:kinsoku/>
              <w:wordWrap/>
              <w:overflowPunct/>
              <w:topLinePunct w:val="0"/>
              <w:autoSpaceDE/>
              <w:autoSpaceDN/>
              <w:bidi w:val="0"/>
              <w:adjustRightInd/>
              <w:snapToGrid/>
              <w:spacing w:line="200" w:lineRule="exact"/>
              <w:textAlignment w:val="auto"/>
              <w:rPr>
                <w:rFonts w:hint="eastAsia"/>
              </w:rPr>
            </w:pP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工资福利支出</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spacing w:val="-6"/>
                <w:kern w:val="0"/>
                <w:sz w:val="21"/>
                <w:szCs w:val="21"/>
                <w:lang w:val="en-US" w:eastAsia="zh-CN"/>
              </w:rPr>
              <w:t>1983.91</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商品和服务支出</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382.25</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307</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债务利息及费用支出</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30101</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基本工资</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483.05</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30201</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办公费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28.72</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国内债务付息</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30102</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津贴补贴</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450.75</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30202</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印刷费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12.55</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国外债务付息</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30103</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奖金</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385.49</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30203</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咨询费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资本性支出</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30106</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伙食补助费</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40.34</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30204</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手续费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房屋建筑物购建</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30107</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绩效工资</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30205</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水费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1.95</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办公设备购置</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30108</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spacing w:val="-6"/>
                <w:kern w:val="0"/>
                <w:sz w:val="21"/>
                <w:szCs w:val="21"/>
              </w:rPr>
              <w:t xml:space="preserve">  机关事业单位基本养老保险缴费</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196.67</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30206</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电费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25.00</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专用设备购置</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30109</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职业年金缴费</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30207</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邮电费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8.74</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基础设施建设</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30110</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职工基本医疗保险缴费</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125.53</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30208</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取暖费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大型修缮</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30111</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公务员医疗补助缴费</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99.59</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30209</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物业管理费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信息网络及软件购置更新</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30112</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其他社会保障缴费</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12.23</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30211</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差旅费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52.32</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物资储备</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30113</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住房公积金</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190.26</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30212</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因公出国（境）费用</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0.00</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土地补偿</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30114</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医疗费</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30213</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维修（护）费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10.00</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安置补助</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30199</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其他工资福利支出</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30214</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租赁费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11.41</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地上附着物和青苗补偿</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303</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对个人和家庭的补助</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190.70</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30215</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会议费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12.00</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拆迁补偿</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30301</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离休费</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30216</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培训费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公务用车购置</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30302</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退休费</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11.80</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30217</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公务接待费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3.80</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其他交通工具购置</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30303</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退职（役）费</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30218</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专用材料费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文物和陈列品购置</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30304</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抚恤金</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40.53</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30224</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被装购置费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无形资产购置</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30305</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生活补助</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30225</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专用燃料费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其他资本性支出</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27"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30306</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救济费</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30226</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劳务费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5.00</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399</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其他支出</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30307</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医疗费补助</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30227</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委托业务费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xml:space="preserve">  国家赔偿费用支出</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30308</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助学金</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30228</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工会经费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40.00</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xml:space="preserve">  对民间非营利组织和群众性自治组织补贴</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387"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30309</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奖励金</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119.77</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30229</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福利费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19.52</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3990</w:t>
            </w:r>
            <w:r>
              <w:rPr>
                <w:rFonts w:hint="eastAsia" w:ascii="仿宋_GB2312" w:hAnsi="仿宋_GB2312" w:eastAsia="仿宋_GB2312" w:cs="仿宋_GB2312"/>
                <w:color w:val="000000"/>
                <w:kern w:val="0"/>
                <w:sz w:val="21"/>
                <w:szCs w:val="21"/>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经常性赠与</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资本性赠与</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资本性赠与</w:t>
                  </w:r>
                </w:p>
              </w:tc>
            </w:tr>
          </w:tbl>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资本性赠与</w:t>
                  </w:r>
                </w:p>
              </w:tc>
            </w:tr>
          </w:tbl>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30310</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个人农业生产补贴</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30231</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spacing w:val="-6"/>
                <w:kern w:val="0"/>
                <w:sz w:val="21"/>
                <w:szCs w:val="21"/>
              </w:rPr>
              <w:t xml:space="preserve">  公务用车运行维护费</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11.96</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399</w:t>
            </w:r>
            <w:r>
              <w:rPr>
                <w:rFonts w:hint="eastAsia" w:ascii="仿宋_GB2312" w:hAnsi="仿宋_GB2312" w:eastAsia="仿宋_GB2312" w:cs="仿宋_GB2312"/>
                <w:color w:val="000000"/>
                <w:kern w:val="0"/>
                <w:sz w:val="21"/>
                <w:szCs w:val="21"/>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 xml:space="preserve">  资本性赠与</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30311</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代缴社会保险费</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30239</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其他交通费用</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96.79</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xml:space="preserve">  其他支出</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30399</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其他对个人和家庭的补助</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18.60</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30240</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税金及附加费用</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3213"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0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30299</w:t>
            </w:r>
          </w:p>
        </w:tc>
        <w:tc>
          <w:tcPr>
            <w:tcW w:w="226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spacing w:val="-6"/>
                <w:kern w:val="0"/>
                <w:sz w:val="21"/>
                <w:szCs w:val="21"/>
              </w:rPr>
              <w:t xml:space="preserve">  其他商品和服务支出</w:t>
            </w:r>
          </w:p>
        </w:tc>
        <w:tc>
          <w:tcPr>
            <w:tcW w:w="97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42.48</w:t>
            </w:r>
          </w:p>
        </w:tc>
        <w:tc>
          <w:tcPr>
            <w:tcW w:w="10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429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人员经费合计</w:t>
            </w:r>
          </w:p>
        </w:tc>
        <w:tc>
          <w:tcPr>
            <w:tcW w:w="105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spacing w:val="-6"/>
                <w:kern w:val="0"/>
                <w:sz w:val="21"/>
                <w:szCs w:val="21"/>
                <w:lang w:val="en-US" w:eastAsia="zh-CN"/>
              </w:rPr>
              <w:t>2174.61</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公用经费合计</w:t>
            </w:r>
          </w:p>
        </w:tc>
        <w:tc>
          <w:tcPr>
            <w:tcW w:w="87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382.25</w:t>
            </w: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5840" w:type="dxa"/>
            <w:gridSpan w:val="18"/>
            <w:tcBorders>
              <w:top w:val="nil"/>
              <w:left w:val="nil"/>
              <w:bottom w:val="nil"/>
              <w:right w:val="nil"/>
            </w:tcBorders>
            <w:shd w:val="clear" w:color="auto" w:fill="auto"/>
            <w:noWrap/>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690" w:hRule="atLeast"/>
          <w:jc w:val="center"/>
        </w:trPr>
        <w:tc>
          <w:tcPr>
            <w:tcW w:w="1536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23" w:hRule="atLeast"/>
          <w:jc w:val="center"/>
        </w:trPr>
        <w:tc>
          <w:tcPr>
            <w:tcW w:w="1003" w:type="dxa"/>
            <w:tcBorders>
              <w:top w:val="nil"/>
              <w:left w:val="nil"/>
              <w:bottom w:val="nil"/>
              <w:right w:val="nil"/>
            </w:tcBorders>
            <w:shd w:val="clear" w:color="auto" w:fill="FFFFFF"/>
            <w:vAlign w:val="center"/>
          </w:tcPr>
          <w:p>
            <w:pPr>
              <w:jc w:val="center"/>
              <w:rPr>
                <w:rFonts w:hint="eastAsia" w:ascii="仿宋_GB2312" w:hAnsi="仿宋_GB2312" w:eastAsia="仿宋_GB2312" w:cs="仿宋_GB2312"/>
                <w:i w:val="0"/>
                <w:color w:val="000000"/>
                <w:sz w:val="21"/>
                <w:szCs w:val="21"/>
                <w:u w:val="none"/>
              </w:rPr>
            </w:pPr>
          </w:p>
        </w:tc>
        <w:tc>
          <w:tcPr>
            <w:tcW w:w="240" w:type="dxa"/>
            <w:gridSpan w:val="2"/>
            <w:tcBorders>
              <w:top w:val="nil"/>
              <w:left w:val="nil"/>
              <w:bottom w:val="nil"/>
              <w:right w:val="nil"/>
            </w:tcBorders>
            <w:shd w:val="clear" w:color="auto" w:fill="FFFFFF"/>
            <w:vAlign w:val="center"/>
          </w:tcPr>
          <w:p>
            <w:pPr>
              <w:jc w:val="center"/>
              <w:rPr>
                <w:rFonts w:hint="eastAsia" w:ascii="仿宋_GB2312" w:hAnsi="仿宋_GB2312" w:eastAsia="仿宋_GB2312" w:cs="仿宋_GB2312"/>
                <w:i w:val="0"/>
                <w:color w:val="000000"/>
                <w:sz w:val="21"/>
                <w:szCs w:val="21"/>
                <w:u w:val="none"/>
              </w:rPr>
            </w:pPr>
          </w:p>
        </w:tc>
        <w:tc>
          <w:tcPr>
            <w:tcW w:w="1402" w:type="dxa"/>
            <w:tcBorders>
              <w:top w:val="nil"/>
              <w:left w:val="nil"/>
              <w:bottom w:val="nil"/>
              <w:right w:val="nil"/>
            </w:tcBorders>
            <w:shd w:val="clear" w:color="auto" w:fill="FFFFFF"/>
            <w:vAlign w:val="center"/>
          </w:tcPr>
          <w:p>
            <w:pPr>
              <w:jc w:val="center"/>
              <w:rPr>
                <w:rFonts w:hint="eastAsia" w:ascii="仿宋_GB2312" w:hAnsi="仿宋_GB2312" w:eastAsia="仿宋_GB2312" w:cs="仿宋_GB2312"/>
                <w:i w:val="0"/>
                <w:color w:val="000000"/>
                <w:sz w:val="21"/>
                <w:szCs w:val="21"/>
                <w:u w:val="none"/>
              </w:rPr>
            </w:pPr>
          </w:p>
        </w:tc>
        <w:tc>
          <w:tcPr>
            <w:tcW w:w="2119" w:type="dxa"/>
            <w:gridSpan w:val="2"/>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2119" w:type="dxa"/>
            <w:gridSpan w:val="2"/>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2119"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23" w:hRule="atLeast"/>
          <w:jc w:val="center"/>
        </w:trPr>
        <w:tc>
          <w:tcPr>
            <w:tcW w:w="2645" w:type="dxa"/>
            <w:gridSpan w:val="4"/>
            <w:tcBorders>
              <w:top w:val="nil"/>
              <w:left w:val="nil"/>
              <w:bottom w:val="nil"/>
              <w:right w:val="nil"/>
            </w:tcBorders>
            <w:shd w:val="clear" w:color="auto" w:fill="FFFFFF"/>
            <w:noWrap/>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部门：</w:t>
            </w:r>
            <w:r>
              <w:rPr>
                <w:rFonts w:hint="eastAsia" w:ascii="仿宋_GB2312" w:hAnsi="仿宋_GB2312" w:eastAsia="仿宋_GB2312" w:cs="仿宋_GB2312"/>
                <w:sz w:val="21"/>
                <w:szCs w:val="21"/>
                <w:lang w:eastAsia="zh-CN"/>
              </w:rPr>
              <w:t>湖南省信访局</w:t>
            </w:r>
          </w:p>
        </w:tc>
        <w:tc>
          <w:tcPr>
            <w:tcW w:w="2119" w:type="dxa"/>
            <w:gridSpan w:val="2"/>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2119" w:type="dxa"/>
            <w:gridSpan w:val="2"/>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2119"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459" w:hRule="atLeast"/>
          <w:jc w:val="center"/>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项 </w:t>
            </w:r>
            <w:r>
              <w:rPr>
                <w:rStyle w:val="19"/>
                <w:rFonts w:hint="eastAsia" w:ascii="仿宋_GB2312" w:hAnsi="仿宋_GB2312" w:eastAsia="仿宋_GB2312" w:cs="仿宋_GB2312"/>
                <w:sz w:val="21"/>
                <w:szCs w:val="21"/>
                <w:lang w:val="en-US" w:eastAsia="zh-CN" w:bidi="ar"/>
              </w:rPr>
              <w:t xml:space="preserve">   </w:t>
            </w:r>
            <w:r>
              <w:rPr>
                <w:rStyle w:val="20"/>
                <w:rFonts w:hint="eastAsia" w:ascii="仿宋_GB2312" w:hAnsi="仿宋_GB2312" w:eastAsia="仿宋_GB2312" w:cs="仿宋_GB2312"/>
                <w:sz w:val="21"/>
                <w:szCs w:val="21"/>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609" w:hRule="atLeast"/>
          <w:jc w:val="center"/>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409" w:hRule="atLeast"/>
          <w:jc w:val="center"/>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509" w:hRule="atLeast"/>
          <w:jc w:val="center"/>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624" w:hRule="atLeast"/>
          <w:jc w:val="center"/>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624" w:hRule="atLeast"/>
          <w:jc w:val="center"/>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无</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无</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无</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无</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无</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624" w:hRule="atLeast"/>
          <w:jc w:val="center"/>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624" w:hRule="atLeast"/>
          <w:jc w:val="center"/>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624" w:hRule="atLeast"/>
          <w:jc w:val="center"/>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624" w:hRule="atLeast"/>
          <w:jc w:val="center"/>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624" w:hRule="atLeast"/>
          <w:jc w:val="center"/>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624" w:hRule="atLeast"/>
          <w:jc w:val="center"/>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0" w:type="dxa"/>
          <w:trHeight w:val="725" w:hRule="atLeast"/>
          <w:jc w:val="center"/>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bCs/>
                <w:i w:val="0"/>
                <w:color w:val="auto"/>
                <w:kern w:val="0"/>
                <w:sz w:val="21"/>
                <w:szCs w:val="21"/>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12"/>
        <w:tblW w:w="15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326" w:type="dxa"/>
            <w:tcBorders>
              <w:top w:val="nil"/>
              <w:left w:val="nil"/>
              <w:bottom w:val="nil"/>
              <w:right w:val="nil"/>
            </w:tcBorders>
            <w:shd w:val="clear" w:color="auto" w:fill="FFFFFF"/>
            <w:vAlign w:val="center"/>
          </w:tcPr>
          <w:p>
            <w:pPr>
              <w:jc w:val="center"/>
              <w:rPr>
                <w:rFonts w:hint="eastAsia" w:ascii="仿宋_GB2312" w:hAnsi="仿宋_GB2312" w:eastAsia="仿宋_GB2312" w:cs="仿宋_GB2312"/>
                <w:i w:val="0"/>
                <w:color w:val="000000"/>
                <w:sz w:val="21"/>
                <w:szCs w:val="21"/>
                <w:u w:val="none"/>
              </w:rPr>
            </w:pPr>
          </w:p>
        </w:tc>
        <w:tc>
          <w:tcPr>
            <w:tcW w:w="701" w:type="dxa"/>
            <w:tcBorders>
              <w:top w:val="nil"/>
              <w:left w:val="nil"/>
              <w:bottom w:val="nil"/>
              <w:right w:val="nil"/>
            </w:tcBorders>
            <w:shd w:val="clear" w:color="auto" w:fill="FFFFFF"/>
            <w:vAlign w:val="center"/>
          </w:tcPr>
          <w:p>
            <w:pPr>
              <w:jc w:val="center"/>
              <w:rPr>
                <w:rFonts w:hint="eastAsia" w:ascii="仿宋_GB2312" w:hAnsi="仿宋_GB2312" w:eastAsia="仿宋_GB2312" w:cs="仿宋_GB2312"/>
                <w:i w:val="0"/>
                <w:color w:val="000000"/>
                <w:sz w:val="21"/>
                <w:szCs w:val="21"/>
                <w:u w:val="none"/>
              </w:rPr>
            </w:pPr>
          </w:p>
        </w:tc>
        <w:tc>
          <w:tcPr>
            <w:tcW w:w="2292" w:type="dxa"/>
            <w:tcBorders>
              <w:top w:val="nil"/>
              <w:left w:val="nil"/>
              <w:bottom w:val="nil"/>
              <w:right w:val="nil"/>
            </w:tcBorders>
            <w:shd w:val="clear" w:color="auto" w:fill="FFFFFF"/>
            <w:vAlign w:val="center"/>
          </w:tcPr>
          <w:p>
            <w:pPr>
              <w:jc w:val="center"/>
              <w:rPr>
                <w:rFonts w:hint="eastAsia" w:ascii="仿宋_GB2312" w:hAnsi="仿宋_GB2312" w:eastAsia="仿宋_GB2312" w:cs="仿宋_GB2312"/>
                <w:i w:val="0"/>
                <w:color w:val="000000"/>
                <w:sz w:val="21"/>
                <w:szCs w:val="21"/>
                <w:u w:val="none"/>
              </w:rPr>
            </w:pPr>
          </w:p>
        </w:tc>
        <w:tc>
          <w:tcPr>
            <w:tcW w:w="3315"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3315"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027" w:type="dxa"/>
            <w:gridSpan w:val="2"/>
            <w:tcBorders>
              <w:top w:val="nil"/>
              <w:left w:val="nil"/>
              <w:bottom w:val="nil"/>
              <w:right w:val="nil"/>
            </w:tcBorders>
            <w:shd w:val="clear" w:color="auto" w:fill="FFFFFF"/>
            <w:noWrap/>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部门：湖南省信访局</w:t>
            </w:r>
          </w:p>
        </w:tc>
        <w:tc>
          <w:tcPr>
            <w:tcW w:w="2292" w:type="dxa"/>
            <w:tcBorders>
              <w:top w:val="nil"/>
              <w:left w:val="nil"/>
              <w:bottom w:val="nil"/>
              <w:right w:val="nil"/>
            </w:tcBorders>
            <w:shd w:val="clear" w:color="auto" w:fill="FFFFFF"/>
            <w:vAlign w:val="center"/>
          </w:tcPr>
          <w:p>
            <w:pPr>
              <w:jc w:val="center"/>
              <w:rPr>
                <w:rFonts w:hint="eastAsia" w:ascii="仿宋_GB2312" w:hAnsi="仿宋_GB2312" w:eastAsia="仿宋_GB2312" w:cs="仿宋_GB2312"/>
                <w:i w:val="0"/>
                <w:color w:val="000000"/>
                <w:sz w:val="21"/>
                <w:szCs w:val="21"/>
                <w:u w:val="none"/>
              </w:rPr>
            </w:pPr>
          </w:p>
        </w:tc>
        <w:tc>
          <w:tcPr>
            <w:tcW w:w="3315"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3315"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项    </w:t>
            </w:r>
            <w:r>
              <w:rPr>
                <w:rStyle w:val="21"/>
                <w:rFonts w:hint="eastAsia" w:ascii="仿宋_GB2312" w:hAnsi="仿宋_GB2312" w:eastAsia="仿宋_GB2312" w:cs="仿宋_GB2312"/>
                <w:sz w:val="21"/>
                <w:szCs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无</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无</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bCs/>
                <w:i w:val="0"/>
                <w:color w:val="auto"/>
                <w:kern w:val="0"/>
                <w:sz w:val="21"/>
                <w:szCs w:val="21"/>
                <w:u w:val="none"/>
                <w:lang w:val="en-US" w:eastAsia="zh-CN" w:bidi="ar"/>
              </w:rPr>
              <w:t>说明：我单位没有使用国有资本经营预算安排的支出，故本表无数据。（当表格数据为空时，应有此说明）</w:t>
            </w:r>
          </w:p>
        </w:tc>
      </w:tr>
    </w:tbl>
    <w:p>
      <w:pPr>
        <w:pStyle w:val="10"/>
        <w:rPr>
          <w:rFonts w:hint="eastAsia"/>
        </w:rPr>
      </w:pPr>
    </w:p>
    <w:tbl>
      <w:tblPr>
        <w:tblStyle w:val="12"/>
        <w:tblW w:w="15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60"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521" w:type="dxa"/>
            <w:gridSpan w:val="2"/>
            <w:tcBorders>
              <w:top w:val="nil"/>
              <w:left w:val="nil"/>
              <w:bottom w:val="nil"/>
              <w:right w:val="nil"/>
            </w:tcBorders>
            <w:shd w:val="clear" w:color="auto" w:fill="FFFFFF"/>
            <w:noWrap/>
            <w:vAlign w:val="center"/>
          </w:tcPr>
          <w:p>
            <w:pP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部门：湖南省信访局</w:t>
            </w: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1261" w:type="dxa"/>
            <w:tcBorders>
              <w:top w:val="nil"/>
              <w:left w:val="nil"/>
              <w:bottom w:val="nil"/>
              <w:right w:val="nil"/>
            </w:tcBorders>
            <w:shd w:val="clear" w:color="auto" w:fill="FFFFFF"/>
            <w:vAlign w:val="center"/>
          </w:tcPr>
          <w:p>
            <w:pPr>
              <w:rPr>
                <w:rFonts w:hint="eastAsia" w:ascii="仿宋_GB2312" w:hAnsi="仿宋_GB2312" w:eastAsia="仿宋_GB2312" w:cs="仿宋_GB2312"/>
                <w:i w:val="0"/>
                <w:color w:val="000000"/>
                <w:sz w:val="21"/>
                <w:szCs w:val="21"/>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公务用车</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公务用车</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公务用车</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公务用车</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71.00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28.00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24.00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14.00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52.75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48.94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24.98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23.96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jc w:val="center"/>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widowControl/>
        <w:jc w:val="both"/>
        <w:rPr>
          <w:sz w:val="72"/>
          <w:szCs w:val="72"/>
        </w:rPr>
        <w:sectPr>
          <w:pgSz w:w="16838" w:h="11906" w:orient="landscape"/>
          <w:pgMar w:top="567" w:right="720" w:bottom="454" w:left="720" w:header="851" w:footer="992" w:gutter="0"/>
          <w:pgNumType w:fmt="numberInDash"/>
          <w:cols w:space="425" w:num="1"/>
          <w:docGrid w:type="lines" w:linePitch="312" w:charSpace="0"/>
        </w:sectPr>
      </w:pPr>
      <w:r>
        <w:rPr>
          <w:rFonts w:ascii="黑体" w:hAnsi="黑体" w:eastAsia="黑体"/>
          <w:szCs w:val="21"/>
        </w:rPr>
        <w:br w:type="page"/>
      </w:r>
    </w:p>
    <w:p>
      <w:pPr>
        <w:keepNext w:val="0"/>
        <w:keepLines w:val="0"/>
        <w:pageBreakBefore w:val="0"/>
        <w:kinsoku/>
        <w:wordWrap/>
        <w:overflowPunct/>
        <w:topLinePunct w:val="0"/>
        <w:bidi w:val="0"/>
        <w:snapToGrid/>
        <w:jc w:val="center"/>
        <w:textAlignment w:val="auto"/>
        <w:rPr>
          <w:sz w:val="72"/>
          <w:szCs w:val="72"/>
        </w:rPr>
      </w:pPr>
    </w:p>
    <w:p>
      <w:pPr>
        <w:pStyle w:val="16"/>
        <w:keepNext w:val="0"/>
        <w:keepLines w:val="0"/>
        <w:pageBreakBefore w:val="0"/>
        <w:kinsoku/>
        <w:wordWrap/>
        <w:overflowPunct/>
        <w:topLinePunct w:val="0"/>
        <w:bidi w:val="0"/>
        <w:snapToGrid/>
        <w:jc w:val="center"/>
        <w:textAlignment w:val="auto"/>
        <w:rPr>
          <w:rFonts w:hint="eastAsia" w:ascii="方正小标宋_GBK" w:hAnsi="方正小标宋_GBK" w:eastAsia="方正小标宋_GBK" w:cs="方正小标宋_GBK"/>
          <w:sz w:val="84"/>
          <w:szCs w:val="84"/>
        </w:rPr>
      </w:pPr>
    </w:p>
    <w:p>
      <w:pPr>
        <w:pStyle w:val="16"/>
        <w:keepNext w:val="0"/>
        <w:keepLines w:val="0"/>
        <w:pageBreakBefore w:val="0"/>
        <w:kinsoku/>
        <w:wordWrap/>
        <w:overflowPunct/>
        <w:topLinePunct w:val="0"/>
        <w:bidi w:val="0"/>
        <w:snapToGrid/>
        <w:jc w:val="center"/>
        <w:textAlignment w:val="auto"/>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第三部分</w:t>
      </w:r>
    </w:p>
    <w:p>
      <w:pPr>
        <w:pStyle w:val="16"/>
        <w:keepNext w:val="0"/>
        <w:keepLines w:val="0"/>
        <w:pageBreakBefore w:val="0"/>
        <w:kinsoku/>
        <w:wordWrap/>
        <w:overflowPunct/>
        <w:topLinePunct w:val="0"/>
        <w:bidi w:val="0"/>
        <w:snapToGrid/>
        <w:jc w:val="center"/>
        <w:textAlignment w:val="auto"/>
        <w:rPr>
          <w:rFonts w:hint="eastAsia" w:ascii="方正小标宋简体" w:hAnsi="方正小标宋简体" w:eastAsia="方正小标宋简体" w:cs="方正小标宋简体"/>
          <w:sz w:val="72"/>
          <w:szCs w:val="72"/>
        </w:rPr>
      </w:pPr>
    </w:p>
    <w:p>
      <w:pPr>
        <w:pStyle w:val="16"/>
        <w:keepNext w:val="0"/>
        <w:keepLines w:val="0"/>
        <w:pageBreakBefore w:val="0"/>
        <w:kinsoku/>
        <w:wordWrap/>
        <w:overflowPunct/>
        <w:topLinePunct w:val="0"/>
        <w:bidi w:val="0"/>
        <w:snapToGrid/>
        <w:jc w:val="center"/>
        <w:textAlignment w:val="auto"/>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3</w:t>
      </w:r>
      <w:r>
        <w:rPr>
          <w:rFonts w:hint="eastAsia" w:ascii="方正小标宋简体" w:hAnsi="方正小标宋简体" w:eastAsia="方正小标宋简体" w:cs="方正小标宋简体"/>
          <w:sz w:val="72"/>
          <w:szCs w:val="72"/>
        </w:rPr>
        <w:t>年度部门决算情况说明</w:t>
      </w:r>
    </w:p>
    <w:p>
      <w:pPr>
        <w:keepNext w:val="0"/>
        <w:keepLines w:val="0"/>
        <w:pageBreakBefore w:val="0"/>
        <w:widowControl/>
        <w:kinsoku/>
        <w:wordWrap/>
        <w:overflowPunct/>
        <w:topLinePunct w:val="0"/>
        <w:bidi w:val="0"/>
        <w:snapToGrid/>
        <w:jc w:val="left"/>
        <w:textAlignment w:val="auto"/>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b w:val="0"/>
          <w:bCs w:val="0"/>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5089.80</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423.11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7.67</w:t>
      </w:r>
      <w:r>
        <w:rPr>
          <w:rFonts w:hint="eastAsia" w:ascii="Times New Roman" w:hAnsi="Times New Roman" w:eastAsia="仿宋_GB2312"/>
          <w:sz w:val="32"/>
          <w:szCs w:val="32"/>
        </w:rPr>
        <w:t>%，主要是因为</w:t>
      </w:r>
      <w:r>
        <w:rPr>
          <w:rFonts w:hint="eastAsia" w:ascii="仿宋_GB2312" w:hAnsi="仿宋" w:eastAsia="仿宋_GB2312"/>
          <w:b w:val="0"/>
          <w:bCs w:val="0"/>
          <w:sz w:val="32"/>
          <w:szCs w:val="32"/>
          <w:lang w:eastAsia="zh-CN"/>
        </w:rPr>
        <w:t>省驻京信访工作经费结余和支付进度较慢</w:t>
      </w:r>
      <w:r>
        <w:rPr>
          <w:rFonts w:hint="default" w:ascii="仿宋_GB2312" w:hAnsi="仿宋" w:eastAsia="仿宋_GB2312"/>
          <w:b w:val="0"/>
          <w:bCs w:val="0"/>
          <w:sz w:val="32"/>
          <w:szCs w:val="32"/>
          <w:lang w:eastAsia="zh-CN"/>
        </w:rPr>
        <w:t>，局机关人员经费和项目经费存在结余结转</w:t>
      </w:r>
      <w:r>
        <w:rPr>
          <w:rFonts w:hint="eastAsia" w:ascii="仿宋_GB2312" w:hAnsi="仿宋" w:eastAsia="仿宋_GB2312"/>
          <w:b w:val="0"/>
          <w:bCs w:val="0"/>
          <w:sz w:val="32"/>
          <w:szCs w:val="32"/>
        </w:rPr>
        <w:t>等</w:t>
      </w:r>
      <w:r>
        <w:rPr>
          <w:rFonts w:hint="default" w:ascii="仿宋_GB2312" w:hAnsi="仿宋" w:eastAsia="仿宋_GB2312"/>
          <w:b w:val="0"/>
          <w:bCs w:val="0"/>
          <w:sz w:val="32"/>
          <w:szCs w:val="32"/>
        </w:rPr>
        <w:t>情况</w:t>
      </w:r>
      <w:r>
        <w:rPr>
          <w:rFonts w:hint="eastAsia" w:ascii="仿宋_GB2312" w:hAnsi="仿宋" w:eastAsia="仿宋_GB2312"/>
          <w:b w:val="0"/>
          <w:bCs w:val="0"/>
          <w:sz w:val="32"/>
          <w:szCs w:val="32"/>
        </w:rPr>
        <w:t>。</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5089.80</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5089.80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4284.08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2556.86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59.68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1727.22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40.32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b w:val="0"/>
          <w:bCs w:val="0"/>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5089.80</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423.11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7.67</w:t>
      </w:r>
      <w:r>
        <w:rPr>
          <w:rFonts w:hint="eastAsia" w:ascii="Times New Roman" w:hAnsi="Times New Roman" w:eastAsia="仿宋_GB2312"/>
          <w:sz w:val="32"/>
          <w:szCs w:val="32"/>
        </w:rPr>
        <w:t>%，主要是因为</w:t>
      </w:r>
      <w:r>
        <w:rPr>
          <w:rFonts w:hint="eastAsia" w:ascii="仿宋_GB2312" w:hAnsi="仿宋" w:eastAsia="仿宋_GB2312"/>
          <w:b w:val="0"/>
          <w:bCs w:val="0"/>
          <w:sz w:val="32"/>
          <w:szCs w:val="32"/>
          <w:lang w:eastAsia="zh-CN"/>
        </w:rPr>
        <w:t>省驻京信访工作经费结余和支付进度较慢</w:t>
      </w:r>
      <w:r>
        <w:rPr>
          <w:rFonts w:hint="default" w:ascii="仿宋_GB2312" w:hAnsi="仿宋" w:eastAsia="仿宋_GB2312"/>
          <w:b w:val="0"/>
          <w:bCs w:val="0"/>
          <w:sz w:val="32"/>
          <w:szCs w:val="32"/>
          <w:lang w:eastAsia="zh-CN"/>
        </w:rPr>
        <w:t>，局机关人员经费和项目经费存在结余结转</w:t>
      </w:r>
      <w:r>
        <w:rPr>
          <w:rFonts w:hint="eastAsia" w:ascii="仿宋_GB2312" w:hAnsi="仿宋" w:eastAsia="仿宋_GB2312"/>
          <w:b w:val="0"/>
          <w:bCs w:val="0"/>
          <w:sz w:val="32"/>
          <w:szCs w:val="32"/>
        </w:rPr>
        <w:t>等</w:t>
      </w:r>
      <w:r>
        <w:rPr>
          <w:rFonts w:hint="default" w:ascii="仿宋_GB2312" w:hAnsi="仿宋" w:eastAsia="仿宋_GB2312"/>
          <w:b w:val="0"/>
          <w:bCs w:val="0"/>
          <w:sz w:val="32"/>
          <w:szCs w:val="32"/>
        </w:rPr>
        <w:t>情况</w:t>
      </w:r>
      <w:r>
        <w:rPr>
          <w:rFonts w:hint="eastAsia" w:ascii="仿宋_GB2312" w:hAnsi="仿宋" w:eastAsia="仿宋_GB2312"/>
          <w:b w:val="0"/>
          <w:bCs w:val="0"/>
          <w:sz w:val="32"/>
          <w:szCs w:val="32"/>
        </w:rPr>
        <w:t>。</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4284.08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590.34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12.11</w:t>
      </w:r>
      <w:r>
        <w:rPr>
          <w:rFonts w:hint="eastAsia" w:ascii="Times New Roman" w:hAnsi="Times New Roman" w:eastAsia="仿宋_GB2312"/>
          <w:sz w:val="32"/>
          <w:szCs w:val="32"/>
        </w:rPr>
        <w:t>%，主要是因为</w:t>
      </w:r>
      <w:r>
        <w:rPr>
          <w:rFonts w:hint="eastAsia" w:ascii="仿宋_GB2312" w:hAnsi="仿宋" w:eastAsia="仿宋_GB2312"/>
          <w:b w:val="0"/>
          <w:bCs w:val="0"/>
          <w:sz w:val="32"/>
          <w:szCs w:val="32"/>
          <w:lang w:eastAsia="zh-CN"/>
        </w:rPr>
        <w:t>省驻京信访工作经费结余和支付进度较慢</w:t>
      </w:r>
      <w:r>
        <w:rPr>
          <w:rFonts w:hint="default" w:ascii="仿宋_GB2312" w:hAnsi="仿宋" w:eastAsia="仿宋_GB2312"/>
          <w:b w:val="0"/>
          <w:bCs w:val="0"/>
          <w:sz w:val="32"/>
          <w:szCs w:val="32"/>
          <w:lang w:eastAsia="zh-CN"/>
        </w:rPr>
        <w:t>，局机关人员经费和项目经费存在结余结转</w:t>
      </w:r>
      <w:r>
        <w:rPr>
          <w:rFonts w:hint="eastAsia" w:ascii="仿宋_GB2312" w:hAnsi="仿宋" w:eastAsia="仿宋_GB2312"/>
          <w:b w:val="0"/>
          <w:bCs w:val="0"/>
          <w:sz w:val="32"/>
          <w:szCs w:val="32"/>
        </w:rPr>
        <w:t>等</w:t>
      </w:r>
      <w:r>
        <w:rPr>
          <w:rFonts w:hint="default" w:ascii="仿宋_GB2312" w:hAnsi="仿宋" w:eastAsia="仿宋_GB2312"/>
          <w:b w:val="0"/>
          <w:bCs w:val="0"/>
          <w:sz w:val="32"/>
          <w:szCs w:val="32"/>
        </w:rPr>
        <w:t>情况</w:t>
      </w:r>
      <w:r>
        <w:rPr>
          <w:rFonts w:hint="eastAsia" w:ascii="仿宋_GB2312" w:hAnsi="仿宋" w:eastAsia="仿宋_GB2312"/>
          <w:b w:val="0"/>
          <w:bCs w:val="0"/>
          <w:sz w:val="32"/>
          <w:szCs w:val="32"/>
        </w:rPr>
        <w:t>。</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4284.08</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3826.93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89.33</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43.80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413.35万元，占9.65%。</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4662.30</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4284.08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91.89</w:t>
      </w:r>
      <w:r>
        <w:rPr>
          <w:rFonts w:hint="eastAsia" w:ascii="Times New Roman" w:hAnsi="Times New Roman" w:eastAsia="仿宋_GB2312"/>
          <w:sz w:val="32"/>
          <w:szCs w:val="32"/>
        </w:rPr>
        <w:t>%，其中：</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w:t>
      </w:r>
      <w:r>
        <w:rPr>
          <w:rFonts w:hint="eastAsia" w:ascii="仿宋_GB2312" w:hAnsi="仿宋_GB2312" w:eastAsia="仿宋_GB2312" w:cs="仿宋_GB2312"/>
          <w:sz w:val="32"/>
          <w:szCs w:val="32"/>
          <w:lang w:eastAsia="zh-CN"/>
        </w:rPr>
        <w:t>政府办公厅（室）及相关机构事务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行政运行</w:t>
      </w:r>
      <w:r>
        <w:rPr>
          <w:rFonts w:hint="eastAsia" w:ascii="仿宋_GB2312" w:hAnsi="仿宋_GB2312" w:eastAsia="仿宋_GB2312" w:cs="仿宋_GB2312"/>
          <w:sz w:val="32"/>
          <w:szCs w:val="32"/>
        </w:rPr>
        <w:t>（项）。</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2314.48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2167.66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93.66</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eastAsia="zh-CN"/>
        </w:rPr>
        <w:t>结余部分奖金、住房公积金、伙食补助费和公务接待费等经费。</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2、一般公共服务（类）</w:t>
      </w:r>
      <w:r>
        <w:rPr>
          <w:rFonts w:hint="eastAsia" w:ascii="仿宋_GB2312" w:hAnsi="仿宋_GB2312" w:eastAsia="仿宋_GB2312" w:cs="仿宋_GB2312"/>
          <w:sz w:val="32"/>
          <w:szCs w:val="32"/>
          <w:lang w:eastAsia="zh-CN"/>
        </w:rPr>
        <w:t>政府办公厅（室）及相关机构事务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一般行政管理事务</w:t>
      </w:r>
      <w:r>
        <w:rPr>
          <w:rFonts w:hint="eastAsia" w:ascii="仿宋_GB2312" w:hAnsi="仿宋_GB2312" w:eastAsia="仿宋_GB2312" w:cs="仿宋_GB2312"/>
          <w:sz w:val="32"/>
          <w:szCs w:val="32"/>
        </w:rPr>
        <w:t>（项）。</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1561.95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1303.94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83.48</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eastAsia="zh-CN"/>
        </w:rPr>
        <w:t>结余省驻京信访工作经费、维修维护费、办公楼加装电梯费等经费</w:t>
      </w:r>
      <w:r>
        <w:rPr>
          <w:rFonts w:hint="eastAsia" w:ascii="仿宋_GB2312" w:hAnsi="仿宋_GB2312" w:eastAsia="仿宋_GB2312" w:cs="仿宋_GB2312"/>
          <w:sz w:val="32"/>
          <w:szCs w:val="32"/>
          <w:lang w:val="en-US" w:eastAsia="zh-CN"/>
        </w:rPr>
        <w:t>。</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政府办公厅（室）及相关机构事务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信访事务</w:t>
      </w:r>
      <w:r>
        <w:rPr>
          <w:rFonts w:hint="eastAsia" w:ascii="仿宋_GB2312" w:hAnsi="仿宋_GB2312" w:eastAsia="仿宋_GB2312" w:cs="仿宋_GB2312"/>
          <w:sz w:val="32"/>
          <w:szCs w:val="32"/>
        </w:rPr>
        <w:t>（项）。</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366.74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355.34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96.89</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eastAsia="zh-CN"/>
        </w:rPr>
        <w:t>结余信访数据监控指挥大厅专项经费等部分项目经费</w:t>
      </w:r>
      <w:r>
        <w:rPr>
          <w:rFonts w:hint="eastAsia" w:ascii="仿宋_GB2312" w:hAnsi="仿宋_GB2312" w:eastAsia="仿宋_GB2312" w:cs="仿宋_GB2312"/>
          <w:sz w:val="32"/>
          <w:szCs w:val="32"/>
          <w:lang w:val="en-US" w:eastAsia="zh-CN"/>
        </w:rPr>
        <w:t>。</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4、教育支出（类）进修及培训（款）培训支出（项）。</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43.80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因疫情原因未</w:t>
      </w:r>
      <w:r>
        <w:rPr>
          <w:rFonts w:hint="default" w:ascii="仿宋_GB2312" w:hAnsi="仿宋_GB2312" w:eastAsia="仿宋_GB2312" w:cs="仿宋_GB2312"/>
          <w:sz w:val="32"/>
          <w:szCs w:val="32"/>
          <w:lang w:eastAsia="zh-CN"/>
        </w:rPr>
        <w:t>进行</w:t>
      </w:r>
      <w:r>
        <w:rPr>
          <w:rFonts w:hint="eastAsia" w:ascii="仿宋_GB2312" w:hAnsi="仿宋_GB2312" w:eastAsia="仿宋_GB2312" w:cs="仿宋_GB2312"/>
          <w:sz w:val="32"/>
          <w:szCs w:val="32"/>
          <w:lang w:eastAsia="zh-CN"/>
        </w:rPr>
        <w:t>大型培训，结余部分经费，</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使用结转经费。</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5、社会保障和就业支出（类）行政事业单位养老支出（款）机关事业单位基本养老保险缴费支出（项）。</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382.50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376.72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98.50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，决算数小于年初预算数的主要原因是：</w:t>
      </w:r>
      <w:r>
        <w:rPr>
          <w:rFonts w:hint="eastAsia" w:ascii="仿宋_GB2312" w:hAnsi="仿宋_GB2312" w:eastAsia="仿宋_GB2312" w:cs="仿宋_GB2312"/>
          <w:sz w:val="32"/>
          <w:szCs w:val="32"/>
          <w:lang w:val="en-US" w:eastAsia="zh-CN"/>
        </w:rPr>
        <w:t>2023年4名在职人员退休，</w:t>
      </w:r>
      <w:r>
        <w:rPr>
          <w:rFonts w:hint="eastAsia" w:ascii="仿宋_GB2312" w:hAnsi="仿宋_GB2312" w:eastAsia="仿宋_GB2312" w:cs="仿宋_GB2312"/>
          <w:sz w:val="32"/>
          <w:szCs w:val="32"/>
          <w:lang w:eastAsia="zh-CN"/>
        </w:rPr>
        <w:t>结余部分经费。</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6、社会保障和就业支出（类）抚恤（款）死亡抚恤（项）。</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36.63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36.63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，决算数等于预算数。</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2556.86</w:t>
      </w:r>
      <w:r>
        <w:rPr>
          <w:rFonts w:hint="eastAsia" w:ascii="Times New Roman" w:hAnsi="Times New Roman" w:eastAsia="仿宋_GB2312"/>
          <w:sz w:val="32"/>
          <w:szCs w:val="32"/>
        </w:rPr>
        <w:t>万元，其中：</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2174.61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85.05</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、机关事业单位基本养老保险缴费、职工基本医疗保险缴费、公务员医疗补助缴费、其他社会保障缴费、住房公积金、对个人和家庭的补助、退休费、抚恤金、奖励金和其他对个人和家庭的补助等。</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382.25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14.95</w:t>
      </w:r>
      <w:r>
        <w:rPr>
          <w:rFonts w:hint="eastAsia" w:ascii="Times New Roman" w:hAnsi="Times New Roman" w:eastAsia="仿宋_GB2312"/>
          <w:sz w:val="32"/>
          <w:szCs w:val="32"/>
        </w:rPr>
        <w:t>%，主要</w:t>
      </w:r>
      <w:r>
        <w:rPr>
          <w:rFonts w:hint="eastAsia" w:ascii="仿宋_GB2312" w:hAnsi="仿宋_GB2312" w:eastAsia="仿宋_GB2312" w:cs="仿宋_GB2312"/>
          <w:color w:val="000000"/>
          <w:kern w:val="0"/>
          <w:sz w:val="32"/>
          <w:szCs w:val="32"/>
          <w:lang w:val="en-US" w:eastAsia="zh-CN" w:bidi="ar-SA"/>
        </w:rPr>
        <w:t>办公费、印刷费、水费、电费、邮电费、差旅费、维修（护）费、租赁费、会议费、公务接待费、劳务费、工会经费、福利费、公务用车运行维护费、其他交通费用和其他商品和服务支出等。</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71.00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52.75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74.30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加强经费管理，各项费用</w:t>
      </w:r>
      <w:r>
        <w:rPr>
          <w:rFonts w:hint="default" w:ascii="Times New Roman" w:hAnsi="Times New Roman" w:eastAsia="仿宋_GB2312"/>
          <w:sz w:val="32"/>
          <w:szCs w:val="32"/>
          <w:lang w:eastAsia="zh-CN"/>
        </w:rPr>
        <w:t>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2.94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5.90</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新购买了一台公务车辆，与上年购买的公务车辆相比费用增加</w:t>
      </w:r>
      <w:r>
        <w:rPr>
          <w:rFonts w:hint="eastAsia" w:ascii="Times New Roman" w:hAnsi="Times New Roman" w:eastAsia="仿宋_GB2312"/>
          <w:sz w:val="32"/>
          <w:szCs w:val="32"/>
        </w:rPr>
        <w:t>。其中：</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%，决算数小于预算数的主要原因是</w:t>
      </w:r>
      <w:r>
        <w:rPr>
          <w:rFonts w:hint="eastAsia" w:ascii="仿宋_GB2312" w:hAnsi="仿宋_GB2312" w:eastAsia="仿宋_GB2312" w:cs="仿宋_GB2312"/>
          <w:sz w:val="32"/>
          <w:szCs w:val="32"/>
          <w:lang w:val="en-US" w:eastAsia="zh-CN"/>
        </w:rPr>
        <w:t>2023年没有因公出国任务，与上年持平。</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27.14</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加强对经费的管理，减少经费支出</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1.51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65.94</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疫情结束和省信访工作考核排名全国第一后，国家局和全国</w:t>
      </w:r>
      <w:r>
        <w:rPr>
          <w:rFonts w:hint="default" w:ascii="Times New Roman" w:hAnsi="Times New Roman" w:eastAsia="仿宋_GB2312"/>
          <w:sz w:val="32"/>
          <w:szCs w:val="32"/>
          <w:lang w:eastAsia="zh-CN"/>
        </w:rPr>
        <w:t>其他</w:t>
      </w:r>
      <w:r>
        <w:rPr>
          <w:rFonts w:hint="eastAsia" w:ascii="Times New Roman" w:hAnsi="Times New Roman" w:eastAsia="仿宋_GB2312"/>
          <w:sz w:val="32"/>
          <w:szCs w:val="32"/>
          <w:lang w:eastAsia="zh-CN"/>
        </w:rPr>
        <w:t>省份到我局考察调研工作增加</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28.00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24.98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89.21</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严格按照公务用车的规定和标准</w:t>
      </w:r>
      <w:r>
        <w:rPr>
          <w:rFonts w:hint="default" w:ascii="Times New Roman" w:hAnsi="Times New Roman" w:eastAsia="仿宋_GB2312"/>
          <w:sz w:val="32"/>
          <w:szCs w:val="32"/>
          <w:lang w:eastAsia="zh-CN"/>
        </w:rPr>
        <w:t>新购买车辆一台</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7.00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38.93</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在</w:t>
      </w:r>
      <w:r>
        <w:rPr>
          <w:rFonts w:hint="default" w:ascii="Times New Roman" w:hAnsi="Times New Roman" w:eastAsia="仿宋_GB2312"/>
          <w:sz w:val="32"/>
          <w:szCs w:val="32"/>
          <w:lang w:eastAsia="zh-CN"/>
        </w:rPr>
        <w:t>采购车辆</w:t>
      </w:r>
      <w:r>
        <w:rPr>
          <w:rFonts w:hint="eastAsia" w:ascii="Times New Roman" w:hAnsi="Times New Roman" w:eastAsia="仿宋_GB2312"/>
          <w:sz w:val="32"/>
          <w:szCs w:val="32"/>
          <w:lang w:eastAsia="zh-CN"/>
        </w:rPr>
        <w:t>规定的标准内，</w:t>
      </w:r>
      <w:r>
        <w:rPr>
          <w:rFonts w:hint="default" w:ascii="Times New Roman" w:hAnsi="Times New Roman" w:eastAsia="仿宋_GB2312"/>
          <w:sz w:val="32"/>
          <w:szCs w:val="32"/>
          <w:lang w:eastAsia="zh-CN"/>
        </w:rPr>
        <w:t>更换商务用车1辆</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24.00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23.96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99.83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结余部分经费</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5.58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18.89</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车辆购置费用增加，车辆维护费用相对减少。</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3.80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7.20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48.94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92.8</w:t>
      </w:r>
      <w:r>
        <w:rPr>
          <w:rFonts w:hint="eastAsia" w:ascii="Times New Roman" w:hAnsi="Times New Roman" w:eastAsia="仿宋_GB2312"/>
          <w:sz w:val="32"/>
          <w:szCs w:val="32"/>
        </w:rPr>
        <w:t>%。其中：</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lang w:val="en-US" w:eastAsia="zh-CN"/>
        </w:rPr>
        <w:t>,</w:t>
      </w:r>
      <w:r>
        <w:rPr>
          <w:rFonts w:hint="eastAsia" w:ascii="Times New Roman" w:hAnsi="Times New Roman" w:eastAsia="仿宋_GB2312"/>
          <w:sz w:val="32"/>
          <w:szCs w:val="32"/>
        </w:rPr>
        <w:t>开支内容</w:t>
      </w:r>
      <w:r>
        <w:rPr>
          <w:rFonts w:hint="eastAsia" w:ascii="Times New Roman" w:hAnsi="Times New Roman" w:eastAsia="仿宋_GB2312"/>
          <w:sz w:val="32"/>
          <w:szCs w:val="32"/>
          <w:lang w:eastAsia="zh-CN"/>
        </w:rPr>
        <w:t>无。</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3.80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247</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国家信访局、中央信访督查组、浙江等省份</w:t>
      </w:r>
      <w:r>
        <w:rPr>
          <w:rFonts w:hint="default" w:ascii="Times New Roman" w:hAnsi="Times New Roman" w:eastAsia="仿宋_GB2312"/>
          <w:sz w:val="32"/>
          <w:szCs w:val="32"/>
          <w:lang w:eastAsia="zh-CN"/>
        </w:rPr>
        <w:t>来湘</w:t>
      </w:r>
      <w:r>
        <w:rPr>
          <w:rFonts w:hint="eastAsia" w:ascii="Times New Roman" w:hAnsi="Times New Roman" w:eastAsia="仿宋_GB2312"/>
          <w:sz w:val="32"/>
          <w:szCs w:val="32"/>
          <w:lang w:eastAsia="zh-CN"/>
        </w:rPr>
        <w:t>调研督查和各市州汇报信访工作</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本级</w:t>
      </w:r>
      <w:r>
        <w:rPr>
          <w:rFonts w:hint="eastAsia" w:ascii="Times New Roman" w:hAnsi="Times New Roman" w:eastAsia="仿宋_GB2312"/>
          <w:sz w:val="32"/>
          <w:szCs w:val="32"/>
          <w:lang w:eastAsia="zh-CN"/>
        </w:rPr>
        <w:t>新购买</w:t>
      </w:r>
      <w:r>
        <w:rPr>
          <w:rFonts w:hint="eastAsia" w:ascii="Times New Roman" w:hAnsi="Times New Roman" w:eastAsia="仿宋_GB2312"/>
          <w:sz w:val="32"/>
          <w:szCs w:val="32"/>
        </w:rPr>
        <w:t>公务用车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万元，主要是</w:t>
      </w:r>
      <w:r>
        <w:rPr>
          <w:rFonts w:hint="eastAsia" w:ascii="仿宋_GB2312" w:hAnsi="仿宋_GB2312" w:eastAsia="仿宋_GB2312" w:cs="仿宋_GB2312"/>
          <w:sz w:val="32"/>
          <w:szCs w:val="32"/>
        </w:rPr>
        <w:t>按规定保留的公务用车燃料费、维修费、过桥过路费、保险费、安全奖励费用等支出，</w:t>
      </w:r>
      <w:r>
        <w:rPr>
          <w:rFonts w:hint="eastAsia" w:ascii="Times New Roman" w:hAnsi="Times New Roman" w:eastAsia="仿宋_GB2312"/>
          <w:sz w:val="32"/>
          <w:szCs w:val="32"/>
        </w:rPr>
        <w:t>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辆。</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仿宋_GB2312" w:hAnsi="仿宋_GB2312" w:eastAsia="仿宋_GB2312" w:cs="仿宋_GB2312"/>
          <w:sz w:val="32"/>
          <w:szCs w:val="32"/>
          <w:lang w:eastAsia="zh-CN"/>
        </w:rPr>
        <w:t>我局无</w:t>
      </w:r>
      <w:r>
        <w:rPr>
          <w:rFonts w:hint="eastAsia" w:ascii="仿宋_GB2312" w:hAnsi="仿宋_GB2312" w:eastAsia="仿宋_GB2312" w:cs="仿宋_GB2312"/>
          <w:sz w:val="32"/>
          <w:szCs w:val="32"/>
        </w:rPr>
        <w:t>政府性基金</w:t>
      </w:r>
      <w:r>
        <w:rPr>
          <w:rFonts w:hint="eastAsia" w:ascii="仿宋_GB2312" w:hAnsi="仿宋_GB2312" w:eastAsia="仿宋_GB2312" w:cs="仿宋_GB2312"/>
          <w:sz w:val="32"/>
          <w:szCs w:val="32"/>
          <w:lang w:eastAsia="zh-CN"/>
        </w:rPr>
        <w:t>收支。</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382.25</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36.23</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9.33</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按照省财政厅要求，加强经费管理，减少行政支出，压减一般性</w:t>
      </w:r>
      <w:r>
        <w:rPr>
          <w:rFonts w:hint="default" w:ascii="Times New Roman" w:hAnsi="Times New Roman" w:eastAsia="仿宋_GB2312"/>
          <w:sz w:val="32"/>
          <w:szCs w:val="32"/>
          <w:lang w:eastAsia="zh-CN"/>
        </w:rPr>
        <w:t>开支</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30.03</w:t>
      </w:r>
      <w:r>
        <w:rPr>
          <w:rFonts w:hint="eastAsia" w:ascii="Times New Roman" w:hAnsi="Times New Roman" w:eastAsia="仿宋_GB2312"/>
          <w:sz w:val="32"/>
          <w:szCs w:val="32"/>
        </w:rPr>
        <w:t>万元，用于召开</w:t>
      </w:r>
      <w:r>
        <w:rPr>
          <w:rFonts w:hint="eastAsia" w:ascii="仿宋_GB2312" w:hAnsi="仿宋_GB2312" w:eastAsia="仿宋_GB2312" w:cs="仿宋_GB2312"/>
          <w:sz w:val="32"/>
          <w:szCs w:val="32"/>
        </w:rPr>
        <w:t>全国信访局长视频会议，人数</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人，内容为国家信访局讲评202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年度信访工作，安排部署202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年度信访工作；省驻京</w:t>
      </w:r>
      <w:r>
        <w:rPr>
          <w:rFonts w:hint="eastAsia" w:ascii="仿宋_GB2312" w:hAnsi="仿宋_GB2312" w:eastAsia="仿宋_GB2312" w:cs="仿宋_GB2312"/>
          <w:sz w:val="32"/>
          <w:szCs w:val="32"/>
          <w:lang w:eastAsia="zh-CN"/>
        </w:rPr>
        <w:t>信访</w:t>
      </w:r>
      <w:r>
        <w:rPr>
          <w:rFonts w:hint="eastAsia" w:ascii="仿宋_GB2312" w:hAnsi="仿宋_GB2312" w:eastAsia="仿宋_GB2312" w:cs="仿宋_GB2312"/>
          <w:sz w:val="32"/>
          <w:szCs w:val="32"/>
        </w:rPr>
        <w:t>办召开全国两会期间某专项工作调度会议，人数</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人，内容为各市州汇报全国两会期间情况，安排部署全国两会期间信访工作；召开全省信访工作会议，人数1</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人，内容为传达贯彻中央和省委省政府有关信访工作会议精神，分析</w:t>
      </w:r>
      <w:r>
        <w:rPr>
          <w:rFonts w:hint="eastAsia" w:ascii="仿宋_GB2312" w:hAnsi="仿宋_GB2312" w:eastAsia="仿宋_GB2312" w:cs="仿宋_GB2312"/>
          <w:sz w:val="32"/>
          <w:szCs w:val="32"/>
          <w:lang w:eastAsia="zh-CN"/>
        </w:rPr>
        <w:t>信访工作</w:t>
      </w:r>
      <w:r>
        <w:rPr>
          <w:rFonts w:hint="eastAsia" w:ascii="仿宋_GB2312" w:hAnsi="仿宋_GB2312" w:eastAsia="仿宋_GB2312" w:cs="仿宋_GB2312"/>
          <w:sz w:val="32"/>
          <w:szCs w:val="32"/>
        </w:rPr>
        <w:t>形势，部署</w:t>
      </w:r>
      <w:r>
        <w:rPr>
          <w:rFonts w:hint="eastAsia" w:ascii="仿宋_GB2312" w:hAnsi="仿宋_GB2312" w:eastAsia="仿宋_GB2312" w:cs="仿宋_GB2312"/>
          <w:sz w:val="32"/>
          <w:szCs w:val="32"/>
          <w:lang w:eastAsia="zh-CN"/>
        </w:rPr>
        <w:t>信访</w:t>
      </w:r>
      <w:r>
        <w:rPr>
          <w:rFonts w:hint="eastAsia" w:ascii="仿宋_GB2312" w:hAnsi="仿宋_GB2312" w:eastAsia="仿宋_GB2312" w:cs="仿宋_GB2312"/>
          <w:sz w:val="32"/>
          <w:szCs w:val="32"/>
        </w:rPr>
        <w:t>工作；召开全省</w:t>
      </w:r>
      <w:r>
        <w:rPr>
          <w:rFonts w:hint="eastAsia" w:ascii="仿宋_GB2312" w:hAnsi="仿宋_GB2312" w:eastAsia="仿宋_GB2312" w:cs="仿宋_GB2312"/>
          <w:sz w:val="32"/>
          <w:szCs w:val="32"/>
          <w:lang w:eastAsia="zh-CN"/>
        </w:rPr>
        <w:t>信访重点工作片区（湘东、湘西北、湘南片区）</w:t>
      </w:r>
      <w:r>
        <w:rPr>
          <w:rFonts w:hint="eastAsia" w:ascii="仿宋_GB2312" w:hAnsi="仿宋_GB2312" w:eastAsia="仿宋_GB2312" w:cs="仿宋_GB2312"/>
          <w:sz w:val="32"/>
          <w:szCs w:val="32"/>
        </w:rPr>
        <w:t>会议，人数</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人，内容为分析全省当前信访工作形势，安排部署全省</w:t>
      </w:r>
      <w:r>
        <w:rPr>
          <w:rFonts w:hint="eastAsia" w:ascii="仿宋_GB2312" w:hAnsi="仿宋_GB2312" w:eastAsia="仿宋_GB2312" w:cs="仿宋_GB2312"/>
          <w:sz w:val="32"/>
          <w:szCs w:val="32"/>
          <w:lang w:eastAsia="zh-CN"/>
        </w:rPr>
        <w:t>信访</w:t>
      </w:r>
      <w:r>
        <w:rPr>
          <w:rFonts w:hint="eastAsia" w:ascii="仿宋_GB2312" w:hAnsi="仿宋_GB2312" w:eastAsia="仿宋_GB2312" w:cs="仿宋_GB2312"/>
          <w:sz w:val="32"/>
          <w:szCs w:val="32"/>
        </w:rPr>
        <w:t>工作；省驻京</w:t>
      </w:r>
      <w:r>
        <w:rPr>
          <w:rFonts w:hint="eastAsia" w:ascii="仿宋_GB2312" w:hAnsi="仿宋_GB2312" w:eastAsia="仿宋_GB2312" w:cs="仿宋_GB2312"/>
          <w:sz w:val="32"/>
          <w:szCs w:val="32"/>
          <w:lang w:eastAsia="zh-CN"/>
        </w:rPr>
        <w:t>信访</w:t>
      </w:r>
      <w:r>
        <w:rPr>
          <w:rFonts w:hint="eastAsia" w:ascii="仿宋_GB2312" w:hAnsi="仿宋_GB2312" w:eastAsia="仿宋_GB2312" w:cs="仿宋_GB2312"/>
          <w:sz w:val="32"/>
          <w:szCs w:val="32"/>
        </w:rPr>
        <w:t>办召开某专项工作调度会议，人数</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人，内容为安排部署某专项信访工作；召开部分市州办信工作座谈会，人数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人，内容根据国家信访局要求，对拟出台的有关办信工作文件征求意见，调研了解当前我省办信工作现状，存在的困难和问题，解决的办法和改进措施；召开</w:t>
      </w:r>
      <w:r>
        <w:rPr>
          <w:rFonts w:hint="eastAsia" w:ascii="仿宋_GB2312" w:hAnsi="仿宋_GB2312" w:eastAsia="仿宋_GB2312" w:cs="仿宋_GB2312"/>
          <w:sz w:val="32"/>
          <w:szCs w:val="32"/>
          <w:lang w:val="en-US" w:eastAsia="zh-CN"/>
        </w:rPr>
        <w:t>2023年第一次全省信访工作联席全体会议及半年总结</w:t>
      </w:r>
      <w:r>
        <w:rPr>
          <w:rFonts w:hint="eastAsia" w:ascii="仿宋_GB2312" w:hAnsi="仿宋_GB2312" w:eastAsia="仿宋_GB2312" w:cs="仿宋_GB2312"/>
          <w:sz w:val="32"/>
          <w:szCs w:val="32"/>
        </w:rPr>
        <w:t>会议，人数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eastAsia="zh-CN"/>
        </w:rPr>
        <w:t>讲评全省联席会议工作情况及半年信访工作情况，安排部署下半年信访工作</w:t>
      </w:r>
      <w:r>
        <w:rPr>
          <w:rFonts w:hint="default" w:ascii="仿宋_GB2312" w:hAnsi="仿宋_GB2312" w:eastAsia="仿宋_GB2312" w:cs="仿宋_GB2312"/>
          <w:sz w:val="32"/>
          <w:szCs w:val="32"/>
          <w:lang w:eastAsia="zh-CN"/>
        </w:rPr>
        <w:t>。</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43.80</w:t>
      </w:r>
      <w:r>
        <w:rPr>
          <w:rFonts w:hint="eastAsia" w:ascii="Times New Roman" w:hAnsi="Times New Roman" w:eastAsia="仿宋_GB2312"/>
          <w:sz w:val="32"/>
          <w:szCs w:val="32"/>
        </w:rPr>
        <w:t>万元，用于</w:t>
      </w:r>
      <w:r>
        <w:rPr>
          <w:rFonts w:hint="default" w:ascii="Times New Roman" w:hAnsi="Times New Roman" w:eastAsia="仿宋_GB2312"/>
          <w:sz w:val="32"/>
          <w:szCs w:val="32"/>
        </w:rPr>
        <w:t>开展全省信访系统领导干部综合素质提升研修</w:t>
      </w:r>
      <w:r>
        <w:rPr>
          <w:rFonts w:hint="eastAsia" w:ascii="Times New Roman" w:hAnsi="Times New Roman" w:eastAsia="仿宋_GB2312"/>
          <w:sz w:val="32"/>
          <w:szCs w:val="32"/>
        </w:rPr>
        <w:t>培训，人数</w:t>
      </w:r>
      <w:r>
        <w:rPr>
          <w:rFonts w:hint="default" w:ascii="Times New Roman" w:hAnsi="Times New Roman" w:eastAsia="仿宋_GB2312"/>
          <w:sz w:val="32"/>
          <w:szCs w:val="32"/>
        </w:rPr>
        <w:t>120</w:t>
      </w:r>
      <w:r>
        <w:rPr>
          <w:rFonts w:hint="eastAsia" w:ascii="Times New Roman" w:hAnsi="Times New Roman" w:eastAsia="仿宋_GB2312"/>
          <w:sz w:val="32"/>
          <w:szCs w:val="32"/>
        </w:rPr>
        <w:t>人，内容为</w:t>
      </w:r>
      <w:r>
        <w:rPr>
          <w:rFonts w:hint="default" w:ascii="Times New Roman" w:hAnsi="Times New Roman" w:eastAsia="仿宋_GB2312"/>
          <w:sz w:val="32"/>
          <w:szCs w:val="32"/>
        </w:rPr>
        <w:t>学习新时期“枫桥经验”，提升全省信访系统领导干部的综合能力素质。</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年我局没有举办节庆、晚会、论坛、赛事活动。</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default" w:ascii="Times New Roman" w:hAnsi="Times New Roman" w:eastAsia="仿宋_GB2312"/>
          <w:sz w:val="32"/>
          <w:szCs w:val="32"/>
        </w:rPr>
        <w:t>210</w:t>
      </w:r>
      <w:r>
        <w:rPr>
          <w:rFonts w:hint="eastAsia" w:ascii="Times New Roman" w:hAnsi="Times New Roman" w:eastAsia="仿宋_GB2312"/>
          <w:sz w:val="32"/>
          <w:szCs w:val="32"/>
        </w:rPr>
        <w:t>万元，其中：政府采购货物支出</w:t>
      </w:r>
      <w:r>
        <w:rPr>
          <w:rFonts w:hint="default" w:ascii="Times New Roman" w:hAnsi="Times New Roman" w:eastAsia="仿宋_GB2312"/>
          <w:sz w:val="32"/>
          <w:szCs w:val="32"/>
        </w:rPr>
        <w:t>35</w:t>
      </w:r>
      <w:r>
        <w:rPr>
          <w:rFonts w:hint="eastAsia" w:ascii="Times New Roman" w:hAnsi="Times New Roman" w:eastAsia="仿宋_GB2312"/>
          <w:sz w:val="32"/>
          <w:szCs w:val="32"/>
        </w:rPr>
        <w:t>万元、政府采购工程支出</w:t>
      </w:r>
      <w:r>
        <w:rPr>
          <w:rFonts w:hint="default" w:ascii="Times New Roman" w:hAnsi="Times New Roman" w:eastAsia="仿宋_GB2312"/>
          <w:sz w:val="32"/>
          <w:szCs w:val="32"/>
        </w:rPr>
        <w:t>175</w:t>
      </w:r>
      <w:r>
        <w:rPr>
          <w:rFonts w:hint="eastAsia" w:ascii="Times New Roman" w:hAnsi="Times New Roman" w:eastAsia="仿宋_GB2312"/>
          <w:sz w:val="32"/>
          <w:szCs w:val="32"/>
        </w:rPr>
        <w:t>万元、政府采购服务支出</w:t>
      </w:r>
      <w:r>
        <w:rPr>
          <w:rFonts w:hint="default" w:ascii="Times New Roman" w:hAnsi="Times New Roman" w:eastAsia="仿宋_GB2312"/>
          <w:sz w:val="32"/>
          <w:szCs w:val="32"/>
        </w:rPr>
        <w:t>0</w:t>
      </w:r>
      <w:r>
        <w:rPr>
          <w:rFonts w:hint="eastAsia" w:ascii="Times New Roman" w:hAnsi="Times New Roman" w:eastAsia="仿宋_GB2312"/>
          <w:sz w:val="32"/>
          <w:szCs w:val="32"/>
        </w:rPr>
        <w:t>万元。授予中小企业合同金额</w:t>
      </w:r>
      <w:r>
        <w:rPr>
          <w:rFonts w:hint="default" w:ascii="Times New Roman" w:hAnsi="Times New Roman" w:eastAsia="仿宋_GB2312"/>
          <w:sz w:val="32"/>
          <w:szCs w:val="32"/>
        </w:rPr>
        <w:t>210</w:t>
      </w:r>
      <w:r>
        <w:rPr>
          <w:rFonts w:hint="eastAsia" w:ascii="Times New Roman" w:hAnsi="Times New Roman" w:eastAsia="仿宋_GB2312"/>
          <w:sz w:val="32"/>
          <w:szCs w:val="32"/>
        </w:rPr>
        <w:t>万元，占政府采购支出总额的</w:t>
      </w:r>
      <w:r>
        <w:rPr>
          <w:rFonts w:hint="default" w:ascii="Times New Roman" w:hAnsi="Times New Roman" w:eastAsia="仿宋_GB2312"/>
          <w:sz w:val="32"/>
          <w:szCs w:val="32"/>
        </w:rPr>
        <w:t>100</w:t>
      </w:r>
      <w:r>
        <w:rPr>
          <w:rFonts w:hint="eastAsia" w:ascii="Times New Roman" w:hAnsi="Times New Roman" w:eastAsia="仿宋_GB2312"/>
          <w:sz w:val="32"/>
          <w:szCs w:val="32"/>
        </w:rPr>
        <w:t>%，其中：授予小微企业合同金额</w:t>
      </w:r>
      <w:r>
        <w:rPr>
          <w:rFonts w:hint="default" w:ascii="Times New Roman" w:hAnsi="Times New Roman" w:eastAsia="仿宋_GB2312"/>
          <w:sz w:val="32"/>
          <w:szCs w:val="32"/>
        </w:rPr>
        <w:t>210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default" w:ascii="Times New Roman" w:hAnsi="Times New Roman" w:eastAsia="仿宋_GB2312"/>
          <w:color w:val="auto"/>
          <w:sz w:val="32"/>
          <w:szCs w:val="32"/>
        </w:rPr>
        <w:t>100</w:t>
      </w:r>
      <w:r>
        <w:rPr>
          <w:rFonts w:hint="eastAsia" w:ascii="Times New Roman" w:hAnsi="Times New Roman" w:eastAsia="仿宋_GB2312"/>
          <w:color w:val="auto"/>
          <w:sz w:val="32"/>
          <w:szCs w:val="32"/>
        </w:rPr>
        <w:t>%。货物采购授予中小企业合同金额占货物支出金额的</w:t>
      </w:r>
      <w:r>
        <w:rPr>
          <w:rFonts w:hint="default" w:ascii="Times New Roman" w:hAnsi="Times New Roman" w:eastAsia="仿宋_GB2312"/>
          <w:color w:val="auto"/>
          <w:sz w:val="32"/>
          <w:szCs w:val="32"/>
        </w:rPr>
        <w:t>100</w:t>
      </w:r>
      <w:r>
        <w:rPr>
          <w:rFonts w:hint="eastAsia" w:ascii="Times New Roman" w:hAnsi="Times New Roman" w:eastAsia="仿宋_GB2312"/>
          <w:color w:val="auto"/>
          <w:sz w:val="32"/>
          <w:szCs w:val="32"/>
        </w:rPr>
        <w:t>%，工程采购授予中小企业合同金额占工程支出金额的</w:t>
      </w:r>
      <w:r>
        <w:rPr>
          <w:rFonts w:hint="default" w:ascii="Times New Roman" w:hAnsi="Times New Roman" w:eastAsia="仿宋_GB2312"/>
          <w:color w:val="auto"/>
          <w:sz w:val="32"/>
          <w:szCs w:val="32"/>
        </w:rPr>
        <w:t>100</w:t>
      </w:r>
      <w:r>
        <w:rPr>
          <w:rFonts w:hint="eastAsia" w:ascii="Times New Roman" w:hAnsi="Times New Roman" w:eastAsia="仿宋_GB2312"/>
          <w:color w:val="auto"/>
          <w:sz w:val="32"/>
          <w:szCs w:val="32"/>
        </w:rPr>
        <w:t>%，服务采购授予中小企业合同金额占服务支出金额的</w:t>
      </w:r>
      <w:r>
        <w:rPr>
          <w:rFonts w:hint="default" w:ascii="Times New Roman" w:hAnsi="Times New Roman" w:eastAsia="仿宋_GB2312"/>
          <w:color w:val="auto"/>
          <w:sz w:val="32"/>
          <w:szCs w:val="32"/>
        </w:rPr>
        <w:t>0</w:t>
      </w:r>
      <w:r>
        <w:rPr>
          <w:rFonts w:hint="eastAsia" w:ascii="Times New Roman" w:hAnsi="Times New Roman" w:eastAsia="仿宋_GB2312"/>
          <w:color w:val="auto"/>
          <w:sz w:val="32"/>
          <w:szCs w:val="32"/>
        </w:rPr>
        <w:t>%。</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default" w:ascii="Times New Roman" w:hAnsi="Times New Roman" w:eastAsia="仿宋_GB2312"/>
          <w:color w:val="auto"/>
          <w:sz w:val="32"/>
          <w:szCs w:val="32"/>
          <w:lang w:eastAsia="zh-CN"/>
        </w:rPr>
        <w:t>本单位</w:t>
      </w:r>
      <w:r>
        <w:rPr>
          <w:rFonts w:hint="eastAsia" w:ascii="Times New Roman" w:hAnsi="Times New Roman" w:eastAsia="仿宋_GB2312"/>
          <w:color w:val="auto"/>
          <w:sz w:val="32"/>
          <w:szCs w:val="32"/>
        </w:rPr>
        <w:t>共有车辆</w:t>
      </w:r>
      <w:r>
        <w:rPr>
          <w:rFonts w:hint="default" w:ascii="Times New Roman" w:hAnsi="Times New Roman" w:eastAsia="仿宋_GB2312"/>
          <w:color w:val="auto"/>
          <w:sz w:val="32"/>
          <w:szCs w:val="32"/>
        </w:rPr>
        <w:t>7</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default"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default" w:ascii="Times New Roman" w:hAnsi="Times New Roman" w:eastAsia="仿宋_GB2312"/>
          <w:color w:val="auto"/>
          <w:sz w:val="32"/>
          <w:szCs w:val="32"/>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default" w:ascii="Times New Roman" w:hAnsi="Times New Roman" w:eastAsia="仿宋_GB2312"/>
          <w:color w:val="auto"/>
          <w:sz w:val="32"/>
          <w:szCs w:val="32"/>
        </w:rPr>
        <w:t>1</w:t>
      </w:r>
      <w:r>
        <w:rPr>
          <w:rFonts w:hint="eastAsia" w:ascii="Times New Roman" w:hAnsi="Times New Roman" w:eastAsia="仿宋_GB2312"/>
          <w:color w:val="auto"/>
          <w:sz w:val="32"/>
          <w:szCs w:val="32"/>
        </w:rPr>
        <w:t>辆、应急保障用车</w:t>
      </w:r>
      <w:r>
        <w:rPr>
          <w:rFonts w:hint="default" w:ascii="Times New Roman" w:hAnsi="Times New Roman" w:eastAsia="仿宋_GB2312"/>
          <w:color w:val="auto"/>
          <w:sz w:val="32"/>
          <w:szCs w:val="32"/>
        </w:rPr>
        <w:t>5</w:t>
      </w:r>
      <w:r>
        <w:rPr>
          <w:rFonts w:hint="eastAsia" w:ascii="Times New Roman" w:hAnsi="Times New Roman" w:eastAsia="仿宋_GB2312"/>
          <w:color w:val="auto"/>
          <w:sz w:val="32"/>
          <w:szCs w:val="32"/>
        </w:rPr>
        <w:t>辆、执法执勤用车</w:t>
      </w:r>
      <w:r>
        <w:rPr>
          <w:rFonts w:hint="default" w:ascii="Times New Roman" w:hAnsi="Times New Roman" w:eastAsia="仿宋_GB2312"/>
          <w:color w:val="auto"/>
          <w:sz w:val="32"/>
          <w:szCs w:val="32"/>
        </w:rPr>
        <w:t>0</w:t>
      </w:r>
      <w:r>
        <w:rPr>
          <w:rFonts w:hint="eastAsia" w:ascii="Times New Roman" w:hAnsi="Times New Roman" w:eastAsia="仿宋_GB2312"/>
          <w:color w:val="auto"/>
          <w:sz w:val="32"/>
          <w:szCs w:val="32"/>
        </w:rPr>
        <w:t>辆、特种专业技术用车</w:t>
      </w:r>
      <w:r>
        <w:rPr>
          <w:rFonts w:hint="default" w:ascii="Times New Roman" w:hAnsi="Times New Roman" w:eastAsia="仿宋_GB2312"/>
          <w:color w:val="auto"/>
          <w:sz w:val="32"/>
          <w:szCs w:val="32"/>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default"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辆、其他用车</w:t>
      </w:r>
      <w:r>
        <w:rPr>
          <w:rFonts w:hint="default" w:ascii="Times New Roman" w:hAnsi="Times New Roman" w:eastAsia="仿宋_GB2312"/>
          <w:color w:val="auto"/>
          <w:sz w:val="32"/>
          <w:szCs w:val="32"/>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default"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台（套）。</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根据《湖南省财政厅关于开展</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度</w:t>
      </w:r>
      <w:r>
        <w:rPr>
          <w:rFonts w:hint="default" w:ascii="仿宋_GB2312" w:hAnsi="仿宋_GB2312" w:eastAsia="仿宋_GB2312" w:cs="仿宋_GB2312"/>
          <w:sz w:val="32"/>
          <w:szCs w:val="32"/>
        </w:rPr>
        <w:t>省级预算</w:t>
      </w:r>
      <w:r>
        <w:rPr>
          <w:rFonts w:hint="eastAsia" w:ascii="仿宋_GB2312" w:hAnsi="仿宋_GB2312" w:eastAsia="仿宋_GB2312" w:cs="仿宋_GB2312"/>
          <w:sz w:val="32"/>
          <w:szCs w:val="32"/>
        </w:rPr>
        <w:t>部门绩效自评</w:t>
      </w:r>
      <w:r>
        <w:rPr>
          <w:rFonts w:hint="default" w:ascii="仿宋_GB2312" w:hAnsi="仿宋_GB2312" w:eastAsia="仿宋_GB2312" w:cs="仿宋_GB2312"/>
          <w:sz w:val="32"/>
          <w:szCs w:val="32"/>
        </w:rPr>
        <w:t>和部门评价</w:t>
      </w:r>
      <w:r>
        <w:rPr>
          <w:rFonts w:hint="eastAsia" w:ascii="仿宋_GB2312" w:hAnsi="仿宋_GB2312" w:eastAsia="仿宋_GB2312" w:cs="仿宋_GB2312"/>
          <w:sz w:val="32"/>
          <w:szCs w:val="32"/>
        </w:rPr>
        <w:t>的通知》（湘财绩〔202</w:t>
      </w: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1号）要求，局办公室向有关业务处室下发了项目支出绩效自评表，有关业务处室均完成了本处室的项目资金的绩效自评工作，向办公室提交了绩效自评表。局绩效自评工作小组对单位预算资金管理情况进行了全面自查、自评，对有关业务处室填报、提交的自评材料进行了审核和综合评价，汇总形成了本绩效自评报告，并呈送局领导审批。</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楷体_GB2312" w:hAnsi="楷体_GB2312" w:eastAsia="楷体_GB2312" w:cs="楷体_GB2312"/>
          <w:b w:val="0"/>
          <w:bCs/>
          <w:sz w:val="32"/>
          <w:szCs w:val="32"/>
          <w:lang w:eastAsia="zh-CN"/>
        </w:rPr>
      </w:pPr>
      <w:r>
        <w:rPr>
          <w:rFonts w:hint="default" w:ascii="楷体_GB2312" w:hAnsi="楷体_GB2312" w:eastAsia="楷体_GB2312" w:cs="楷体_GB2312"/>
          <w:b w:val="0"/>
          <w:bCs/>
          <w:sz w:val="32"/>
          <w:szCs w:val="32"/>
          <w:lang w:eastAsia="zh-CN"/>
        </w:rPr>
        <w:t>1.</w:t>
      </w:r>
      <w:r>
        <w:rPr>
          <w:rFonts w:hint="eastAsia" w:ascii="楷体_GB2312" w:hAnsi="楷体_GB2312" w:eastAsia="楷体_GB2312" w:cs="楷体_GB2312"/>
          <w:b w:val="0"/>
          <w:bCs/>
          <w:sz w:val="32"/>
          <w:szCs w:val="32"/>
          <w:lang w:eastAsia="zh-CN"/>
        </w:rPr>
        <w:t>提高政治站位，切实</w:t>
      </w:r>
      <w:r>
        <w:rPr>
          <w:rFonts w:hint="default" w:ascii="楷体_GB2312" w:hAnsi="楷体_GB2312" w:eastAsia="楷体_GB2312" w:cs="楷体_GB2312"/>
          <w:b w:val="0"/>
          <w:bCs/>
          <w:sz w:val="32"/>
          <w:szCs w:val="32"/>
        </w:rPr>
        <w:t>加强组织领导</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我局</w:t>
      </w:r>
      <w:r>
        <w:rPr>
          <w:rFonts w:hint="eastAsia" w:ascii="仿宋_GB2312" w:hAnsi="仿宋_GB2312" w:eastAsia="仿宋_GB2312" w:cs="仿宋_GB2312"/>
          <w:sz w:val="32"/>
          <w:szCs w:val="32"/>
        </w:rPr>
        <w:t>根据《湖南省财政厅关于开展</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度</w:t>
      </w:r>
      <w:r>
        <w:rPr>
          <w:rFonts w:hint="default" w:ascii="仿宋_GB2312" w:hAnsi="仿宋_GB2312" w:eastAsia="仿宋_GB2312" w:cs="仿宋_GB2312"/>
          <w:sz w:val="32"/>
          <w:szCs w:val="32"/>
        </w:rPr>
        <w:t>省级预算</w:t>
      </w:r>
      <w:r>
        <w:rPr>
          <w:rFonts w:hint="eastAsia" w:ascii="仿宋_GB2312" w:hAnsi="仿宋_GB2312" w:eastAsia="仿宋_GB2312" w:cs="仿宋_GB2312"/>
          <w:sz w:val="32"/>
          <w:szCs w:val="32"/>
        </w:rPr>
        <w:t>部门绩效自评</w:t>
      </w:r>
      <w:r>
        <w:rPr>
          <w:rFonts w:hint="default" w:ascii="仿宋_GB2312" w:hAnsi="仿宋_GB2312" w:eastAsia="仿宋_GB2312" w:cs="仿宋_GB2312"/>
          <w:sz w:val="32"/>
          <w:szCs w:val="32"/>
        </w:rPr>
        <w:t>和部门评价</w:t>
      </w:r>
      <w:r>
        <w:rPr>
          <w:rFonts w:hint="eastAsia" w:ascii="仿宋_GB2312" w:hAnsi="仿宋_GB2312" w:eastAsia="仿宋_GB2312" w:cs="仿宋_GB2312"/>
          <w:sz w:val="32"/>
          <w:szCs w:val="32"/>
        </w:rPr>
        <w:t>的通知》（湘财绩〔202</w:t>
      </w: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〕1号）文件精神，我局及时制定了</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度部门整体支出绩效自评工作的实施方案，</w:t>
      </w:r>
      <w:r>
        <w:rPr>
          <w:rFonts w:hint="default" w:ascii="仿宋_GB2312" w:hAnsi="仿宋_GB2312" w:eastAsia="仿宋_GB2312" w:cs="仿宋_GB2312"/>
          <w:sz w:val="32"/>
          <w:szCs w:val="32"/>
        </w:rPr>
        <w:t>及时</w:t>
      </w:r>
      <w:r>
        <w:rPr>
          <w:rFonts w:hint="eastAsia" w:ascii="仿宋_GB2312" w:hAnsi="仿宋_GB2312" w:eastAsia="仿宋_GB2312" w:cs="仿宋_GB2312"/>
          <w:sz w:val="32"/>
          <w:szCs w:val="32"/>
        </w:rPr>
        <w:t>成立了预算绩效评价工作领导小组，</w:t>
      </w:r>
      <w:r>
        <w:rPr>
          <w:rFonts w:hint="default" w:ascii="仿宋_GB2312" w:hAnsi="仿宋_GB2312" w:eastAsia="仿宋_GB2312" w:cs="仿宋_GB2312"/>
          <w:sz w:val="32"/>
          <w:szCs w:val="32"/>
        </w:rPr>
        <w:t>省委社会工作部部长，</w:t>
      </w:r>
      <w:r>
        <w:rPr>
          <w:rFonts w:hint="eastAsia" w:ascii="仿宋_GB2312" w:hAnsi="仿宋_GB2312" w:eastAsia="仿宋_GB2312" w:cs="仿宋_GB2312"/>
          <w:sz w:val="32"/>
          <w:szCs w:val="32"/>
        </w:rPr>
        <w:t>省政府副秘书长、省信访局局长陈雪楚任组长，局党组</w:t>
      </w:r>
      <w:r>
        <w:rPr>
          <w:rFonts w:hint="eastAsia" w:ascii="仿宋_GB2312" w:hAnsi="仿宋_GB2312" w:eastAsia="仿宋_GB2312" w:cs="仿宋_GB2312"/>
          <w:sz w:val="32"/>
          <w:szCs w:val="32"/>
          <w:lang w:eastAsia="zh-CN"/>
        </w:rPr>
        <w:t>副书记</w:t>
      </w:r>
      <w:r>
        <w:rPr>
          <w:rFonts w:hint="eastAsia" w:ascii="仿宋_GB2312" w:hAnsi="仿宋_GB2312" w:eastAsia="仿宋_GB2312" w:cs="仿宋_GB2312"/>
          <w:sz w:val="32"/>
          <w:szCs w:val="32"/>
        </w:rPr>
        <w:t>、副局长鄢建忠为副组长，办公室主任</w:t>
      </w:r>
      <w:r>
        <w:rPr>
          <w:rFonts w:hint="eastAsia" w:ascii="仿宋_GB2312" w:hAnsi="仿宋_GB2312" w:eastAsia="仿宋_GB2312" w:cs="仿宋_GB2312"/>
          <w:sz w:val="32"/>
          <w:szCs w:val="32"/>
          <w:lang w:eastAsia="zh-CN"/>
        </w:rPr>
        <w:t>彭国金、</w:t>
      </w:r>
      <w:r>
        <w:rPr>
          <w:rFonts w:hint="eastAsia" w:ascii="仿宋_GB2312" w:hAnsi="仿宋_GB2312" w:eastAsia="仿宋_GB2312" w:cs="仿宋_GB2312"/>
          <w:sz w:val="32"/>
          <w:szCs w:val="32"/>
        </w:rPr>
        <w:t>机关党委常务副书记鄢新忠</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财务</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范建平</w:t>
      </w:r>
      <w:r>
        <w:rPr>
          <w:rFonts w:hint="eastAsia" w:ascii="仿宋_GB2312" w:hAnsi="仿宋_GB2312" w:eastAsia="仿宋_GB2312" w:cs="仿宋_GB2312"/>
          <w:sz w:val="32"/>
          <w:szCs w:val="32"/>
          <w:lang w:eastAsia="zh-CN"/>
        </w:rPr>
        <w:t>、徐畅</w:t>
      </w:r>
      <w:r>
        <w:rPr>
          <w:rFonts w:hint="eastAsia" w:ascii="仿宋_GB2312" w:hAnsi="仿宋_GB2312" w:eastAsia="仿宋_GB2312" w:cs="仿宋_GB2312"/>
          <w:sz w:val="32"/>
          <w:szCs w:val="32"/>
        </w:rPr>
        <w:t>等四名同志为成员，</w:t>
      </w:r>
      <w:r>
        <w:rPr>
          <w:rFonts w:hint="default" w:ascii="仿宋_GB2312" w:hAnsi="仿宋_GB2312" w:eastAsia="仿宋_GB2312" w:cs="仿宋_GB2312"/>
          <w:sz w:val="32"/>
          <w:szCs w:val="32"/>
        </w:rPr>
        <w:t>主要加强</w:t>
      </w:r>
      <w:r>
        <w:rPr>
          <w:rFonts w:hint="eastAsia" w:ascii="仿宋_GB2312" w:hAnsi="仿宋_GB2312" w:eastAsia="仿宋_GB2312" w:cs="仿宋_GB2312"/>
          <w:sz w:val="32"/>
          <w:szCs w:val="32"/>
        </w:rPr>
        <w:t>对</w:t>
      </w:r>
      <w:r>
        <w:rPr>
          <w:rFonts w:hint="default" w:ascii="仿宋_GB2312" w:hAnsi="仿宋_GB2312" w:eastAsia="仿宋_GB2312" w:cs="仿宋_GB2312"/>
          <w:sz w:val="32"/>
          <w:szCs w:val="32"/>
        </w:rPr>
        <w:t>部门预算</w:t>
      </w:r>
      <w:r>
        <w:rPr>
          <w:rFonts w:hint="eastAsia" w:ascii="仿宋_GB2312" w:hAnsi="仿宋_GB2312" w:eastAsia="仿宋_GB2312" w:cs="仿宋_GB2312"/>
          <w:sz w:val="32"/>
          <w:szCs w:val="32"/>
        </w:rPr>
        <w:t>绩效</w:t>
      </w:r>
      <w:r>
        <w:rPr>
          <w:rFonts w:hint="default" w:ascii="仿宋_GB2312" w:hAnsi="仿宋_GB2312" w:eastAsia="仿宋_GB2312" w:cs="仿宋_GB2312"/>
          <w:sz w:val="32"/>
          <w:szCs w:val="32"/>
        </w:rPr>
        <w:t>自评和评价</w:t>
      </w:r>
      <w:r>
        <w:rPr>
          <w:rFonts w:hint="eastAsia" w:ascii="仿宋_GB2312" w:hAnsi="仿宋_GB2312" w:eastAsia="仿宋_GB2312" w:cs="仿宋_GB2312"/>
          <w:sz w:val="32"/>
          <w:szCs w:val="32"/>
        </w:rPr>
        <w:t>工作的组织领导，</w:t>
      </w:r>
      <w:r>
        <w:rPr>
          <w:rFonts w:hint="default" w:ascii="仿宋_GB2312" w:hAnsi="仿宋_GB2312" w:eastAsia="仿宋_GB2312" w:cs="仿宋_GB2312"/>
          <w:sz w:val="32"/>
          <w:szCs w:val="32"/>
        </w:rPr>
        <w:t>确保</w:t>
      </w:r>
      <w:r>
        <w:rPr>
          <w:rFonts w:hint="eastAsia" w:ascii="仿宋_GB2312" w:hAnsi="仿宋_GB2312" w:eastAsia="仿宋_GB2312" w:cs="仿宋_GB2312"/>
          <w:sz w:val="32"/>
          <w:szCs w:val="32"/>
        </w:rPr>
        <w:t>各项工作有序高效开展。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楷体_GB2312" w:hAnsi="楷体_GB2312" w:eastAsia="楷体_GB2312" w:cs="楷体_GB2312"/>
          <w:b w:val="0"/>
          <w:bCs/>
          <w:sz w:val="32"/>
          <w:szCs w:val="32"/>
          <w:lang w:eastAsia="zh-CN"/>
        </w:rPr>
      </w:pPr>
      <w:r>
        <w:rPr>
          <w:rFonts w:hint="default" w:ascii="楷体_GB2312" w:hAnsi="楷体_GB2312" w:eastAsia="楷体_GB2312" w:cs="楷体_GB2312"/>
          <w:b w:val="0"/>
          <w:bCs/>
          <w:sz w:val="32"/>
          <w:szCs w:val="32"/>
        </w:rPr>
        <w:t>2.</w:t>
      </w:r>
      <w:r>
        <w:rPr>
          <w:rFonts w:hint="default" w:ascii="楷体_GB2312" w:hAnsi="楷体_GB2312" w:eastAsia="楷体_GB2312" w:cs="楷体_GB2312"/>
          <w:b w:val="0"/>
          <w:bCs/>
          <w:sz w:val="32"/>
          <w:szCs w:val="32"/>
          <w:lang w:eastAsia="zh-CN"/>
        </w:rPr>
        <w:t>以制度强管理</w:t>
      </w:r>
      <w:r>
        <w:rPr>
          <w:rFonts w:hint="eastAsia" w:ascii="楷体_GB2312" w:hAnsi="楷体_GB2312" w:eastAsia="楷体_GB2312" w:cs="楷体_GB2312"/>
          <w:b w:val="0"/>
          <w:bCs/>
          <w:sz w:val="32"/>
          <w:szCs w:val="32"/>
          <w:lang w:eastAsia="zh-CN"/>
        </w:rPr>
        <w:t>，</w:t>
      </w:r>
      <w:r>
        <w:rPr>
          <w:rFonts w:hint="default" w:ascii="楷体_GB2312" w:hAnsi="楷体_GB2312" w:eastAsia="楷体_GB2312" w:cs="楷体_GB2312"/>
          <w:b w:val="0"/>
          <w:bCs/>
          <w:sz w:val="32"/>
          <w:szCs w:val="32"/>
          <w:lang w:eastAsia="zh-CN"/>
        </w:rPr>
        <w:t>积极提高</w:t>
      </w:r>
      <w:r>
        <w:rPr>
          <w:rFonts w:hint="eastAsia" w:ascii="楷体_GB2312" w:hAnsi="楷体_GB2312" w:eastAsia="楷体_GB2312" w:cs="楷体_GB2312"/>
          <w:b w:val="0"/>
          <w:bCs/>
          <w:sz w:val="32"/>
          <w:szCs w:val="32"/>
          <w:lang w:eastAsia="zh-CN"/>
        </w:rPr>
        <w:t>绩效管理</w:t>
      </w:r>
      <w:r>
        <w:rPr>
          <w:rFonts w:hint="default" w:ascii="楷体_GB2312" w:hAnsi="楷体_GB2312" w:eastAsia="楷体_GB2312" w:cs="楷体_GB2312"/>
          <w:b w:val="0"/>
          <w:bCs/>
          <w:sz w:val="32"/>
          <w:szCs w:val="32"/>
          <w:lang w:eastAsia="zh-CN"/>
        </w:rPr>
        <w:t>成效</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rPr>
        <w:t>按照省</w:t>
      </w:r>
      <w:r>
        <w:rPr>
          <w:rFonts w:hint="eastAsia" w:ascii="仿宋_GB2312" w:hAnsi="仿宋_GB2312" w:eastAsia="仿宋_GB2312" w:cs="仿宋_GB2312"/>
          <w:sz w:val="32"/>
          <w:szCs w:val="32"/>
          <w:lang w:eastAsia="zh-CN"/>
        </w:rPr>
        <w:t>财政</w:t>
      </w:r>
      <w:r>
        <w:rPr>
          <w:rFonts w:hint="default" w:ascii="仿宋_GB2312" w:hAnsi="仿宋_GB2312" w:eastAsia="仿宋_GB2312" w:cs="仿宋_GB2312"/>
          <w:sz w:val="32"/>
          <w:szCs w:val="32"/>
        </w:rPr>
        <w:t>厅的要求，我局积极完善各项</w:t>
      </w:r>
      <w:r>
        <w:rPr>
          <w:rFonts w:hint="eastAsia" w:ascii="仿宋_GB2312" w:hAnsi="仿宋_GB2312" w:eastAsia="仿宋_GB2312" w:cs="仿宋_GB2312"/>
          <w:sz w:val="32"/>
          <w:szCs w:val="32"/>
          <w:lang w:eastAsia="zh-CN"/>
        </w:rPr>
        <w:t>规章</w:t>
      </w:r>
      <w:r>
        <w:rPr>
          <w:rFonts w:hint="default" w:ascii="仿宋_GB2312" w:hAnsi="仿宋_GB2312" w:eastAsia="仿宋_GB2312" w:cs="仿宋_GB2312"/>
          <w:sz w:val="32"/>
          <w:szCs w:val="32"/>
        </w:rPr>
        <w:t>制度，用制度提高管理水平，在管理中见</w:t>
      </w:r>
      <w:r>
        <w:rPr>
          <w:rFonts w:hint="eastAsia" w:ascii="仿宋_GB2312" w:hAnsi="仿宋_GB2312" w:eastAsia="仿宋_GB2312" w:cs="仿宋_GB2312"/>
          <w:sz w:val="32"/>
          <w:szCs w:val="32"/>
          <w:lang w:eastAsia="zh-CN"/>
        </w:rPr>
        <w:t>成效</w:t>
      </w:r>
      <w:r>
        <w:rPr>
          <w:rFonts w:hint="default" w:ascii="仿宋_GB2312" w:hAnsi="仿宋_GB2312" w:eastAsia="仿宋_GB2312" w:cs="仿宋_GB2312"/>
          <w:sz w:val="32"/>
          <w:szCs w:val="32"/>
        </w:rPr>
        <w:t>。在预算初期</w:t>
      </w:r>
      <w:r>
        <w:rPr>
          <w:rFonts w:hint="eastAsia" w:ascii="仿宋_GB2312" w:hAnsi="仿宋_GB2312" w:eastAsia="仿宋_GB2312" w:cs="仿宋_GB2312"/>
          <w:sz w:val="32"/>
          <w:szCs w:val="32"/>
        </w:rPr>
        <w:t>着重对基本支出、三公经费和项目支出情况进行评价</w:t>
      </w:r>
      <w:r>
        <w:rPr>
          <w:rFonts w:hint="default" w:ascii="仿宋_GB2312" w:hAnsi="仿宋_GB2312" w:eastAsia="仿宋_GB2312" w:cs="仿宋_GB2312"/>
          <w:sz w:val="32"/>
          <w:szCs w:val="32"/>
        </w:rPr>
        <w:t>，在预算后期看成果</w:t>
      </w:r>
      <w:r>
        <w:rPr>
          <w:rFonts w:hint="eastAsia" w:ascii="仿宋_GB2312" w:hAnsi="仿宋_GB2312" w:eastAsia="仿宋_GB2312" w:cs="仿宋_GB2312"/>
          <w:sz w:val="32"/>
          <w:szCs w:val="32"/>
        </w:rPr>
        <w:t>。逐步把预算支出管理工作重心转移到提高效率上来。局党组对超过5万元的项目预算都认真研究，集体讨论项目的可行性、实效性及合法性，把绩效理念贯穿到预算支出管理全过程，构建注重绩效、结构优化、分配科学、管理规范的业务专项经费管理新机制。对特别重大的项目支出，相关业务处室组织成立绩效评价工作小组，结合业务专项的绩效目标、建设内容等方面，不断完善评价指标，采取自查和抽查相结合的方式开展绩效评价，</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发现问题，</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总结经验，</w:t>
      </w:r>
      <w:r>
        <w:rPr>
          <w:rFonts w:hint="eastAsia" w:ascii="仿宋_GB2312" w:hAnsi="仿宋_GB2312" w:eastAsia="仿宋_GB2312" w:cs="仿宋_GB2312"/>
          <w:sz w:val="32"/>
          <w:szCs w:val="32"/>
          <w:lang w:eastAsia="zh-CN"/>
        </w:rPr>
        <w:t>切实整改</w:t>
      </w:r>
      <w:r>
        <w:rPr>
          <w:rFonts w:hint="eastAsia" w:ascii="仿宋_GB2312" w:hAnsi="仿宋_GB2312" w:eastAsia="仿宋_GB2312" w:cs="仿宋_GB2312"/>
          <w:sz w:val="32"/>
          <w:szCs w:val="32"/>
        </w:rPr>
        <w:t>提高。</w:t>
      </w:r>
      <w:r>
        <w:rPr>
          <w:rFonts w:hint="default" w:ascii="仿宋_GB2312" w:hAnsi="仿宋_GB2312" w:eastAsia="仿宋_GB2312" w:cs="仿宋_GB2312"/>
          <w:sz w:val="32"/>
          <w:szCs w:val="32"/>
        </w:rPr>
        <w:t>今年以来，我局各项支出绩效成效明显，特别是信访数据监控大厅的改造、办公楼厕所的改造和加装电梯等项目，群众反映花最少的资金，</w:t>
      </w:r>
      <w:r>
        <w:rPr>
          <w:rFonts w:hint="eastAsia" w:ascii="仿宋_GB2312" w:hAnsi="仿宋_GB2312" w:eastAsia="仿宋_GB2312" w:cs="仿宋_GB2312"/>
          <w:sz w:val="32"/>
          <w:szCs w:val="32"/>
          <w:lang w:eastAsia="zh-CN"/>
        </w:rPr>
        <w:t>办最好的事，绩效</w:t>
      </w:r>
      <w:r>
        <w:rPr>
          <w:rFonts w:hint="default" w:ascii="仿宋_GB2312" w:hAnsi="仿宋_GB2312" w:eastAsia="仿宋_GB2312" w:cs="仿宋_GB2312"/>
          <w:sz w:val="32"/>
          <w:szCs w:val="32"/>
        </w:rPr>
        <w:t>成效</w:t>
      </w:r>
      <w:r>
        <w:rPr>
          <w:rFonts w:hint="eastAsia" w:ascii="仿宋_GB2312" w:hAnsi="仿宋_GB2312" w:eastAsia="仿宋_GB2312" w:cs="仿宋_GB2312"/>
          <w:sz w:val="32"/>
          <w:szCs w:val="32"/>
          <w:lang w:eastAsia="zh-CN"/>
        </w:rPr>
        <w:t>明显</w:t>
      </w:r>
      <w:r>
        <w:rPr>
          <w:rFonts w:hint="default" w:ascii="仿宋_GB2312" w:hAnsi="仿宋_GB2312" w:eastAsia="仿宋_GB2312" w:cs="仿宋_GB2312"/>
          <w:sz w:val="32"/>
          <w:szCs w:val="32"/>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3.</w:t>
      </w:r>
      <w:r>
        <w:rPr>
          <w:rFonts w:hint="default" w:ascii="楷体_GB2312" w:hAnsi="楷体_GB2312" w:eastAsia="楷体_GB2312" w:cs="楷体_GB2312"/>
          <w:b w:val="0"/>
          <w:bCs/>
          <w:sz w:val="32"/>
          <w:szCs w:val="32"/>
          <w:lang w:eastAsia="zh-CN"/>
        </w:rPr>
        <w:t>扎实</w:t>
      </w:r>
      <w:r>
        <w:rPr>
          <w:rFonts w:hint="eastAsia" w:ascii="楷体_GB2312" w:hAnsi="楷体_GB2312" w:eastAsia="楷体_GB2312" w:cs="楷体_GB2312"/>
          <w:b w:val="0"/>
          <w:bCs/>
          <w:sz w:val="32"/>
          <w:szCs w:val="32"/>
          <w:lang w:eastAsia="zh-CN"/>
        </w:rPr>
        <w:t>开展</w:t>
      </w:r>
      <w:r>
        <w:rPr>
          <w:rFonts w:hint="default" w:ascii="楷体_GB2312" w:hAnsi="楷体_GB2312" w:eastAsia="楷体_GB2312" w:cs="楷体_GB2312"/>
          <w:b w:val="0"/>
          <w:bCs/>
          <w:sz w:val="32"/>
          <w:szCs w:val="32"/>
          <w:lang w:eastAsia="zh-CN"/>
        </w:rPr>
        <w:t>部门</w:t>
      </w:r>
      <w:r>
        <w:rPr>
          <w:rFonts w:hint="eastAsia" w:ascii="楷体_GB2312" w:hAnsi="楷体_GB2312" w:eastAsia="楷体_GB2312" w:cs="楷体_GB2312"/>
          <w:b w:val="0"/>
          <w:bCs/>
          <w:sz w:val="32"/>
          <w:szCs w:val="32"/>
        </w:rPr>
        <w:t>绩效</w:t>
      </w:r>
      <w:r>
        <w:rPr>
          <w:rFonts w:hint="default" w:ascii="楷体_GB2312" w:hAnsi="楷体_GB2312" w:eastAsia="楷体_GB2312" w:cs="楷体_GB2312"/>
          <w:b w:val="0"/>
          <w:bCs/>
          <w:sz w:val="32"/>
          <w:szCs w:val="32"/>
        </w:rPr>
        <w:t>评价</w:t>
      </w:r>
      <w:r>
        <w:rPr>
          <w:rFonts w:hint="eastAsia" w:ascii="楷体_GB2312" w:hAnsi="楷体_GB2312" w:eastAsia="楷体_GB2312" w:cs="楷体_GB2312"/>
          <w:b w:val="0"/>
          <w:bCs/>
          <w:sz w:val="32"/>
          <w:szCs w:val="32"/>
        </w:rPr>
        <w:t>工作</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通知要求，局办公室向有关业务处室下发了项目支出绩效自评表，有关业务处室均完成了本处室的项目资金的绩效自评工作，向办公室提交了绩效自评表。局绩效自评工作小组对单位预算资金管理情况进行了全面自查、自评，对有关业务处室填报、提交的自评材料进行了审核和综合评价，汇总形成了本绩效自评报告，并呈送局领导审批。</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4.</w:t>
      </w:r>
      <w:r>
        <w:rPr>
          <w:rFonts w:hint="eastAsia" w:ascii="楷体_GB2312" w:hAnsi="楷体_GB2312" w:eastAsia="楷体_GB2312" w:cs="楷体_GB2312"/>
          <w:b w:val="0"/>
          <w:bCs/>
          <w:sz w:val="32"/>
          <w:szCs w:val="32"/>
          <w:lang w:eastAsia="zh-CN"/>
        </w:rPr>
        <w:t>2023年</w:t>
      </w:r>
      <w:r>
        <w:rPr>
          <w:rFonts w:hint="eastAsia" w:ascii="楷体_GB2312" w:hAnsi="楷体_GB2312" w:eastAsia="楷体_GB2312" w:cs="楷体_GB2312"/>
          <w:b w:val="0"/>
          <w:bCs/>
          <w:sz w:val="32"/>
          <w:szCs w:val="32"/>
        </w:rPr>
        <w:t>我局取得的主要工作成绩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FF0000"/>
          <w:sz w:val="32"/>
          <w:szCs w:val="32"/>
          <w:lang w:val="en" w:eastAsia="zh-CN"/>
        </w:rPr>
      </w:pP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在中央工作联席会议及办公室、国家信访局的精心指导下，</w:t>
      </w:r>
      <w:r>
        <w:rPr>
          <w:rFonts w:hint="eastAsia" w:ascii="仿宋_GB2312" w:hAnsi="仿宋_GB2312" w:eastAsia="仿宋_GB2312" w:cs="仿宋_GB2312"/>
          <w:color w:val="auto"/>
          <w:sz w:val="32"/>
          <w:szCs w:val="32"/>
          <w:lang w:val="zh-CN"/>
        </w:rPr>
        <w:t>在省委省政府坚强领导下，在省信访工作联席会议的有力有效调度下，全省各地各部门坚</w:t>
      </w:r>
      <w:r>
        <w:rPr>
          <w:rFonts w:hint="eastAsia" w:ascii="仿宋_GB2312" w:hAnsi="仿宋_GB2312" w:eastAsia="仿宋_GB2312" w:cs="仿宋_GB2312"/>
          <w:color w:val="auto"/>
          <w:sz w:val="32"/>
          <w:szCs w:val="32"/>
        </w:rPr>
        <w:t>持以习近平新时代中国特色社会主义思想为指导，认真贯彻党的二十大精神，深入学习贯彻习近平法治思想、习近平总书记关于加强和改进人民信访工作的重要思想，坚决落实党中央、国务院和省委、省政府决策部署，紧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提质增效、进位争先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保持一流、争当前列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目标发力，扎实推动</w:t>
      </w:r>
      <w:r>
        <w:rPr>
          <w:rFonts w:hint="eastAsia" w:ascii="仿宋_GB2312" w:hAnsi="仿宋_GB2312" w:eastAsia="仿宋_GB2312" w:cs="仿宋_GB2312"/>
          <w:color w:val="auto"/>
          <w:sz w:val="32"/>
          <w:szCs w:val="32"/>
          <w:lang w:eastAsia="zh-CN"/>
        </w:rPr>
        <w:t>国家信访局“</w:t>
      </w:r>
      <w:r>
        <w:rPr>
          <w:rFonts w:hint="eastAsia" w:ascii="仿宋_GB2312" w:hAnsi="仿宋_GB2312" w:eastAsia="仿宋_GB2312" w:cs="仿宋_GB2312"/>
          <w:color w:val="auto"/>
          <w:sz w:val="32"/>
          <w:szCs w:val="32"/>
        </w:rPr>
        <w:t>135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施工路线图落地见效</w:t>
      </w:r>
      <w:r>
        <w:rPr>
          <w:rFonts w:hint="eastAsia" w:ascii="仿宋_GB2312" w:hAnsi="仿宋_GB2312" w:eastAsia="仿宋_GB2312" w:cs="仿宋_GB2312"/>
          <w:color w:val="auto"/>
          <w:sz w:val="32"/>
          <w:szCs w:val="32"/>
          <w:lang w:eastAsia="zh-CN"/>
        </w:rPr>
        <w:t>，我省信访工作考核获评优秀等次，被通报表扬。</w:t>
      </w:r>
      <w:r>
        <w:rPr>
          <w:rFonts w:hint="eastAsia" w:ascii="仿宋_GB2312" w:hAnsi="仿宋_GB2312" w:eastAsia="仿宋_GB2312" w:cs="仿宋_GB2312"/>
          <w:color w:val="auto"/>
          <w:sz w:val="32"/>
          <w:szCs w:val="32"/>
        </w:rPr>
        <w:t>国家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十四五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信访工作发展规划提出的7项指标中有4项提前达标。到国家信访局越级走访人次同比2019年下降41.04%，在京非接待场所登记人次同比2019年下降88.9%，全国全省两会、杭州亚运会等特护期均圆满实现了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三个不发生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目标。日常可量化的考核指标均好于2022年，积案化解进度和质量、信访群众参评率、参评满意率、一次性化解率均走在全国前列，体现信访问题源头治理成效的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一升一降一减少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指标也好于全国。人民日报、法治日报等中央主流媒体和中央信访联席会议《信访信息快报》、《人民信访》、国家信访局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一网一微一端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宣传报道103篇次。全国信访局长会议上对我省推行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行业、领域+信访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责任捆绑，加大对重点领域信访问题的治理力度</w:t>
      </w:r>
      <w:r>
        <w:rPr>
          <w:rFonts w:hint="eastAsia" w:ascii="仿宋_GB2312" w:hAnsi="仿宋_GB2312" w:eastAsia="仿宋_GB2312" w:cs="仿宋_GB2312"/>
          <w:color w:val="auto"/>
          <w:sz w:val="32"/>
          <w:szCs w:val="32"/>
          <w:lang w:eastAsia="zh-CN"/>
        </w:rPr>
        <w:t>予以</w:t>
      </w:r>
      <w:r>
        <w:rPr>
          <w:rFonts w:hint="eastAsia" w:ascii="仿宋_GB2312" w:hAnsi="仿宋_GB2312" w:eastAsia="仿宋_GB2312" w:cs="仿宋_GB2312"/>
          <w:color w:val="auto"/>
          <w:sz w:val="32"/>
          <w:szCs w:val="32"/>
        </w:rPr>
        <w:t>表扬。</w:t>
      </w:r>
      <w:r>
        <w:rPr>
          <w:rFonts w:hint="eastAsia" w:ascii="仿宋_GB2312" w:hAnsi="仿宋_GB2312" w:eastAsia="仿宋_GB2312" w:cs="仿宋_GB2312"/>
          <w:sz w:val="32"/>
          <w:szCs w:val="32"/>
          <w:lang w:eastAsia="zh-CN"/>
        </w:rPr>
        <w:t>具体工作情况是：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auto"/>
          <w:sz w:val="32"/>
          <w:szCs w:val="32"/>
        </w:rPr>
      </w:pPr>
      <w:r>
        <w:rPr>
          <w:rFonts w:hint="default" w:ascii="仿宋_GB2312" w:hAnsi="仿宋_GB2312" w:eastAsia="仿宋_GB2312" w:cs="仿宋_GB2312"/>
          <w:sz w:val="32"/>
          <w:szCs w:val="32"/>
          <w:lang w:eastAsia="zh-CN"/>
        </w:rPr>
        <w:t>（1）</w:t>
      </w:r>
      <w:r>
        <w:rPr>
          <w:rFonts w:hint="eastAsia" w:ascii="方正黑体_GBK" w:hAnsi="方正黑体_GBK" w:eastAsia="方正黑体_GBK" w:cs="方正黑体_GBK"/>
          <w:color w:val="auto"/>
          <w:sz w:val="32"/>
          <w:szCs w:val="32"/>
          <w:lang w:eastAsia="zh-CN"/>
        </w:rPr>
        <w:t>坚决</w:t>
      </w:r>
      <w:r>
        <w:rPr>
          <w:rFonts w:hint="eastAsia" w:ascii="方正黑体_GBK" w:hAnsi="方正黑体_GBK" w:eastAsia="方正黑体_GBK" w:cs="方正黑体_GBK"/>
          <w:color w:val="auto"/>
          <w:sz w:val="32"/>
          <w:szCs w:val="32"/>
        </w:rPr>
        <w:t>贯彻落实习近平总书记重要指示精神和党中央、省委省政府决策部署。</w:t>
      </w:r>
      <w:r>
        <w:rPr>
          <w:rFonts w:hint="eastAsia" w:ascii="仿宋_GB2312" w:hAnsi="仿宋_GB2312" w:eastAsia="仿宋_GB2312" w:cs="仿宋_GB2312"/>
          <w:bCs/>
          <w:color w:val="auto"/>
          <w:sz w:val="32"/>
          <w:szCs w:val="32"/>
          <w:shd w:val="clear" w:color="auto" w:fill="FFFFFF"/>
        </w:rPr>
        <w:t>省委常委会、省政府常务会议先后</w:t>
      </w:r>
      <w:r>
        <w:rPr>
          <w:rFonts w:hint="eastAsia" w:ascii="仿宋_GB2312" w:hAnsi="仿宋_GB2312" w:eastAsia="仿宋_GB2312" w:cs="仿宋_GB2312"/>
          <w:bCs/>
          <w:color w:val="auto"/>
          <w:sz w:val="32"/>
          <w:szCs w:val="32"/>
          <w:shd w:val="clear" w:color="auto" w:fill="FFFFFF"/>
          <w:lang w:eastAsia="zh-CN"/>
        </w:rPr>
        <w:t>多</w:t>
      </w:r>
      <w:r>
        <w:rPr>
          <w:rFonts w:hint="eastAsia" w:ascii="仿宋_GB2312" w:hAnsi="仿宋_GB2312" w:eastAsia="仿宋_GB2312" w:cs="仿宋_GB2312"/>
          <w:bCs/>
          <w:color w:val="auto"/>
          <w:sz w:val="32"/>
          <w:szCs w:val="32"/>
          <w:shd w:val="clear" w:color="auto" w:fill="FFFFFF"/>
        </w:rPr>
        <w:t>次听取情况汇报、研究部署工作。</w:t>
      </w:r>
      <w:r>
        <w:rPr>
          <w:rFonts w:hint="eastAsia" w:ascii="仿宋_GB2312" w:hAnsi="仿宋_GB2312" w:eastAsia="仿宋_GB2312" w:cs="仿宋_GB2312"/>
          <w:color w:val="auto"/>
          <w:sz w:val="32"/>
          <w:szCs w:val="32"/>
        </w:rPr>
        <w:t>省信访联席会议印发《湖南省信访工作联席会议工作规则》等制度文件，建立召集人分领域联系推进信访突出问题化解机制，先后</w:t>
      </w:r>
      <w:r>
        <w:rPr>
          <w:rFonts w:hint="eastAsia" w:ascii="仿宋_GB2312" w:hAnsi="仿宋_GB2312" w:eastAsia="仿宋_GB2312" w:cs="仿宋_GB2312"/>
          <w:color w:val="auto"/>
          <w:sz w:val="32"/>
          <w:szCs w:val="32"/>
          <w:lang w:val="zh-CN"/>
        </w:rPr>
        <w:t>8次召开会议调度推进重点工作。</w:t>
      </w:r>
      <w:r>
        <w:rPr>
          <w:rFonts w:hint="eastAsia" w:ascii="仿宋_GB2312" w:hAnsi="仿宋_GB2312" w:eastAsia="仿宋_GB2312" w:cs="仿宋_GB2312"/>
          <w:color w:val="auto"/>
          <w:sz w:val="32"/>
          <w:szCs w:val="32"/>
        </w:rPr>
        <w:t>省信访联席办主动分析研判，向省委省政府呈报有关盛大金禧、湖南赞丽、网络培训机构退费、步步高集团欠薪等信访突出问题《信访要情》13期，报送各类专报337件次，均得到省领导批示，其中省委书记、省长分别批示48件次、47件次，三位</w:t>
      </w:r>
      <w:r>
        <w:rPr>
          <w:rFonts w:hint="eastAsia" w:ascii="仿宋_GB2312" w:hAnsi="仿宋_GB2312" w:eastAsia="仿宋_GB2312" w:cs="仿宋_GB2312"/>
          <w:color w:val="auto"/>
          <w:sz w:val="32"/>
          <w:szCs w:val="32"/>
          <w:lang w:eastAsia="zh-CN"/>
        </w:rPr>
        <w:t>省</w:t>
      </w:r>
      <w:r>
        <w:rPr>
          <w:rFonts w:hint="eastAsia" w:ascii="仿宋_GB2312" w:hAnsi="仿宋_GB2312" w:eastAsia="仿宋_GB2312" w:cs="仿宋_GB2312"/>
          <w:color w:val="auto"/>
          <w:sz w:val="32"/>
          <w:szCs w:val="32"/>
        </w:rPr>
        <w:t>召集人批示262件次。国家信访局对我省党委政府尤其是主要领导重视信访工作、三位召集人分领域推动、分片区调度推动重点领域系统治理给予了充分肯定。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bCs/>
          <w:color w:val="auto"/>
          <w:sz w:val="32"/>
          <w:szCs w:val="32"/>
          <w:lang w:val="en"/>
        </w:rPr>
      </w:pPr>
      <w:r>
        <w:rPr>
          <w:rFonts w:hint="default" w:ascii="仿宋_GB2312" w:hAnsi="仿宋_GB2312" w:eastAsia="仿宋_GB2312" w:cs="仿宋_GB2312"/>
          <w:sz w:val="32"/>
          <w:szCs w:val="32"/>
          <w:lang w:eastAsia="zh-CN"/>
        </w:rPr>
        <w:t>（2）</w:t>
      </w:r>
      <w:r>
        <w:rPr>
          <w:rFonts w:hint="eastAsia" w:ascii="方正黑体_GBK" w:hAnsi="方正黑体_GBK" w:eastAsia="方正黑体_GBK" w:cs="方正黑体_GBK"/>
          <w:color w:val="auto"/>
          <w:sz w:val="32"/>
          <w:szCs w:val="32"/>
          <w:lang w:eastAsia="zh-CN"/>
        </w:rPr>
        <w:t>扎实开展学习贯彻</w:t>
      </w:r>
      <w:r>
        <w:rPr>
          <w:rFonts w:hint="eastAsia" w:ascii="方正黑体_GBK" w:hAnsi="方正黑体_GBK" w:eastAsia="方正黑体_GBK" w:cs="方正黑体_GBK"/>
          <w:color w:val="auto"/>
          <w:sz w:val="32"/>
          <w:szCs w:val="32"/>
        </w:rPr>
        <w:t>习近平新时代中国特色社会主义思想主题教育。</w:t>
      </w:r>
      <w:r>
        <w:rPr>
          <w:rFonts w:hint="eastAsia" w:ascii="仿宋_GB2312" w:hAnsi="仿宋_GB2312" w:eastAsia="仿宋_GB2312" w:cs="仿宋_GB2312"/>
          <w:color w:val="auto"/>
          <w:sz w:val="32"/>
          <w:szCs w:val="32"/>
        </w:rPr>
        <w:t>精心组织开展主题教育，一体推进理论学习、调查研究、推动发展、检视整改，聚力打造</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
        </w:rPr>
        <w:t>三表率一模范</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
        </w:rPr>
        <w:t>机关。以理论学习为先，局党组认真落实</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
        </w:rPr>
        <w:t>第一议题</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
        </w:rPr>
        <w:t>制度，开展理论学习中心组学习11次、党组会议学习31次、专题交流研讨8次。以调查研究开路，</w:t>
      </w:r>
      <w:r>
        <w:rPr>
          <w:rFonts w:hint="eastAsia" w:ascii="仿宋_GB2312" w:hAnsi="仿宋_GB2312" w:eastAsia="仿宋_GB2312" w:cs="仿宋_GB2312"/>
          <w:bCs/>
          <w:color w:val="auto"/>
          <w:sz w:val="32"/>
          <w:szCs w:val="32"/>
          <w:lang w:val="en"/>
        </w:rPr>
        <w:t>深入开展</w:t>
      </w:r>
      <w:r>
        <w:rPr>
          <w:rFonts w:hint="eastAsia" w:ascii="仿宋_GB2312" w:hAnsi="仿宋_GB2312" w:eastAsia="仿宋_GB2312" w:cs="仿宋_GB2312"/>
          <w:bCs/>
          <w:color w:val="auto"/>
          <w:sz w:val="32"/>
          <w:szCs w:val="32"/>
          <w:lang w:val="en" w:eastAsia="zh-CN"/>
        </w:rPr>
        <w:t>“</w:t>
      </w:r>
      <w:r>
        <w:rPr>
          <w:rFonts w:hint="eastAsia" w:ascii="仿宋_GB2312" w:hAnsi="仿宋_GB2312" w:eastAsia="仿宋_GB2312" w:cs="仿宋_GB2312"/>
          <w:bCs/>
          <w:color w:val="auto"/>
          <w:sz w:val="32"/>
          <w:szCs w:val="32"/>
          <w:lang w:val="en"/>
        </w:rPr>
        <w:t>走找想促</w:t>
      </w:r>
      <w:r>
        <w:rPr>
          <w:rFonts w:hint="eastAsia" w:ascii="仿宋_GB2312" w:hAnsi="仿宋_GB2312" w:eastAsia="仿宋_GB2312" w:cs="仿宋_GB2312"/>
          <w:bCs/>
          <w:color w:val="auto"/>
          <w:sz w:val="32"/>
          <w:szCs w:val="32"/>
          <w:lang w:val="en" w:eastAsia="zh-CN"/>
        </w:rPr>
        <w:t>”</w:t>
      </w:r>
      <w:r>
        <w:rPr>
          <w:rFonts w:hint="eastAsia" w:ascii="仿宋_GB2312" w:hAnsi="仿宋_GB2312" w:eastAsia="仿宋_GB2312" w:cs="仿宋_GB2312"/>
          <w:bCs/>
          <w:color w:val="auto"/>
          <w:sz w:val="32"/>
          <w:szCs w:val="32"/>
          <w:lang w:val="en"/>
        </w:rPr>
        <w:t>活动，结合</w:t>
      </w:r>
      <w:r>
        <w:rPr>
          <w:rFonts w:hint="eastAsia" w:ascii="仿宋_GB2312" w:hAnsi="仿宋_GB2312" w:eastAsia="仿宋_GB2312" w:cs="仿宋_GB2312"/>
          <w:bCs/>
          <w:color w:val="auto"/>
          <w:sz w:val="32"/>
          <w:szCs w:val="32"/>
          <w:lang w:val="en" w:eastAsia="zh-CN"/>
        </w:rPr>
        <w:t>“</w:t>
      </w:r>
      <w:r>
        <w:rPr>
          <w:rFonts w:hint="eastAsia" w:ascii="仿宋_GB2312" w:hAnsi="仿宋_GB2312" w:eastAsia="仿宋_GB2312" w:cs="仿宋_GB2312"/>
          <w:bCs/>
          <w:color w:val="auto"/>
          <w:sz w:val="32"/>
          <w:szCs w:val="32"/>
          <w:lang w:val="en"/>
        </w:rPr>
        <w:t>大督查大接访大调研</w:t>
      </w:r>
      <w:r>
        <w:rPr>
          <w:rFonts w:hint="eastAsia" w:ascii="仿宋_GB2312" w:hAnsi="仿宋_GB2312" w:eastAsia="仿宋_GB2312" w:cs="仿宋_GB2312"/>
          <w:bCs/>
          <w:color w:val="auto"/>
          <w:sz w:val="32"/>
          <w:szCs w:val="32"/>
          <w:lang w:val="en" w:eastAsia="zh-CN"/>
        </w:rPr>
        <w:t>”</w:t>
      </w:r>
      <w:r>
        <w:rPr>
          <w:rFonts w:hint="eastAsia" w:ascii="仿宋_GB2312" w:hAnsi="仿宋_GB2312" w:eastAsia="仿宋_GB2312" w:cs="仿宋_GB2312"/>
          <w:bCs/>
          <w:color w:val="auto"/>
          <w:sz w:val="32"/>
          <w:szCs w:val="32"/>
          <w:lang w:val="en"/>
        </w:rPr>
        <w:t>，梳理4类50个</w:t>
      </w:r>
      <w:r>
        <w:rPr>
          <w:rFonts w:hint="eastAsia" w:ascii="仿宋_GB2312" w:hAnsi="仿宋_GB2312" w:eastAsia="仿宋_GB2312" w:cs="仿宋_GB2312"/>
          <w:bCs/>
          <w:color w:val="auto"/>
          <w:sz w:val="32"/>
          <w:szCs w:val="32"/>
          <w:lang w:val="en" w:eastAsia="zh-CN"/>
        </w:rPr>
        <w:t>“</w:t>
      </w:r>
      <w:r>
        <w:rPr>
          <w:rFonts w:hint="eastAsia" w:ascii="仿宋_GB2312" w:hAnsi="仿宋_GB2312" w:eastAsia="仿宋_GB2312" w:cs="仿宋_GB2312"/>
          <w:bCs/>
          <w:color w:val="auto"/>
          <w:sz w:val="32"/>
          <w:szCs w:val="32"/>
          <w:lang w:val="en"/>
        </w:rPr>
        <w:t>信访调研菜单</w:t>
      </w:r>
      <w:r>
        <w:rPr>
          <w:rFonts w:hint="eastAsia" w:ascii="仿宋_GB2312" w:hAnsi="仿宋_GB2312" w:eastAsia="仿宋_GB2312" w:cs="仿宋_GB2312"/>
          <w:bCs/>
          <w:color w:val="auto"/>
          <w:sz w:val="32"/>
          <w:szCs w:val="32"/>
          <w:lang w:val="en" w:eastAsia="zh-CN"/>
        </w:rPr>
        <w:t>”</w:t>
      </w:r>
      <w:r>
        <w:rPr>
          <w:rFonts w:hint="eastAsia" w:ascii="仿宋_GB2312" w:hAnsi="仿宋_GB2312" w:eastAsia="仿宋_GB2312" w:cs="仿宋_GB2312"/>
          <w:bCs/>
          <w:color w:val="auto"/>
          <w:sz w:val="32"/>
          <w:szCs w:val="32"/>
          <w:lang w:val="en"/>
        </w:rPr>
        <w:t>，组成7个调研组，采取</w:t>
      </w:r>
      <w:r>
        <w:rPr>
          <w:rFonts w:hint="eastAsia" w:ascii="仿宋_GB2312" w:hAnsi="仿宋_GB2312" w:eastAsia="仿宋_GB2312" w:cs="仿宋_GB2312"/>
          <w:bCs/>
          <w:color w:val="auto"/>
          <w:sz w:val="32"/>
          <w:szCs w:val="32"/>
          <w:lang w:val="en" w:eastAsia="zh-CN"/>
        </w:rPr>
        <w:t>“</w:t>
      </w:r>
      <w:r>
        <w:rPr>
          <w:rFonts w:hint="eastAsia" w:ascii="仿宋_GB2312" w:hAnsi="仿宋_GB2312" w:eastAsia="仿宋_GB2312" w:cs="仿宋_GB2312"/>
          <w:bCs/>
          <w:color w:val="auto"/>
          <w:sz w:val="32"/>
          <w:szCs w:val="32"/>
          <w:lang w:val="en"/>
        </w:rPr>
        <w:t>四不两直</w:t>
      </w:r>
      <w:r>
        <w:rPr>
          <w:rFonts w:hint="eastAsia" w:ascii="仿宋_GB2312" w:hAnsi="仿宋_GB2312" w:eastAsia="仿宋_GB2312" w:cs="仿宋_GB2312"/>
          <w:bCs/>
          <w:color w:val="auto"/>
          <w:sz w:val="32"/>
          <w:szCs w:val="32"/>
          <w:lang w:val="en" w:eastAsia="zh-CN"/>
        </w:rPr>
        <w:t>”</w:t>
      </w:r>
      <w:r>
        <w:rPr>
          <w:rFonts w:hint="eastAsia" w:ascii="仿宋_GB2312" w:hAnsi="仿宋_GB2312" w:eastAsia="仿宋_GB2312" w:cs="仿宋_GB2312"/>
          <w:bCs/>
          <w:color w:val="auto"/>
          <w:sz w:val="32"/>
          <w:szCs w:val="32"/>
          <w:lang w:val="en"/>
        </w:rPr>
        <w:t>方式分赴31个市县、54个基层单位开展实地调研，座谈访谈431人次，线上线下征求意见建议107条，查找整改问题22个。以检视整改发力，认真落实巡视整改要求，聚焦贯彻落实党中央和省委省政府关于信访工作的系列决策部署全面开展自查自纠，排查整改问题37个</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bCs/>
          <w:color w:val="auto"/>
          <w:sz w:val="32"/>
          <w:szCs w:val="32"/>
          <w:lang w:val="en"/>
        </w:rPr>
        <w:t>省委主题教育第九巡回指导组对</w:t>
      </w:r>
      <w:r>
        <w:rPr>
          <w:rFonts w:hint="eastAsia" w:ascii="仿宋_GB2312" w:hAnsi="仿宋_GB2312" w:eastAsia="仿宋_GB2312" w:cs="仿宋_GB2312"/>
          <w:bCs/>
          <w:color w:val="auto"/>
          <w:sz w:val="32"/>
          <w:szCs w:val="32"/>
          <w:lang w:val="en" w:eastAsia="zh-CN"/>
        </w:rPr>
        <w:t>省信访</w:t>
      </w:r>
      <w:r>
        <w:rPr>
          <w:rFonts w:hint="eastAsia" w:ascii="仿宋_GB2312" w:hAnsi="仿宋_GB2312" w:eastAsia="仿宋_GB2312" w:cs="仿宋_GB2312"/>
          <w:bCs/>
          <w:color w:val="auto"/>
          <w:sz w:val="32"/>
          <w:szCs w:val="32"/>
          <w:lang w:val="en"/>
        </w:rPr>
        <w:t>局主题教育开展情况评估为</w:t>
      </w:r>
      <w:r>
        <w:rPr>
          <w:rFonts w:hint="eastAsia" w:ascii="仿宋_GB2312" w:hAnsi="仿宋_GB2312" w:eastAsia="仿宋_GB2312" w:cs="仿宋_GB2312"/>
          <w:bCs/>
          <w:color w:val="auto"/>
          <w:sz w:val="32"/>
          <w:szCs w:val="32"/>
          <w:lang w:val="en" w:eastAsia="zh-CN"/>
        </w:rPr>
        <w:t>“</w:t>
      </w:r>
      <w:r>
        <w:rPr>
          <w:rFonts w:hint="eastAsia" w:ascii="仿宋_GB2312" w:hAnsi="仿宋_GB2312" w:eastAsia="仿宋_GB2312" w:cs="仿宋_GB2312"/>
          <w:bCs/>
          <w:color w:val="auto"/>
          <w:sz w:val="32"/>
          <w:szCs w:val="32"/>
          <w:lang w:val="en"/>
        </w:rPr>
        <w:t>好</w:t>
      </w:r>
      <w:r>
        <w:rPr>
          <w:rFonts w:hint="eastAsia" w:ascii="仿宋_GB2312" w:hAnsi="仿宋_GB2312" w:eastAsia="仿宋_GB2312" w:cs="仿宋_GB2312"/>
          <w:bCs/>
          <w:color w:val="auto"/>
          <w:sz w:val="32"/>
          <w:szCs w:val="32"/>
          <w:lang w:val="en" w:eastAsia="zh-CN"/>
        </w:rPr>
        <w:t>”</w:t>
      </w:r>
      <w:r>
        <w:rPr>
          <w:rFonts w:hint="eastAsia" w:ascii="仿宋_GB2312" w:hAnsi="仿宋_GB2312" w:eastAsia="仿宋_GB2312" w:cs="仿宋_GB2312"/>
          <w:bCs/>
          <w:color w:val="auto"/>
          <w:sz w:val="32"/>
          <w:szCs w:val="32"/>
          <w:lang w:val="e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（3）</w:t>
      </w:r>
      <w:r>
        <w:rPr>
          <w:rFonts w:hint="eastAsia" w:ascii="方正黑体_GBK" w:hAnsi="方正黑体_GBK" w:eastAsia="方正黑体_GBK" w:cs="方正黑体_GBK"/>
          <w:color w:val="auto"/>
          <w:sz w:val="32"/>
          <w:szCs w:val="32"/>
          <w:lang w:val="en"/>
        </w:rPr>
        <w:t>落实《信访工作条例》、以点带面推进信访工作法治化见行见效。</w:t>
      </w:r>
      <w:r>
        <w:rPr>
          <w:rFonts w:hint="eastAsia" w:ascii="仿宋_GB2312" w:hAnsi="仿宋_GB2312" w:eastAsia="仿宋_GB2312" w:cs="仿宋_GB2312"/>
          <w:bCs/>
          <w:color w:val="auto"/>
          <w:sz w:val="32"/>
          <w:szCs w:val="32"/>
          <w:shd w:val="clear" w:color="auto" w:fill="FFFFFF"/>
        </w:rPr>
        <w:t>省委常委会学习省部级干部信访工作专题研讨班精神，</w:t>
      </w:r>
      <w:r>
        <w:rPr>
          <w:rFonts w:hint="eastAsia" w:ascii="仿宋_GB2312" w:hAnsi="仿宋_GB2312" w:eastAsia="仿宋_GB2312" w:cs="仿宋_GB2312"/>
          <w:bCs/>
          <w:color w:val="auto"/>
          <w:sz w:val="32"/>
          <w:szCs w:val="32"/>
          <w:shd w:val="clear" w:color="auto" w:fill="FFFFFF"/>
          <w:lang w:val="en"/>
        </w:rPr>
        <w:t>部署</w:t>
      </w:r>
      <w:r>
        <w:rPr>
          <w:rFonts w:hint="eastAsia" w:ascii="仿宋_GB2312" w:hAnsi="仿宋_GB2312" w:eastAsia="仿宋_GB2312" w:cs="仿宋_GB2312"/>
          <w:bCs/>
          <w:color w:val="auto"/>
          <w:sz w:val="32"/>
          <w:szCs w:val="32"/>
          <w:shd w:val="clear" w:color="auto" w:fill="FFFFFF"/>
        </w:rPr>
        <w:t>推进信访工作法治化。</w:t>
      </w:r>
      <w:r>
        <w:rPr>
          <w:rFonts w:hint="eastAsia" w:ascii="仿宋_GB2312" w:hAnsi="仿宋_GB2312" w:eastAsia="仿宋_GB2312" w:cs="仿宋_GB2312"/>
          <w:color w:val="auto"/>
          <w:sz w:val="32"/>
          <w:szCs w:val="32"/>
          <w:lang w:val="en"/>
        </w:rPr>
        <w:t>我局</w:t>
      </w:r>
      <w:r>
        <w:rPr>
          <w:rFonts w:hint="eastAsia" w:ascii="仿宋_GB2312" w:hAnsi="仿宋_GB2312" w:eastAsia="仿宋_GB2312" w:cs="仿宋_GB2312"/>
          <w:color w:val="auto"/>
          <w:sz w:val="32"/>
          <w:szCs w:val="32"/>
        </w:rPr>
        <w:t>第一时间召开党组（扩大）会议和全省信访工作视频会议，学习传达省部级干部信访工作专题研讨班、中央信访工作联席会议第一次全体会议、推进信访工作法治化全国视频会议精神、省委常委会会议和各位省领导的要求，印发了《深入推进信访法治化试点的实施方案》《信访法治化工作指南》《依法依规处理信访事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导引图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及说明》，选定18个县市区创造性试点推进。</w:t>
      </w:r>
      <w:r>
        <w:rPr>
          <w:rFonts w:hint="eastAsia" w:ascii="仿宋_GB2312" w:hAnsi="仿宋_GB2312" w:eastAsia="仿宋_GB2312" w:cs="仿宋_GB2312"/>
          <w:bCs/>
          <w:color w:val="auto"/>
          <w:sz w:val="32"/>
          <w:szCs w:val="32"/>
        </w:rPr>
        <w:t>开展《条例》落实年活动，</w:t>
      </w:r>
      <w:r>
        <w:rPr>
          <w:rFonts w:hint="eastAsia" w:ascii="仿宋_GB2312" w:hAnsi="仿宋_GB2312" w:eastAsia="仿宋_GB2312" w:cs="仿宋_GB2312"/>
          <w:bCs/>
          <w:color w:val="auto"/>
          <w:sz w:val="32"/>
          <w:szCs w:val="32"/>
          <w:lang w:val="en"/>
        </w:rPr>
        <w:t>在</w:t>
      </w:r>
      <w:r>
        <w:rPr>
          <w:rFonts w:hint="eastAsia" w:ascii="仿宋_GB2312" w:hAnsi="仿宋_GB2312" w:eastAsia="仿宋_GB2312" w:cs="仿宋_GB2312"/>
          <w:bCs/>
          <w:color w:val="auto"/>
          <w:sz w:val="32"/>
          <w:szCs w:val="32"/>
          <w:lang w:val="en" w:eastAsia="zh-CN"/>
        </w:rPr>
        <w:t>“</w:t>
      </w:r>
      <w:r>
        <w:rPr>
          <w:rFonts w:hint="eastAsia" w:ascii="仿宋_GB2312" w:hAnsi="仿宋_GB2312" w:eastAsia="仿宋_GB2312" w:cs="仿宋_GB2312"/>
          <w:bCs/>
          <w:color w:val="auto"/>
          <w:sz w:val="32"/>
          <w:szCs w:val="32"/>
          <w:lang w:val="en"/>
        </w:rPr>
        <w:t>一网一微一端</w:t>
      </w:r>
      <w:r>
        <w:rPr>
          <w:rFonts w:hint="eastAsia" w:ascii="仿宋_GB2312" w:hAnsi="仿宋_GB2312" w:eastAsia="仿宋_GB2312" w:cs="仿宋_GB2312"/>
          <w:bCs/>
          <w:color w:val="auto"/>
          <w:sz w:val="32"/>
          <w:szCs w:val="32"/>
          <w:lang w:val="en" w:eastAsia="zh-CN"/>
        </w:rPr>
        <w:t>”</w:t>
      </w:r>
      <w:r>
        <w:rPr>
          <w:rFonts w:hint="eastAsia" w:ascii="仿宋_GB2312" w:hAnsi="仿宋_GB2312" w:eastAsia="仿宋_GB2312" w:cs="仿宋_GB2312"/>
          <w:color w:val="auto"/>
          <w:sz w:val="32"/>
          <w:szCs w:val="32"/>
        </w:rPr>
        <w:t>开辟《条例》、信访工作法治化专栏，</w:t>
      </w:r>
      <w:r>
        <w:rPr>
          <w:rFonts w:hint="eastAsia" w:ascii="仿宋_GB2312" w:hAnsi="仿宋_GB2312" w:eastAsia="仿宋_GB2312" w:cs="仿宋_GB2312"/>
          <w:color w:val="auto"/>
          <w:sz w:val="32"/>
          <w:szCs w:val="32"/>
          <w:lang w:val="en"/>
        </w:rPr>
        <w:t>推动</w:t>
      </w:r>
      <w:r>
        <w:rPr>
          <w:rFonts w:hint="eastAsia" w:ascii="仿宋_GB2312" w:hAnsi="仿宋_GB2312" w:eastAsia="仿宋_GB2312" w:cs="仿宋_GB2312"/>
          <w:color w:val="auto"/>
          <w:sz w:val="32"/>
          <w:szCs w:val="32"/>
        </w:rPr>
        <w:t>开展现场宣传5000余场次、学习培训6000多场次。对标法治化要求，完善智慧信访信息系统功能，优化办信、网投、接访业务流程，清理完善《条例》相关制度文件33件。坚持双向规范，督促干部依法履职尽责、群众依法有序信访，力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三到位一处理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落实。去年，</w:t>
      </w:r>
      <w:r>
        <w:rPr>
          <w:rFonts w:hint="eastAsia" w:ascii="仿宋_GB2312" w:hAnsi="仿宋_GB2312" w:eastAsia="仿宋_GB2312" w:cs="仿宋_GB2312"/>
          <w:color w:val="auto"/>
          <w:sz w:val="32"/>
          <w:szCs w:val="32"/>
          <w:lang w:eastAsia="zh-CN"/>
        </w:rPr>
        <w:t>全省</w:t>
      </w:r>
      <w:r>
        <w:rPr>
          <w:rFonts w:hint="eastAsia" w:ascii="仿宋_GB2312" w:hAnsi="仿宋_GB2312" w:eastAsia="仿宋_GB2312" w:cs="仿宋_GB2312"/>
          <w:color w:val="auto"/>
          <w:sz w:val="32"/>
          <w:szCs w:val="32"/>
        </w:rPr>
        <w:t>信访部门及时受理率99.99%、责任单位及时受理率99.96%、全系统重复访占比24.68%、全系统求决类初次信访事项一次性化解率97.98%，均好于2022年情况。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sz w:val="32"/>
          <w:szCs w:val="32"/>
        </w:rPr>
      </w:pPr>
      <w:r>
        <w:rPr>
          <w:rFonts w:hint="default" w:ascii="仿宋_GB2312" w:hAnsi="仿宋_GB2312" w:eastAsia="仿宋_GB2312" w:cs="仿宋_GB2312"/>
          <w:sz w:val="32"/>
          <w:szCs w:val="32"/>
          <w:lang w:eastAsia="zh-CN"/>
        </w:rPr>
        <w:t>（4）</w:t>
      </w:r>
      <w:r>
        <w:rPr>
          <w:rFonts w:hint="eastAsia" w:ascii="方正黑体_GBK" w:hAnsi="方正黑体_GBK" w:eastAsia="方正黑体_GBK" w:cs="方正黑体_GBK"/>
          <w:color w:val="auto"/>
          <w:sz w:val="32"/>
          <w:szCs w:val="32"/>
          <w:lang w:eastAsia="zh-CN"/>
        </w:rPr>
        <w:t>大力</w:t>
      </w:r>
      <w:r>
        <w:rPr>
          <w:rFonts w:hint="eastAsia" w:ascii="方正黑体_GBK" w:hAnsi="方正黑体_GBK" w:eastAsia="方正黑体_GBK" w:cs="方正黑体_GBK"/>
          <w:color w:val="auto"/>
          <w:sz w:val="32"/>
          <w:szCs w:val="32"/>
        </w:rPr>
        <w:t>推动</w:t>
      </w:r>
      <w:r>
        <w:rPr>
          <w:rFonts w:hint="eastAsia" w:ascii="方正黑体_GBK" w:hAnsi="方正黑体_GBK" w:eastAsia="方正黑体_GBK" w:cs="方正黑体_GBK"/>
          <w:color w:val="auto"/>
          <w:sz w:val="32"/>
          <w:szCs w:val="32"/>
          <w:lang w:eastAsia="zh-CN"/>
        </w:rPr>
        <w:t>深入践行新时代“</w:t>
      </w:r>
      <w:r>
        <w:rPr>
          <w:rFonts w:hint="eastAsia" w:ascii="方正黑体_GBK" w:hAnsi="方正黑体_GBK" w:eastAsia="方正黑体_GBK" w:cs="方正黑体_GBK"/>
          <w:color w:val="auto"/>
          <w:sz w:val="32"/>
          <w:szCs w:val="32"/>
        </w:rPr>
        <w:t>浦江经验</w:t>
      </w:r>
      <w:r>
        <w:rPr>
          <w:rFonts w:hint="eastAsia" w:ascii="方正黑体_GBK" w:hAnsi="方正黑体_GBK" w:eastAsia="方正黑体_GBK" w:cs="方正黑体_GBK"/>
          <w:color w:val="auto"/>
          <w:sz w:val="32"/>
          <w:szCs w:val="32"/>
          <w:lang w:eastAsia="zh-CN"/>
        </w:rPr>
        <w:t>”“四下基层”在全省蔚然成风。</w:t>
      </w:r>
      <w:r>
        <w:rPr>
          <w:rFonts w:hint="eastAsia" w:ascii="仿宋_GB2312" w:hAnsi="仿宋_GB2312" w:eastAsia="仿宋_GB2312" w:cs="仿宋_GB2312"/>
          <w:color w:val="auto"/>
          <w:sz w:val="32"/>
          <w:szCs w:val="32"/>
        </w:rPr>
        <w:t>省委常委会先后2次听取学习借鉴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浦江经验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工作情况汇报并提出工作要求，</w:t>
      </w:r>
      <w:r>
        <w:rPr>
          <w:rFonts w:hint="eastAsia" w:ascii="仿宋_GB2312" w:hAnsi="仿宋_GB2312" w:eastAsia="仿宋_GB2312" w:cs="仿宋_GB2312"/>
          <w:color w:val="auto"/>
          <w:sz w:val="32"/>
          <w:szCs w:val="32"/>
          <w:lang w:eastAsia="zh-CN"/>
        </w:rPr>
        <w:t>省信访局</w:t>
      </w:r>
      <w:r>
        <w:rPr>
          <w:rFonts w:hint="eastAsia" w:ascii="仿宋_GB2312" w:hAnsi="仿宋_GB2312" w:eastAsia="仿宋_GB2312" w:cs="仿宋_GB2312"/>
          <w:color w:val="auto"/>
          <w:sz w:val="32"/>
          <w:szCs w:val="32"/>
        </w:rPr>
        <w:t>在中央主题教育办下发《真下真访民情 实心实意办事》简报及通知后，第一时间</w:t>
      </w:r>
      <w:r>
        <w:rPr>
          <w:rFonts w:hint="eastAsia" w:ascii="仿宋_GB2312" w:hAnsi="仿宋_GB2312" w:eastAsia="仿宋_GB2312" w:cs="仿宋_GB2312"/>
          <w:color w:val="auto"/>
          <w:sz w:val="32"/>
          <w:szCs w:val="32"/>
          <w:lang w:eastAsia="zh-CN"/>
        </w:rPr>
        <w:t>配合</w:t>
      </w:r>
      <w:r>
        <w:rPr>
          <w:rFonts w:hint="eastAsia" w:ascii="仿宋_GB2312" w:hAnsi="仿宋_GB2312" w:eastAsia="仿宋_GB2312" w:cs="仿宋_GB2312"/>
          <w:color w:val="auto"/>
          <w:sz w:val="32"/>
          <w:szCs w:val="32"/>
        </w:rPr>
        <w:t>省委主题教育办，提请省委率先在全国出台《关于深入学习推广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浦江经验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进一步健全领导干部下访接待群众制度的工作方案》。</w:t>
      </w:r>
      <w:r>
        <w:rPr>
          <w:rFonts w:hint="eastAsia" w:ascii="仿宋_GB2312" w:hAnsi="仿宋_GB2312" w:eastAsia="仿宋_GB2312" w:cs="仿宋_GB2312"/>
          <w:color w:val="auto"/>
          <w:sz w:val="32"/>
          <w:szCs w:val="32"/>
          <w:lang w:eastAsia="zh-CN"/>
        </w:rPr>
        <w:t>省领导</w:t>
      </w:r>
      <w:r>
        <w:rPr>
          <w:rFonts w:hint="eastAsia" w:ascii="仿宋_GB2312" w:hAnsi="仿宋_GB2312" w:eastAsia="仿宋_GB2312" w:cs="仿宋_GB2312"/>
          <w:color w:val="auto"/>
          <w:sz w:val="32"/>
          <w:szCs w:val="32"/>
        </w:rPr>
        <w:t>在全国率先严格按照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浦江经验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扎实</w:t>
      </w:r>
      <w:r>
        <w:rPr>
          <w:rFonts w:hint="eastAsia" w:ascii="仿宋_GB2312" w:hAnsi="仿宋_GB2312" w:eastAsia="仿宋_GB2312" w:cs="仿宋_GB2312"/>
          <w:color w:val="auto"/>
          <w:sz w:val="32"/>
          <w:szCs w:val="32"/>
        </w:rPr>
        <w:t>践行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提前公告、随机接访、跟踪落实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，主动到情况复杂、信访量居全省前列的</w:t>
      </w:r>
      <w:r>
        <w:rPr>
          <w:rFonts w:hint="eastAsia" w:ascii="仿宋_GB2312" w:hAnsi="仿宋_GB2312" w:eastAsia="仿宋_GB2312" w:cs="仿宋_GB2312"/>
          <w:color w:val="auto"/>
          <w:sz w:val="32"/>
          <w:szCs w:val="32"/>
          <w:lang w:eastAsia="zh-CN"/>
        </w:rPr>
        <w:t>市县</w:t>
      </w:r>
      <w:r>
        <w:rPr>
          <w:rFonts w:hint="eastAsia" w:ascii="仿宋_GB2312" w:hAnsi="仿宋_GB2312" w:eastAsia="仿宋_GB2312" w:cs="仿宋_GB2312"/>
          <w:color w:val="auto"/>
          <w:sz w:val="32"/>
          <w:szCs w:val="32"/>
        </w:rPr>
        <w:t>接访一整天，亲自接待来访群众。省信访局靠前服务、落实责任，组织工作专班蹲点属地，督导提前排查矛盾、清扫箱底，全链条跟踪督办省领导接访交办事项，确保件件有着落。在</w:t>
      </w:r>
      <w:r>
        <w:rPr>
          <w:rFonts w:hint="eastAsia" w:ascii="仿宋_GB2312" w:hAnsi="仿宋_GB2312" w:eastAsia="仿宋_GB2312" w:cs="仿宋_GB2312"/>
          <w:color w:val="auto"/>
          <w:sz w:val="32"/>
          <w:szCs w:val="32"/>
          <w:lang w:eastAsia="zh-CN"/>
        </w:rPr>
        <w:t>省委主要领导</w:t>
      </w:r>
      <w:r>
        <w:rPr>
          <w:rFonts w:hint="eastAsia" w:ascii="仿宋_GB2312" w:hAnsi="仿宋_GB2312" w:eastAsia="仿宋_GB2312" w:cs="仿宋_GB2312"/>
          <w:color w:val="auto"/>
          <w:sz w:val="32"/>
          <w:szCs w:val="32"/>
        </w:rPr>
        <w:t>的示范下，去年19位省领导下访接访107批次142人次，带动市县和省直部门党政领导干部下访接访35714次，</w:t>
      </w:r>
      <w:r>
        <w:rPr>
          <w:rFonts w:hint="eastAsia" w:ascii="仿宋_GB2312" w:hAnsi="仿宋_GB2312" w:eastAsia="仿宋_GB2312" w:cs="仿宋_GB2312"/>
          <w:color w:val="auto"/>
          <w:sz w:val="32"/>
          <w:szCs w:val="32"/>
          <w:lang w:eastAsia="zh-CN"/>
        </w:rPr>
        <w:t>各级领导干部</w:t>
      </w:r>
      <w:r>
        <w:rPr>
          <w:rFonts w:hint="eastAsia" w:ascii="仿宋_GB2312" w:hAnsi="仿宋_GB2312" w:eastAsia="仿宋_GB2312" w:cs="仿宋_GB2312"/>
          <w:color w:val="auto"/>
          <w:sz w:val="32"/>
          <w:szCs w:val="32"/>
        </w:rPr>
        <w:t>直奔基层、解决难题、化解矛盾，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浦江经验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四下基层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在全省蔚然成风。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sz w:val="32"/>
          <w:szCs w:val="32"/>
          <w:lang w:eastAsia="zh-CN"/>
        </w:rPr>
        <w:t>（5）</w:t>
      </w:r>
      <w:r>
        <w:rPr>
          <w:rFonts w:hint="eastAsia" w:ascii="方正黑体_GBK" w:hAnsi="方正黑体_GBK" w:eastAsia="方正黑体_GBK" w:cs="方正黑体_GBK"/>
          <w:color w:val="auto"/>
          <w:sz w:val="32"/>
          <w:szCs w:val="32"/>
          <w:lang w:val="en"/>
        </w:rPr>
        <w:t>推进信访问题源头治理攻坚和信访突出问题化解成效明显。</w:t>
      </w:r>
      <w:r>
        <w:rPr>
          <w:rFonts w:hint="eastAsia" w:ascii="仿宋_GB2312" w:hAnsi="仿宋_GB2312" w:eastAsia="仿宋_GB2312" w:cs="仿宋_GB2312"/>
          <w:color w:val="auto"/>
          <w:sz w:val="32"/>
          <w:szCs w:val="32"/>
        </w:rPr>
        <w:t>树牢大抓基层的鲜明导向，省信访联席会议</w:t>
      </w:r>
      <w:r>
        <w:rPr>
          <w:rFonts w:hint="eastAsia" w:ascii="仿宋_GB2312" w:hAnsi="仿宋_GB2312" w:eastAsia="仿宋_GB2312" w:cs="仿宋_GB2312"/>
          <w:color w:val="auto"/>
          <w:sz w:val="32"/>
          <w:szCs w:val="32"/>
          <w:lang w:eastAsia="zh-CN"/>
        </w:rPr>
        <w:t>多次</w:t>
      </w:r>
      <w:r>
        <w:rPr>
          <w:rFonts w:hint="eastAsia" w:ascii="仿宋_GB2312" w:hAnsi="仿宋_GB2312" w:eastAsia="仿宋_GB2312" w:cs="仿宋_GB2312"/>
          <w:color w:val="auto"/>
          <w:sz w:val="32"/>
          <w:szCs w:val="32"/>
        </w:rPr>
        <w:t>组织召开信访问题源头治理部署和攻坚会议，高标准推进信访工作示范县市区创建，</w:t>
      </w:r>
      <w:r>
        <w:rPr>
          <w:rFonts w:hint="eastAsia" w:ascii="仿宋_GB2312" w:hAnsi="仿宋_GB2312" w:eastAsia="仿宋_GB2312" w:cs="仿宋_GB2312"/>
          <w:color w:val="auto"/>
          <w:sz w:val="32"/>
          <w:szCs w:val="32"/>
          <w:lang w:val="en-US" w:eastAsia="zh-CN"/>
        </w:rPr>
        <w:t>7个县市区成功创建为</w:t>
      </w:r>
      <w:r>
        <w:rPr>
          <w:rFonts w:hint="eastAsia" w:ascii="仿宋_GB2312" w:hAnsi="仿宋_GB2312" w:eastAsia="仿宋_GB2312" w:cs="仿宋_GB2312"/>
          <w:color w:val="auto"/>
          <w:sz w:val="32"/>
          <w:szCs w:val="32"/>
        </w:rPr>
        <w:t>全国</w:t>
      </w:r>
      <w:r>
        <w:rPr>
          <w:rFonts w:hint="eastAsia" w:ascii="仿宋_GB2312" w:hAnsi="仿宋_GB2312" w:eastAsia="仿宋_GB2312" w:cs="仿宋_GB2312"/>
          <w:color w:val="auto"/>
          <w:sz w:val="32"/>
          <w:szCs w:val="32"/>
          <w:lang w:eastAsia="zh-CN"/>
        </w:rPr>
        <w:t>信访工作</w:t>
      </w:r>
      <w:r>
        <w:rPr>
          <w:rFonts w:hint="eastAsia" w:ascii="仿宋_GB2312" w:hAnsi="仿宋_GB2312" w:eastAsia="仿宋_GB2312" w:cs="仿宋_GB2312"/>
          <w:color w:val="auto"/>
          <w:sz w:val="32"/>
          <w:szCs w:val="32"/>
        </w:rPr>
        <w:t>示范县市区，40个</w:t>
      </w:r>
      <w:r>
        <w:rPr>
          <w:rFonts w:hint="eastAsia" w:ascii="仿宋_GB2312" w:hAnsi="仿宋_GB2312" w:eastAsia="仿宋_GB2312" w:cs="仿宋_GB2312"/>
          <w:color w:val="auto"/>
          <w:sz w:val="32"/>
          <w:szCs w:val="32"/>
          <w:lang w:eastAsia="zh-CN"/>
        </w:rPr>
        <w:t>县市区成功创建为省级信访工作示范县市区</w:t>
      </w:r>
      <w:r>
        <w:rPr>
          <w:rFonts w:hint="eastAsia" w:ascii="仿宋_GB2312" w:hAnsi="仿宋_GB2312" w:eastAsia="仿宋_GB2312" w:cs="仿宋_GB2312"/>
          <w:color w:val="auto"/>
          <w:sz w:val="32"/>
          <w:szCs w:val="32"/>
        </w:rPr>
        <w:t>。坚持常态化化解积案，纳入第一、二批主题教育要求一体推进落实，建立定期排查、集中交办、滚动化解工作机制，中央交办我省的三批积案化解进度、质量稳居全国前列。着力攻坚信访类案，发挥省信访联席会议专项小组作用，推动住建、市场监管、金融、劳动人社等部门主动开展本行业领域信访突出问题系统治理；举一反三梳理214件因重大工程项目致使农田山林及基础设施损毁的信访突出事项、111件征地拆迁过程中房屋安置不到位的信访突出事项并跟踪督办</w:t>
      </w:r>
      <w:r>
        <w:rPr>
          <w:rFonts w:hint="eastAsia" w:ascii="仿宋_GB2312" w:hAnsi="仿宋_GB2312" w:eastAsia="仿宋_GB2312" w:cs="仿宋_GB2312"/>
          <w:color w:val="auto"/>
          <w:sz w:val="32"/>
          <w:szCs w:val="32"/>
          <w:lang w:eastAsia="zh-CN"/>
        </w:rPr>
        <w:t>。就</w:t>
      </w:r>
      <w:r>
        <w:rPr>
          <w:rFonts w:hint="eastAsia" w:ascii="仿宋_GB2312" w:hAnsi="仿宋_GB2312" w:eastAsia="仿宋_GB2312" w:cs="仿宋_GB2312"/>
          <w:color w:val="auto"/>
          <w:sz w:val="32"/>
          <w:szCs w:val="32"/>
        </w:rPr>
        <w:t>农村宅基地信访问题</w:t>
      </w:r>
      <w:r>
        <w:rPr>
          <w:rFonts w:hint="eastAsia" w:ascii="仿宋_GB2312" w:hAnsi="仿宋_GB2312" w:eastAsia="仿宋_GB2312" w:cs="仿宋_GB2312"/>
          <w:color w:val="auto"/>
          <w:sz w:val="32"/>
          <w:szCs w:val="32"/>
          <w:lang w:eastAsia="zh-CN"/>
        </w:rPr>
        <w:t>开展调研，形成调研报告并提出工作建议，</w:t>
      </w:r>
      <w:r>
        <w:rPr>
          <w:rFonts w:hint="eastAsia" w:ascii="仿宋_GB2312" w:hAnsi="仿宋_GB2312" w:eastAsia="仿宋_GB2312" w:cs="仿宋_GB2312"/>
          <w:color w:val="auto"/>
          <w:sz w:val="32"/>
          <w:szCs w:val="32"/>
        </w:rPr>
        <w:t>省政府加强政策供给，出台了《关于进一步规范用地审批权限有关事项的通知》，</w:t>
      </w:r>
      <w:r>
        <w:rPr>
          <w:rFonts w:hint="eastAsia" w:ascii="仿宋_GB2312" w:hAnsi="仿宋_GB2312" w:eastAsia="仿宋_GB2312" w:cs="仿宋_GB2312"/>
          <w:color w:val="auto"/>
          <w:sz w:val="32"/>
          <w:szCs w:val="32"/>
          <w:lang w:eastAsia="zh-CN"/>
        </w:rPr>
        <w:t>推动</w:t>
      </w:r>
      <w:r>
        <w:rPr>
          <w:rFonts w:hint="eastAsia" w:ascii="仿宋_GB2312" w:hAnsi="仿宋_GB2312" w:eastAsia="仿宋_GB2312" w:cs="仿宋_GB2312"/>
          <w:color w:val="auto"/>
          <w:sz w:val="32"/>
          <w:szCs w:val="32"/>
        </w:rPr>
        <w:t>形成了信访矛盾大化解的合力。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sz w:val="32"/>
          <w:szCs w:val="32"/>
          <w:lang w:eastAsia="zh-CN"/>
        </w:rPr>
        <w:t>（6）</w:t>
      </w:r>
      <w:r>
        <w:rPr>
          <w:rFonts w:hint="eastAsia" w:ascii="方正黑体_GBK" w:hAnsi="方正黑体_GBK" w:eastAsia="方正黑体_GBK" w:cs="方正黑体_GBK"/>
          <w:color w:val="auto"/>
          <w:sz w:val="32"/>
          <w:szCs w:val="32"/>
          <w:lang w:val="en"/>
        </w:rPr>
        <w:t>圆满完成重大活动重点时期信访安全保障任务。</w:t>
      </w:r>
      <w:r>
        <w:rPr>
          <w:rFonts w:hint="eastAsia" w:ascii="仿宋_GB2312" w:hAnsi="仿宋_GB2312" w:eastAsia="仿宋_GB2312" w:cs="仿宋_GB2312"/>
          <w:color w:val="auto"/>
          <w:sz w:val="32"/>
          <w:szCs w:val="32"/>
        </w:rPr>
        <w:t>我们始终把这项工作作为重要政治任务来落实，周密安排、精心组织，通过召开会议、细化方案、明确分工等，强化属地主体责任、部门主管责任，坚持信访部门和政法部门多调联动，形成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解决事、稳定人、防风险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的强大合力。在抓小、抓早、抓常上下功夫，落实2023年省《政府工作报告》要求，全域推进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网格化+信访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val="en"/>
        </w:rPr>
        <w:t>组织专班赴7个市州15个县市区21个乡镇街道开展防范化解信访领域风险隐患实地调研督导，组织开展4轮矛盾纠纷大排查大化解，</w:t>
      </w:r>
      <w:r>
        <w:rPr>
          <w:rFonts w:hint="eastAsia" w:ascii="仿宋_GB2312" w:hAnsi="仿宋_GB2312" w:eastAsia="仿宋_GB2312" w:cs="仿宋_GB2312"/>
          <w:color w:val="auto"/>
          <w:sz w:val="32"/>
          <w:szCs w:val="32"/>
        </w:rPr>
        <w:t>就云台山茶旅集团、盛大金禧投资受损群体等32件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三跨三分离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事项向相关省份发函预警、协同工作，督导落实19个重点群体、258名重点人员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五包一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w:t>
      </w:r>
      <w:r>
        <w:rPr>
          <w:rFonts w:hint="eastAsia" w:ascii="仿宋_GB2312" w:hAnsi="仿宋_GB2312" w:eastAsia="仿宋_GB2312" w:cs="仿宋_GB2312"/>
          <w:color w:val="auto"/>
          <w:sz w:val="32"/>
          <w:szCs w:val="32"/>
          <w:lang w:val="en"/>
        </w:rPr>
        <w:t>发出进京预警信息34742条。全省各地各部门强化底线思维，紧扣重点群体、重点人员、重点事项，加大信访风险预警和应急处置力度，圆满完成了全国全省两会、杭州亚运会、成都大运会等重要活动、重点时段信访安全保障任务，得到中央信访工作联席会议、国家信访局和省委省政府领导高度肯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（7）</w:t>
      </w:r>
      <w:r>
        <w:rPr>
          <w:rFonts w:hint="eastAsia" w:ascii="方正黑体_GBK" w:hAnsi="方正黑体_GBK" w:eastAsia="方正黑体_GBK" w:cs="方正黑体_GBK"/>
          <w:color w:val="auto"/>
          <w:sz w:val="32"/>
          <w:szCs w:val="32"/>
          <w:lang w:val="en"/>
        </w:rPr>
        <w:t>以钉钉子精神推动完成考核任务。</w:t>
      </w:r>
      <w:r>
        <w:rPr>
          <w:rFonts w:hint="eastAsia" w:ascii="仿宋_GB2312" w:hAnsi="仿宋_GB2312" w:eastAsia="仿宋_GB2312" w:cs="仿宋_GB2312"/>
          <w:b w:val="0"/>
          <w:bCs w:val="0"/>
          <w:color w:val="auto"/>
          <w:sz w:val="32"/>
          <w:szCs w:val="32"/>
        </w:rPr>
        <w:t>强化问题导向，加强精准定量对比分析</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针对我省到国家信访局登记的信访量增幅大幅高于全国</w:t>
      </w:r>
      <w:r>
        <w:rPr>
          <w:rFonts w:hint="eastAsia" w:ascii="仿宋_GB2312" w:hAnsi="仿宋_GB2312" w:eastAsia="仿宋_GB2312" w:cs="仿宋_GB2312"/>
          <w:b w:val="0"/>
          <w:bCs w:val="0"/>
          <w:color w:val="auto"/>
          <w:sz w:val="32"/>
          <w:szCs w:val="32"/>
          <w:lang w:eastAsia="zh-CN"/>
        </w:rPr>
        <w:t>平均水平</w:t>
      </w:r>
      <w:r>
        <w:rPr>
          <w:rFonts w:hint="eastAsia" w:ascii="仿宋_GB2312" w:hAnsi="仿宋_GB2312" w:eastAsia="仿宋_GB2312" w:cs="仿宋_GB2312"/>
          <w:b w:val="0"/>
          <w:bCs w:val="0"/>
          <w:color w:val="auto"/>
          <w:sz w:val="32"/>
          <w:szCs w:val="32"/>
        </w:rPr>
        <w:t>情况，</w:t>
      </w:r>
      <w:r>
        <w:rPr>
          <w:rFonts w:hint="eastAsia" w:ascii="仿宋_GB2312" w:hAnsi="仿宋_GB2312" w:eastAsia="仿宋_GB2312" w:cs="仿宋_GB2312"/>
          <w:b w:val="0"/>
          <w:bCs w:val="0"/>
          <w:color w:val="auto"/>
          <w:sz w:val="32"/>
          <w:szCs w:val="32"/>
          <w:lang w:val="en-US" w:eastAsia="zh-CN"/>
        </w:rPr>
        <w:t>9月下旬</w:t>
      </w:r>
      <w:r>
        <w:rPr>
          <w:rFonts w:hint="eastAsia" w:ascii="仿宋_GB2312" w:hAnsi="仿宋_GB2312" w:eastAsia="仿宋_GB2312" w:cs="仿宋_GB2312"/>
          <w:b w:val="0"/>
          <w:bCs w:val="0"/>
          <w:color w:val="auto"/>
          <w:sz w:val="32"/>
          <w:szCs w:val="32"/>
        </w:rPr>
        <w:t>主动请求国家信访局提供全国和各省区市到国家信访局信访情况，将我省的总量、结构、变化情况与全国、其他省区市进行对比分析，找出了共性问题和我省的个性问题，及时向</w:t>
      </w:r>
      <w:r>
        <w:rPr>
          <w:rFonts w:hint="eastAsia" w:ascii="仿宋_GB2312" w:hAnsi="仿宋_GB2312" w:eastAsia="仿宋_GB2312" w:cs="仿宋_GB2312"/>
          <w:b w:val="0"/>
          <w:bCs w:val="0"/>
          <w:color w:val="auto"/>
          <w:sz w:val="32"/>
          <w:szCs w:val="32"/>
          <w:lang w:eastAsia="zh-CN"/>
        </w:rPr>
        <w:t>省领导</w:t>
      </w:r>
      <w:r>
        <w:rPr>
          <w:rFonts w:hint="eastAsia" w:ascii="仿宋_GB2312" w:hAnsi="仿宋_GB2312" w:eastAsia="仿宋_GB2312" w:cs="仿宋_GB2312"/>
          <w:b w:val="0"/>
          <w:bCs w:val="0"/>
          <w:color w:val="auto"/>
          <w:sz w:val="32"/>
          <w:szCs w:val="32"/>
        </w:rPr>
        <w:t>交了分析报告，并提出了请求和</w:t>
      </w:r>
      <w:r>
        <w:rPr>
          <w:rFonts w:hint="eastAsia" w:ascii="仿宋_GB2312" w:hAnsi="仿宋_GB2312" w:eastAsia="仿宋_GB2312" w:cs="仿宋_GB2312"/>
          <w:b w:val="0"/>
          <w:bCs w:val="0"/>
          <w:color w:val="auto"/>
          <w:sz w:val="32"/>
          <w:szCs w:val="32"/>
          <w:lang w:eastAsia="zh-CN"/>
        </w:rPr>
        <w:t>建议，全省第四季度信访工作情况显著改善</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
        </w:rPr>
        <w:t>加强重点督查，</w:t>
      </w:r>
      <w:r>
        <w:rPr>
          <w:rFonts w:hint="eastAsia" w:ascii="仿宋_GB2312" w:hAnsi="仿宋_GB2312" w:eastAsia="仿宋_GB2312" w:cs="仿宋_GB2312"/>
          <w:b w:val="0"/>
          <w:bCs w:val="0"/>
          <w:color w:val="auto"/>
          <w:sz w:val="32"/>
          <w:szCs w:val="32"/>
        </w:rPr>
        <w:t>会同省信访工作联席会议成员单位分7个督查组赴14个市州和90个重点县市区现场开展5轮实地督查。配合中央信访工作联席会议督查组先后深入长沙、株洲、怀化、湘潭等地带案督查，压实属地责任，中央信访工作联席会议督导组高度肯定。</w:t>
      </w:r>
      <w:r>
        <w:rPr>
          <w:rFonts w:hint="eastAsia" w:ascii="仿宋_GB2312" w:hAnsi="仿宋_GB2312" w:eastAsia="仿宋_GB2312" w:cs="仿宋_GB2312"/>
          <w:b w:val="0"/>
          <w:bCs w:val="0"/>
          <w:color w:val="auto"/>
          <w:sz w:val="32"/>
          <w:szCs w:val="32"/>
          <w:lang w:val="en"/>
        </w:rPr>
        <w:t>加强监督问责，与巡视巡察机构建立工作联动机制，对突出问题实行巡视和信访</w:t>
      </w:r>
      <w:r>
        <w:rPr>
          <w:rFonts w:hint="eastAsia" w:ascii="仿宋_GB2312" w:hAnsi="仿宋_GB2312" w:eastAsia="仿宋_GB2312" w:cs="仿宋_GB2312"/>
          <w:b w:val="0"/>
          <w:bCs w:val="0"/>
          <w:color w:val="auto"/>
          <w:sz w:val="32"/>
          <w:szCs w:val="32"/>
          <w:lang w:val="en" w:eastAsia="zh-CN"/>
        </w:rPr>
        <w:t>“</w:t>
      </w:r>
      <w:r>
        <w:rPr>
          <w:rFonts w:hint="eastAsia" w:ascii="仿宋_GB2312" w:hAnsi="仿宋_GB2312" w:eastAsia="仿宋_GB2312" w:cs="仿宋_GB2312"/>
          <w:b w:val="0"/>
          <w:bCs w:val="0"/>
          <w:color w:val="auto"/>
          <w:sz w:val="32"/>
          <w:szCs w:val="32"/>
          <w:lang w:val="en"/>
        </w:rPr>
        <w:t>双向交办</w:t>
      </w:r>
      <w:r>
        <w:rPr>
          <w:rFonts w:hint="eastAsia" w:ascii="仿宋_GB2312" w:hAnsi="仿宋_GB2312" w:eastAsia="仿宋_GB2312" w:cs="仿宋_GB2312"/>
          <w:b w:val="0"/>
          <w:bCs w:val="0"/>
          <w:color w:val="auto"/>
          <w:sz w:val="32"/>
          <w:szCs w:val="32"/>
          <w:lang w:val="en" w:eastAsia="zh-CN"/>
        </w:rPr>
        <w:t>”</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
        </w:rPr>
        <w:t>三位召集人分</w:t>
      </w:r>
      <w:r>
        <w:rPr>
          <w:rFonts w:hint="eastAsia" w:ascii="仿宋_GB2312" w:hAnsi="仿宋_GB2312" w:eastAsia="仿宋_GB2312" w:cs="仿宋_GB2312"/>
          <w:color w:val="auto"/>
          <w:sz w:val="32"/>
          <w:szCs w:val="32"/>
          <w:lang w:val="en"/>
        </w:rPr>
        <w:t>片区、包领域推动化解信访突出问题，先后</w:t>
      </w:r>
      <w:r>
        <w:rPr>
          <w:rFonts w:hint="eastAsia" w:ascii="仿宋_GB2312" w:hAnsi="仿宋_GB2312" w:eastAsia="仿宋_GB2312" w:cs="仿宋_GB2312"/>
          <w:color w:val="auto"/>
          <w:sz w:val="32"/>
          <w:szCs w:val="32"/>
        </w:rPr>
        <w:t>调度7个市州信访联席会议第一召集人、23个重点县市区的党（工）委主要负责人、12个县市区信访联席会议第一召集人及信访矛盾问题突出的省直单位在全省会议上表态发言，发出改进工作建议函、提醒函、督办函147件次，</w:t>
      </w:r>
      <w:r>
        <w:rPr>
          <w:rFonts w:hint="eastAsia" w:ascii="仿宋_GB2312" w:hAnsi="仿宋_GB2312" w:eastAsia="仿宋_GB2312" w:cs="仿宋_GB2312"/>
          <w:color w:val="auto"/>
          <w:sz w:val="32"/>
          <w:szCs w:val="32"/>
          <w:lang w:val="en"/>
        </w:rPr>
        <w:t>提出追责建议</w:t>
      </w:r>
      <w:r>
        <w:rPr>
          <w:rFonts w:hint="eastAsia" w:ascii="仿宋_GB2312" w:hAnsi="仿宋_GB2312" w:eastAsia="仿宋_GB2312" w:cs="仿宋_GB2312"/>
          <w:color w:val="auto"/>
          <w:sz w:val="32"/>
          <w:szCs w:val="32"/>
        </w:rPr>
        <w:t>20件次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印发月通报12期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w:t>
      </w:r>
      <w:r>
        <w:rPr>
          <w:rFonts w:hint="eastAsia" w:ascii="仿宋_GB2312" w:hAnsi="仿宋_GB2312" w:eastAsia="仿宋_GB2312" w:cs="仿宋_GB2312"/>
          <w:color w:val="auto"/>
          <w:sz w:val="32"/>
          <w:szCs w:val="32"/>
          <w:lang w:eastAsia="zh-CN"/>
        </w:rPr>
        <w:t>各项</w:t>
      </w:r>
      <w:r>
        <w:rPr>
          <w:rFonts w:hint="eastAsia" w:ascii="仿宋_GB2312" w:hAnsi="仿宋_GB2312" w:eastAsia="仿宋_GB2312" w:cs="仿宋_GB2312"/>
          <w:color w:val="auto"/>
          <w:sz w:val="32"/>
          <w:szCs w:val="32"/>
        </w:rPr>
        <w:t>考核指标较2022年均有明显改善进步。</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b w:val="0"/>
          <w:sz w:val="32"/>
          <w:szCs w:val="32"/>
          <w:lang w:val="en-US" w:eastAsia="zh-CN"/>
        </w:rPr>
      </w:pPr>
      <w:r>
        <w:rPr>
          <w:rFonts w:hint="default" w:ascii="仿宋_GB2312" w:hAnsi="仿宋_GB2312" w:eastAsia="仿宋_GB2312" w:cs="仿宋_GB2312"/>
          <w:b w:val="0"/>
          <w:sz w:val="32"/>
          <w:szCs w:val="32"/>
          <w:lang w:eastAsia="zh-CN"/>
        </w:rPr>
        <w:t>1.</w:t>
      </w:r>
      <w:r>
        <w:rPr>
          <w:rFonts w:hint="eastAsia" w:ascii="仿宋_GB2312" w:hAnsi="仿宋_GB2312" w:eastAsia="仿宋_GB2312" w:cs="仿宋_GB2312"/>
          <w:b w:val="0"/>
          <w:sz w:val="32"/>
          <w:szCs w:val="32"/>
          <w:lang w:eastAsia="zh-CN"/>
        </w:rPr>
        <w:t>预算执行率还有待提高。由于省驻京维稳劝返办机构调整成省驻京信访工作办，人员有所减少，工作经费支出相对减少，造成我局预算执行率不高。</w:t>
      </w:r>
      <w:r>
        <w:rPr>
          <w:rFonts w:hint="eastAsia" w:ascii="仿宋_GB2312" w:hAnsi="仿宋_GB2312" w:eastAsia="仿宋_GB2312" w:cs="仿宋_GB2312"/>
          <w:b w:val="0"/>
          <w:sz w:val="32"/>
          <w:szCs w:val="32"/>
          <w:lang w:val="en-US" w:eastAsia="zh-CN"/>
        </w:rPr>
        <w:t>2023年省驻京信访办工作经费结余501.3万元，预算执行率仅为65.85%，导致我局部门执行率不高。</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sz w:val="32"/>
          <w:szCs w:val="32"/>
        </w:rPr>
      </w:pPr>
      <w:r>
        <w:rPr>
          <w:rFonts w:hint="default" w:ascii="仿宋_GB2312" w:hAnsi="仿宋_GB2312" w:eastAsia="仿宋_GB2312" w:cs="仿宋_GB2312"/>
          <w:b w:val="0"/>
          <w:sz w:val="32"/>
          <w:szCs w:val="32"/>
          <w:lang w:eastAsia="zh-CN"/>
        </w:rPr>
        <w:t>2.</w:t>
      </w:r>
      <w:r>
        <w:rPr>
          <w:rFonts w:hint="eastAsia" w:ascii="仿宋_GB2312" w:hAnsi="仿宋_GB2312" w:eastAsia="仿宋_GB2312" w:cs="仿宋_GB2312"/>
          <w:b w:val="0"/>
          <w:sz w:val="32"/>
          <w:szCs w:val="32"/>
          <w:lang w:eastAsia="zh-CN"/>
        </w:rPr>
        <w:t>提高</w:t>
      </w:r>
      <w:r>
        <w:rPr>
          <w:rFonts w:hint="eastAsia" w:ascii="仿宋_GB2312" w:hAnsi="仿宋_GB2312" w:eastAsia="仿宋_GB2312" w:cs="仿宋_GB2312"/>
          <w:b w:val="0"/>
          <w:sz w:val="32"/>
          <w:szCs w:val="32"/>
        </w:rPr>
        <w:t>预算</w:t>
      </w:r>
      <w:r>
        <w:rPr>
          <w:rFonts w:hint="eastAsia" w:ascii="仿宋_GB2312" w:hAnsi="仿宋_GB2312" w:eastAsia="仿宋_GB2312" w:cs="仿宋_GB2312"/>
          <w:b w:val="0"/>
          <w:sz w:val="32"/>
          <w:szCs w:val="32"/>
          <w:lang w:eastAsia="zh-CN"/>
        </w:rPr>
        <w:t>编制的</w:t>
      </w:r>
      <w:r>
        <w:rPr>
          <w:rFonts w:hint="eastAsia" w:ascii="仿宋_GB2312" w:hAnsi="仿宋_GB2312" w:eastAsia="仿宋_GB2312" w:cs="仿宋_GB2312"/>
          <w:b w:val="0"/>
          <w:sz w:val="32"/>
          <w:szCs w:val="32"/>
        </w:rPr>
        <w:t>精细化水平</w:t>
      </w:r>
      <w:r>
        <w:rPr>
          <w:rFonts w:hint="eastAsia" w:ascii="仿宋_GB2312" w:hAnsi="仿宋_GB2312" w:eastAsia="仿宋_GB2312" w:cs="仿宋_GB2312"/>
          <w:b w:val="0"/>
          <w:sz w:val="32"/>
          <w:szCs w:val="32"/>
          <w:lang w:eastAsia="zh-CN"/>
        </w:rPr>
        <w:t>。要</w:t>
      </w:r>
      <w:r>
        <w:rPr>
          <w:rFonts w:hint="eastAsia" w:ascii="仿宋_GB2312" w:hAnsi="仿宋_GB2312" w:eastAsia="仿宋_GB2312" w:cs="仿宋_GB2312"/>
          <w:b w:val="0"/>
          <w:sz w:val="32"/>
          <w:szCs w:val="32"/>
        </w:rPr>
        <w:t>提高</w:t>
      </w:r>
      <w:r>
        <w:rPr>
          <w:rFonts w:hint="eastAsia" w:ascii="仿宋_GB2312" w:hAnsi="仿宋_GB2312" w:eastAsia="仿宋_GB2312" w:cs="仿宋_GB2312"/>
          <w:b w:val="0"/>
          <w:sz w:val="32"/>
          <w:szCs w:val="32"/>
          <w:lang w:eastAsia="zh-CN"/>
        </w:rPr>
        <w:t>公用经费的</w:t>
      </w:r>
      <w:r>
        <w:rPr>
          <w:rFonts w:hint="eastAsia" w:ascii="仿宋_GB2312" w:hAnsi="仿宋_GB2312" w:eastAsia="仿宋_GB2312" w:cs="仿宋_GB2312"/>
          <w:b w:val="0"/>
          <w:sz w:val="32"/>
          <w:szCs w:val="32"/>
        </w:rPr>
        <w:t>预算编制科学化、精细化程度。</w:t>
      </w:r>
      <w:r>
        <w:rPr>
          <w:rFonts w:hint="eastAsia" w:ascii="仿宋_GB2312" w:hAnsi="仿宋_GB2312" w:eastAsia="仿宋_GB2312" w:cs="仿宋_GB2312"/>
          <w:b w:val="0"/>
          <w:sz w:val="32"/>
          <w:szCs w:val="32"/>
          <w:lang w:eastAsia="zh-CN"/>
        </w:rPr>
        <w:t>特别是要加强对会议费、培训费的编制，严格按标准、按要求编制</w:t>
      </w:r>
      <w:r>
        <w:rPr>
          <w:rFonts w:hint="eastAsia" w:ascii="仿宋_GB2312" w:hAnsi="仿宋_GB2312" w:eastAsia="仿宋_GB2312" w:cs="仿宋_GB2312"/>
          <w:b w:val="0"/>
          <w:sz w:val="32"/>
          <w:szCs w:val="32"/>
        </w:rPr>
        <w:t>。</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lang w:val="en-US" w:eastAsia="zh-CN"/>
        </w:rPr>
        <w:t>过“紧日子”要求，我局全年经费预算缺口较多，</w:t>
      </w:r>
      <w:r>
        <w:rPr>
          <w:rFonts w:hint="eastAsia" w:ascii="仿宋_GB2312" w:hAnsi="仿宋_GB2312" w:eastAsia="仿宋_GB2312" w:cs="仿宋_GB2312"/>
          <w:sz w:val="32"/>
          <w:szCs w:val="32"/>
        </w:rPr>
        <w:t>追加预算多，占全年总收入的</w:t>
      </w:r>
      <w:r>
        <w:rPr>
          <w:rFonts w:hint="eastAsia" w:ascii="仿宋_GB2312" w:hAnsi="仿宋_GB2312" w:eastAsia="仿宋_GB2312" w:cs="仿宋_GB2312"/>
          <w:sz w:val="32"/>
          <w:szCs w:val="32"/>
          <w:lang w:val="en-US" w:eastAsia="zh-CN"/>
        </w:rPr>
        <w:t>11.77</w:t>
      </w:r>
      <w:r>
        <w:rPr>
          <w:rFonts w:hint="eastAsia" w:ascii="仿宋_GB2312" w:hAnsi="仿宋_GB2312" w:eastAsia="仿宋_GB2312" w:cs="仿宋_GB2312"/>
          <w:sz w:val="32"/>
          <w:szCs w:val="32"/>
        </w:rPr>
        <w:t>%，收入预、决算差异较大。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rPr>
          <w:sz w:val="72"/>
          <w:szCs w:val="72"/>
        </w:rPr>
      </w:pP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第四部分</w:t>
      </w:r>
    </w:p>
    <w:p>
      <w:pPr>
        <w:jc w:val="center"/>
        <w:rPr>
          <w:rFonts w:hint="eastAsia" w:ascii="方正小标宋简体" w:hAnsi="方正小标宋简体" w:eastAsia="方正小标宋简体" w:cs="方正小标宋简体"/>
          <w:color w:val="000000"/>
          <w:kern w:val="0"/>
          <w:sz w:val="70"/>
          <w:szCs w:val="70"/>
        </w:rPr>
      </w:pPr>
    </w:p>
    <w:p>
      <w:pPr>
        <w:jc w:val="center"/>
        <w:rPr>
          <w:rFonts w:hint="eastAsia" w:ascii="方正小标宋简体" w:hAnsi="方正小标宋简体" w:eastAsia="方正小标宋简体" w:cs="方正小标宋简体"/>
          <w:color w:val="000000"/>
          <w:kern w:val="0"/>
          <w:sz w:val="70"/>
          <w:szCs w:val="70"/>
        </w:rPr>
      </w:pPr>
      <w:r>
        <w:rPr>
          <w:rFonts w:hint="eastAsia" w:ascii="方正小标宋简体" w:hAnsi="方正小标宋简体" w:eastAsia="方正小标宋简体" w:cs="方正小标宋简体"/>
          <w:color w:val="000000"/>
          <w:kern w:val="0"/>
          <w:sz w:val="70"/>
          <w:szCs w:val="70"/>
        </w:rPr>
        <w:t>名词解释</w:t>
      </w:r>
    </w:p>
    <w:p>
      <w:pPr>
        <w:widowControl/>
        <w:jc w:val="left"/>
        <w:rPr>
          <w:rFonts w:hint="eastAsia" w:ascii="方正小标宋简体" w:hAnsi="方正小标宋简体" w:eastAsia="方正小标宋简体" w:cs="方正小标宋简体"/>
          <w:color w:val="000000"/>
          <w:kern w:val="0"/>
          <w:sz w:val="32"/>
          <w:szCs w:val="32"/>
        </w:rPr>
      </w:pPr>
      <w:r>
        <w:rPr>
          <w:rFonts w:hint="eastAsia" w:ascii="方正小标宋简体" w:hAnsi="方正小标宋简体" w:eastAsia="方正小标宋简体" w:cs="方正小标宋简体"/>
          <w:color w:val="000000"/>
          <w:kern w:val="0"/>
          <w:sz w:val="70"/>
          <w:szCs w:val="70"/>
        </w:rPr>
        <w:br w:type="page"/>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二、年初结转和结余：指单位以前年度尚未完成、结转到本年按有关规定继续使用的资金。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一般公共服务（类）政府办公厅（室）及相关机构事务（款）行政运行（项）：反映行政单位（包括实行公务员管理事业单位）的基本支出。主要是省信访局机关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四、一般公共服务（类）政府办公厅（室）及相关机构事务（款）一般行政管理事务（项）：主要是省信访局机关用于完成相关工作任务发生的项目支出。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五、一般公共服务（类）政府办公厅（室）及相关机构事务（款）信访事务（项）：指省信访局机关为完成信访工作任务或事业发展目标，专项用于信访业务工作的项目支出。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六、教育（类）进修及培训（款）培训支出（项）：反映省信访局安排的用于培训的支出。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七、社会保障和就业（类）行政事业单位离退休（款）未归口管理的行政单位离退休（项）：反映实行未归口管理的行政单位（包括实行公务员管理的事业单位）开支的离退休经费。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八、社会保障和就业（类）行政事业单位离退休（款）机关事业单位基本养老保险缴费支出（项）：指机关事业单位实施养老保险制度由单位缴纳的基本养老保险费支出。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医疗卫生与计划生育支出（类）行政事业单位医疗（款）行政单位医疗（项）：反映财政部门集中安排的行政单位的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十、医疗卫生与计划生育支出（类）行政事业单位医疗（款）公务员医疗补助（项）：反映财政部门集中安排的公务员医疗补助经费。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十一、住房保障（类）住房改革支出（款）住房公积金（项）：反映行政事业单位按人力资源和社会保障部、财政部规定的基本工资和津贴补贴以及规定比例为职工缴纳的住房公积金。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十三、基本支出：指单位为保障其机构正常运转、完成日常工作任务而发生的人员支出和公用支出。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十四、项目支出：指单位为完成特定行政任务和事业发展目标在基本支出之外所发生的支出。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cs="黑体" w:asciiTheme="minorEastAsia" w:hAnsiTheme="minorEastAsia"/>
          <w:color w:val="000000"/>
          <w:kern w:val="0"/>
          <w:sz w:val="32"/>
          <w:szCs w:val="32"/>
        </w:rPr>
      </w:pPr>
      <w:r>
        <w:rPr>
          <w:rFonts w:hint="eastAsia" w:ascii="仿宋_GB2312" w:hAnsi="仿宋_GB2312" w:eastAsia="仿宋_GB2312" w:cs="仿宋_GB2312"/>
          <w:sz w:val="32"/>
          <w:szCs w:val="32"/>
          <w:lang w:val="en-US" w:eastAsia="zh-CN"/>
        </w:rPr>
        <w:t>十六、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pPr>
        <w:pStyle w:val="16"/>
        <w:jc w:val="center"/>
        <w:rPr>
          <w:sz w:val="72"/>
          <w:szCs w:val="72"/>
        </w:rPr>
      </w:pPr>
    </w:p>
    <w:p>
      <w:pPr>
        <w:pStyle w:val="16"/>
        <w:jc w:val="center"/>
        <w:rPr>
          <w:sz w:val="72"/>
          <w:szCs w:val="72"/>
        </w:rPr>
      </w:pPr>
    </w:p>
    <w:p>
      <w:pPr>
        <w:pStyle w:val="16"/>
        <w:jc w:val="center"/>
        <w:rPr>
          <w:sz w:val="72"/>
          <w:szCs w:val="72"/>
        </w:rPr>
      </w:pPr>
    </w:p>
    <w:p>
      <w:pPr>
        <w:pStyle w:val="16"/>
        <w:jc w:val="center"/>
        <w:rPr>
          <w:sz w:val="72"/>
          <w:szCs w:val="72"/>
        </w:rPr>
      </w:pPr>
    </w:p>
    <w:p>
      <w:pPr>
        <w:pStyle w:val="16"/>
        <w:jc w:val="center"/>
        <w:rPr>
          <w:sz w:val="72"/>
          <w:szCs w:val="72"/>
        </w:rPr>
      </w:pPr>
    </w:p>
    <w:p>
      <w:pPr>
        <w:pStyle w:val="16"/>
        <w:jc w:val="center"/>
        <w:rPr>
          <w:sz w:val="72"/>
          <w:szCs w:val="72"/>
        </w:rPr>
      </w:pPr>
    </w:p>
    <w:p>
      <w:pPr>
        <w:pStyle w:val="16"/>
        <w:jc w:val="center"/>
        <w:rPr>
          <w:sz w:val="72"/>
          <w:szCs w:val="72"/>
        </w:rPr>
      </w:pPr>
    </w:p>
    <w:p>
      <w:pPr>
        <w:pStyle w:val="16"/>
        <w:jc w:val="center"/>
        <w:rPr>
          <w:sz w:val="72"/>
          <w:szCs w:val="72"/>
        </w:rPr>
      </w:pPr>
    </w:p>
    <w:p>
      <w:pPr>
        <w:rPr>
          <w:sz w:val="72"/>
          <w:szCs w:val="72"/>
        </w:rPr>
      </w:pPr>
      <w:r>
        <w:rPr>
          <w:sz w:val="72"/>
          <w:szCs w:val="72"/>
        </w:rPr>
        <w:br w:type="page"/>
      </w:r>
    </w:p>
    <w:p>
      <w:pPr>
        <w:jc w:val="center"/>
        <w:rPr>
          <w:sz w:val="72"/>
          <w:szCs w:val="72"/>
        </w:rPr>
      </w:pP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w:t>
      </w:r>
      <w:r>
        <w:rPr>
          <w:rFonts w:hint="eastAsia" w:ascii="方正小标宋简体" w:hAnsi="方正小标宋简体" w:eastAsia="方正小标宋简体" w:cs="方正小标宋简体"/>
          <w:sz w:val="72"/>
          <w:szCs w:val="72"/>
          <w:lang w:eastAsia="zh-CN"/>
        </w:rPr>
        <w:t>五</w:t>
      </w:r>
      <w:r>
        <w:rPr>
          <w:rFonts w:hint="eastAsia" w:ascii="方正小标宋简体" w:hAnsi="方正小标宋简体" w:eastAsia="方正小标宋简体" w:cs="方正小标宋简体"/>
          <w:sz w:val="72"/>
          <w:szCs w:val="72"/>
        </w:rPr>
        <w:t>部分</w:t>
      </w:r>
    </w:p>
    <w:p>
      <w:pPr>
        <w:pStyle w:val="16"/>
        <w:jc w:val="center"/>
        <w:rPr>
          <w:rFonts w:hint="eastAsia" w:ascii="方正小标宋简体" w:hAnsi="方正小标宋简体" w:eastAsia="方正小标宋简体" w:cs="方正小标宋简体"/>
          <w:sz w:val="70"/>
          <w:szCs w:val="70"/>
        </w:rPr>
      </w:pPr>
    </w:p>
    <w:p>
      <w:pPr>
        <w:pStyle w:val="16"/>
        <w:jc w:val="center"/>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0"/>
          <w:szCs w:val="70"/>
          <w:lang w:eastAsia="zh-CN"/>
        </w:rPr>
        <w:t>附</w:t>
      </w:r>
      <w:r>
        <w:rPr>
          <w:rFonts w:hint="eastAsia" w:ascii="方正小标宋简体" w:hAnsi="方正小标宋简体" w:eastAsia="方正小标宋简体" w:cs="方正小标宋简体"/>
          <w:sz w:val="70"/>
          <w:szCs w:val="70"/>
          <w:lang w:val="en-US" w:eastAsia="zh-CN"/>
        </w:rPr>
        <w:t xml:space="preserve"> </w:t>
      </w:r>
      <w:r>
        <w:rPr>
          <w:rFonts w:hint="eastAsia" w:ascii="方正小标宋简体" w:hAnsi="方正小标宋简体" w:eastAsia="方正小标宋简体" w:cs="方正小标宋简体"/>
          <w:sz w:val="70"/>
          <w:szCs w:val="70"/>
          <w:lang w:eastAsia="zh-CN"/>
        </w:rPr>
        <w:t>件</w:t>
      </w:r>
    </w:p>
    <w:p>
      <w:pPr>
        <w:rPr>
          <w:sz w:val="72"/>
          <w:szCs w:val="72"/>
        </w:rPr>
      </w:pPr>
      <w:r>
        <w:rPr>
          <w:sz w:val="72"/>
          <w:szCs w:val="72"/>
        </w:rPr>
        <w:br w:type="page"/>
      </w:r>
    </w:p>
    <w:p>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sz w:val="32"/>
          <w:szCs w:val="32"/>
          <w:lang w:val="en-US" w:eastAsia="zh-CN"/>
        </w:rPr>
        <w:t>2023年度部门(单位)整体支出绩效自评报告。</w:t>
      </w:r>
    </w:p>
    <w:p>
      <w:pPr>
        <w:pStyle w:val="16"/>
        <w:ind w:firstLine="1280" w:firstLineChars="4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w:t>
      </w:r>
    </w:p>
    <w:p>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6"/>
        <w:jc w:val="center"/>
        <w:rPr>
          <w:sz w:val="72"/>
          <w:szCs w:val="72"/>
        </w:rPr>
      </w:pPr>
    </w:p>
    <w:p>
      <w:pPr>
        <w:pStyle w:val="16"/>
        <w:jc w:val="center"/>
        <w:rPr>
          <w:sz w:val="72"/>
          <w:szCs w:val="72"/>
        </w:rPr>
      </w:pPr>
    </w:p>
    <w:p>
      <w:pPr>
        <w:jc w:val="left"/>
        <w:rPr>
          <w:rFonts w:cs="黑体" w:asciiTheme="minorEastAsia" w:hAnsiTheme="minorEastAsia"/>
          <w:color w:val="000000"/>
          <w:kern w:val="0"/>
          <w:sz w:val="32"/>
          <w:szCs w:val="32"/>
        </w:rPr>
      </w:pPr>
    </w:p>
    <w:sectPr>
      <w:pgSz w:w="11906" w:h="16838"/>
      <w:pgMar w:top="1701" w:right="1474" w:bottom="1417" w:left="1587" w:header="851" w:footer="992"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1FFFE860"/>
    <w:rsid w:val="2DDEF3D9"/>
    <w:rsid w:val="2FDF85B8"/>
    <w:rsid w:val="2FFFEE04"/>
    <w:rsid w:val="34DF85B0"/>
    <w:rsid w:val="3B8F36BC"/>
    <w:rsid w:val="3EBBC08A"/>
    <w:rsid w:val="3FD16BD6"/>
    <w:rsid w:val="491FF225"/>
    <w:rsid w:val="4F4BE41D"/>
    <w:rsid w:val="4FFD214C"/>
    <w:rsid w:val="5777D4F5"/>
    <w:rsid w:val="59DD8326"/>
    <w:rsid w:val="5B3156ED"/>
    <w:rsid w:val="5DEF592A"/>
    <w:rsid w:val="5F978796"/>
    <w:rsid w:val="5F9BB4A8"/>
    <w:rsid w:val="5FAD1B42"/>
    <w:rsid w:val="5FC6BB1E"/>
    <w:rsid w:val="5FF720F1"/>
    <w:rsid w:val="67EF4D2A"/>
    <w:rsid w:val="67FF5C0B"/>
    <w:rsid w:val="69FBF522"/>
    <w:rsid w:val="6E372474"/>
    <w:rsid w:val="6EFC0924"/>
    <w:rsid w:val="6F6DD437"/>
    <w:rsid w:val="6F6F8777"/>
    <w:rsid w:val="6FB74722"/>
    <w:rsid w:val="6FDB7967"/>
    <w:rsid w:val="6FEF8B7E"/>
    <w:rsid w:val="71A6591B"/>
    <w:rsid w:val="737D59BA"/>
    <w:rsid w:val="77C37683"/>
    <w:rsid w:val="79FF515B"/>
    <w:rsid w:val="7D1946ED"/>
    <w:rsid w:val="7DF7A1DC"/>
    <w:rsid w:val="7E9E1962"/>
    <w:rsid w:val="7E9F11B4"/>
    <w:rsid w:val="7F37EC1E"/>
    <w:rsid w:val="7F7DCD9D"/>
    <w:rsid w:val="7F7F3931"/>
    <w:rsid w:val="7F970A6F"/>
    <w:rsid w:val="7FC1FFF3"/>
    <w:rsid w:val="7FC69637"/>
    <w:rsid w:val="7FDF8620"/>
    <w:rsid w:val="7FED4349"/>
    <w:rsid w:val="7FFB242F"/>
    <w:rsid w:val="7FFDB408"/>
    <w:rsid w:val="7FFE4EEB"/>
    <w:rsid w:val="7FFFF830"/>
    <w:rsid w:val="95FB2B98"/>
    <w:rsid w:val="9A639BC2"/>
    <w:rsid w:val="9FF7D786"/>
    <w:rsid w:val="ABBFB23D"/>
    <w:rsid w:val="B7EF3206"/>
    <w:rsid w:val="BF36A0E5"/>
    <w:rsid w:val="C3B4DA5A"/>
    <w:rsid w:val="C9FFBF92"/>
    <w:rsid w:val="CBFF70E0"/>
    <w:rsid w:val="CFF50B82"/>
    <w:rsid w:val="CFFFAD89"/>
    <w:rsid w:val="D6FFAF61"/>
    <w:rsid w:val="DAD009A0"/>
    <w:rsid w:val="DFF79F13"/>
    <w:rsid w:val="DFFE359E"/>
    <w:rsid w:val="DFFE4FFD"/>
    <w:rsid w:val="EDF736AE"/>
    <w:rsid w:val="EEABED75"/>
    <w:rsid w:val="EF7912B3"/>
    <w:rsid w:val="F56FDF51"/>
    <w:rsid w:val="F5BDF39D"/>
    <w:rsid w:val="F6B69F17"/>
    <w:rsid w:val="F6FB6DB7"/>
    <w:rsid w:val="F77F1D61"/>
    <w:rsid w:val="F7BEB93C"/>
    <w:rsid w:val="F7FED3A9"/>
    <w:rsid w:val="F7FFFBAA"/>
    <w:rsid w:val="F8C9DB26"/>
    <w:rsid w:val="F97E8EAE"/>
    <w:rsid w:val="FB36E1A6"/>
    <w:rsid w:val="FB3BE134"/>
    <w:rsid w:val="FBFF4DA0"/>
    <w:rsid w:val="FCF8C2FA"/>
    <w:rsid w:val="FCFF4275"/>
    <w:rsid w:val="FD7FEEEA"/>
    <w:rsid w:val="FDFFB577"/>
    <w:rsid w:val="FE7D1FC5"/>
    <w:rsid w:val="FEEA50FE"/>
    <w:rsid w:val="FF73AE85"/>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rFonts w:ascii="Calibri" w:hAnsi="Calibri" w:eastAsia="宋体" w:cs="Times New Roman"/>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13066</Words>
  <Characters>14854</Characters>
  <Lines>63</Lines>
  <Paragraphs>18</Paragraphs>
  <TotalTime>36</TotalTime>
  <ScaleCrop>false</ScaleCrop>
  <LinksUpToDate>false</LinksUpToDate>
  <CharactersWithSpaces>15725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kylin</cp:lastModifiedBy>
  <cp:lastPrinted>2024-08-23T17:18:00Z</cp:lastPrinted>
  <dcterms:modified xsi:type="dcterms:W3CDTF">2024-08-23T10:34:22Z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