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中共湖南省委组织部</w:t>
      </w:r>
      <w:r>
        <w:rPr>
          <w:rFonts w:ascii="Times New Roman" w:hAnsi="Times New Roman" w:eastAsia="方正小标宋简体" w:cs="Times New Roman"/>
          <w:sz w:val="72"/>
          <w:szCs w:val="72"/>
        </w:rPr>
        <w:t>部门</w:t>
      </w: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决</w:t>
      </w:r>
      <w:r>
        <w:rPr>
          <w:rFonts w:hint="eastAsia" w:ascii="Times New Roman" w:hAnsi="Times New Roman" w:eastAsia="方正小标宋简体" w:cs="Times New Roman"/>
          <w:sz w:val="72"/>
          <w:szCs w:val="72"/>
          <w:lang w:val="en-US" w:eastAsia="zh-CN"/>
        </w:rPr>
        <w:t xml:space="preserve">  </w:t>
      </w:r>
      <w:r>
        <w:rPr>
          <w:rFonts w:ascii="Times New Roman" w:hAnsi="Times New Roman" w:eastAsia="方正小标宋简体" w:cs="Times New Roman"/>
          <w:sz w:val="72"/>
          <w:szCs w:val="72"/>
        </w:rPr>
        <w:t>算</w:t>
      </w:r>
    </w:p>
    <w:p>
      <w:pPr>
        <w:pStyle w:val="16"/>
        <w:jc w:val="center"/>
        <w:rPr>
          <w:rFonts w:ascii="Times New Roman" w:hAnsi="Times New Roman" w:eastAsia="方正小标宋_GBK" w:cs="Times New Roman"/>
          <w:sz w:val="56"/>
          <w:szCs w:val="56"/>
        </w:rPr>
      </w:pPr>
    </w:p>
    <w:p>
      <w:pPr>
        <w:pStyle w:val="16"/>
        <w:jc w:val="center"/>
        <w:rPr>
          <w:rFonts w:ascii="Times New Roman" w:hAnsi="Times New Roman" w:cs="Times New Roman"/>
          <w:sz w:val="56"/>
          <w:szCs w:val="56"/>
        </w:rPr>
      </w:pPr>
    </w:p>
    <w:p>
      <w:pPr>
        <w:pStyle w:val="16"/>
        <w:rPr>
          <w:rFonts w:ascii="Times New Roman" w:hAnsi="Times New Roman" w:cs="Times New Roman"/>
          <w:sz w:val="56"/>
          <w:szCs w:val="56"/>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spacing w:line="540" w:lineRule="exact"/>
        <w:jc w:val="both"/>
        <w:rPr>
          <w:rFonts w:ascii="Times New Roman" w:hAnsi="Times New Roman" w:cs="Times New Roman"/>
          <w:sz w:val="56"/>
          <w:szCs w:val="56"/>
        </w:rPr>
      </w:pPr>
    </w:p>
    <w:p>
      <w:pPr>
        <w:pStyle w:val="16"/>
        <w:spacing w:line="600" w:lineRule="exact"/>
        <w:jc w:val="both"/>
        <w:rPr>
          <w:rFonts w:ascii="Times New Roman" w:hAnsi="Times New Roman" w:cs="Times New Roman"/>
          <w:b/>
          <w:sz w:val="36"/>
          <w:szCs w:val="28"/>
        </w:rPr>
        <w:sectPr>
          <w:headerReference r:id="rId4" w:type="default"/>
          <w:footerReference r:id="rId5" w:type="default"/>
          <w:pgSz w:w="11906" w:h="16838"/>
          <w:pgMar w:top="1417" w:right="1588" w:bottom="1417" w:left="1588" w:header="851" w:footer="992" w:gutter="0"/>
          <w:cols w:space="720" w:num="1"/>
          <w:docGrid w:type="lines" w:linePitch="312" w:charSpace="0"/>
        </w:sectPr>
      </w:pPr>
    </w:p>
    <w:p>
      <w:pPr>
        <w:pStyle w:val="16"/>
        <w:spacing w:line="600" w:lineRule="exact"/>
        <w:jc w:val="both"/>
        <w:rPr>
          <w:rFonts w:ascii="Times New Roman" w:hAnsi="Times New Roman" w:cs="Times New Roman"/>
          <w:b/>
          <w:sz w:val="36"/>
          <w:szCs w:val="28"/>
        </w:r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中共湖南省委组织部</w:t>
      </w:r>
      <w:r>
        <w:rPr>
          <w:rFonts w:ascii="Times New Roman" w:hAnsi="Times New Roman" w:cs="Times New Roman"/>
          <w:bCs/>
          <w:sz w:val="32"/>
          <w:szCs w:val="32"/>
        </w:rPr>
        <w:t>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6" w:type="default"/>
          <w:pgSz w:w="11906" w:h="16838"/>
          <w:pgMar w:top="1417" w:right="1588" w:bottom="1417" w:left="1588" w:header="851" w:footer="992" w:gutter="0"/>
          <w:pgNumType w:start="1"/>
          <w:cols w:space="720"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2"/>
        <w:rPr>
          <w:rFonts w:ascii="Times New Roman" w:hAnsi="Times New Roman" w:cs="Times New Roman"/>
        </w:rPr>
        <w:sectPr>
          <w:footerReference r:id="rId7" w:type="default"/>
          <w:pgSz w:w="11906" w:h="16838"/>
          <w:pgMar w:top="1417" w:right="1588" w:bottom="1417" w:left="1588" w:header="851" w:footer="992" w:gutter="0"/>
          <w:pgNumType w:start="1"/>
          <w:cols w:space="720" w:num="1"/>
          <w:docGrid w:type="lines" w:linePitch="312" w:charSpace="0"/>
        </w:sectPr>
      </w:pPr>
    </w:p>
    <w:p>
      <w:pPr>
        <w:rPr>
          <w:rFonts w:ascii="Times New Roman" w:hAnsi="Times New Roman" w:eastAsia="方正小标宋_GBK" w:cs="Times New Roman"/>
          <w:sz w:val="72"/>
          <w:szCs w:val="72"/>
        </w:rPr>
      </w:pPr>
    </w:p>
    <w:p>
      <w:pPr>
        <w:pStyle w:val="16"/>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第一部分</w:t>
      </w:r>
    </w:p>
    <w:p>
      <w:pPr>
        <w:pStyle w:val="16"/>
        <w:spacing w:line="360" w:lineRule="auto"/>
        <w:jc w:val="center"/>
        <w:rPr>
          <w:rFonts w:ascii="Times New Roman" w:hAnsi="Times New Roman" w:eastAsia="方正小标宋_GBK" w:cs="Times New Roman"/>
          <w:sz w:val="52"/>
          <w:szCs w:val="52"/>
        </w:rPr>
      </w:pPr>
      <w:r>
        <w:rPr>
          <w:rFonts w:hint="eastAsia" w:ascii="方正小标宋简体" w:hAnsi="方正小标宋简体" w:eastAsia="方正小标宋简体" w:cs="方正小标宋简体"/>
          <w:sz w:val="52"/>
          <w:szCs w:val="52"/>
          <w:lang w:eastAsia="zh-CN"/>
        </w:rPr>
        <w:t>中共湖南省委组织部</w:t>
      </w:r>
      <w:r>
        <w:rPr>
          <w:rFonts w:hint="eastAsia" w:ascii="方正小标宋简体" w:hAnsi="方正小标宋简体" w:eastAsia="方正小标宋简体" w:cs="方正小标宋简体"/>
          <w:sz w:val="52"/>
          <w:szCs w:val="52"/>
        </w:rPr>
        <w:t>概况</w:t>
      </w:r>
    </w:p>
    <w:p>
      <w:pPr>
        <w:pStyle w:val="7"/>
        <w:ind w:left="0" w:leftChars="0" w:firstLine="0" w:firstLineChars="0"/>
        <w:rPr>
          <w:rFonts w:ascii="Times New Roman" w:hAnsi="Times New Roman" w:cs="Times New Roman"/>
        </w:rPr>
      </w:pPr>
    </w:p>
    <w:p>
      <w:pPr>
        <w:pStyle w:val="17"/>
        <w:numPr>
          <w:ilvl w:val="0"/>
          <w:numId w:val="1"/>
        </w:numPr>
        <w:spacing w:line="600" w:lineRule="exact"/>
        <w:ind w:firstLineChars="0"/>
        <w:jc w:val="left"/>
        <w:rPr>
          <w:rFonts w:ascii="黑体" w:hAnsi="黑体" w:eastAsia="黑体" w:cs="黑体"/>
          <w:sz w:val="32"/>
          <w:szCs w:val="32"/>
        </w:rPr>
      </w:pPr>
      <w:r>
        <w:rPr>
          <w:rFonts w:hint="eastAsia" w:ascii="黑体" w:hAnsi="黑体" w:eastAsia="黑体" w:cs="黑体"/>
          <w:sz w:val="32"/>
          <w:szCs w:val="32"/>
        </w:rPr>
        <w:t>部门职责</w:t>
      </w:r>
    </w:p>
    <w:p>
      <w:pPr>
        <w:widowControl/>
        <w:spacing w:line="600" w:lineRule="exact"/>
        <w:ind w:firstLine="640" w:firstLineChars="200"/>
        <w:rPr>
          <w:rFonts w:eastAsia="仿宋_GB2312"/>
          <w:sz w:val="32"/>
          <w:szCs w:val="32"/>
        </w:rPr>
      </w:pPr>
      <w:r>
        <w:rPr>
          <w:rFonts w:hint="eastAsia" w:eastAsia="仿宋_GB2312"/>
          <w:sz w:val="32"/>
          <w:szCs w:val="32"/>
        </w:rPr>
        <w:t>省委组织部是省委主管组织工作、干部工作、公务员工作和人才工作的综合职能部门。</w:t>
      </w:r>
    </w:p>
    <w:p>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widowControl/>
        <w:spacing w:line="600" w:lineRule="exact"/>
        <w:ind w:firstLine="640" w:firstLineChars="200"/>
        <w:rPr>
          <w:rFonts w:eastAsia="仿宋_GB2312"/>
          <w:sz w:val="32"/>
          <w:szCs w:val="32"/>
        </w:rPr>
      </w:pPr>
      <w:r>
        <w:rPr>
          <w:rFonts w:hint="eastAsia" w:ascii="楷体_GB2312" w:hAnsi="Times New Roman" w:eastAsia="楷体_GB2312" w:cs="仿宋_GB2312"/>
          <w:bCs/>
          <w:kern w:val="0"/>
          <w:sz w:val="32"/>
          <w:szCs w:val="32"/>
        </w:rPr>
        <w:t>（一）内设机构设置。</w:t>
      </w:r>
      <w:r>
        <w:rPr>
          <w:rFonts w:hint="eastAsia" w:eastAsia="仿宋_GB2312"/>
          <w:sz w:val="32"/>
          <w:szCs w:val="32"/>
          <w:lang w:eastAsia="zh-CN"/>
        </w:rPr>
        <w:t>省委组织部</w:t>
      </w:r>
      <w:r>
        <w:rPr>
          <w:rFonts w:hint="eastAsia" w:eastAsia="仿宋_GB2312"/>
          <w:sz w:val="32"/>
          <w:szCs w:val="32"/>
        </w:rPr>
        <w:t>共有内设职能处室</w:t>
      </w:r>
      <w:r>
        <w:rPr>
          <w:rFonts w:ascii="Times New Roman" w:hAnsi="Times New Roman" w:eastAsia="仿宋_GB2312" w:cs="Times New Roman"/>
          <w:sz w:val="32"/>
          <w:szCs w:val="32"/>
        </w:rPr>
        <w:t>20</w:t>
      </w:r>
      <w:r>
        <w:rPr>
          <w:rFonts w:hint="eastAsia" w:eastAsia="仿宋_GB2312"/>
          <w:sz w:val="32"/>
          <w:szCs w:val="32"/>
        </w:rPr>
        <w:t>个，下设省人才发展中心、党员教育中心（省委远教办）、党建研究所等</w:t>
      </w:r>
      <w:r>
        <w:rPr>
          <w:rFonts w:ascii="Times New Roman" w:hAnsi="Times New Roman" w:eastAsia="仿宋_GB2312" w:cs="Times New Roman"/>
          <w:sz w:val="32"/>
          <w:szCs w:val="32"/>
        </w:rPr>
        <w:t>3</w:t>
      </w:r>
      <w:r>
        <w:rPr>
          <w:rFonts w:hint="eastAsia" w:eastAsia="仿宋_GB2312"/>
          <w:sz w:val="32"/>
          <w:szCs w:val="32"/>
        </w:rPr>
        <w:t>个公益一类事业单位。</w:t>
      </w:r>
    </w:p>
    <w:p>
      <w:pPr>
        <w:widowControl w:val="0"/>
        <w:wordWrap/>
        <w:adjustRightInd/>
        <w:snapToGrid/>
        <w:spacing w:before="0" w:after="0" w:line="600" w:lineRule="exact"/>
        <w:ind w:left="0" w:leftChars="0" w:right="0" w:firstLine="640" w:firstLineChars="200"/>
        <w:jc w:val="left"/>
        <w:textAlignment w:val="auto"/>
        <w:outlineLvl w:val="9"/>
        <w:rPr>
          <w:rFonts w:ascii="Times New Roman" w:hAnsi="Times New Roman" w:eastAsia="仿宋_GB2312" w:cs="Times New Roman"/>
          <w:sz w:val="32"/>
          <w:szCs w:val="32"/>
        </w:rPr>
      </w:pPr>
      <w:r>
        <w:rPr>
          <w:rFonts w:hint="eastAsia" w:ascii="楷体_GB2312" w:hAnsi="Times New Roman" w:eastAsia="楷体_GB2312" w:cs="仿宋_GB2312"/>
          <w:bCs/>
          <w:kern w:val="0"/>
          <w:sz w:val="32"/>
          <w:szCs w:val="32"/>
        </w:rPr>
        <w:t>（二）决算单位构成。</w:t>
      </w:r>
      <w:r>
        <w:rPr>
          <w:rFonts w:ascii="Times New Roman" w:hAnsi="Times New Roman" w:eastAsia="仿宋_GB2312" w:cs="Times New Roman"/>
          <w:bCs/>
          <w:kern w:val="0"/>
          <w:sz w:val="32"/>
          <w:szCs w:val="32"/>
        </w:rPr>
        <w:t>省委组织部202</w:t>
      </w:r>
      <w:r>
        <w:rPr>
          <w:rFonts w:hint="eastAsia" w:ascii="Times New Roman" w:hAnsi="Times New Roman" w:eastAsia="仿宋_GB2312" w:cs="Times New Roman"/>
          <w:bCs/>
          <w:kern w:val="0"/>
          <w:sz w:val="32"/>
          <w:szCs w:val="32"/>
          <w:lang w:val="en-US" w:eastAsia="zh-CN"/>
        </w:rPr>
        <w:t>4</w:t>
      </w:r>
      <w:r>
        <w:rPr>
          <w:rFonts w:ascii="Times New Roman" w:hAnsi="Times New Roman" w:eastAsia="仿宋_GB2312" w:cs="Times New Roman"/>
          <w:bCs/>
          <w:kern w:val="0"/>
          <w:sz w:val="32"/>
          <w:szCs w:val="32"/>
        </w:rPr>
        <w:t>年部门决算汇总公开单位构成包括：省委组织部本级。省委组织部为省直一级预算单位，无下属二级机构及其他。</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2"/>
        <w:rPr>
          <w:rFonts w:ascii="Times New Roman" w:hAnsi="Times New Roman" w:cs="Times New Roman"/>
        </w:rPr>
        <w:sectPr>
          <w:footerReference r:id="rId8" w:type="default"/>
          <w:pgSz w:w="11906" w:h="16838"/>
          <w:pgMar w:top="1417" w:right="1588" w:bottom="1417" w:left="1588" w:header="851" w:footer="992" w:gutter="0"/>
          <w:pgNumType w:start="1"/>
          <w:cols w:space="720" w:num="1"/>
          <w:docGrid w:type="lines" w:linePitch="312" w:charSpace="0"/>
        </w:sectPr>
      </w:pPr>
    </w:p>
    <w:p>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W w:w="14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763"/>
        <w:gridCol w:w="850"/>
        <w:gridCol w:w="1291"/>
        <w:gridCol w:w="4851"/>
        <w:gridCol w:w="850"/>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16164.90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12969.09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643.43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eastAsia="zh-CN"/>
              </w:rPr>
              <w:t>七、社会保障和就业支出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647.29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九、</w:t>
            </w:r>
            <w:r>
              <w:rPr>
                <w:rFonts w:hint="eastAsia" w:ascii="Times New Roman" w:hAnsi="Times New Roman" w:eastAsia="仿宋_GB2312" w:cs="Times New Roman"/>
                <w:color w:val="000000"/>
                <w:sz w:val="20"/>
                <w:szCs w:val="20"/>
                <w:lang w:val="en-US" w:eastAsia="zh-CN"/>
              </w:rPr>
              <w:t>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409.72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16164.90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15172.19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248.11</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16413.02</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16413.02</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W w:w="14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53"/>
        <w:gridCol w:w="833"/>
        <w:gridCol w:w="1300"/>
        <w:gridCol w:w="1640"/>
        <w:gridCol w:w="1640"/>
        <w:gridCol w:w="1640"/>
        <w:gridCol w:w="1640"/>
        <w:gridCol w:w="1640"/>
        <w:gridCol w:w="1897"/>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50" w:hRule="atLeast"/>
          <w:jc w:val="center"/>
        </w:trPr>
        <w:tc>
          <w:tcPr>
            <w:tcW w:w="318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exact"/>
          <w:jc w:val="center"/>
        </w:trPr>
        <w:tc>
          <w:tcPr>
            <w:tcW w:w="18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2" w:hRule="atLeast"/>
          <w:jc w:val="center"/>
        </w:trPr>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50" w:hRule="atLeast"/>
          <w:jc w:val="center"/>
        </w:trPr>
        <w:tc>
          <w:tcPr>
            <w:tcW w:w="318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50" w:hRule="atLeast"/>
          <w:jc w:val="center"/>
        </w:trPr>
        <w:tc>
          <w:tcPr>
            <w:tcW w:w="318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b w:val="0"/>
                <w:bCs/>
                <w:sz w:val="24"/>
                <w:szCs w:val="24"/>
              </w:rPr>
            </w:pPr>
            <w:r>
              <w:rPr>
                <w:rFonts w:hint="default" w:ascii="Times New Roman" w:hAnsi="Times New Roman" w:eastAsia="宋体" w:cs="Times New Roman"/>
                <w:b w:val="0"/>
                <w:bCs/>
                <w:i w:val="0"/>
                <w:color w:val="000000"/>
                <w:kern w:val="0"/>
                <w:sz w:val="22"/>
                <w:szCs w:val="22"/>
                <w:lang w:val="en-US" w:eastAsia="zh-CN" w:bidi="ar-SA"/>
              </w:rPr>
              <w:t>16164.90</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b w:val="0"/>
                <w:bCs/>
                <w:sz w:val="24"/>
                <w:szCs w:val="24"/>
              </w:rPr>
            </w:pPr>
            <w:r>
              <w:rPr>
                <w:rFonts w:hint="default" w:ascii="Times New Roman" w:hAnsi="Times New Roman" w:eastAsia="宋体" w:cs="Times New Roman"/>
                <w:b w:val="0"/>
                <w:bCs/>
                <w:i w:val="0"/>
                <w:color w:val="000000"/>
                <w:kern w:val="0"/>
                <w:sz w:val="22"/>
                <w:szCs w:val="22"/>
                <w:lang w:val="en-US" w:eastAsia="zh-CN" w:bidi="ar-SA"/>
              </w:rPr>
              <w:t>16164.90</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lang w:val="en-US" w:eastAsia="zh-CN" w:bidi="ar-SA"/>
              </w:rPr>
              <w:t>2013201</w:t>
            </w:r>
          </w:p>
        </w:tc>
        <w:tc>
          <w:tcPr>
            <w:tcW w:w="2133" w:type="dxa"/>
            <w:gridSpan w:val="2"/>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行政运行</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4598.48</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4598.48</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lang w:val="en-US" w:eastAsia="zh-CN" w:bidi="ar-SA"/>
              </w:rPr>
              <w:t>2013202</w:t>
            </w:r>
          </w:p>
        </w:tc>
        <w:tc>
          <w:tcPr>
            <w:tcW w:w="2133" w:type="dxa"/>
            <w:gridSpan w:val="2"/>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一般行政管理事务</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3015.48</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3015.48</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lang w:val="en-US" w:eastAsia="zh-CN" w:bidi="ar-SA"/>
              </w:rPr>
              <w:t>2013204</w:t>
            </w:r>
          </w:p>
        </w:tc>
        <w:tc>
          <w:tcPr>
            <w:tcW w:w="2133" w:type="dxa"/>
            <w:gridSpan w:val="2"/>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公务员事务</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256.30</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256.30</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lang w:val="en-US" w:eastAsia="zh-CN" w:bidi="ar-SA"/>
              </w:rPr>
              <w:t>2013299</w:t>
            </w:r>
          </w:p>
        </w:tc>
        <w:tc>
          <w:tcPr>
            <w:tcW w:w="2133" w:type="dxa"/>
            <w:gridSpan w:val="2"/>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其他组织事务支出</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5550.00</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5550.00</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lang w:val="en-US" w:eastAsia="zh-CN" w:bidi="ar-SA"/>
              </w:rPr>
              <w:t>2019999</w:t>
            </w:r>
          </w:p>
        </w:tc>
        <w:tc>
          <w:tcPr>
            <w:tcW w:w="2133" w:type="dxa"/>
            <w:gridSpan w:val="2"/>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其他一般公共服务支出</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230.60</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230.60</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lang w:val="en-US" w:eastAsia="zh-CN" w:bidi="ar-SA"/>
              </w:rPr>
              <w:t>2050803</w:t>
            </w:r>
          </w:p>
        </w:tc>
        <w:tc>
          <w:tcPr>
            <w:tcW w:w="213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培训支出</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951.40</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宋体" w:cs="Times New Roman"/>
                <w:i w:val="0"/>
                <w:color w:val="000000"/>
                <w:kern w:val="0"/>
                <w:sz w:val="22"/>
                <w:szCs w:val="22"/>
                <w:lang w:val="en-US" w:eastAsia="zh-CN" w:bidi="ar-SA"/>
              </w:rPr>
              <w:t>951.40</w:t>
            </w: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lang w:val="en-US" w:eastAsia="zh-CN" w:bidi="ar-SA"/>
              </w:rPr>
              <w:t>2080501</w:t>
            </w:r>
          </w:p>
        </w:tc>
        <w:tc>
          <w:tcPr>
            <w:tcW w:w="213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60.00</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60.00</w:t>
            </w: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lang w:val="en-US" w:eastAsia="zh-CN" w:bidi="ar-SA"/>
              </w:rPr>
              <w:t>2080505</w:t>
            </w:r>
          </w:p>
        </w:tc>
        <w:tc>
          <w:tcPr>
            <w:tcW w:w="213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435.22</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435.22</w:t>
            </w: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lang w:val="en-US" w:eastAsia="zh-CN" w:bidi="ar-SA"/>
              </w:rPr>
              <w:t>2080899</w:t>
            </w:r>
          </w:p>
        </w:tc>
        <w:tc>
          <w:tcPr>
            <w:tcW w:w="213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其他优抚支出</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7.71</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7.71</w:t>
            </w: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lang w:val="en-US" w:eastAsia="zh-CN" w:bidi="ar-SA"/>
              </w:rPr>
              <w:t>2101101</w:t>
            </w:r>
          </w:p>
        </w:tc>
        <w:tc>
          <w:tcPr>
            <w:tcW w:w="213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410.00</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410.00</w:t>
            </w: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lang w:val="en-US" w:eastAsia="zh-CN" w:bidi="ar-SA"/>
              </w:rPr>
              <w:t>2101103</w:t>
            </w:r>
          </w:p>
        </w:tc>
        <w:tc>
          <w:tcPr>
            <w:tcW w:w="213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公务员医疗补助</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240.00</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240.00</w:t>
            </w: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1" w:hRule="exact"/>
          <w:jc w:val="center"/>
        </w:trPr>
        <w:tc>
          <w:tcPr>
            <w:tcW w:w="10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lang w:val="en-US" w:eastAsia="zh-CN" w:bidi="ar-SA"/>
              </w:rPr>
              <w:t>2210201</w:t>
            </w:r>
          </w:p>
        </w:tc>
        <w:tc>
          <w:tcPr>
            <w:tcW w:w="213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lang w:val="en-US" w:eastAsia="zh-CN" w:bidi="ar-SA"/>
              </w:rPr>
              <w:t>住房公积金</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409.72</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textAlignment w:val="center"/>
              <w:rPr>
                <w:rFonts w:hint="default" w:ascii="Times New Roman" w:hAnsi="Times New Roman" w:eastAsia="仿宋_GB2312" w:cs="Times New Roman"/>
              </w:rPr>
            </w:pPr>
            <w:r>
              <w:rPr>
                <w:rFonts w:hint="default" w:ascii="Times New Roman" w:hAnsi="Times New Roman" w:eastAsia="宋体" w:cs="Times New Roman"/>
                <w:i w:val="0"/>
                <w:color w:val="000000"/>
                <w:kern w:val="0"/>
                <w:sz w:val="22"/>
                <w:szCs w:val="22"/>
                <w:lang w:val="en-US" w:eastAsia="zh-CN" w:bidi="ar-SA"/>
              </w:rPr>
              <w:t>409.72</w:t>
            </w: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W w:w="14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430"/>
        <w:gridCol w:w="996"/>
        <w:gridCol w:w="1337"/>
        <w:gridCol w:w="1877"/>
        <w:gridCol w:w="1334"/>
        <w:gridCol w:w="1333"/>
        <w:gridCol w:w="1876"/>
        <w:gridCol w:w="1333"/>
        <w:gridCol w:w="2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atLeast"/>
          <w:jc w:val="center"/>
        </w:trPr>
        <w:tc>
          <w:tcPr>
            <w:tcW w:w="37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2" w:hRule="exact"/>
          <w:jc w:val="center"/>
        </w:trPr>
        <w:tc>
          <w:tcPr>
            <w:tcW w:w="242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atLeast"/>
          <w:jc w:val="center"/>
        </w:trPr>
        <w:tc>
          <w:tcPr>
            <w:tcW w:w="24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atLeast"/>
          <w:jc w:val="center"/>
        </w:trPr>
        <w:tc>
          <w:tcPr>
            <w:tcW w:w="37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atLeast"/>
          <w:jc w:val="center"/>
        </w:trPr>
        <w:tc>
          <w:tcPr>
            <w:tcW w:w="37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b w:val="0"/>
                <w:bCs/>
                <w:kern w:val="0"/>
                <w:sz w:val="24"/>
                <w:szCs w:val="24"/>
              </w:rPr>
            </w:pPr>
            <w:r>
              <w:rPr>
                <w:rFonts w:hint="default" w:ascii="Times New Roman" w:hAnsi="Times New Roman" w:eastAsia="宋体" w:cs="Times New Roman"/>
                <w:b w:val="0"/>
                <w:bCs/>
                <w:i w:val="0"/>
                <w:color w:val="000000"/>
                <w:kern w:val="0"/>
                <w:sz w:val="22"/>
                <w:szCs w:val="22"/>
                <w:lang w:val="en-US" w:eastAsia="zh-CN" w:bidi="ar-SA"/>
              </w:rPr>
              <w:t>15172.19</w:t>
            </w:r>
          </w:p>
        </w:tc>
        <w:tc>
          <w:tcPr>
            <w:tcW w:w="13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b w:val="0"/>
                <w:bCs/>
                <w:kern w:val="0"/>
                <w:sz w:val="24"/>
                <w:szCs w:val="24"/>
              </w:rPr>
            </w:pPr>
            <w:r>
              <w:rPr>
                <w:rFonts w:hint="default" w:ascii="Times New Roman" w:hAnsi="Times New Roman" w:eastAsia="宋体" w:cs="Times New Roman"/>
                <w:b w:val="0"/>
                <w:bCs/>
                <w:i w:val="0"/>
                <w:color w:val="000000"/>
                <w:kern w:val="0"/>
                <w:sz w:val="22"/>
                <w:szCs w:val="22"/>
                <w:lang w:val="en-US" w:eastAsia="zh-CN" w:bidi="ar-SA"/>
              </w:rPr>
              <w:t>6085.04</w:t>
            </w:r>
          </w:p>
        </w:tc>
        <w:tc>
          <w:tcPr>
            <w:tcW w:w="13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b w:val="0"/>
                <w:bCs/>
                <w:kern w:val="0"/>
                <w:sz w:val="24"/>
                <w:szCs w:val="24"/>
              </w:rPr>
            </w:pPr>
            <w:r>
              <w:rPr>
                <w:rFonts w:hint="default" w:ascii="Times New Roman" w:hAnsi="Times New Roman" w:eastAsia="宋体" w:cs="Times New Roman"/>
                <w:b w:val="0"/>
                <w:bCs/>
                <w:i w:val="0"/>
                <w:color w:val="000000"/>
                <w:kern w:val="0"/>
                <w:sz w:val="22"/>
                <w:szCs w:val="22"/>
                <w:lang w:val="en-US" w:eastAsia="zh-CN" w:bidi="ar-SA"/>
              </w:rPr>
              <w:t>9087.1</w:t>
            </w:r>
            <w:r>
              <w:rPr>
                <w:rFonts w:hint="eastAsia" w:ascii="Times New Roman" w:hAnsi="Times New Roman" w:cs="Times New Roman"/>
                <w:b w:val="0"/>
                <w:bCs/>
                <w:i w:val="0"/>
                <w:color w:val="000000"/>
                <w:kern w:val="0"/>
                <w:sz w:val="22"/>
                <w:szCs w:val="22"/>
                <w:lang w:val="en-US" w:eastAsia="zh-CN" w:bidi="ar-SA"/>
              </w:rPr>
              <w:t>5</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2013201</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行政运行</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4530.08</w:t>
            </w:r>
          </w:p>
        </w:tc>
        <w:tc>
          <w:tcPr>
            <w:tcW w:w="13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4530.08</w:t>
            </w:r>
          </w:p>
        </w:tc>
        <w:tc>
          <w:tcPr>
            <w:tcW w:w="13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2013202</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一般行政管理事务</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2381.46</w:t>
            </w:r>
          </w:p>
        </w:tc>
        <w:tc>
          <w:tcPr>
            <w:tcW w:w="1334"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2381.46</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2013204</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公务员事务</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224.15</w:t>
            </w:r>
          </w:p>
        </w:tc>
        <w:tc>
          <w:tcPr>
            <w:tcW w:w="1334"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224.15</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2013299</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其他组织事务支出</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5544.00</w:t>
            </w:r>
          </w:p>
        </w:tc>
        <w:tc>
          <w:tcPr>
            <w:tcW w:w="1334"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5544.00</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2019999</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其他一般公共服务支出</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289.40</w:t>
            </w:r>
          </w:p>
        </w:tc>
        <w:tc>
          <w:tcPr>
            <w:tcW w:w="1334"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289.40</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2050803</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培训支出</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643.43</w:t>
            </w:r>
          </w:p>
        </w:tc>
        <w:tc>
          <w:tcPr>
            <w:tcW w:w="13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3.00</w:t>
            </w:r>
          </w:p>
        </w:tc>
        <w:tc>
          <w:tcPr>
            <w:tcW w:w="13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640.43</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2080501</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行政单位离退休</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59.73</w:t>
            </w:r>
          </w:p>
        </w:tc>
        <w:tc>
          <w:tcPr>
            <w:tcW w:w="13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59.73</w:t>
            </w:r>
          </w:p>
        </w:tc>
        <w:tc>
          <w:tcPr>
            <w:tcW w:w="13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2080505</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机关事业单位基本养老保险缴费支出</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435.22</w:t>
            </w:r>
          </w:p>
        </w:tc>
        <w:tc>
          <w:tcPr>
            <w:tcW w:w="13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435.22</w:t>
            </w:r>
          </w:p>
        </w:tc>
        <w:tc>
          <w:tcPr>
            <w:tcW w:w="13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2080899</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其他优抚支出</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7.71</w:t>
            </w:r>
          </w:p>
        </w:tc>
        <w:tc>
          <w:tcPr>
            <w:tcW w:w="1334"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7.71</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2101101</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行政单位医疗</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407.29</w:t>
            </w:r>
          </w:p>
        </w:tc>
        <w:tc>
          <w:tcPr>
            <w:tcW w:w="13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407.29</w:t>
            </w:r>
          </w:p>
        </w:tc>
        <w:tc>
          <w:tcPr>
            <w:tcW w:w="13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2101103</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公务员医疗补助</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240.00</w:t>
            </w:r>
          </w:p>
        </w:tc>
        <w:tc>
          <w:tcPr>
            <w:tcW w:w="13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240.00</w:t>
            </w:r>
          </w:p>
        </w:tc>
        <w:tc>
          <w:tcPr>
            <w:tcW w:w="13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2210201</w:t>
            </w:r>
          </w:p>
        </w:tc>
        <w:tc>
          <w:tcPr>
            <w:tcW w:w="2333" w:type="dxa"/>
            <w:gridSpan w:val="2"/>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lang w:val="en-US" w:eastAsia="zh-CN" w:bidi="ar-SA"/>
              </w:rPr>
              <w:t>住房公积金</w:t>
            </w:r>
          </w:p>
        </w:tc>
        <w:tc>
          <w:tcPr>
            <w:tcW w:w="187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409.72</w:t>
            </w:r>
          </w:p>
        </w:tc>
        <w:tc>
          <w:tcPr>
            <w:tcW w:w="13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宋体" w:cs="Times New Roman"/>
                <w:i w:val="0"/>
                <w:color w:val="000000"/>
                <w:kern w:val="0"/>
                <w:sz w:val="22"/>
                <w:szCs w:val="22"/>
                <w:lang w:val="en-US" w:eastAsia="zh-CN" w:bidi="ar-SA"/>
              </w:rPr>
              <w:t>409.72</w:t>
            </w:r>
          </w:p>
        </w:tc>
        <w:tc>
          <w:tcPr>
            <w:tcW w:w="13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9" w:hRule="exact"/>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33" w:type="dxa"/>
            <w:gridSpan w:val="2"/>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黑体" w:cs="Times New Roman"/>
          <w:color w:val="000000"/>
          <w:kern w:val="0"/>
          <w:sz w:val="32"/>
          <w:szCs w:val="32"/>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W w:w="14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248"/>
        <w:gridCol w:w="645"/>
        <w:gridCol w:w="1515"/>
        <w:gridCol w:w="2595"/>
        <w:gridCol w:w="795"/>
        <w:gridCol w:w="1470"/>
        <w:gridCol w:w="1290"/>
        <w:gridCol w:w="1455"/>
        <w:gridCol w:w="1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540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81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30" w:hRule="atLeast"/>
          <w:jc w:val="center"/>
        </w:trPr>
        <w:tc>
          <w:tcPr>
            <w:tcW w:w="324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4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4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2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0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4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0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51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16164.90</w:t>
            </w:r>
          </w:p>
        </w:tc>
        <w:tc>
          <w:tcPr>
            <w:tcW w:w="259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47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12969.09</w:t>
            </w:r>
          </w:p>
        </w:tc>
        <w:tc>
          <w:tcPr>
            <w:tcW w:w="129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12969.09</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4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259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47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29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4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259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47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29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259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47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29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259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47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643.43</w:t>
            </w:r>
          </w:p>
        </w:tc>
        <w:tc>
          <w:tcPr>
            <w:tcW w:w="129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643.43</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rPr>
            </w:pPr>
          </w:p>
        </w:tc>
        <w:tc>
          <w:tcPr>
            <w:tcW w:w="259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社会保障和就业支出</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47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502.66</w:t>
            </w:r>
          </w:p>
        </w:tc>
        <w:tc>
          <w:tcPr>
            <w:tcW w:w="129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502.66</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rPr>
            </w:pPr>
          </w:p>
        </w:tc>
        <w:tc>
          <w:tcPr>
            <w:tcW w:w="259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七、</w:t>
            </w:r>
            <w:r>
              <w:rPr>
                <w:rFonts w:hint="eastAsia" w:ascii="Times New Roman" w:hAnsi="Times New Roman" w:eastAsia="仿宋_GB2312" w:cs="Times New Roman"/>
                <w:kern w:val="0"/>
                <w:sz w:val="22"/>
              </w:rPr>
              <w:t>卫生健康支出</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47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647.29</w:t>
            </w:r>
          </w:p>
        </w:tc>
        <w:tc>
          <w:tcPr>
            <w:tcW w:w="129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647.29</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rPr>
            </w:pPr>
          </w:p>
        </w:tc>
        <w:tc>
          <w:tcPr>
            <w:tcW w:w="259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八、</w:t>
            </w:r>
            <w:r>
              <w:rPr>
                <w:rFonts w:hint="eastAsia" w:ascii="Times New Roman" w:hAnsi="Times New Roman" w:eastAsia="仿宋_GB2312" w:cs="Times New Roman"/>
                <w:kern w:val="0"/>
                <w:sz w:val="24"/>
                <w:szCs w:val="24"/>
              </w:rPr>
              <w:t>住房保障支出</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47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409.72</w:t>
            </w:r>
          </w:p>
        </w:tc>
        <w:tc>
          <w:tcPr>
            <w:tcW w:w="129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409.72</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51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16164.90</w:t>
            </w:r>
          </w:p>
        </w:tc>
        <w:tc>
          <w:tcPr>
            <w:tcW w:w="2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47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15172.19</w:t>
            </w:r>
          </w:p>
        </w:tc>
        <w:tc>
          <w:tcPr>
            <w:tcW w:w="129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15172.19</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51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248.11</w:t>
            </w:r>
          </w:p>
        </w:tc>
        <w:tc>
          <w:tcPr>
            <w:tcW w:w="2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47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1240.83</w:t>
            </w:r>
          </w:p>
        </w:tc>
        <w:tc>
          <w:tcPr>
            <w:tcW w:w="129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1240.83</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51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248.11</w:t>
            </w:r>
          </w:p>
        </w:tc>
        <w:tc>
          <w:tcPr>
            <w:tcW w:w="259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47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29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515"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2"/>
              </w:rPr>
            </w:pPr>
          </w:p>
        </w:tc>
        <w:tc>
          <w:tcPr>
            <w:tcW w:w="259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47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29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515"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 w:val="22"/>
              </w:rPr>
            </w:pPr>
          </w:p>
        </w:tc>
        <w:tc>
          <w:tcPr>
            <w:tcW w:w="259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47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29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rPr>
            </w:pP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24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4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51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16413.02</w:t>
            </w:r>
          </w:p>
        </w:tc>
        <w:tc>
          <w:tcPr>
            <w:tcW w:w="259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79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47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16413.02</w:t>
            </w:r>
          </w:p>
        </w:tc>
        <w:tc>
          <w:tcPr>
            <w:tcW w:w="1290"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宋体" w:cs="Times New Roman"/>
                <w:i w:val="0"/>
                <w:color w:val="000000"/>
                <w:kern w:val="0"/>
                <w:sz w:val="22"/>
                <w:szCs w:val="22"/>
                <w:lang w:val="en-US" w:eastAsia="zh-CN" w:bidi="ar-SA"/>
              </w:rPr>
              <w:t>16413.02</w:t>
            </w:r>
          </w:p>
        </w:tc>
        <w:tc>
          <w:tcPr>
            <w:tcW w:w="14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00"/>
        <w:gridCol w:w="4058"/>
        <w:gridCol w:w="2469"/>
        <w:gridCol w:w="3492"/>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45" w:hRule="atLeast"/>
          <w:jc w:val="center"/>
        </w:trPr>
        <w:tc>
          <w:tcPr>
            <w:tcW w:w="5258"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61"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058"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469"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05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6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05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6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5258"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46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525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b w:val="0"/>
                <w:bCs/>
                <w:kern w:val="0"/>
                <w:szCs w:val="21"/>
              </w:rPr>
            </w:pPr>
            <w:r>
              <w:rPr>
                <w:rFonts w:hint="default" w:ascii="Times New Roman" w:hAnsi="Times New Roman" w:eastAsia="宋体" w:cs="Times New Roman"/>
                <w:b w:val="0"/>
                <w:bCs/>
                <w:i w:val="0"/>
                <w:color w:val="000000"/>
                <w:kern w:val="0"/>
                <w:sz w:val="22"/>
                <w:szCs w:val="22"/>
                <w:lang w:val="en-US" w:eastAsia="zh-CN" w:bidi="ar-SA"/>
              </w:rPr>
              <w:t>15172.19</w:t>
            </w:r>
          </w:p>
        </w:tc>
        <w:tc>
          <w:tcPr>
            <w:tcW w:w="349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b w:val="0"/>
                <w:bCs/>
                <w:kern w:val="0"/>
                <w:szCs w:val="21"/>
              </w:rPr>
            </w:pPr>
            <w:r>
              <w:rPr>
                <w:rFonts w:hint="default" w:ascii="Times New Roman" w:hAnsi="Times New Roman" w:eastAsia="宋体" w:cs="Times New Roman"/>
                <w:b w:val="0"/>
                <w:bCs/>
                <w:i w:val="0"/>
                <w:color w:val="000000"/>
                <w:kern w:val="0"/>
                <w:sz w:val="22"/>
                <w:szCs w:val="22"/>
                <w:lang w:val="en-US" w:eastAsia="zh-CN" w:bidi="ar-SA"/>
              </w:rPr>
              <w:t>6085.04</w:t>
            </w:r>
          </w:p>
        </w:tc>
        <w:tc>
          <w:tcPr>
            <w:tcW w:w="3000" w:type="dxa"/>
            <w:tcBorders>
              <w:top w:val="nil"/>
              <w:left w:val="nil"/>
              <w:bottom w:val="single" w:color="auto" w:sz="4" w:space="0"/>
              <w:right w:val="single" w:color="auto" w:sz="8" w:space="0"/>
            </w:tcBorders>
            <w:shd w:val="clear" w:color="auto" w:fill="FFFFFF"/>
            <w:vAlign w:val="center"/>
          </w:tcPr>
          <w:p>
            <w:pPr>
              <w:widowControl/>
              <w:jc w:val="center"/>
              <w:textAlignment w:val="center"/>
              <w:rPr>
                <w:rFonts w:hint="default" w:ascii="Times New Roman" w:hAnsi="Times New Roman" w:eastAsia="仿宋_GB2312" w:cs="Times New Roman"/>
                <w:b w:val="0"/>
                <w:bCs/>
                <w:kern w:val="0"/>
                <w:szCs w:val="21"/>
              </w:rPr>
            </w:pPr>
            <w:r>
              <w:rPr>
                <w:rFonts w:hint="default" w:ascii="Times New Roman" w:hAnsi="Times New Roman" w:eastAsia="宋体" w:cs="Times New Roman"/>
                <w:b w:val="0"/>
                <w:bCs/>
                <w:i w:val="0"/>
                <w:color w:val="000000"/>
                <w:kern w:val="0"/>
                <w:sz w:val="22"/>
                <w:szCs w:val="22"/>
                <w:lang w:val="en-US" w:eastAsia="zh-CN" w:bidi="ar-SA"/>
              </w:rPr>
              <w:t>9087.1</w:t>
            </w:r>
            <w:r>
              <w:rPr>
                <w:rFonts w:hint="eastAsia" w:ascii="Times New Roman" w:hAnsi="Times New Roman" w:cs="Times New Roman"/>
                <w:b w:val="0"/>
                <w:bCs/>
                <w:i w:val="0"/>
                <w:color w:val="000000"/>
                <w:kern w:val="0"/>
                <w:sz w:val="22"/>
                <w:szCs w:val="22"/>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2013201</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行政运行</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4530.08</w:t>
            </w:r>
          </w:p>
        </w:tc>
        <w:tc>
          <w:tcPr>
            <w:tcW w:w="349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4530.08</w:t>
            </w:r>
          </w:p>
        </w:tc>
        <w:tc>
          <w:tcPr>
            <w:tcW w:w="3000" w:type="dxa"/>
            <w:tcBorders>
              <w:top w:val="nil"/>
              <w:left w:val="nil"/>
              <w:bottom w:val="single" w:color="auto" w:sz="4" w:space="0"/>
              <w:right w:val="single" w:color="auto" w:sz="8" w:space="0"/>
            </w:tcBorders>
            <w:shd w:val="clear" w:color="auto" w:fill="FFFFFF"/>
            <w:vAlign w:val="center"/>
          </w:tcPr>
          <w:p>
            <w:pPr>
              <w:jc w:val="center"/>
              <w:rPr>
                <w:rFonts w:hint="default"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2013202</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一般行政管理事务</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2381.46</w:t>
            </w:r>
          </w:p>
        </w:tc>
        <w:tc>
          <w:tcPr>
            <w:tcW w:w="3492"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2381.46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2013204</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公务员事务</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224.15</w:t>
            </w:r>
          </w:p>
        </w:tc>
        <w:tc>
          <w:tcPr>
            <w:tcW w:w="3492"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224.15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2013299</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其他组织事务支出</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5544.00</w:t>
            </w:r>
          </w:p>
        </w:tc>
        <w:tc>
          <w:tcPr>
            <w:tcW w:w="3492"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5544.00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2019999</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其他一般公共服务支出</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289.40</w:t>
            </w:r>
          </w:p>
        </w:tc>
        <w:tc>
          <w:tcPr>
            <w:tcW w:w="3492"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289.40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2050803</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培训支出</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643.43</w:t>
            </w:r>
          </w:p>
        </w:tc>
        <w:tc>
          <w:tcPr>
            <w:tcW w:w="349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3.00</w:t>
            </w:r>
          </w:p>
        </w:tc>
        <w:tc>
          <w:tcPr>
            <w:tcW w:w="3000" w:type="dxa"/>
            <w:tcBorders>
              <w:top w:val="nil"/>
              <w:left w:val="nil"/>
              <w:bottom w:val="single" w:color="auto" w:sz="4" w:space="0"/>
              <w:right w:val="single" w:color="auto" w:sz="8"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640.43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2080501</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行政单位离退休</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59.73</w:t>
            </w:r>
          </w:p>
        </w:tc>
        <w:tc>
          <w:tcPr>
            <w:tcW w:w="349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59.73</w:t>
            </w:r>
          </w:p>
        </w:tc>
        <w:tc>
          <w:tcPr>
            <w:tcW w:w="3000" w:type="dxa"/>
            <w:tcBorders>
              <w:top w:val="nil"/>
              <w:left w:val="nil"/>
              <w:bottom w:val="single" w:color="auto" w:sz="4" w:space="0"/>
              <w:right w:val="single" w:color="auto" w:sz="8" w:space="0"/>
            </w:tcBorders>
            <w:shd w:val="clear" w:color="auto" w:fill="FFFFFF"/>
            <w:vAlign w:val="center"/>
          </w:tcPr>
          <w:p>
            <w:pPr>
              <w:jc w:val="center"/>
              <w:rPr>
                <w:rFonts w:hint="default"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2080505</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机关事业单位基本养老保险缴费支出</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435.22</w:t>
            </w:r>
          </w:p>
        </w:tc>
        <w:tc>
          <w:tcPr>
            <w:tcW w:w="349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435.22</w:t>
            </w:r>
          </w:p>
        </w:tc>
        <w:tc>
          <w:tcPr>
            <w:tcW w:w="3000" w:type="dxa"/>
            <w:tcBorders>
              <w:top w:val="nil"/>
              <w:left w:val="nil"/>
              <w:bottom w:val="single" w:color="auto" w:sz="4" w:space="0"/>
              <w:right w:val="single" w:color="auto" w:sz="8" w:space="0"/>
            </w:tcBorders>
            <w:shd w:val="clear" w:color="auto" w:fill="FFFFFF"/>
            <w:vAlign w:val="center"/>
          </w:tcPr>
          <w:p>
            <w:pPr>
              <w:jc w:val="center"/>
              <w:rPr>
                <w:rFonts w:hint="default"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2080899</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其他优抚支出</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7.71</w:t>
            </w:r>
          </w:p>
        </w:tc>
        <w:tc>
          <w:tcPr>
            <w:tcW w:w="3492"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2101101</w:t>
            </w:r>
          </w:p>
        </w:tc>
        <w:tc>
          <w:tcPr>
            <w:tcW w:w="4058"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行政单位医疗</w:t>
            </w:r>
          </w:p>
        </w:tc>
        <w:tc>
          <w:tcPr>
            <w:tcW w:w="2469"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407.29</w:t>
            </w:r>
          </w:p>
        </w:tc>
        <w:tc>
          <w:tcPr>
            <w:tcW w:w="349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407.29</w:t>
            </w:r>
          </w:p>
        </w:tc>
        <w:tc>
          <w:tcPr>
            <w:tcW w:w="3000" w:type="dxa"/>
            <w:tcBorders>
              <w:top w:val="nil"/>
              <w:left w:val="nil"/>
              <w:bottom w:val="single" w:color="auto" w:sz="4" w:space="0"/>
              <w:right w:val="single" w:color="auto" w:sz="8" w:space="0"/>
            </w:tcBorders>
            <w:shd w:val="clear" w:color="auto" w:fill="FFFFFF"/>
            <w:vAlign w:val="center"/>
          </w:tcPr>
          <w:p>
            <w:pPr>
              <w:jc w:val="center"/>
              <w:rPr>
                <w:rFonts w:hint="default"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2101103</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公务员医疗补助</w:t>
            </w:r>
          </w:p>
        </w:tc>
        <w:tc>
          <w:tcPr>
            <w:tcW w:w="246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240.00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240.00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1"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2210201</w:t>
            </w:r>
          </w:p>
        </w:tc>
        <w:tc>
          <w:tcPr>
            <w:tcW w:w="40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lang w:val="en-US" w:eastAsia="zh-CN" w:bidi="ar-SA"/>
              </w:rPr>
              <w:t>住房公积金</w:t>
            </w:r>
          </w:p>
        </w:tc>
        <w:tc>
          <w:tcPr>
            <w:tcW w:w="246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409.72</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lang w:val="en-US" w:eastAsia="zh-CN" w:bidi="ar-SA"/>
              </w:rPr>
              <w:t>409.72</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W w:w="14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81"/>
        <w:gridCol w:w="2716"/>
        <w:gridCol w:w="1100"/>
        <w:gridCol w:w="1116"/>
        <w:gridCol w:w="2018"/>
        <w:gridCol w:w="933"/>
        <w:gridCol w:w="1217"/>
        <w:gridCol w:w="3517"/>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5161.90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637.88</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1114.32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70.00</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1015.00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10.00</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1427.71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159.93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435.22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26.18</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3.32</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310.00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38.09</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240.00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12.89</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409.72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7.17</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50.00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2.00</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285.26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17.00</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39.73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3.00</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20.00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2.89</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39.78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76.90</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97.29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115.00</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W w:w="39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W w:w="39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26.21</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219.58</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88.46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0" w:type="dxa"/>
            <w:tcBorders>
              <w:top w:val="nil"/>
              <w:left w:val="nil"/>
              <w:bottom w:val="single" w:color="auto" w:sz="4" w:space="0"/>
              <w:right w:val="single" w:color="auto" w:sz="4" w:space="0"/>
            </w:tcBorders>
            <w:shd w:val="clear" w:color="auto" w:fill="FFFFFF"/>
            <w:vAlign w:val="center"/>
          </w:tcPr>
          <w:p>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7.65</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exact"/>
          <w:jc w:val="center"/>
        </w:trPr>
        <w:tc>
          <w:tcPr>
            <w:tcW w:w="3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0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宋体" w:cs="Times New Roman"/>
                <w:i w:val="0"/>
                <w:color w:val="000000"/>
                <w:kern w:val="0"/>
                <w:sz w:val="22"/>
                <w:szCs w:val="22"/>
                <w:lang w:val="en-US" w:eastAsia="zh-CN" w:bidi="ar-SA"/>
              </w:rPr>
              <w:t>5447.16</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Times New Roman" w:hAnsi="Times New Roman" w:eastAsia="仿宋_GB2312" w:cs="Times New Roman"/>
                <w:color w:val="000000"/>
                <w:kern w:val="0"/>
                <w:szCs w:val="18"/>
              </w:rPr>
            </w:pPr>
            <w:r>
              <w:rPr>
                <w:rFonts w:hint="default" w:ascii="Times New Roman" w:hAnsi="Times New Roman" w:eastAsia="宋体" w:cs="Times New Roman"/>
                <w:i w:val="0"/>
                <w:color w:val="000000"/>
                <w:kern w:val="0"/>
                <w:sz w:val="22"/>
                <w:szCs w:val="22"/>
                <w:lang w:val="en-US" w:eastAsia="zh-CN" w:bidi="ar-SA"/>
              </w:rPr>
              <w:t>637.88</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W w:w="14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497"/>
        <w:gridCol w:w="1277"/>
        <w:gridCol w:w="1918"/>
        <w:gridCol w:w="1943"/>
        <w:gridCol w:w="1919"/>
        <w:gridCol w:w="1935"/>
        <w:gridCol w:w="1918"/>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1"/>
                <w:rFonts w:hint="default" w:ascii="Times New Roman" w:hAnsi="Times New Roman" w:eastAsia="仿宋_GB2312" w:cs="Times New Roman"/>
                <w:b/>
                <w:bCs/>
              </w:rPr>
              <w:t xml:space="preserve">   </w:t>
            </w:r>
            <w:r>
              <w:rPr>
                <w:rStyle w:val="22"/>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lang w:val="en-US"/>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lang w:val="en-US"/>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lang w:val="en-US"/>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lang w:val="en-US"/>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lang w:val="en-US"/>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lang w:val="en-US"/>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lang w:val="en-US"/>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lang w:val="en-US"/>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W w:w="14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095"/>
        <w:gridCol w:w="3097"/>
        <w:gridCol w:w="1832"/>
        <w:gridCol w:w="3097"/>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3"/>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12"/>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W w:w="145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35"/>
        <w:gridCol w:w="1229"/>
        <w:gridCol w:w="1086"/>
        <w:gridCol w:w="1188"/>
        <w:gridCol w:w="1425"/>
        <w:gridCol w:w="1373"/>
        <w:gridCol w:w="1050"/>
        <w:gridCol w:w="1166"/>
        <w:gridCol w:w="1166"/>
        <w:gridCol w:w="1166"/>
        <w:gridCol w:w="1358"/>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244.00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160.00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74.00</w:t>
            </w: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color w:val="000000"/>
                <w:kern w:val="0"/>
                <w:sz w:val="22"/>
                <w:szCs w:val="22"/>
                <w:lang w:val="en-US" w:eastAsia="zh-CN" w:bidi="ar-SA"/>
              </w:rPr>
              <w:t>20.00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color w:val="000000"/>
                <w:kern w:val="0"/>
                <w:sz w:val="22"/>
                <w:szCs w:val="22"/>
                <w:lang w:val="en-US" w:eastAsia="zh-CN" w:bidi="ar-SA"/>
              </w:rPr>
              <w:t>54.00</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color w:val="000000"/>
                <w:kern w:val="0"/>
                <w:sz w:val="22"/>
                <w:szCs w:val="22"/>
                <w:lang w:val="en-US" w:eastAsia="zh-CN" w:bidi="ar-SA"/>
              </w:rPr>
              <w:t>10.00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color w:val="000000"/>
                <w:kern w:val="0"/>
                <w:sz w:val="22"/>
                <w:szCs w:val="22"/>
                <w:lang w:val="en-US" w:eastAsia="zh-CN" w:bidi="ar-SA"/>
              </w:rPr>
              <w:t>175.31</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color w:val="000000"/>
                <w:kern w:val="0"/>
                <w:sz w:val="22"/>
                <w:szCs w:val="22"/>
                <w:lang w:val="en-US" w:eastAsia="zh-CN" w:bidi="ar-SA"/>
              </w:rPr>
              <w:t>126.21</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color w:val="000000"/>
                <w:kern w:val="0"/>
                <w:sz w:val="22"/>
                <w:szCs w:val="22"/>
                <w:lang w:val="en-US" w:eastAsia="zh-CN" w:bidi="ar-SA"/>
              </w:rPr>
              <w:t>46.21</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color w:val="000000"/>
                <w:kern w:val="0"/>
                <w:sz w:val="22"/>
                <w:szCs w:val="22"/>
                <w:lang w:val="en-US" w:eastAsia="zh-CN" w:bidi="ar-SA"/>
              </w:rPr>
              <w:t>20.00</w:t>
            </w:r>
          </w:p>
        </w:tc>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color w:val="000000"/>
                <w:kern w:val="0"/>
                <w:sz w:val="22"/>
                <w:szCs w:val="22"/>
                <w:lang w:val="en-US" w:eastAsia="zh-CN" w:bidi="ar-SA"/>
              </w:rPr>
              <w:t>26.21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宋体" w:cs="Times New Roman"/>
                <w:i w:val="0"/>
                <w:color w:val="000000"/>
                <w:kern w:val="0"/>
                <w:sz w:val="22"/>
                <w:szCs w:val="22"/>
                <w:lang w:val="en-US" w:eastAsia="zh-CN" w:bidi="ar-SA"/>
              </w:rPr>
              <w:t>2.89</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sectPr>
          <w:pgSz w:w="16838" w:h="11906" w:orient="landscape"/>
          <w:pgMar w:top="1134" w:right="1417" w:bottom="1134" w:left="1417" w:header="851" w:footer="992" w:gutter="0"/>
          <w:cols w:space="720" w:num="1"/>
          <w:docGrid w:type="lines" w:linePitch="312" w:charSpace="0"/>
        </w:sect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pPr>
    </w:p>
    <w:p>
      <w:pPr>
        <w:pStyle w:val="16"/>
        <w:jc w:val="cente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hint="eastAsia" w:ascii="方正小标宋简体" w:hAnsi="方正小标宋简体" w:eastAsia="方正小标宋简体" w:cs="方正小标宋简体"/>
          <w:sz w:val="52"/>
          <w:szCs w:val="52"/>
        </w:rPr>
        <w:t>第三部分</w:t>
      </w:r>
    </w:p>
    <w:p>
      <w:pPr>
        <w:pStyle w:val="16"/>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6"/>
        <w:widowControl w:val="0"/>
        <w:numPr>
          <w:ilvl w:val="0"/>
          <w:numId w:val="2"/>
        </w:numPr>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收入支出决算总体情况说明</w:t>
      </w:r>
    </w:p>
    <w:p>
      <w:pPr>
        <w:pStyle w:val="16"/>
        <w:widowControl w:val="0"/>
        <w:numPr>
          <w:numId w:val="0"/>
        </w:numPr>
        <w:wordWrap/>
        <w:overflowPunct w:val="0"/>
        <w:snapToGrid/>
        <w:spacing w:before="0" w:after="0" w:line="600" w:lineRule="exact"/>
        <w:ind w:left="0" w:leftChars="0" w:right="0" w:firstLine="640" w:firstLineChars="200"/>
        <w:jc w:val="both"/>
        <w:textAlignment w:val="auto"/>
        <w:outlineLvl w:val="9"/>
        <w:rPr>
          <w:rFonts w:hint="eastAsia" w:ascii="Times New Roman" w:hAnsi="Times New Roman" w:eastAsia="黑体" w:cs="Times New Roman"/>
          <w:bCs/>
          <w:sz w:val="32"/>
          <w:szCs w:val="32"/>
          <w:lang w:val="en-US" w:eastAsia="zh-CN"/>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年度总收入</w:t>
      </w:r>
      <w:r>
        <w:rPr>
          <w:rFonts w:ascii="Times New Roman" w:hAnsi="Times New Roman" w:eastAsia="仿宋_GB2312"/>
          <w:sz w:val="32"/>
        </w:rPr>
        <w:t>16413.02</w:t>
      </w:r>
      <w:r>
        <w:rPr>
          <w:rFonts w:ascii="Times New Roman" w:hAnsi="Times New Roman" w:eastAsia="仿宋_GB2312" w:cs="Times New Roman"/>
          <w:color w:val="auto"/>
          <w:sz w:val="32"/>
          <w:szCs w:val="32"/>
        </w:rPr>
        <w:t>万元，总支出</w:t>
      </w:r>
      <w:r>
        <w:rPr>
          <w:rFonts w:ascii="Times New Roman" w:hAnsi="Times New Roman" w:eastAsia="仿宋_GB2312"/>
          <w:sz w:val="32"/>
          <w:szCs w:val="24"/>
        </w:rPr>
        <w:t>15172.19</w:t>
      </w:r>
      <w:r>
        <w:rPr>
          <w:rFonts w:ascii="Times New Roman" w:hAnsi="Times New Roman" w:eastAsia="仿宋_GB2312" w:cs="Times New Roman"/>
          <w:color w:val="auto"/>
          <w:sz w:val="32"/>
          <w:szCs w:val="32"/>
        </w:rPr>
        <w:t>万元。与上年相比，收入、支出分别</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4975.75</w:t>
      </w:r>
      <w:r>
        <w:rPr>
          <w:rFonts w:hint="eastAsia"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w:t>
      </w:r>
      <w:r>
        <w:rPr>
          <w:rFonts w:ascii="Times New Roman" w:hAnsi="Times New Roman" w:eastAsia="仿宋_GB2312"/>
          <w:sz w:val="32"/>
          <w:szCs w:val="24"/>
        </w:rPr>
        <w:t>5603.28</w:t>
      </w:r>
      <w:r>
        <w:rPr>
          <w:rFonts w:ascii="Times New Roman" w:hAnsi="Times New Roman" w:eastAsia="仿宋_GB2312" w:cs="Times New Roman"/>
          <w:color w:val="auto"/>
          <w:sz w:val="32"/>
          <w:szCs w:val="32"/>
        </w:rPr>
        <w:t>万元，分别</w:t>
      </w:r>
      <w:r>
        <w:rPr>
          <w:rFonts w:hint="eastAsia" w:ascii="Times New Roman" w:hAnsi="Times New Roman" w:eastAsia="仿宋_GB2312" w:cs="Times New Roman"/>
          <w:color w:val="auto"/>
          <w:sz w:val="32"/>
          <w:szCs w:val="32"/>
          <w:lang w:eastAsia="zh-CN"/>
        </w:rPr>
        <w:t>增加</w:t>
      </w:r>
      <w:r>
        <w:rPr>
          <w:rFonts w:ascii="Times New Roman" w:hAnsi="Times New Roman" w:eastAsia="仿宋_GB2312"/>
          <w:sz w:val="32"/>
          <w:szCs w:val="32"/>
        </w:rPr>
        <w:t>43.5</w:t>
      </w:r>
      <w:r>
        <w:rPr>
          <w:rFonts w:ascii="Times New Roman" w:hAnsi="Times New Roman" w:eastAsia="仿宋_GB2312" w:cs="Times New Roman"/>
          <w:color w:val="auto"/>
          <w:sz w:val="32"/>
          <w:szCs w:val="32"/>
        </w:rPr>
        <w:t>%、</w:t>
      </w:r>
      <w:r>
        <w:rPr>
          <w:rFonts w:ascii="Times New Roman" w:hAnsi="Times New Roman" w:eastAsia="仿宋_GB2312"/>
          <w:sz w:val="32"/>
          <w:szCs w:val="24"/>
        </w:rPr>
        <w:t>58.56</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。主要原因：</w:t>
      </w:r>
      <w:r>
        <w:rPr>
          <w:rFonts w:hint="eastAsia" w:ascii="Times New Roman" w:hAnsi="Times New Roman" w:eastAsia="仿宋_GB2312"/>
          <w:sz w:val="32"/>
          <w:szCs w:val="32"/>
          <w:lang w:eastAsia="zh-CN"/>
        </w:rPr>
        <w:t>因工作需要，年中追加相关省级专项支出</w:t>
      </w:r>
      <w:r>
        <w:rPr>
          <w:rFonts w:hint="eastAsia" w:ascii="Times New Roman" w:hAnsi="Times New Roman" w:eastAsia="仿宋_GB2312"/>
          <w:color w:val="auto"/>
          <w:sz w:val="32"/>
          <w:lang w:val="zh-CN"/>
        </w:rPr>
        <w:t>。</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ascii="Times New Roman" w:hAnsi="Times New Roman" w:eastAsia="仿宋_GB2312"/>
          <w:sz w:val="32"/>
        </w:rPr>
        <w:t>16413.02</w:t>
      </w:r>
      <w:r>
        <w:rPr>
          <w:rFonts w:ascii="Times New Roman" w:hAnsi="Times New Roman" w:eastAsia="仿宋_GB2312" w:cs="Times New Roman"/>
          <w:sz w:val="32"/>
          <w:szCs w:val="32"/>
        </w:rPr>
        <w:t>万元，其中：财政拨款收入</w:t>
      </w:r>
      <w:r>
        <w:rPr>
          <w:rFonts w:ascii="Times New Roman" w:hAnsi="Times New Roman" w:eastAsia="仿宋_GB2312"/>
          <w:sz w:val="32"/>
        </w:rPr>
        <w:t>16413.02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ascii="Times New Roman" w:hAnsi="Times New Roman" w:eastAsia="仿宋_GB2312"/>
          <w:sz w:val="32"/>
          <w:szCs w:val="24"/>
        </w:rPr>
        <w:t>15172.19</w:t>
      </w:r>
      <w:r>
        <w:rPr>
          <w:rFonts w:ascii="Times New Roman" w:hAnsi="Times New Roman" w:eastAsia="仿宋_GB2312" w:cs="Times New Roman"/>
          <w:sz w:val="32"/>
          <w:szCs w:val="32"/>
        </w:rPr>
        <w:t>万元，其中：基本支出</w:t>
      </w:r>
      <w:r>
        <w:rPr>
          <w:rFonts w:ascii="Times New Roman" w:hAnsi="Times New Roman" w:eastAsia="仿宋_GB2312"/>
          <w:sz w:val="32"/>
          <w:szCs w:val="24"/>
        </w:rPr>
        <w:t>6085.04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40.11</w:t>
      </w:r>
      <w:r>
        <w:rPr>
          <w:rFonts w:ascii="Times New Roman" w:hAnsi="Times New Roman" w:eastAsia="仿宋_GB2312" w:cs="Times New Roman"/>
          <w:sz w:val="32"/>
          <w:szCs w:val="32"/>
        </w:rPr>
        <w:t>%；项目支出</w:t>
      </w:r>
      <w:r>
        <w:rPr>
          <w:rFonts w:ascii="Times New Roman" w:hAnsi="Times New Roman" w:eastAsia="仿宋_GB2312"/>
          <w:sz w:val="32"/>
          <w:szCs w:val="24"/>
        </w:rPr>
        <w:t>9087.1</w:t>
      </w:r>
      <w:r>
        <w:rPr>
          <w:rFonts w:hint="eastAsia" w:ascii="Times New Roman" w:hAnsi="Times New Roman" w:eastAsia="仿宋_GB2312"/>
          <w:sz w:val="32"/>
          <w:szCs w:val="24"/>
          <w:lang w:val="en-US" w:eastAsia="zh-CN"/>
        </w:rPr>
        <w:t>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59.89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widowControl w:val="0"/>
        <w:numPr>
          <w:numId w:val="0"/>
        </w:numPr>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宋体" w:cs="Times New Roman"/>
          <w:kern w:val="0"/>
          <w:sz w:val="24"/>
          <w:szCs w:val="24"/>
        </w:rPr>
      </w:pPr>
      <w:r>
        <w:rPr>
          <w:rFonts w:ascii="Times New Roman" w:hAnsi="Times New Roman" w:eastAsia="仿宋_GB2312" w:cs="Times New Roman"/>
          <w:sz w:val="32"/>
          <w:szCs w:val="32"/>
        </w:rPr>
        <w:t>2024年度财政拨款</w:t>
      </w:r>
      <w:r>
        <w:rPr>
          <w:rFonts w:ascii="Times New Roman" w:hAnsi="Times New Roman" w:eastAsia="仿宋_GB2312" w:cs="Times New Roman"/>
          <w:color w:val="auto"/>
          <w:sz w:val="32"/>
          <w:szCs w:val="32"/>
        </w:rPr>
        <w:t>总收入</w:t>
      </w:r>
      <w:r>
        <w:rPr>
          <w:rFonts w:ascii="Times New Roman" w:hAnsi="Times New Roman" w:eastAsia="仿宋_GB2312"/>
          <w:sz w:val="32"/>
        </w:rPr>
        <w:t>16413.02</w:t>
      </w:r>
      <w:r>
        <w:rPr>
          <w:rFonts w:ascii="Times New Roman" w:hAnsi="Times New Roman" w:eastAsia="仿宋_GB2312" w:cs="Times New Roman"/>
          <w:color w:val="auto"/>
          <w:sz w:val="32"/>
          <w:szCs w:val="32"/>
        </w:rPr>
        <w:t>万元，总支出</w:t>
      </w:r>
      <w:r>
        <w:rPr>
          <w:rFonts w:ascii="Times New Roman" w:hAnsi="Times New Roman" w:eastAsia="仿宋_GB2312"/>
          <w:sz w:val="32"/>
          <w:szCs w:val="24"/>
        </w:rPr>
        <w:t>15172.19</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，与上年相比，</w:t>
      </w:r>
      <w:r>
        <w:rPr>
          <w:rFonts w:ascii="Times New Roman" w:hAnsi="Times New Roman" w:eastAsia="仿宋_GB2312" w:cs="Times New Roman"/>
          <w:color w:val="auto"/>
          <w:sz w:val="32"/>
          <w:szCs w:val="32"/>
        </w:rPr>
        <w:t>收入、支出分别</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4975.75</w:t>
      </w:r>
      <w:r>
        <w:rPr>
          <w:rFonts w:hint="eastAsia"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w:t>
      </w:r>
      <w:r>
        <w:rPr>
          <w:rFonts w:ascii="Times New Roman" w:hAnsi="Times New Roman" w:eastAsia="仿宋_GB2312"/>
          <w:sz w:val="32"/>
          <w:szCs w:val="24"/>
        </w:rPr>
        <w:t>5603.28</w:t>
      </w:r>
      <w:r>
        <w:rPr>
          <w:rFonts w:ascii="Times New Roman" w:hAnsi="Times New Roman" w:eastAsia="仿宋_GB2312" w:cs="Times New Roman"/>
          <w:color w:val="auto"/>
          <w:sz w:val="32"/>
          <w:szCs w:val="32"/>
        </w:rPr>
        <w:t>万元，分别</w:t>
      </w:r>
      <w:r>
        <w:rPr>
          <w:rFonts w:hint="eastAsia" w:ascii="Times New Roman" w:hAnsi="Times New Roman" w:eastAsia="仿宋_GB2312" w:cs="Times New Roman"/>
          <w:color w:val="auto"/>
          <w:sz w:val="32"/>
          <w:szCs w:val="32"/>
          <w:lang w:eastAsia="zh-CN"/>
        </w:rPr>
        <w:t>增加</w:t>
      </w:r>
      <w:r>
        <w:rPr>
          <w:rFonts w:ascii="Times New Roman" w:hAnsi="Times New Roman" w:eastAsia="仿宋_GB2312"/>
          <w:sz w:val="32"/>
          <w:szCs w:val="32"/>
        </w:rPr>
        <w:t>43.5</w:t>
      </w:r>
      <w:r>
        <w:rPr>
          <w:rFonts w:ascii="Times New Roman" w:hAnsi="Times New Roman" w:eastAsia="仿宋_GB2312" w:cs="Times New Roman"/>
          <w:color w:val="auto"/>
          <w:sz w:val="32"/>
          <w:szCs w:val="32"/>
        </w:rPr>
        <w:t>%、</w:t>
      </w:r>
      <w:r>
        <w:rPr>
          <w:rFonts w:ascii="Times New Roman" w:hAnsi="Times New Roman" w:eastAsia="仿宋_GB2312"/>
          <w:sz w:val="32"/>
          <w:szCs w:val="24"/>
        </w:rPr>
        <w:t>58.56</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。主要原因：</w:t>
      </w:r>
      <w:r>
        <w:rPr>
          <w:rFonts w:hint="eastAsia" w:ascii="Times New Roman" w:hAnsi="Times New Roman" w:eastAsia="仿宋_GB2312"/>
          <w:sz w:val="32"/>
          <w:szCs w:val="32"/>
          <w:lang w:eastAsia="zh-CN"/>
        </w:rPr>
        <w:t>因工作需要，年中追加相关省级专项支出</w:t>
      </w:r>
      <w:r>
        <w:rPr>
          <w:rFonts w:hint="eastAsia" w:ascii="Times New Roman" w:hAnsi="Times New Roman" w:eastAsia="仿宋_GB2312"/>
          <w:color w:val="auto"/>
          <w:sz w:val="32"/>
          <w:lang w:val="zh-CN"/>
        </w:rPr>
        <w:t>。</w:t>
      </w:r>
    </w:p>
    <w:p>
      <w:pPr>
        <w:pStyle w:val="16"/>
        <w:widowControl w:val="0"/>
        <w:wordWrap/>
        <w:overflowPunct w:val="0"/>
        <w:autoSpaceDE w:val="0"/>
        <w:autoSpaceDN w:val="0"/>
        <w:adjustRightInd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6"/>
        <w:widowControl w:val="0"/>
        <w:numPr>
          <w:numId w:val="0"/>
        </w:numPr>
        <w:wordWrap/>
        <w:overflowPunct w:val="0"/>
        <w:snapToGrid/>
        <w:spacing w:before="0" w:after="0" w:line="600" w:lineRule="exact"/>
        <w:ind w:left="0" w:leftChars="0" w:right="0" w:firstLine="640" w:firstLineChars="200"/>
        <w:jc w:val="both"/>
        <w:textAlignment w:val="auto"/>
        <w:outlineLvl w:val="9"/>
        <w:rPr>
          <w:rFonts w:hint="eastAsia" w:ascii="Times New Roman" w:hAnsi="Times New Roman" w:eastAsia="黑体" w:cs="Times New Roman"/>
          <w:bCs/>
          <w:sz w:val="32"/>
          <w:szCs w:val="32"/>
          <w:lang w:val="en-US" w:eastAsia="zh-CN"/>
        </w:rPr>
      </w:pPr>
      <w:r>
        <w:rPr>
          <w:rFonts w:ascii="Times New Roman" w:hAnsi="Times New Roman" w:eastAsia="仿宋_GB2312" w:cs="Times New Roman"/>
          <w:sz w:val="32"/>
          <w:szCs w:val="32"/>
        </w:rPr>
        <w:t>2024年度财政拨款支出</w:t>
      </w:r>
      <w:r>
        <w:rPr>
          <w:rFonts w:ascii="Times New Roman" w:hAnsi="Times New Roman" w:eastAsia="仿宋_GB2312"/>
          <w:sz w:val="32"/>
          <w:szCs w:val="24"/>
        </w:rPr>
        <w:t>15172.19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ascii="Times New Roman" w:hAnsi="Times New Roman" w:eastAsia="仿宋_GB2312"/>
          <w:sz w:val="32"/>
          <w:szCs w:val="24"/>
        </w:rPr>
        <w:t>5603.28</w:t>
      </w:r>
      <w:r>
        <w:rPr>
          <w:rFonts w:ascii="Times New Roman" w:hAnsi="Times New Roman" w:eastAsia="仿宋_GB2312" w:cs="Times New Roman"/>
          <w:sz w:val="32"/>
          <w:szCs w:val="32"/>
        </w:rPr>
        <w:t>万元，增长</w:t>
      </w:r>
      <w:r>
        <w:rPr>
          <w:rFonts w:ascii="Times New Roman" w:hAnsi="Times New Roman" w:eastAsia="仿宋_GB2312"/>
          <w:sz w:val="32"/>
          <w:szCs w:val="24"/>
        </w:rPr>
        <w:t>58.56</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主要原因：</w:t>
      </w:r>
      <w:r>
        <w:rPr>
          <w:rFonts w:hint="eastAsia" w:ascii="Times New Roman" w:hAnsi="Times New Roman" w:eastAsia="仿宋_GB2312"/>
          <w:sz w:val="32"/>
          <w:szCs w:val="32"/>
          <w:lang w:eastAsia="zh-CN"/>
        </w:rPr>
        <w:t>因工作需要，年中追加相关省级专项支出</w:t>
      </w:r>
      <w:r>
        <w:rPr>
          <w:rFonts w:hint="eastAsia" w:ascii="Times New Roman" w:hAnsi="Times New Roman" w:eastAsia="仿宋_GB2312"/>
          <w:color w:val="auto"/>
          <w:sz w:val="32"/>
          <w:lang w:val="zh-CN"/>
        </w:rPr>
        <w:t>。</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ascii="Times New Roman" w:hAnsi="Times New Roman" w:eastAsia="仿宋_GB2312"/>
          <w:sz w:val="32"/>
          <w:szCs w:val="24"/>
        </w:rPr>
        <w:t>15172.19</w:t>
      </w:r>
      <w:r>
        <w:rPr>
          <w:rFonts w:ascii="Times New Roman" w:hAnsi="Times New Roman" w:eastAsia="仿宋_GB2312" w:cs="Times New Roman"/>
          <w:sz w:val="32"/>
          <w:szCs w:val="32"/>
        </w:rPr>
        <w:t>万元，主要用于以下方面：一般公共服务（类）支出</w:t>
      </w:r>
      <w:r>
        <w:rPr>
          <w:rFonts w:ascii="Times New Roman" w:hAnsi="Times New Roman" w:eastAsia="仿宋_GB2312"/>
          <w:sz w:val="32"/>
          <w:szCs w:val="24"/>
        </w:rPr>
        <w:t>12969.09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85.48</w:t>
      </w:r>
      <w:r>
        <w:rPr>
          <w:rFonts w:ascii="Times New Roman" w:hAnsi="Times New Roman" w:eastAsia="仿宋_GB2312" w:cs="Times New Roman"/>
          <w:sz w:val="32"/>
          <w:szCs w:val="32"/>
        </w:rPr>
        <w:t>%；教育（类）支出</w:t>
      </w:r>
      <w:r>
        <w:rPr>
          <w:rFonts w:ascii="Times New Roman" w:hAnsi="Times New Roman" w:eastAsia="仿宋_GB2312"/>
          <w:sz w:val="32"/>
          <w:szCs w:val="24"/>
        </w:rPr>
        <w:t>643.43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4.24</w:t>
      </w:r>
      <w:r>
        <w:rPr>
          <w:rFonts w:ascii="Times New Roman" w:hAnsi="Times New Roman" w:eastAsia="仿宋_GB2312" w:cs="Times New Roman"/>
          <w:sz w:val="32"/>
          <w:szCs w:val="32"/>
        </w:rPr>
        <w:t>%;</w:t>
      </w:r>
      <w:r>
        <w:rPr>
          <w:rFonts w:ascii="Times New Roman" w:hAnsi="Times New Roman" w:eastAsia="仿宋_GB2312"/>
          <w:sz w:val="32"/>
          <w:szCs w:val="24"/>
        </w:rPr>
        <w:t>社会保障和就业支出502.66万元，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sz w:val="32"/>
          <w:szCs w:val="24"/>
        </w:rPr>
        <w:t>卫生健康支出647.29万元，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4.27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sz w:val="32"/>
          <w:szCs w:val="24"/>
        </w:rPr>
        <w:t>住房保障支出409.72万元，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eastAsia="zh-CN"/>
        </w:rPr>
        <w:t>全年</w:t>
      </w:r>
      <w:r>
        <w:rPr>
          <w:rFonts w:ascii="Times New Roman" w:hAnsi="Times New Roman" w:eastAsia="仿宋_GB2312" w:cs="Times New Roman"/>
          <w:sz w:val="32"/>
          <w:szCs w:val="32"/>
        </w:rPr>
        <w:t>预算数为</w:t>
      </w:r>
      <w:r>
        <w:rPr>
          <w:rFonts w:hint="eastAsia" w:ascii="Times New Roman" w:hAnsi="Times New Roman" w:eastAsia="仿宋_GB2312"/>
          <w:sz w:val="32"/>
          <w:lang w:val="en-US" w:eastAsia="zh-CN"/>
        </w:rPr>
        <w:t>16413.02</w:t>
      </w:r>
      <w:r>
        <w:rPr>
          <w:rFonts w:ascii="Times New Roman" w:hAnsi="Times New Roman" w:eastAsia="仿宋_GB2312" w:cs="Times New Roman"/>
          <w:sz w:val="32"/>
          <w:szCs w:val="32"/>
        </w:rPr>
        <w:t>万元，支出决算数为</w:t>
      </w:r>
      <w:r>
        <w:rPr>
          <w:rFonts w:ascii="Times New Roman" w:hAnsi="Times New Roman" w:eastAsia="仿宋_GB2312"/>
          <w:sz w:val="32"/>
          <w:szCs w:val="24"/>
        </w:rPr>
        <w:t>15172.19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92.44</w:t>
      </w:r>
      <w:r>
        <w:rPr>
          <w:rFonts w:ascii="Times New Roman" w:hAnsi="Times New Roman" w:eastAsia="仿宋_GB2312" w:cs="Times New Roman"/>
          <w:sz w:val="32"/>
          <w:szCs w:val="32"/>
        </w:rPr>
        <w:t>%，其中：</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ascii="Times New Roman" w:hAnsi="Times New Roman" w:eastAsia="仿宋_GB2312" w:cs="Times New Roman"/>
          <w:b/>
          <w:color w:val="auto"/>
          <w:sz w:val="32"/>
          <w:szCs w:val="32"/>
        </w:rPr>
        <w:t>一般公共服务（类）组织事务（款）行政运行（项）</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eastAsia="zh-CN"/>
        </w:rPr>
        <w:t>全年预算收入</w:t>
      </w:r>
      <w:r>
        <w:rPr>
          <w:rFonts w:ascii="Times New Roman" w:hAnsi="Times New Roman" w:eastAsia="仿宋_GB2312" w:cs="Times New Roman"/>
          <w:color w:val="auto"/>
          <w:sz w:val="32"/>
          <w:szCs w:val="32"/>
        </w:rPr>
        <w:t>为</w:t>
      </w:r>
      <w:r>
        <w:rPr>
          <w:rFonts w:hint="eastAsia" w:ascii="Times New Roman" w:hAnsi="Times New Roman" w:eastAsia="仿宋_GB2312"/>
          <w:color w:val="auto"/>
          <w:sz w:val="32"/>
          <w:szCs w:val="24"/>
          <w:lang w:val="en-US" w:eastAsia="zh-CN"/>
        </w:rPr>
        <w:t>4598.48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olor w:val="auto"/>
          <w:sz w:val="32"/>
          <w:szCs w:val="24"/>
          <w:lang w:val="en-US" w:eastAsia="zh-CN"/>
        </w:rPr>
        <w:t>4530.08</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98.51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6"/>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color w:val="auto"/>
          <w:spacing w:val="-8"/>
          <w:sz w:val="32"/>
          <w:szCs w:val="32"/>
        </w:rPr>
      </w:pPr>
      <w:r>
        <w:rPr>
          <w:rFonts w:ascii="Times New Roman" w:hAnsi="Times New Roman" w:eastAsia="仿宋_GB2312" w:cs="Times New Roman"/>
          <w:color w:val="auto"/>
          <w:sz w:val="32"/>
          <w:szCs w:val="32"/>
        </w:rPr>
        <w:t>2、</w:t>
      </w:r>
      <w:r>
        <w:rPr>
          <w:rFonts w:ascii="Times New Roman" w:hAnsi="Times New Roman" w:eastAsia="仿宋_GB2312" w:cs="Times New Roman"/>
          <w:b/>
          <w:color w:val="auto"/>
          <w:spacing w:val="-8"/>
          <w:sz w:val="32"/>
          <w:szCs w:val="32"/>
        </w:rPr>
        <w:t>一般公共服务（类）组织事务（款）一般行政管理事务（项）</w:t>
      </w:r>
    </w:p>
    <w:p>
      <w:pPr>
        <w:pStyle w:val="16"/>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color w:val="auto"/>
          <w:spacing w:val="-4"/>
          <w:sz w:val="32"/>
          <w:szCs w:val="32"/>
        </w:rPr>
      </w:pPr>
      <w:r>
        <w:rPr>
          <w:rFonts w:hint="eastAsia" w:ascii="Times New Roman" w:hAnsi="Times New Roman" w:eastAsia="仿宋_GB2312" w:cs="Times New Roman"/>
          <w:color w:val="auto"/>
          <w:sz w:val="32"/>
          <w:szCs w:val="32"/>
          <w:lang w:eastAsia="zh-CN"/>
        </w:rPr>
        <w:t>全年预算收入</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3263.59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2381.46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72.97</w:t>
      </w:r>
      <w:r>
        <w:rPr>
          <w:rFonts w:ascii="Times New Roman" w:hAnsi="Times New Roman" w:eastAsia="仿宋_GB2312" w:cs="Times New Roman"/>
          <w:color w:val="auto"/>
          <w:sz w:val="32"/>
          <w:szCs w:val="32"/>
        </w:rPr>
        <w:t>%，决算数小于预算数的主要原因：</w:t>
      </w:r>
      <w:r>
        <w:rPr>
          <w:rFonts w:hint="eastAsia" w:ascii="Times New Roman" w:hAnsi="Times New Roman" w:eastAsia="仿宋_GB2312" w:cs="Times New Roman"/>
          <w:color w:val="auto"/>
          <w:sz w:val="32"/>
          <w:szCs w:val="32"/>
          <w:lang w:eastAsia="zh-CN"/>
        </w:rPr>
        <w:t>因工作计划调整，</w:t>
      </w:r>
      <w:r>
        <w:rPr>
          <w:rFonts w:hint="eastAsia" w:ascii="仿宋_GB2312" w:hAnsi="Times New Roman" w:eastAsia="仿宋_GB2312" w:cs="Times New Roman"/>
          <w:color w:val="auto"/>
          <w:sz w:val="32"/>
          <w:szCs w:val="32"/>
          <w:lang w:eastAsia="zh-CN"/>
        </w:rPr>
        <w:t>部分项目支出推迟或跨年度执行</w:t>
      </w:r>
      <w:r>
        <w:rPr>
          <w:rFonts w:hint="eastAsia" w:ascii="仿宋_GB2312" w:hAnsi="Times New Roman" w:eastAsia="仿宋_GB2312" w:cs="Times New Roman"/>
          <w:color w:val="auto"/>
          <w:spacing w:val="-4"/>
          <w:sz w:val="32"/>
          <w:szCs w:val="32"/>
        </w:rPr>
        <w:t>。</w:t>
      </w:r>
    </w:p>
    <w:p>
      <w:pPr>
        <w:pStyle w:val="16"/>
        <w:widowControl w:val="0"/>
        <w:numPr>
          <w:ilvl w:val="0"/>
          <w:numId w:val="3"/>
        </w:numPr>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color w:val="auto"/>
          <w:spacing w:val="-8"/>
          <w:sz w:val="32"/>
          <w:szCs w:val="32"/>
        </w:rPr>
      </w:pPr>
      <w:r>
        <w:rPr>
          <w:rFonts w:ascii="Times New Roman" w:hAnsi="Times New Roman" w:eastAsia="仿宋_GB2312" w:cs="Times New Roman"/>
          <w:b/>
          <w:color w:val="auto"/>
          <w:spacing w:val="-8"/>
          <w:sz w:val="32"/>
          <w:szCs w:val="32"/>
        </w:rPr>
        <w:t>一般公共服务（类）组织事务（款）</w:t>
      </w:r>
      <w:r>
        <w:rPr>
          <w:rFonts w:hint="eastAsia" w:ascii="Times New Roman" w:hAnsi="Times New Roman" w:eastAsia="仿宋_GB2312" w:cs="Times New Roman"/>
          <w:b/>
          <w:color w:val="auto"/>
          <w:spacing w:val="-8"/>
          <w:sz w:val="32"/>
          <w:szCs w:val="32"/>
          <w:lang w:eastAsia="zh-CN"/>
        </w:rPr>
        <w:t>公务员</w:t>
      </w:r>
      <w:r>
        <w:rPr>
          <w:rFonts w:ascii="Times New Roman" w:hAnsi="Times New Roman" w:eastAsia="仿宋_GB2312" w:cs="Times New Roman"/>
          <w:b/>
          <w:color w:val="auto"/>
          <w:spacing w:val="-8"/>
          <w:sz w:val="32"/>
          <w:szCs w:val="32"/>
        </w:rPr>
        <w:t>事务（</w:t>
      </w:r>
      <w:r>
        <w:rPr>
          <w:rFonts w:hint="eastAsia" w:ascii="Times New Roman" w:hAnsi="Times New Roman" w:eastAsia="仿宋_GB2312" w:cs="Times New Roman"/>
          <w:b/>
          <w:color w:val="auto"/>
          <w:spacing w:val="-8"/>
          <w:sz w:val="32"/>
          <w:szCs w:val="32"/>
          <w:lang w:eastAsia="zh-CN"/>
        </w:rPr>
        <w:t>项</w:t>
      </w:r>
      <w:r>
        <w:rPr>
          <w:rFonts w:ascii="Times New Roman" w:hAnsi="Times New Roman" w:eastAsia="仿宋_GB2312" w:cs="Times New Roman"/>
          <w:b/>
          <w:color w:val="auto"/>
          <w:spacing w:val="-8"/>
          <w:sz w:val="32"/>
          <w:szCs w:val="32"/>
        </w:rPr>
        <w:t>）</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全年预算收入</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256.3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224.15</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87.46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6"/>
        <w:widowControl w:val="0"/>
        <w:numPr>
          <w:ilvl w:val="0"/>
          <w:numId w:val="3"/>
        </w:numPr>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color w:val="auto"/>
          <w:spacing w:val="-8"/>
          <w:sz w:val="32"/>
          <w:szCs w:val="32"/>
        </w:rPr>
      </w:pPr>
      <w:r>
        <w:rPr>
          <w:rFonts w:ascii="Times New Roman" w:hAnsi="Times New Roman" w:eastAsia="仿宋_GB2312" w:cs="Times New Roman"/>
          <w:b/>
          <w:color w:val="auto"/>
          <w:spacing w:val="-8"/>
          <w:sz w:val="32"/>
          <w:szCs w:val="32"/>
        </w:rPr>
        <w:t>一般公共服务（类）组织事务（款）</w:t>
      </w:r>
      <w:r>
        <w:rPr>
          <w:rFonts w:hint="eastAsia" w:ascii="Times New Roman" w:hAnsi="Times New Roman" w:eastAsia="仿宋_GB2312" w:cs="Times New Roman"/>
          <w:b/>
          <w:color w:val="auto"/>
          <w:spacing w:val="-8"/>
          <w:sz w:val="32"/>
          <w:szCs w:val="32"/>
          <w:lang w:eastAsia="zh-CN"/>
        </w:rPr>
        <w:t>其他组织事务支出</w:t>
      </w:r>
      <w:r>
        <w:rPr>
          <w:rFonts w:ascii="Times New Roman" w:hAnsi="Times New Roman" w:eastAsia="仿宋_GB2312" w:cs="Times New Roman"/>
          <w:b/>
          <w:color w:val="auto"/>
          <w:spacing w:val="-8"/>
          <w:sz w:val="32"/>
          <w:szCs w:val="32"/>
        </w:rPr>
        <w:t>（</w:t>
      </w:r>
      <w:r>
        <w:rPr>
          <w:rFonts w:hint="eastAsia" w:ascii="Times New Roman" w:hAnsi="Times New Roman" w:eastAsia="仿宋_GB2312" w:cs="Times New Roman"/>
          <w:b/>
          <w:color w:val="auto"/>
          <w:spacing w:val="-8"/>
          <w:sz w:val="32"/>
          <w:szCs w:val="32"/>
          <w:lang w:eastAsia="zh-CN"/>
        </w:rPr>
        <w:t>项</w:t>
      </w:r>
      <w:r>
        <w:rPr>
          <w:rFonts w:ascii="Times New Roman" w:hAnsi="Times New Roman" w:eastAsia="仿宋_GB2312" w:cs="Times New Roman"/>
          <w:b/>
          <w:color w:val="auto"/>
          <w:spacing w:val="-8"/>
          <w:sz w:val="32"/>
          <w:szCs w:val="32"/>
        </w:rPr>
        <w:t>）</w:t>
      </w:r>
    </w:p>
    <w:p>
      <w:pPr>
        <w:pStyle w:val="16"/>
        <w:widowControl w:val="0"/>
        <w:wordWrap/>
        <w:overflowPunct w:val="0"/>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全年预算收入</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5550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5544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99.9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6"/>
        <w:widowControl w:val="0"/>
        <w:numPr>
          <w:ilvl w:val="0"/>
          <w:numId w:val="3"/>
        </w:numPr>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color w:val="auto"/>
          <w:spacing w:val="-8"/>
          <w:sz w:val="32"/>
          <w:szCs w:val="32"/>
        </w:rPr>
      </w:pPr>
      <w:r>
        <w:rPr>
          <w:rFonts w:ascii="Times New Roman" w:hAnsi="Times New Roman" w:eastAsia="仿宋_GB2312" w:cs="Times New Roman"/>
          <w:b/>
          <w:color w:val="auto"/>
          <w:spacing w:val="-8"/>
          <w:sz w:val="32"/>
          <w:szCs w:val="32"/>
        </w:rPr>
        <w:t>一般公共服务（类）组织事务（款）</w:t>
      </w:r>
      <w:r>
        <w:rPr>
          <w:rFonts w:hint="eastAsia" w:ascii="Times New Roman" w:hAnsi="Times New Roman" w:eastAsia="仿宋_GB2312" w:cs="Times New Roman"/>
          <w:b/>
          <w:color w:val="auto"/>
          <w:spacing w:val="-8"/>
          <w:sz w:val="32"/>
          <w:szCs w:val="32"/>
          <w:lang w:eastAsia="zh-CN"/>
        </w:rPr>
        <w:t>其他一般公共服务支出</w:t>
      </w:r>
      <w:r>
        <w:rPr>
          <w:rFonts w:ascii="Times New Roman" w:hAnsi="Times New Roman" w:eastAsia="仿宋_GB2312" w:cs="Times New Roman"/>
          <w:b/>
          <w:color w:val="auto"/>
          <w:spacing w:val="-8"/>
          <w:sz w:val="32"/>
          <w:szCs w:val="32"/>
        </w:rPr>
        <w:t>（</w:t>
      </w:r>
      <w:r>
        <w:rPr>
          <w:rFonts w:hint="eastAsia" w:ascii="Times New Roman" w:hAnsi="Times New Roman" w:eastAsia="仿宋_GB2312" w:cs="Times New Roman"/>
          <w:b/>
          <w:color w:val="auto"/>
          <w:spacing w:val="-8"/>
          <w:sz w:val="32"/>
          <w:szCs w:val="32"/>
          <w:lang w:eastAsia="zh-CN"/>
        </w:rPr>
        <w:t>项</w:t>
      </w:r>
      <w:r>
        <w:rPr>
          <w:rFonts w:ascii="Times New Roman" w:hAnsi="Times New Roman" w:eastAsia="仿宋_GB2312" w:cs="Times New Roman"/>
          <w:b/>
          <w:color w:val="auto"/>
          <w:spacing w:val="-8"/>
          <w:sz w:val="32"/>
          <w:szCs w:val="32"/>
        </w:rPr>
        <w:t>）</w:t>
      </w:r>
    </w:p>
    <w:p>
      <w:pPr>
        <w:pStyle w:val="16"/>
        <w:widowControl w:val="0"/>
        <w:wordWrap/>
        <w:overflowPunct w:val="0"/>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全年预算收入</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230.6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289.4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125.5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。支出决算数高于预算收入的主要原因：因工作需要，年中调整经济科目。</w:t>
      </w:r>
    </w:p>
    <w:p>
      <w:pPr>
        <w:pStyle w:val="16"/>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val="en-US" w:eastAsia="zh-CN"/>
        </w:rPr>
        <w:t>6</w:t>
      </w:r>
      <w:r>
        <w:rPr>
          <w:rFonts w:ascii="Times New Roman" w:hAnsi="Times New Roman" w:eastAsia="仿宋_GB2312" w:cs="Times New Roman"/>
          <w:b/>
          <w:color w:val="auto"/>
          <w:sz w:val="32"/>
          <w:szCs w:val="32"/>
        </w:rPr>
        <w:t>.教育支出（类）进修及培训（款）培训支出（项）</w:t>
      </w:r>
    </w:p>
    <w:p>
      <w:pPr>
        <w:pStyle w:val="16"/>
        <w:widowControl w:val="0"/>
        <w:wordWrap/>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全年</w:t>
      </w:r>
      <w:r>
        <w:rPr>
          <w:rFonts w:ascii="Times New Roman" w:hAnsi="Times New Roman" w:eastAsia="仿宋_GB2312" w:cs="Times New Roman"/>
          <w:color w:val="auto"/>
          <w:sz w:val="32"/>
          <w:szCs w:val="32"/>
        </w:rPr>
        <w:t>预算</w:t>
      </w:r>
      <w:r>
        <w:rPr>
          <w:rFonts w:hint="eastAsia" w:ascii="Times New Roman" w:hAnsi="Times New Roman" w:eastAsia="仿宋_GB2312" w:cs="Times New Roman"/>
          <w:color w:val="auto"/>
          <w:sz w:val="32"/>
          <w:szCs w:val="32"/>
        </w:rPr>
        <w:t>收入</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951.4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643.43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67.63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决算数小于预算数的主要原因</w:t>
      </w:r>
      <w:r>
        <w:rPr>
          <w:rFonts w:hint="eastAsia" w:ascii="Times New Roman" w:hAnsi="Times New Roman" w:eastAsia="仿宋_GB2312" w:cs="Times New Roman"/>
          <w:color w:val="auto"/>
          <w:sz w:val="32"/>
          <w:szCs w:val="32"/>
          <w:lang w:eastAsia="zh-CN"/>
        </w:rPr>
        <w:t>：因工作计划调整，部分项目取消或者推迟执行。</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val="en-US" w:eastAsia="zh-CN"/>
        </w:rPr>
        <w:t>7</w:t>
      </w:r>
      <w:r>
        <w:rPr>
          <w:rFonts w:ascii="Times New Roman" w:hAnsi="Times New Roman" w:eastAsia="仿宋_GB2312" w:cs="Times New Roman"/>
          <w:b/>
          <w:color w:val="auto"/>
          <w:sz w:val="32"/>
          <w:szCs w:val="32"/>
        </w:rPr>
        <w:t>.社会保障和就业支出(类)行政事业单位养老支出(款)行政单位离退休(项)</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宋体" w:cs="Times New Roman"/>
          <w:color w:val="auto"/>
          <w:spacing w:val="-12"/>
          <w:sz w:val="32"/>
          <w:szCs w:val="32"/>
        </w:rPr>
      </w:pPr>
      <w:r>
        <w:rPr>
          <w:rFonts w:hint="eastAsia" w:ascii="Times New Roman" w:hAnsi="Times New Roman" w:eastAsia="仿宋_GB2312" w:cs="Times New Roman"/>
          <w:color w:val="auto"/>
          <w:sz w:val="32"/>
          <w:szCs w:val="32"/>
        </w:rPr>
        <w:t>全年</w:t>
      </w:r>
      <w:r>
        <w:rPr>
          <w:rFonts w:ascii="Times New Roman" w:hAnsi="Times New Roman" w:eastAsia="仿宋_GB2312" w:cs="Times New Roman"/>
          <w:color w:val="auto"/>
          <w:sz w:val="32"/>
          <w:szCs w:val="32"/>
        </w:rPr>
        <w:t>预算</w:t>
      </w:r>
      <w:r>
        <w:rPr>
          <w:rFonts w:hint="eastAsia" w:ascii="Times New Roman" w:hAnsi="Times New Roman" w:eastAsia="仿宋_GB2312" w:cs="Times New Roman"/>
          <w:color w:val="auto"/>
          <w:sz w:val="32"/>
          <w:szCs w:val="32"/>
        </w:rPr>
        <w:t>收入为</w:t>
      </w:r>
      <w:r>
        <w:rPr>
          <w:rFonts w:hint="eastAsia" w:ascii="Times New Roman" w:hAnsi="Times New Roman" w:eastAsia="仿宋_GB2312" w:cs="Times New Roman"/>
          <w:color w:val="auto"/>
          <w:sz w:val="32"/>
          <w:szCs w:val="32"/>
          <w:lang w:val="en-US" w:eastAsia="zh-CN"/>
        </w:rPr>
        <w:t>60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24"/>
          <w:lang w:val="en-US" w:eastAsia="zh-CN"/>
        </w:rPr>
        <w:t>59.73</w:t>
      </w:r>
      <w:r>
        <w:rPr>
          <w:rFonts w:ascii="Times New Roman" w:hAnsi="Times New Roman" w:eastAsia="仿宋_GB2312" w:cs="Times New Roman"/>
          <w:color w:val="auto"/>
          <w:sz w:val="32"/>
          <w:szCs w:val="32"/>
        </w:rPr>
        <w:t>万元，完成预算的</w:t>
      </w:r>
      <w:r>
        <w:rPr>
          <w:rFonts w:hint="eastAsia" w:ascii="Times New Roman" w:hAnsi="Times New Roman" w:cs="Times New Roman"/>
          <w:color w:val="auto"/>
          <w:spacing w:val="-12"/>
          <w:sz w:val="32"/>
          <w:szCs w:val="32"/>
          <w:lang w:val="en-US" w:eastAsia="zh-CN"/>
        </w:rPr>
        <w:t>99.55</w:t>
      </w:r>
      <w:r>
        <w:rPr>
          <w:rFonts w:ascii="Times New Roman" w:hAnsi="Times New Roman" w:eastAsia="宋体" w:cs="Times New Roman"/>
          <w:color w:val="auto"/>
          <w:spacing w:val="-12"/>
          <w:sz w:val="32"/>
          <w:szCs w:val="32"/>
        </w:rPr>
        <w:t>%。</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val="en-US" w:eastAsia="zh-CN"/>
        </w:rPr>
        <w:t>8</w:t>
      </w:r>
      <w:r>
        <w:rPr>
          <w:rFonts w:ascii="Times New Roman" w:hAnsi="Times New Roman" w:eastAsia="仿宋_GB2312" w:cs="Times New Roman"/>
          <w:b/>
          <w:color w:val="auto"/>
          <w:sz w:val="32"/>
          <w:szCs w:val="32"/>
        </w:rPr>
        <w:t>.社会保障和就业支出(类)行政事业单位养老支出(款)机关事业单位基本养老保险缴费支出(项)</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宋体" w:cs="Times New Roman"/>
          <w:color w:val="auto"/>
          <w:spacing w:val="-12"/>
          <w:sz w:val="32"/>
          <w:szCs w:val="32"/>
        </w:rPr>
      </w:pPr>
      <w:r>
        <w:rPr>
          <w:rFonts w:hint="eastAsia" w:ascii="Times New Roman" w:hAnsi="Times New Roman" w:eastAsia="仿宋_GB2312" w:cs="Times New Roman"/>
          <w:color w:val="auto"/>
          <w:sz w:val="32"/>
          <w:szCs w:val="32"/>
        </w:rPr>
        <w:t>全年</w:t>
      </w:r>
      <w:r>
        <w:rPr>
          <w:rFonts w:ascii="Times New Roman" w:hAnsi="Times New Roman" w:eastAsia="仿宋_GB2312" w:cs="Times New Roman"/>
          <w:color w:val="auto"/>
          <w:sz w:val="32"/>
          <w:szCs w:val="32"/>
        </w:rPr>
        <w:t>预算</w:t>
      </w:r>
      <w:r>
        <w:rPr>
          <w:rFonts w:hint="eastAsia" w:ascii="Times New Roman" w:hAnsi="Times New Roman" w:eastAsia="仿宋_GB2312" w:cs="Times New Roman"/>
          <w:color w:val="auto"/>
          <w:sz w:val="32"/>
          <w:szCs w:val="32"/>
        </w:rPr>
        <w:t>收入</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435.22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435.22</w:t>
      </w:r>
      <w:r>
        <w:rPr>
          <w:rFonts w:ascii="Times New Roman" w:hAnsi="Times New Roman" w:eastAsia="仿宋_GB2312" w:cs="Times New Roman"/>
          <w:color w:val="auto"/>
          <w:sz w:val="32"/>
          <w:szCs w:val="32"/>
        </w:rPr>
        <w:t>万元，完成预算的</w:t>
      </w:r>
      <w:r>
        <w:rPr>
          <w:rFonts w:ascii="Times New Roman" w:hAnsi="Times New Roman" w:eastAsia="宋体" w:cs="Times New Roman"/>
          <w:color w:val="auto"/>
          <w:spacing w:val="-12"/>
          <w:sz w:val="32"/>
          <w:szCs w:val="32"/>
        </w:rPr>
        <w:t>100%。</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val="en-US" w:eastAsia="zh-CN"/>
        </w:rPr>
        <w:t>9</w:t>
      </w:r>
      <w:r>
        <w:rPr>
          <w:rFonts w:ascii="Times New Roman" w:hAnsi="Times New Roman" w:eastAsia="仿宋_GB2312" w:cs="Times New Roman"/>
          <w:b/>
          <w:color w:val="auto"/>
          <w:sz w:val="32"/>
          <w:szCs w:val="32"/>
        </w:rPr>
        <w:t>.社会保障和就业支出(类)</w:t>
      </w:r>
      <w:r>
        <w:rPr>
          <w:rFonts w:hint="eastAsia" w:ascii="Times New Roman" w:hAnsi="Times New Roman" w:eastAsia="仿宋_GB2312" w:cs="Times New Roman"/>
          <w:b/>
          <w:color w:val="auto"/>
          <w:sz w:val="32"/>
          <w:szCs w:val="32"/>
        </w:rPr>
        <w:t>抚恤</w:t>
      </w:r>
      <w:r>
        <w:rPr>
          <w:rFonts w:ascii="Times New Roman" w:hAnsi="Times New Roman" w:eastAsia="仿宋_GB2312" w:cs="Times New Roman"/>
          <w:b/>
          <w:color w:val="auto"/>
          <w:sz w:val="32"/>
          <w:szCs w:val="32"/>
        </w:rPr>
        <w:t>(款)</w:t>
      </w:r>
      <w:r>
        <w:rPr>
          <w:rFonts w:hint="eastAsia" w:ascii="Times New Roman" w:hAnsi="Times New Roman" w:eastAsia="仿宋_GB2312" w:cs="Times New Roman"/>
          <w:b/>
          <w:color w:val="auto"/>
          <w:sz w:val="32"/>
          <w:szCs w:val="32"/>
        </w:rPr>
        <w:t>其他优抚支出</w:t>
      </w:r>
      <w:r>
        <w:rPr>
          <w:rFonts w:ascii="Times New Roman" w:hAnsi="Times New Roman" w:eastAsia="仿宋_GB2312" w:cs="Times New Roman"/>
          <w:b/>
          <w:color w:val="auto"/>
          <w:sz w:val="32"/>
          <w:szCs w:val="32"/>
        </w:rPr>
        <w:t>(项)</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全年</w:t>
      </w:r>
      <w:r>
        <w:rPr>
          <w:rFonts w:ascii="Times New Roman" w:hAnsi="Times New Roman" w:eastAsia="仿宋_GB2312" w:cs="Times New Roman"/>
          <w:color w:val="auto"/>
          <w:sz w:val="32"/>
          <w:szCs w:val="32"/>
        </w:rPr>
        <w:t>预算</w:t>
      </w:r>
      <w:r>
        <w:rPr>
          <w:rFonts w:hint="eastAsia" w:ascii="Times New Roman" w:hAnsi="Times New Roman" w:eastAsia="仿宋_GB2312" w:cs="Times New Roman"/>
          <w:color w:val="auto"/>
          <w:sz w:val="32"/>
          <w:szCs w:val="32"/>
        </w:rPr>
        <w:t>收入</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7.71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7.71</w:t>
      </w:r>
      <w:r>
        <w:rPr>
          <w:rFonts w:ascii="Times New Roman" w:hAnsi="Times New Roman" w:eastAsia="仿宋_GB2312" w:cs="Times New Roman"/>
          <w:color w:val="auto"/>
          <w:sz w:val="32"/>
          <w:szCs w:val="32"/>
        </w:rPr>
        <w:t>万元，完成预算的100%。</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color w:val="auto"/>
          <w:spacing w:val="-10"/>
          <w:sz w:val="32"/>
          <w:szCs w:val="32"/>
        </w:rPr>
      </w:pPr>
      <w:r>
        <w:rPr>
          <w:rFonts w:hint="eastAsia" w:ascii="Times New Roman" w:hAnsi="Times New Roman" w:eastAsia="仿宋_GB2312" w:cs="Times New Roman"/>
          <w:b/>
          <w:color w:val="auto"/>
          <w:spacing w:val="-10"/>
          <w:sz w:val="32"/>
          <w:szCs w:val="32"/>
          <w:lang w:val="en-US" w:eastAsia="zh-CN"/>
        </w:rPr>
        <w:t>10</w:t>
      </w:r>
      <w:r>
        <w:rPr>
          <w:rFonts w:ascii="Times New Roman" w:hAnsi="Times New Roman" w:eastAsia="仿宋_GB2312" w:cs="Times New Roman"/>
          <w:b/>
          <w:color w:val="auto"/>
          <w:spacing w:val="-10"/>
          <w:sz w:val="32"/>
          <w:szCs w:val="32"/>
        </w:rPr>
        <w:t>.卫生健康支出(类)行政事业单位医疗(款)行政单位医疗(项)</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宋体" w:cs="Times New Roman"/>
          <w:color w:val="auto"/>
          <w:spacing w:val="-12"/>
          <w:sz w:val="32"/>
          <w:szCs w:val="32"/>
        </w:rPr>
      </w:pPr>
      <w:r>
        <w:rPr>
          <w:rFonts w:hint="eastAsia" w:ascii="Times New Roman" w:hAnsi="Times New Roman" w:eastAsia="仿宋_GB2312" w:cs="Times New Roman"/>
          <w:color w:val="auto"/>
          <w:sz w:val="32"/>
          <w:szCs w:val="32"/>
        </w:rPr>
        <w:t>全年</w:t>
      </w:r>
      <w:r>
        <w:rPr>
          <w:rFonts w:ascii="Times New Roman" w:hAnsi="Times New Roman" w:eastAsia="仿宋_GB2312" w:cs="Times New Roman"/>
          <w:color w:val="auto"/>
          <w:sz w:val="32"/>
          <w:szCs w:val="32"/>
        </w:rPr>
        <w:t>预算</w:t>
      </w:r>
      <w:r>
        <w:rPr>
          <w:rFonts w:hint="eastAsia" w:ascii="Times New Roman" w:hAnsi="Times New Roman" w:eastAsia="仿宋_GB2312" w:cs="Times New Roman"/>
          <w:color w:val="auto"/>
          <w:sz w:val="32"/>
          <w:szCs w:val="32"/>
        </w:rPr>
        <w:t>收入</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410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407.29</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99.34</w:t>
      </w:r>
      <w:r>
        <w:rPr>
          <w:rFonts w:ascii="Times New Roman" w:hAnsi="Times New Roman" w:eastAsia="仿宋_GB2312" w:cs="Times New Roman"/>
          <w:color w:val="auto"/>
          <w:sz w:val="32"/>
          <w:szCs w:val="32"/>
        </w:rPr>
        <w:t>%。</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sz w:val="32"/>
          <w:szCs w:val="32"/>
        </w:rPr>
      </w:pPr>
      <w:r>
        <w:rPr>
          <w:rFonts w:hint="eastAsia" w:ascii="Times New Roman" w:hAnsi="Times New Roman" w:eastAsia="仿宋_GB2312" w:cs="Times New Roman"/>
          <w:b/>
          <w:color w:val="auto"/>
          <w:sz w:val="32"/>
          <w:szCs w:val="32"/>
          <w:lang w:val="en-US" w:eastAsia="zh-CN"/>
        </w:rPr>
        <w:t>11</w:t>
      </w:r>
      <w:r>
        <w:rPr>
          <w:rFonts w:ascii="Times New Roman" w:hAnsi="Times New Roman" w:eastAsia="仿宋_GB2312" w:cs="Times New Roman"/>
          <w:b/>
          <w:color w:val="auto"/>
          <w:sz w:val="32"/>
          <w:szCs w:val="32"/>
        </w:rPr>
        <w:t>.卫生健康支出(类)行政事业单位医疗(款)公务员医疗补助</w:t>
      </w:r>
      <w:r>
        <w:rPr>
          <w:rFonts w:ascii="Times New Roman" w:hAnsi="Times New Roman" w:eastAsia="仿宋_GB2312" w:cs="Times New Roman"/>
          <w:b/>
          <w:sz w:val="32"/>
          <w:szCs w:val="32"/>
        </w:rPr>
        <w:t>(项)</w:t>
      </w:r>
    </w:p>
    <w:p>
      <w:pPr>
        <w:pStyle w:val="16"/>
        <w:widowControl w:val="0"/>
        <w:wordWrap/>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sz w:val="32"/>
          <w:szCs w:val="32"/>
        </w:rPr>
        <w:t>全年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收入</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万元，完成预算的100%。</w:t>
      </w:r>
    </w:p>
    <w:p>
      <w:pPr>
        <w:widowControl w:val="0"/>
        <w:wordWrap/>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12</w:t>
      </w:r>
      <w:r>
        <w:rPr>
          <w:rFonts w:ascii="Times New Roman" w:hAnsi="Times New Roman" w:eastAsia="仿宋_GB2312" w:cs="Times New Roman"/>
          <w:b/>
          <w:sz w:val="32"/>
          <w:szCs w:val="32"/>
        </w:rPr>
        <w:t>.住房保障支出(类)住房改革支出(款)住房公积金(项)</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hint="eastAsia" w:ascii="Times New Roman" w:hAnsi="Times New Roman" w:eastAsia="仿宋_GB2312" w:cs="Times New Roman"/>
          <w:sz w:val="32"/>
          <w:szCs w:val="32"/>
        </w:rPr>
        <w:t>全年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收入</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409.72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409.72</w:t>
      </w:r>
      <w:r>
        <w:rPr>
          <w:rFonts w:ascii="Times New Roman" w:hAnsi="Times New Roman" w:eastAsia="仿宋_GB2312" w:cs="Times New Roman"/>
          <w:sz w:val="32"/>
          <w:szCs w:val="32"/>
        </w:rPr>
        <w:t>万元，完成预算的100%。</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6085.04</w:t>
      </w:r>
      <w:r>
        <w:rPr>
          <w:rFonts w:ascii="Times New Roman" w:hAnsi="Times New Roman" w:eastAsia="仿宋_GB2312" w:cs="Times New Roman"/>
          <w:sz w:val="32"/>
          <w:szCs w:val="32"/>
        </w:rPr>
        <w:t>万元，其中：</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5447.16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89.52</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rPr>
        <w:t>基本工资、津贴补贴、</w:t>
      </w:r>
      <w:r>
        <w:rPr>
          <w:rFonts w:hint="eastAsia" w:ascii="Times New Roman" w:hAnsi="Times New Roman" w:eastAsia="仿宋_GB2312" w:cs="Times New Roman"/>
          <w:color w:val="auto"/>
          <w:sz w:val="32"/>
          <w:szCs w:val="32"/>
        </w:rPr>
        <w:t>基础绩效</w:t>
      </w:r>
      <w:r>
        <w:rPr>
          <w:rFonts w:ascii="Times New Roman" w:hAnsi="Times New Roman" w:eastAsia="仿宋_GB2312" w:cs="Times New Roman"/>
          <w:color w:val="auto"/>
          <w:sz w:val="32"/>
          <w:szCs w:val="32"/>
        </w:rPr>
        <w:t>奖金、伙食补助费、机关事业单位养老保险缴费、职工基本医疗保障缴费、</w:t>
      </w:r>
      <w:r>
        <w:rPr>
          <w:rFonts w:hint="eastAsia" w:ascii="Times New Roman" w:hAnsi="Times New Roman" w:eastAsia="仿宋_GB2312" w:cs="Times New Roman"/>
          <w:color w:val="auto"/>
          <w:sz w:val="32"/>
          <w:szCs w:val="32"/>
        </w:rPr>
        <w:t>公务员医疗补助缴费、</w:t>
      </w:r>
      <w:r>
        <w:rPr>
          <w:rFonts w:ascii="Times New Roman" w:hAnsi="Times New Roman" w:eastAsia="仿宋_GB2312" w:cs="Times New Roman"/>
          <w:color w:val="auto"/>
          <w:sz w:val="32"/>
          <w:szCs w:val="32"/>
        </w:rPr>
        <w:t>住房公积金、</w:t>
      </w:r>
      <w:r>
        <w:rPr>
          <w:rFonts w:hint="eastAsia" w:ascii="Times New Roman" w:hAnsi="Times New Roman" w:eastAsia="仿宋_GB2312" w:cs="Times New Roman"/>
          <w:color w:val="auto"/>
          <w:sz w:val="32"/>
          <w:szCs w:val="32"/>
          <w:lang w:eastAsia="zh-CN"/>
        </w:rPr>
        <w:t>其他工资福利、</w:t>
      </w:r>
      <w:r>
        <w:rPr>
          <w:rFonts w:ascii="Times New Roman" w:hAnsi="Times New Roman" w:eastAsia="仿宋_GB2312" w:cs="Times New Roman"/>
          <w:color w:val="auto"/>
          <w:sz w:val="32"/>
          <w:szCs w:val="32"/>
        </w:rPr>
        <w:t>医疗</w:t>
      </w:r>
      <w:r>
        <w:rPr>
          <w:rFonts w:hint="eastAsia" w:ascii="Times New Roman" w:hAnsi="Times New Roman" w:eastAsia="仿宋_GB2312" w:cs="Times New Roman"/>
          <w:color w:val="auto"/>
          <w:sz w:val="32"/>
          <w:szCs w:val="32"/>
        </w:rPr>
        <w:t>补助</w:t>
      </w:r>
      <w:r>
        <w:rPr>
          <w:rFonts w:ascii="Times New Roman" w:hAnsi="Times New Roman" w:eastAsia="仿宋_GB2312" w:cs="Times New Roman"/>
          <w:color w:val="auto"/>
          <w:sz w:val="32"/>
          <w:szCs w:val="32"/>
        </w:rPr>
        <w:t>、</w:t>
      </w:r>
      <w:r>
        <w:rPr>
          <w:rFonts w:ascii="Times New Roman" w:hAnsi="Times New Roman" w:eastAsia="仿宋" w:cs="Times New Roman"/>
          <w:color w:val="auto"/>
          <w:spacing w:val="-1"/>
          <w:sz w:val="32"/>
          <w:szCs w:val="32"/>
        </w:rPr>
        <w:t>离休</w:t>
      </w:r>
      <w:r>
        <w:rPr>
          <w:rFonts w:ascii="Times New Roman" w:hAnsi="Times New Roman" w:eastAsia="仿宋" w:cs="Times New Roman"/>
          <w:color w:val="auto"/>
          <w:spacing w:val="-2"/>
          <w:sz w:val="32"/>
          <w:szCs w:val="32"/>
        </w:rPr>
        <w:t>费、</w:t>
      </w:r>
      <w:r>
        <w:rPr>
          <w:rFonts w:hint="eastAsia" w:ascii="Times New Roman" w:hAnsi="Times New Roman" w:eastAsia="仿宋" w:cs="Times New Roman"/>
          <w:color w:val="auto"/>
          <w:spacing w:val="-2"/>
          <w:sz w:val="32"/>
          <w:szCs w:val="32"/>
        </w:rPr>
        <w:t>退休费、</w:t>
      </w:r>
      <w:r>
        <w:rPr>
          <w:rFonts w:ascii="Times New Roman" w:hAnsi="Times New Roman" w:eastAsia="仿宋" w:cs="Times New Roman"/>
          <w:color w:val="auto"/>
          <w:spacing w:val="-5"/>
          <w:sz w:val="32"/>
          <w:szCs w:val="32"/>
        </w:rPr>
        <w:t>抚恤金、其他对个人和家庭的补助支出等</w:t>
      </w:r>
      <w:r>
        <w:rPr>
          <w:rFonts w:ascii="Times New Roman" w:hAnsi="Times New Roman" w:eastAsia="仿宋_GB2312" w:cs="Times New Roman"/>
          <w:color w:val="auto"/>
          <w:sz w:val="32"/>
          <w:szCs w:val="32"/>
        </w:rPr>
        <w:t>。</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637.88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10.48</w:t>
      </w:r>
      <w:r>
        <w:rPr>
          <w:rFonts w:ascii="Times New Roman" w:hAnsi="Times New Roman" w:eastAsia="仿宋_GB2312" w:cs="Times New Roman"/>
          <w:sz w:val="32"/>
          <w:szCs w:val="32"/>
        </w:rPr>
        <w:t>%，主要包括</w:t>
      </w:r>
      <w:r>
        <w:rPr>
          <w:rFonts w:ascii="Times New Roman" w:hAnsi="Times New Roman" w:eastAsia="仿宋" w:cs="Times New Roman"/>
          <w:spacing w:val="1"/>
          <w:sz w:val="32"/>
          <w:szCs w:val="32"/>
        </w:rPr>
        <w:t>办公费</w:t>
      </w:r>
      <w:r>
        <w:rPr>
          <w:rFonts w:ascii="Times New Roman" w:hAnsi="Times New Roman" w:eastAsia="仿宋" w:cs="Times New Roman"/>
          <w:sz w:val="32"/>
          <w:szCs w:val="32"/>
        </w:rPr>
        <w:t>、印刷费、电费、邮电费</w:t>
      </w:r>
      <w:r>
        <w:rPr>
          <w:rFonts w:hint="eastAsia" w:ascii="Times New Roman" w:hAnsi="Times New Roman" w:eastAsia="仿宋" w:cs="Times New Roman"/>
          <w:sz w:val="32"/>
          <w:szCs w:val="32"/>
          <w:lang w:eastAsia="zh-CN"/>
        </w:rPr>
        <w:t>、取暖费、</w:t>
      </w:r>
      <w:r>
        <w:rPr>
          <w:rFonts w:ascii="Times New Roman" w:hAnsi="Times New Roman" w:eastAsia="仿宋" w:cs="Times New Roman"/>
          <w:spacing w:val="-2"/>
          <w:sz w:val="32"/>
          <w:szCs w:val="32"/>
        </w:rPr>
        <w:t>差旅费、</w:t>
      </w:r>
      <w:r>
        <w:rPr>
          <w:rFonts w:hint="eastAsia" w:ascii="Times New Roman" w:hAnsi="Times New Roman" w:eastAsia="仿宋" w:cs="Times New Roman"/>
          <w:spacing w:val="-2"/>
          <w:sz w:val="32"/>
          <w:szCs w:val="32"/>
          <w:lang w:eastAsia="zh-CN"/>
        </w:rPr>
        <w:t>维修（护）费、租赁费、</w:t>
      </w:r>
      <w:r>
        <w:rPr>
          <w:rFonts w:ascii="Times New Roman" w:hAnsi="Times New Roman" w:eastAsia="仿宋" w:cs="Times New Roman"/>
          <w:spacing w:val="-2"/>
          <w:sz w:val="32"/>
          <w:szCs w:val="32"/>
        </w:rPr>
        <w:t>会议费、培训费、公务接待费、工会经费、公务用车运</w:t>
      </w:r>
      <w:r>
        <w:rPr>
          <w:rFonts w:ascii="Times New Roman" w:hAnsi="Times New Roman" w:eastAsia="仿宋" w:cs="Times New Roman"/>
          <w:spacing w:val="-3"/>
          <w:sz w:val="32"/>
          <w:szCs w:val="32"/>
        </w:rPr>
        <w:t>行维护费、其他交通费用、其他商品和服务支出等。</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175.31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71.85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支出数</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数</w:t>
      </w:r>
      <w:r>
        <w:rPr>
          <w:rFonts w:ascii="Times New Roman" w:hAnsi="Times New Roman" w:eastAsia="仿宋_GB2312" w:cs="Times New Roman"/>
          <w:sz w:val="32"/>
          <w:szCs w:val="32"/>
        </w:rPr>
        <w:t>相比增加</w:t>
      </w:r>
      <w:r>
        <w:rPr>
          <w:rFonts w:hint="default" w:ascii="Times New Roman" w:hAnsi="Times New Roman" w:eastAsia="仿宋_GB2312"/>
          <w:sz w:val="32"/>
        </w:rPr>
        <w:t>102.7</w:t>
      </w:r>
      <w:r>
        <w:rPr>
          <w:rFonts w:ascii="Times New Roman" w:hAnsi="Times New Roman" w:eastAsia="仿宋_GB2312"/>
          <w:sz w:val="32"/>
        </w:rPr>
        <w:t>9</w:t>
      </w:r>
      <w:r>
        <w:rPr>
          <w:rFonts w:ascii="Times New Roman" w:hAnsi="Times New Roman" w:eastAsia="仿宋_GB2312" w:cs="Times New Roman"/>
          <w:sz w:val="32"/>
          <w:szCs w:val="32"/>
        </w:rPr>
        <w:t>万元，增长</w:t>
      </w:r>
      <w:r>
        <w:rPr>
          <w:rFonts w:hint="default" w:ascii="Times New Roman" w:hAnsi="Times New Roman" w:eastAsia="仿宋_GB2312"/>
          <w:sz w:val="32"/>
        </w:rPr>
        <w:t>141.7</w:t>
      </w:r>
      <w:r>
        <w:rPr>
          <w:rFonts w:ascii="Times New Roman" w:hAnsi="Times New Roman" w:eastAsia="仿宋_GB2312"/>
          <w:sz w:val="32"/>
        </w:rPr>
        <w:t>4</w:t>
      </w:r>
      <w:r>
        <w:rPr>
          <w:rFonts w:ascii="Times New Roman" w:hAnsi="Times New Roman" w:eastAsia="仿宋_GB2312" w:cs="Times New Roman"/>
          <w:sz w:val="32"/>
          <w:szCs w:val="32"/>
        </w:rPr>
        <w:t>%。决算数大于上年数的主要原因</w:t>
      </w:r>
      <w:r>
        <w:rPr>
          <w:rFonts w:hint="eastAsia" w:ascii="Times New Roman" w:hAnsi="Times New Roman" w:eastAsia="仿宋_GB2312" w:cs="Times New Roman"/>
          <w:sz w:val="32"/>
          <w:szCs w:val="32"/>
          <w:lang w:eastAsia="zh-CN"/>
        </w:rPr>
        <w:t>是</w:t>
      </w:r>
      <w:r>
        <w:rPr>
          <w:rFonts w:ascii="Times New Roman" w:hAnsi="Times New Roman" w:eastAsia="仿宋_GB2312"/>
          <w:sz w:val="32"/>
        </w:rPr>
        <w:t>2024年恢复</w:t>
      </w:r>
      <w:r>
        <w:rPr>
          <w:rFonts w:hint="default" w:ascii="Times New Roman" w:hAnsi="Times New Roman" w:eastAsia="仿宋_GB2312"/>
          <w:sz w:val="32"/>
        </w:rPr>
        <w:t>出国（境）培训工作。</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widowControl w:val="0"/>
        <w:wordWrap/>
        <w:snapToGrid/>
        <w:spacing w:before="0" w:after="0" w:line="600" w:lineRule="exact"/>
        <w:ind w:left="0" w:leftChars="0" w:right="0" w:firstLine="640" w:firstLineChars="200"/>
        <w:jc w:val="both"/>
        <w:textAlignment w:val="auto"/>
        <w:outlineLvl w:val="9"/>
        <w:rPr>
          <w:rFonts w:hint="default" w:ascii="Times New Roman" w:hAnsi="Times New Roman" w:eastAsia="仿宋_GB2312"/>
          <w:sz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160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78.88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126.21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决算数大于上年数的主要原因</w:t>
      </w:r>
      <w:r>
        <w:rPr>
          <w:rFonts w:hint="eastAsia" w:ascii="Times New Roman" w:hAnsi="Times New Roman" w:eastAsia="仿宋_GB2312" w:cs="Times New Roman"/>
          <w:sz w:val="32"/>
          <w:szCs w:val="32"/>
          <w:lang w:eastAsia="zh-CN"/>
        </w:rPr>
        <w:t>是</w:t>
      </w:r>
      <w:r>
        <w:rPr>
          <w:rFonts w:ascii="Times New Roman" w:hAnsi="Times New Roman" w:eastAsia="仿宋_GB2312"/>
          <w:sz w:val="32"/>
        </w:rPr>
        <w:t>2024年恢复</w:t>
      </w:r>
      <w:r>
        <w:rPr>
          <w:rFonts w:hint="default" w:ascii="Times New Roman" w:hAnsi="Times New Roman" w:eastAsia="仿宋_GB2312"/>
          <w:sz w:val="32"/>
        </w:rPr>
        <w:t>出国（境）培训工作。</w:t>
      </w:r>
      <w:r>
        <w:rPr>
          <w:rFonts w:ascii="Times New Roman" w:hAnsi="Times New Roman" w:eastAsia="仿宋_GB2312" w:cs="Times New Roman"/>
          <w:color w:val="auto"/>
          <w:sz w:val="32"/>
          <w:szCs w:val="32"/>
        </w:rPr>
        <w:t>全年安排因公出国（境）团组</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46</w:t>
      </w:r>
      <w:r>
        <w:rPr>
          <w:rFonts w:ascii="Times New Roman" w:hAnsi="Times New Roman" w:eastAsia="仿宋_GB2312" w:cs="Times New Roman"/>
          <w:color w:val="auto"/>
          <w:sz w:val="32"/>
          <w:szCs w:val="32"/>
        </w:rPr>
        <w:t>人次。</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46.21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62.45</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sz w:val="32"/>
        </w:rPr>
        <w:t>24.32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降低</w:t>
      </w:r>
      <w:r>
        <w:rPr>
          <w:rFonts w:hint="default" w:ascii="Times New Roman" w:hAnsi="Times New Roman" w:eastAsia="仿宋_GB2312"/>
          <w:sz w:val="32"/>
        </w:rPr>
        <w:t>34.48</w:t>
      </w:r>
      <w:r>
        <w:rPr>
          <w:rFonts w:ascii="Times New Roman" w:hAnsi="Times New Roman" w:eastAsia="仿宋_GB2312" w:cs="Times New Roman"/>
          <w:sz w:val="32"/>
          <w:szCs w:val="32"/>
        </w:rPr>
        <w:t>%。其中：</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48.54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19.34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42.46</w:t>
      </w:r>
      <w:r>
        <w:rPr>
          <w:rFonts w:ascii="Times New Roman" w:hAnsi="Times New Roman" w:eastAsia="仿宋_GB2312" w:cs="Times New Roman"/>
          <w:sz w:val="32"/>
          <w:szCs w:val="32"/>
        </w:rPr>
        <w:t>%。决算数小于上年数的主要原因</w:t>
      </w:r>
      <w:r>
        <w:rPr>
          <w:rFonts w:hint="eastAsia" w:ascii="Times New Roman" w:hAnsi="Times New Roman" w:eastAsia="仿宋_GB2312" w:cs="Times New Roman"/>
          <w:sz w:val="32"/>
          <w:szCs w:val="32"/>
          <w:lang w:eastAsia="zh-CN"/>
        </w:rPr>
        <w:t>：通过优化公车管理，有效控制了公用车辆运行费用</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辆。</w:t>
      </w:r>
    </w:p>
    <w:p>
      <w:pPr>
        <w:widowControl w:val="0"/>
        <w:wordWrap/>
        <w:snapToGrid/>
        <w:spacing w:before="0" w:after="0" w:line="600" w:lineRule="exact"/>
        <w:ind w:left="0" w:leftChars="0" w:right="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28.9</w:t>
      </w:r>
      <w:r>
        <w:rPr>
          <w:rFonts w:ascii="Times New Roman" w:hAnsi="Times New Roman" w:eastAsia="仿宋_GB2312" w:cs="Times New Roman"/>
          <w:sz w:val="32"/>
          <w:szCs w:val="32"/>
        </w:rPr>
        <w:t>%；与上年相比增加</w:t>
      </w:r>
      <w:r>
        <w:rPr>
          <w:rFonts w:hint="default" w:ascii="Times New Roman" w:hAnsi="Times New Roman" w:eastAsia="仿宋_GB2312"/>
          <w:sz w:val="32"/>
        </w:rPr>
        <w:t>0.</w:t>
      </w:r>
      <w:r>
        <w:rPr>
          <w:rFonts w:ascii="Times New Roman" w:hAnsi="Times New Roman" w:eastAsia="仿宋_GB2312"/>
          <w:sz w:val="32"/>
        </w:rPr>
        <w:t>9</w:t>
      </w:r>
      <w:r>
        <w:rPr>
          <w:rFonts w:ascii="Times New Roman" w:hAnsi="Times New Roman" w:eastAsia="仿宋_GB2312" w:cs="Times New Roman"/>
          <w:sz w:val="32"/>
          <w:szCs w:val="32"/>
        </w:rPr>
        <w:t>万元。决算数小于预算数的主要原因</w:t>
      </w:r>
      <w:r>
        <w:rPr>
          <w:rFonts w:hint="eastAsia" w:ascii="Times New Roman" w:hAnsi="Times New Roman" w:eastAsia="仿宋_GB2312" w:cs="Times New Roman"/>
          <w:sz w:val="32"/>
          <w:szCs w:val="32"/>
          <w:lang w:eastAsia="zh-CN"/>
        </w:rPr>
        <w:t>：严格落实中央、省委厉行节约有关要求，大力压减公务接待费用开支。</w:t>
      </w: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年共接待来访团组</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102</w:t>
      </w:r>
      <w:r>
        <w:rPr>
          <w:rFonts w:ascii="Times New Roman" w:hAnsi="Times New Roman" w:eastAsia="仿宋_GB2312" w:cs="Times New Roman"/>
          <w:sz w:val="32"/>
          <w:szCs w:val="32"/>
        </w:rPr>
        <w:t>人次，</w:t>
      </w:r>
      <w:r>
        <w:rPr>
          <w:rFonts w:ascii="Times New Roman" w:hAnsi="Times New Roman" w:eastAsia="仿宋_GB2312" w:cs="Times New Roman"/>
          <w:spacing w:val="-3"/>
          <w:sz w:val="32"/>
          <w:szCs w:val="32"/>
        </w:rPr>
        <w:t>主要是用于上级</w:t>
      </w:r>
      <w:r>
        <w:rPr>
          <w:rFonts w:hint="eastAsia" w:ascii="Times New Roman" w:hAnsi="Times New Roman" w:eastAsia="仿宋_GB2312" w:cs="Times New Roman"/>
          <w:spacing w:val="-3"/>
          <w:sz w:val="32"/>
          <w:szCs w:val="32"/>
          <w:lang w:eastAsia="zh-CN"/>
        </w:rPr>
        <w:t>部门</w:t>
      </w:r>
      <w:r>
        <w:rPr>
          <w:rFonts w:ascii="Times New Roman" w:hAnsi="Times New Roman" w:eastAsia="仿宋_GB2312" w:cs="Times New Roman"/>
          <w:spacing w:val="-3"/>
          <w:sz w:val="32"/>
          <w:szCs w:val="32"/>
        </w:rPr>
        <w:t>和其他省份来湘检查、</w:t>
      </w:r>
      <w:r>
        <w:rPr>
          <w:rFonts w:ascii="Times New Roman" w:hAnsi="Times New Roman" w:eastAsia="仿宋_GB2312" w:cs="Times New Roman"/>
          <w:spacing w:val="-4"/>
          <w:sz w:val="32"/>
          <w:szCs w:val="32"/>
        </w:rPr>
        <w:t>指导、督导、调研等公务活动的接待支出</w:t>
      </w:r>
      <w:r>
        <w:rPr>
          <w:rFonts w:ascii="Times New Roman" w:hAnsi="Times New Roman" w:eastAsia="仿宋_GB2312" w:cs="Times New Roman"/>
          <w:sz w:val="32"/>
          <w:szCs w:val="32"/>
        </w:rPr>
        <w:t>。</w:t>
      </w:r>
    </w:p>
    <w:p>
      <w:pPr>
        <w:pStyle w:val="16"/>
        <w:widowControl w:val="0"/>
        <w:numPr>
          <w:numId w:val="0"/>
        </w:numPr>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政府性基金预算</w:t>
      </w:r>
      <w:r>
        <w:rPr>
          <w:rFonts w:hint="eastAsia" w:ascii="Times New Roman" w:hAnsi="Times New Roman" w:eastAsia="仿宋_GB2312" w:cs="Times New Roman"/>
          <w:sz w:val="32"/>
          <w:szCs w:val="32"/>
          <w:lang w:eastAsia="zh-CN"/>
        </w:rPr>
        <w:t>收入。</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637.88</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%。主要原因：</w:t>
      </w:r>
      <w:r>
        <w:rPr>
          <w:rFonts w:hint="eastAsia" w:ascii="Times New Roman" w:hAnsi="Times New Roman" w:eastAsia="仿宋_GB2312" w:cs="Times New Roman"/>
          <w:sz w:val="32"/>
          <w:szCs w:val="32"/>
          <w:lang w:eastAsia="zh-CN"/>
        </w:rPr>
        <w:t>不断树牢“过紧日子”思想，主动压减一般性支出。</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2024年本部门开支会议费</w:t>
      </w:r>
      <w:r>
        <w:rPr>
          <w:rFonts w:ascii="Times New Roman" w:hAnsi="Times New Roman" w:eastAsia="仿宋_GB2312"/>
          <w:color w:val="auto"/>
          <w:sz w:val="32"/>
          <w:szCs w:val="24"/>
        </w:rPr>
        <w:t>143.85</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3200余</w:t>
      </w:r>
      <w:r>
        <w:rPr>
          <w:rFonts w:hint="eastAsia" w:ascii="Times New Roman" w:hAnsi="Times New Roman" w:eastAsia="仿宋_GB2312"/>
          <w:color w:val="auto"/>
          <w:sz w:val="32"/>
          <w:szCs w:val="32"/>
        </w:rPr>
        <w:t>人次</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主要用于召开全省组织部长会议，市州和省直行业系统党（工）委书记抓基层党建述职评议会议，</w:t>
      </w:r>
      <w:r>
        <w:rPr>
          <w:rFonts w:hint="eastAsia" w:ascii="Times New Roman" w:hAnsi="Times New Roman" w:eastAsia="仿宋_GB2312" w:cs="Times New Roman"/>
          <w:color w:val="auto"/>
          <w:sz w:val="32"/>
          <w:szCs w:val="32"/>
        </w:rPr>
        <w:t>全省人才工作会议，</w:t>
      </w:r>
      <w:r>
        <w:rPr>
          <w:rFonts w:ascii="Times New Roman" w:hAnsi="Times New Roman" w:eastAsia="仿宋_GB2312" w:cs="Times New Roman"/>
          <w:color w:val="auto"/>
          <w:sz w:val="32"/>
          <w:szCs w:val="32"/>
        </w:rPr>
        <w:t>全省公务员信息更新采集、干部统计工作会议，全省公务员工作推进会议，</w:t>
      </w:r>
      <w:r>
        <w:rPr>
          <w:rFonts w:hint="eastAsia" w:ascii="Times New Roman" w:hAnsi="Times New Roman" w:eastAsia="仿宋_GB2312" w:cs="Times New Roman"/>
          <w:color w:val="auto"/>
          <w:sz w:val="32"/>
          <w:szCs w:val="32"/>
        </w:rPr>
        <w:t>湖南省党内统计评审会议等</w:t>
      </w:r>
      <w:r>
        <w:rPr>
          <w:rFonts w:hint="eastAsia" w:ascii="Times New Roman" w:hAnsi="Times New Roman" w:eastAsia="仿宋_GB2312"/>
          <w:color w:val="auto"/>
          <w:sz w:val="32"/>
          <w:szCs w:val="32"/>
        </w:rPr>
        <w:t>；</w:t>
      </w:r>
      <w:r>
        <w:rPr>
          <w:rFonts w:ascii="Times New Roman" w:hAnsi="Times New Roman" w:eastAsia="仿宋_GB2312" w:cs="Times New Roman"/>
          <w:sz w:val="32"/>
          <w:szCs w:val="32"/>
        </w:rPr>
        <w:t>开支培训费</w:t>
      </w:r>
      <w:r>
        <w:rPr>
          <w:rFonts w:ascii="Times New Roman" w:hAnsi="Times New Roman" w:eastAsia="仿宋_GB2312"/>
          <w:sz w:val="32"/>
          <w:szCs w:val="24"/>
        </w:rPr>
        <w:t>673.93</w:t>
      </w:r>
      <w:r>
        <w:rPr>
          <w:rFonts w:ascii="Times New Roman" w:hAnsi="Times New Roman" w:eastAsia="仿宋_GB2312" w:cs="Times New Roman"/>
          <w:sz w:val="32"/>
          <w:szCs w:val="32"/>
        </w:rPr>
        <w:t>万元，人数</w:t>
      </w:r>
      <w:r>
        <w:rPr>
          <w:rFonts w:hint="eastAsia" w:ascii="Times New Roman" w:hAnsi="Times New Roman" w:eastAsia="仿宋_GB2312" w:cs="Times New Roman"/>
          <w:sz w:val="32"/>
          <w:szCs w:val="32"/>
          <w:lang w:val="en-US" w:eastAsia="zh-CN"/>
        </w:rPr>
        <w:t>3000余</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次</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主要用于</w:t>
      </w:r>
      <w:r>
        <w:rPr>
          <w:rFonts w:hint="eastAsia" w:ascii="Times New Roman" w:hAnsi="Times New Roman" w:eastAsia="仿宋_GB2312" w:cs="Times New Roman"/>
          <w:color w:val="auto"/>
          <w:sz w:val="32"/>
          <w:szCs w:val="32"/>
        </w:rPr>
        <w:t>组织</w:t>
      </w:r>
      <w:r>
        <w:rPr>
          <w:rFonts w:hint="eastAsia" w:ascii="Times New Roman" w:hAnsi="Times New Roman" w:eastAsia="仿宋_GB2312" w:cs="Times New Roman"/>
          <w:color w:val="auto"/>
          <w:sz w:val="32"/>
          <w:szCs w:val="32"/>
          <w:lang w:eastAsia="zh-CN"/>
        </w:rPr>
        <w:t>举办</w:t>
      </w:r>
      <w:r>
        <w:rPr>
          <w:rFonts w:hint="eastAsia" w:ascii="Times New Roman" w:hAnsi="Times New Roman" w:eastAsia="仿宋_GB2312" w:cs="Times New Roman"/>
          <w:color w:val="auto"/>
          <w:sz w:val="32"/>
          <w:szCs w:val="32"/>
        </w:rPr>
        <w:t>全国</w:t>
      </w:r>
      <w:r>
        <w:rPr>
          <w:rFonts w:hint="eastAsia" w:ascii="Times New Roman" w:hAnsi="Times New Roman" w:eastAsia="仿宋_GB2312" w:cs="Times New Roman"/>
          <w:color w:val="auto"/>
          <w:sz w:val="32"/>
          <w:szCs w:val="32"/>
          <w:lang w:eastAsia="zh-CN"/>
        </w:rPr>
        <w:t>街道党组织书记视频培训班，</w:t>
      </w:r>
      <w:r>
        <w:rPr>
          <w:rFonts w:ascii="Times New Roman" w:hAnsi="Times New Roman" w:eastAsia="仿宋_GB2312" w:cs="Times New Roman"/>
          <w:color w:val="auto"/>
          <w:sz w:val="32"/>
          <w:szCs w:val="32"/>
        </w:rPr>
        <w:t>新任公务员培训班，</w:t>
      </w:r>
      <w:r>
        <w:rPr>
          <w:rFonts w:hint="eastAsia" w:ascii="Times New Roman" w:hAnsi="Times New Roman" w:eastAsia="仿宋_GB2312" w:cs="Times New Roman"/>
          <w:color w:val="auto"/>
          <w:sz w:val="32"/>
          <w:szCs w:val="32"/>
          <w:lang w:eastAsia="zh-CN"/>
        </w:rPr>
        <w:t>全省人才工作者培训班，</w:t>
      </w:r>
      <w:r>
        <w:rPr>
          <w:rFonts w:ascii="Times New Roman" w:hAnsi="Times New Roman" w:eastAsia="仿宋_GB2312" w:cs="Times New Roman"/>
          <w:color w:val="auto"/>
          <w:sz w:val="32"/>
          <w:szCs w:val="32"/>
        </w:rPr>
        <w:t>选调生岗前集中培训班，全省公务员面试考官培训班</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基层公务员推进乡村振兴工作专题培训班，基层公务员群众工作能力培训班，全省干部人事档案工作培训班等。</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1701.32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268.01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1433.31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1248.29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73.38</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686.39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54.99</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87.15</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70.79</w:t>
      </w:r>
      <w:r>
        <w:rPr>
          <w:rFonts w:ascii="Times New Roman" w:hAnsi="Times New Roman" w:eastAsia="仿宋_GB2312" w:cs="Times New Roman"/>
          <w:color w:val="auto"/>
          <w:sz w:val="32"/>
          <w:szCs w:val="32"/>
        </w:rPr>
        <w:t>%。</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我</w:t>
      </w:r>
      <w:r>
        <w:rPr>
          <w:rFonts w:ascii="Times New Roman" w:hAnsi="Times New Roman" w:eastAsia="仿宋_GB2312" w:cs="Times New Roman"/>
          <w:color w:val="auto"/>
          <w:sz w:val="32"/>
          <w:szCs w:val="32"/>
        </w:rPr>
        <w:t>部共有车辆</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6"/>
        <w:widowControl w:val="0"/>
        <w:numPr>
          <w:ilvl w:val="0"/>
          <w:numId w:val="4"/>
        </w:numPr>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color w:val="auto"/>
          <w:sz w:val="32"/>
          <w:szCs w:val="32"/>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w:t>
      </w:r>
      <w:r>
        <w:rPr>
          <w:rFonts w:hint="eastAsia" w:ascii="Times New Roman" w:hAnsi="Times New Roman" w:cs="Times New Roman"/>
          <w:bCs/>
          <w:color w:val="auto"/>
          <w:sz w:val="32"/>
          <w:szCs w:val="32"/>
          <w:lang w:eastAsia="zh-CN"/>
        </w:rPr>
        <w:t>管理</w:t>
      </w:r>
      <w:r>
        <w:rPr>
          <w:rFonts w:ascii="Times New Roman" w:hAnsi="Times New Roman" w:cs="Times New Roman"/>
          <w:bCs/>
          <w:color w:val="auto"/>
          <w:sz w:val="32"/>
          <w:szCs w:val="32"/>
        </w:rPr>
        <w:t>情况的说明</w:t>
      </w:r>
    </w:p>
    <w:p>
      <w:pPr>
        <w:widowControl w:val="0"/>
        <w:numPr>
          <w:numId w:val="0"/>
        </w:numPr>
        <w:wordWrap/>
        <w:overflowPunct w:val="0"/>
        <w:adjustRightInd/>
        <w:snapToGrid/>
        <w:spacing w:before="0" w:after="0" w:line="600" w:lineRule="exact"/>
        <w:ind w:left="0" w:leftChars="0" w:right="0" w:firstLine="640" w:firstLineChars="200"/>
        <w:jc w:val="both"/>
        <w:textAlignment w:val="auto"/>
        <w:outlineLvl w:val="9"/>
        <w:rPr>
          <w:rFonts w:ascii="Times New Roman" w:hAnsi="Times New Roman" w:eastAsia="仿宋_GB2312" w:cs="Times New Roman"/>
          <w:kern w:val="0"/>
          <w:sz w:val="32"/>
          <w:szCs w:val="32"/>
        </w:rPr>
      </w:pP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eastAsia="zh-CN"/>
        </w:rPr>
        <w:t>）</w:t>
      </w:r>
      <w:r>
        <w:rPr>
          <w:rFonts w:ascii="Times New Roman" w:hAnsi="Times New Roman" w:eastAsia="楷体_GB2312" w:cs="Times New Roman"/>
          <w:b/>
          <w:bCs/>
          <w:sz w:val="32"/>
          <w:szCs w:val="32"/>
        </w:rPr>
        <w:t>绩效评价工作开展情况。</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eastAsia="zh-CN"/>
        </w:rPr>
        <w:t>省委组织部</w:t>
      </w:r>
      <w:r>
        <w:rPr>
          <w:rFonts w:ascii="Times New Roman" w:hAnsi="Times New Roman" w:eastAsia="仿宋_GB2312" w:cs="Times New Roman"/>
          <w:kern w:val="0"/>
          <w:sz w:val="32"/>
          <w:szCs w:val="32"/>
        </w:rPr>
        <w:t>整体支出绩效自评，涉及项目</w:t>
      </w:r>
      <w:r>
        <w:rPr>
          <w:rFonts w:hint="eastAsia" w:ascii="Times New Roman" w:hAnsi="Times New Roman" w:eastAsia="仿宋_GB2312" w:cs="Times New Roman"/>
          <w:kern w:val="0"/>
          <w:sz w:val="32"/>
          <w:szCs w:val="32"/>
          <w:lang w:val="en-US" w:eastAsia="zh-CN"/>
        </w:rPr>
        <w:t>22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 xml:space="preserve"> 15172.19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eastAsia="zh-CN"/>
        </w:rPr>
        <w:t>涉及项目金额</w:t>
      </w:r>
      <w:r>
        <w:rPr>
          <w:rFonts w:hint="default" w:ascii="Times New Roman" w:hAnsi="Times New Roman" w:eastAsia="仿宋_GB2312" w:cs="Times New Roman"/>
          <w:sz w:val="32"/>
        </w:rPr>
        <w:t>9087.15</w:t>
      </w:r>
      <w:r>
        <w:rPr>
          <w:rFonts w:ascii="Times New Roman" w:hAnsi="Times New Roman" w:eastAsia="仿宋_GB2312" w:cs="Times New Roman"/>
          <w:kern w:val="0"/>
          <w:sz w:val="32"/>
          <w:szCs w:val="32"/>
        </w:rPr>
        <w:t xml:space="preserve"> 万元；政府性基金预算项目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widowControl w:val="0"/>
        <w:wordWrap/>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default" w:ascii="Times New Roman" w:hAnsi="Times New Roman" w:eastAsia="仿宋_GB2312" w:cs="Times New Roman"/>
          <w:sz w:val="32"/>
        </w:rPr>
        <w:t>16413.02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15172.19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92.44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bookmarkStart w:id="19" w:name="_GoBack"/>
      <w:bookmarkEnd w:id="19"/>
    </w:p>
    <w:p>
      <w:pPr>
        <w:pStyle w:val="16"/>
        <w:widowControl w:val="0"/>
        <w:wordWrap/>
        <w:overflowPunct w:val="0"/>
        <w:snapToGrid/>
        <w:spacing w:before="0" w:after="0" w:line="600" w:lineRule="exact"/>
        <w:ind w:left="0" w:leftChars="0" w:right="0" w:firstLine="640" w:firstLineChars="200"/>
        <w:jc w:val="both"/>
        <w:textAlignment w:val="auto"/>
        <w:outlineLvl w:val="9"/>
        <w:rPr>
          <w:rFonts w:ascii="Times New Roman" w:hAnsi="Times New Roman" w:cs="Times New Roman"/>
          <w:bCs/>
          <w:color w:val="auto"/>
          <w:sz w:val="32"/>
          <w:szCs w:val="32"/>
        </w:rPr>
      </w:pPr>
      <w:r>
        <w:rPr>
          <w:rFonts w:ascii="Times New Roman" w:hAnsi="Times New Roman" w:eastAsia="楷体_GB2312" w:cs="Times New Roman"/>
          <w:b/>
          <w:bCs/>
          <w:color w:val="auto"/>
          <w:kern w:val="2"/>
          <w:sz w:val="32"/>
          <w:szCs w:val="32"/>
        </w:rPr>
        <w:t>（三）评价结果应用情况。</w:t>
      </w:r>
    </w:p>
    <w:p>
      <w:pPr>
        <w:widowControl w:val="0"/>
        <w:wordWrap/>
        <w:snapToGrid/>
        <w:spacing w:before="0" w:after="0" w:line="600" w:lineRule="exact"/>
        <w:ind w:left="0" w:leftChars="0" w:right="0" w:firstLine="640" w:firstLineChars="200"/>
        <w:textAlignment w:val="auto"/>
        <w:outlineLvl w:val="9"/>
        <w:rPr>
          <w:rFonts w:hint="eastAsia" w:ascii="Times New Roman" w:hAnsi="Times New Roman" w:eastAsia="黑体" w:cs="Times New Roman"/>
          <w:bCs/>
          <w:sz w:val="32"/>
          <w:szCs w:val="32"/>
          <w:lang w:val="en-US" w:eastAsia="zh-CN"/>
        </w:rPr>
      </w:pPr>
      <w:r>
        <w:rPr>
          <w:rFonts w:ascii="Times New Roman" w:hAnsi="Times New Roman" w:eastAsia="仿宋_GB2312"/>
          <w:sz w:val="32"/>
          <w:szCs w:val="24"/>
        </w:rPr>
        <w:t>2024年，省委组织部认真贯彻落实中央部署和省委要求，不断优化预算编制结构和资金分配比例</w:t>
      </w:r>
      <w:r>
        <w:rPr>
          <w:rFonts w:hint="eastAsia" w:ascii="Times New Roman" w:hAnsi="Times New Roman" w:eastAsia="仿宋_GB2312"/>
          <w:sz w:val="32"/>
          <w:szCs w:val="24"/>
          <w:lang w:eastAsia="zh-CN"/>
        </w:rPr>
        <w:t>、强化</w:t>
      </w:r>
      <w:r>
        <w:rPr>
          <w:rFonts w:ascii="Times New Roman" w:hAnsi="Times New Roman" w:eastAsia="仿宋_GB2312"/>
          <w:sz w:val="32"/>
          <w:szCs w:val="24"/>
        </w:rPr>
        <w:t>预算支出绩效运行监控</w:t>
      </w:r>
      <w:r>
        <w:rPr>
          <w:rFonts w:hint="eastAsia" w:ascii="Times New Roman" w:hAnsi="Times New Roman" w:eastAsia="仿宋_GB2312"/>
          <w:sz w:val="32"/>
          <w:szCs w:val="24"/>
          <w:lang w:eastAsia="zh-CN"/>
        </w:rPr>
        <w:t>和预算经费审批管理</w:t>
      </w:r>
      <w:r>
        <w:rPr>
          <w:rFonts w:ascii="Times New Roman" w:hAnsi="Times New Roman" w:eastAsia="仿宋_GB2312"/>
          <w:sz w:val="32"/>
          <w:szCs w:val="24"/>
        </w:rPr>
        <w:t>，</w:t>
      </w:r>
      <w:r>
        <w:rPr>
          <w:rFonts w:hint="eastAsia" w:ascii="Times New Roman" w:hAnsi="Times New Roman" w:eastAsia="仿宋_GB2312"/>
          <w:sz w:val="32"/>
          <w:szCs w:val="24"/>
          <w:lang w:eastAsia="zh-CN"/>
        </w:rPr>
        <w:t>持续</w:t>
      </w:r>
      <w:r>
        <w:rPr>
          <w:rFonts w:ascii="Times New Roman" w:hAnsi="Times New Roman" w:eastAsia="仿宋_GB2312"/>
          <w:sz w:val="32"/>
          <w:szCs w:val="24"/>
        </w:rPr>
        <w:t>推行预算执行与</w:t>
      </w:r>
      <w:r>
        <w:rPr>
          <w:rFonts w:hint="eastAsia" w:ascii="Times New Roman" w:hAnsi="Times New Roman" w:eastAsia="仿宋_GB2312"/>
          <w:sz w:val="32"/>
          <w:szCs w:val="24"/>
          <w:lang w:eastAsia="zh-CN"/>
        </w:rPr>
        <w:t>次年</w:t>
      </w:r>
      <w:r>
        <w:rPr>
          <w:rFonts w:ascii="Times New Roman" w:hAnsi="Times New Roman" w:eastAsia="仿宋_GB2312"/>
          <w:sz w:val="32"/>
          <w:szCs w:val="24"/>
        </w:rPr>
        <w:t>预算编制挂钩机制，有效提高了</w:t>
      </w:r>
      <w:r>
        <w:rPr>
          <w:rFonts w:hint="eastAsia" w:ascii="Times New Roman" w:hAnsi="Times New Roman" w:eastAsia="仿宋_GB2312"/>
          <w:sz w:val="32"/>
          <w:szCs w:val="24"/>
          <w:lang w:eastAsia="zh-CN"/>
        </w:rPr>
        <w:t>财政</w:t>
      </w:r>
      <w:r>
        <w:rPr>
          <w:rFonts w:ascii="Times New Roman" w:hAnsi="Times New Roman" w:eastAsia="仿宋_GB2312"/>
          <w:sz w:val="32"/>
          <w:szCs w:val="24"/>
        </w:rPr>
        <w:t>资金使用效能，圆满完成了全年各项工作任务</w:t>
      </w:r>
      <w:r>
        <w:rPr>
          <w:rFonts w:hint="eastAsia" w:ascii="Times New Roman" w:hAnsi="Times New Roman" w:eastAsia="仿宋_GB2312"/>
          <w:sz w:val="32"/>
          <w:szCs w:val="24"/>
        </w:rPr>
        <w:t>和</w:t>
      </w:r>
      <w:r>
        <w:rPr>
          <w:rFonts w:ascii="Times New Roman" w:hAnsi="Times New Roman" w:eastAsia="仿宋_GB2312"/>
          <w:sz w:val="32"/>
          <w:szCs w:val="24"/>
        </w:rPr>
        <w:t>各项目预算绩效目标</w:t>
      </w:r>
      <w:r>
        <w:rPr>
          <w:rFonts w:hint="eastAsia" w:ascii="Times New Roman" w:hAnsi="Times New Roman" w:eastAsia="仿宋_GB2312"/>
          <w:sz w:val="32"/>
          <w:szCs w:val="24"/>
        </w:rPr>
        <w:t>。</w:t>
      </w: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一、财政拨款收入：指财政当年拨付的资金。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二、年初结转和结余：指以前年度尚未完成、结转到本年按有关规定继续使用的资金。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三、年末结转和结余：指本年度或以前年度预算安排、因客 观条件发生变化无法按计划实施，需要延迟到以后年度按有关规定继续使用的资金。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四、基本支出：指为保障机构正常运转、完成日常工作任务而发生的人员支出和公用支出。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五、项目支出：指在基本支出之外为完成特定行政任务和事业发展目标所发生的支出。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六、“三公”经费：指财政拨款安排的因公出国(境)、公务用车购置及运行费和公务接待费。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七、机关运行经费：为保障行政单位运行用于购买货物和服务的各项资金，包括办公费、印刷费、邮电费、差旅费、会议费、 福利费、日常维修费、专用材料及一般设备购置费、办公用房水电费、办公用房取暖费、办公用房物业管理费、公务用车购置运行费以及其他费用。</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八、一般公共服务支出(类)组织事务(款)行政运行(项):反映组织部门用于保障机构正常运行、开展日常工作的基本支出。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九、一般公共服务支出(类)组织事务(款)一般行政管理事务(项):反映组织部门未单独设置项级科目的其他项目支出。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十、教育支出(类)进修及培训(款)培训支出(项):反映为配合组织业务工作开展，用于培训的支出。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十二、社会保障和就业支出(类)人力资源和社会保障管理事务(款)行政运行(项):反映行政单位的基本支出。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十三、社会保障和就业支出(类)行政事业单位养老支出(款)行政单位离退休(项):反映为单位开支的离退休经费。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十四、社会保障和就业支出(类)行政事业单位养老支出(款)机关事业单位基本养老保险缴费支出(项):反映为单位实施养老保险制度由单位缴纳的基本养老保险费支出。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十五、卫生健康支出(类)行政事业单位医疗(款)行政单位医疗(项):反映为按国家享受离休人员、红军老战士待遇人员的医疗经费。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十六、住房保障支出(类)住房改革支出(款)住房公积金(项):反映为单位按照国家相关规定的基本工资和津贴补贴以及规定比例为职工缴纳的住房公积金。</w:t>
      </w:r>
    </w:p>
    <w:p>
      <w:pPr>
        <w:pStyle w:val="16"/>
        <w:spacing w:line="580" w:lineRule="exact"/>
        <w:ind w:firstLine="1440" w:firstLineChars="200"/>
        <w:jc w:val="both"/>
        <w:rPr>
          <w:rFonts w:ascii="Times New Roman" w:hAnsi="Times New Roman" w:cs="Times New Roman"/>
          <w:color w:val="auto"/>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jc w:val="center"/>
        <w:rPr>
          <w:rFonts w:hint="default" w:ascii="Times New Roman" w:hAnsi="Times New Roman" w:eastAsia="方正小标宋简体" w:cs="Times New Roman"/>
          <w:spacing w:val="-8"/>
          <w:sz w:val="44"/>
          <w:szCs w:val="44"/>
        </w:rPr>
      </w:pPr>
      <w:r>
        <w:rPr>
          <w:rFonts w:hint="default" w:ascii="Times New Roman" w:hAnsi="Times New Roman" w:eastAsia="方正小标宋简体" w:cs="Times New Roman"/>
          <w:spacing w:val="-8"/>
          <w:sz w:val="44"/>
          <w:szCs w:val="44"/>
        </w:rPr>
        <w:t>2024年度省委组织部整体支出绩效自评报告</w:t>
      </w: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方正小标宋_GBK" w:cs="Times New Roman"/>
          <w:sz w:val="36"/>
          <w:szCs w:val="36"/>
        </w:rPr>
      </w:pPr>
    </w:p>
    <w:p>
      <w:pPr>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中共湖南省委组织部</w:t>
      </w:r>
    </w:p>
    <w:p>
      <w:pPr>
        <w:jc w:val="center"/>
        <w:rPr>
          <w:rFonts w:hint="eastAsia" w:ascii="Times New Roman" w:hAnsi="Times New Roman" w:eastAsia="楷体_GB2312" w:cs="Times New Roman"/>
          <w:sz w:val="36"/>
          <w:szCs w:val="36"/>
          <w:lang w:val="en-US" w:eastAsia="zh-CN"/>
        </w:rPr>
      </w:pPr>
      <w:r>
        <w:rPr>
          <w:rFonts w:hint="eastAsia" w:ascii="Times New Roman" w:hAnsi="Times New Roman" w:eastAsia="楷体_GB2312" w:cs="Times New Roman"/>
          <w:sz w:val="36"/>
          <w:szCs w:val="36"/>
          <w:lang w:val="en-US" w:eastAsia="zh-CN"/>
        </w:rPr>
        <w:t>2025年4月19日</w:t>
      </w:r>
    </w:p>
    <w:p>
      <w:pPr>
        <w:spacing w:line="600" w:lineRule="exact"/>
        <w:rPr>
          <w:rFonts w:hint="default" w:ascii="Times New Roman" w:hAnsi="Times New Roman" w:eastAsia="楷体_GB2312" w:cs="Times New Roman"/>
          <w:sz w:val="36"/>
          <w:szCs w:val="36"/>
          <w:lang w:val="en-US" w:eastAsia="zh-CN"/>
        </w:rPr>
        <w:sectPr>
          <w:pgSz w:w="11906" w:h="16838"/>
          <w:pgMar w:top="1701" w:right="1701" w:bottom="1701" w:left="1701" w:header="851" w:footer="992" w:gutter="0"/>
          <w:paperSrc w:first="0" w:other="0"/>
          <w:cols w:space="720" w:num="1"/>
          <w:docGrid w:type="lines" w:linePitch="312" w:charSpace="0"/>
        </w:sectPr>
      </w:pPr>
      <w:r>
        <w:rPr>
          <w:rFonts w:hint="default" w:ascii="Times New Roman" w:hAnsi="Times New Roman" w:eastAsia="楷体_GB2312" w:cs="Times New Roman"/>
          <w:sz w:val="36"/>
          <w:szCs w:val="36"/>
          <w:lang w:val="en-US" w:eastAsia="zh-CN"/>
        </w:rPr>
        <w:t xml:space="preserve">         </w:t>
      </w:r>
      <w:r>
        <w:rPr>
          <w:rFonts w:hint="eastAsia" w:ascii="Times New Roman" w:hAnsi="Times New Roman" w:eastAsia="楷体_GB2312" w:cs="Times New Roman"/>
          <w:sz w:val="36"/>
          <w:szCs w:val="36"/>
          <w:lang w:val="en-US" w:eastAsia="zh-CN"/>
        </w:rPr>
        <w:t xml:space="preserve"> </w:t>
      </w:r>
      <w:r>
        <w:rPr>
          <w:rFonts w:hint="default" w:ascii="Times New Roman" w:hAnsi="Times New Roman" w:eastAsia="楷体_GB2312" w:cs="Times New Roman"/>
          <w:sz w:val="36"/>
          <w:szCs w:val="36"/>
          <w:lang w:val="en-US" w:eastAsia="zh-CN"/>
        </w:rPr>
        <w:t xml:space="preserve">  </w:t>
      </w:r>
      <w:r>
        <w:rPr>
          <w:rFonts w:hint="eastAsia" w:ascii="Times New Roman" w:hAnsi="Times New Roman" w:eastAsia="楷体_GB2312" w:cs="Times New Roman"/>
          <w:sz w:val="36"/>
          <w:szCs w:val="36"/>
          <w:lang w:val="en-US" w:eastAsia="zh-CN"/>
        </w:rPr>
        <w:t xml:space="preserve">  </w:t>
      </w:r>
    </w:p>
    <w:p>
      <w:pPr>
        <w:spacing w:line="600" w:lineRule="exact"/>
        <w:jc w:val="center"/>
        <w:rPr>
          <w:rFonts w:hint="default" w:ascii="Times New Roman" w:hAnsi="Times New Roman" w:eastAsia="仿宋" w:cs="Times New Roman"/>
          <w:color w:val="auto"/>
          <w:sz w:val="40"/>
          <w:szCs w:val="48"/>
        </w:rPr>
      </w:pPr>
    </w:p>
    <w:p>
      <w:pPr>
        <w:spacing w:line="600" w:lineRule="exact"/>
        <w:jc w:val="center"/>
        <w:rPr>
          <w:rFonts w:hint="default" w:ascii="Times New Roman" w:hAnsi="Times New Roman" w:eastAsia="方正小标宋_GBK" w:cs="Times New Roman"/>
          <w:color w:val="auto"/>
          <w:sz w:val="40"/>
          <w:szCs w:val="40"/>
        </w:rPr>
      </w:pPr>
      <w:r>
        <w:rPr>
          <w:rFonts w:hint="default" w:ascii="Times New Roman" w:hAnsi="Times New Roman" w:eastAsia="方正小标宋简体" w:cs="Times New Roman"/>
          <w:color w:val="auto"/>
          <w:sz w:val="40"/>
          <w:szCs w:val="40"/>
        </w:rPr>
        <w:t>目 录</w:t>
      </w:r>
    </w:p>
    <w:p>
      <w:pPr>
        <w:pStyle w:val="4"/>
        <w:rPr>
          <w:rFonts w:hint="default" w:ascii="Times New Roman" w:hAnsi="Times New Roman" w:cs="Times New Roman"/>
          <w:color w:val="auto"/>
          <w:lang w:val="en-US" w:bidi="ar-SA"/>
        </w:rPr>
      </w:pPr>
    </w:p>
    <w:p>
      <w:pPr>
        <w:pStyle w:val="11"/>
        <w:widowControl w:val="0"/>
        <w:tabs>
          <w:tab w:val="right" w:leader="dot" w:pos="8306"/>
        </w:tabs>
        <w:wordWrap/>
        <w:adjustRightInd/>
        <w:snapToGrid/>
        <w:spacing w:before="0" w:after="0" w:line="640" w:lineRule="exact"/>
        <w:ind w:left="0" w:leftChars="0" w:right="0"/>
        <w:jc w:val="both"/>
        <w:textAlignment w:val="auto"/>
        <w:outlineLvl w:val="9"/>
        <w:rPr>
          <w:rFonts w:hint="default" w:ascii="Times New Roman" w:hAnsi="Times New Roman" w:eastAsia="楷体_GB2312" w:cs="Times New Roman"/>
          <w:color w:val="auto"/>
          <w:sz w:val="28"/>
          <w:szCs w:val="28"/>
        </w:rPr>
      </w:pPr>
      <w:r>
        <w:rPr>
          <w:rFonts w:hint="default" w:ascii="Times New Roman" w:hAnsi="Times New Roman" w:eastAsia="楷体" w:cs="Times New Roman"/>
          <w:color w:val="auto"/>
          <w:sz w:val="28"/>
          <w:szCs w:val="28"/>
        </w:rPr>
        <w:fldChar w:fldCharType="begin"/>
      </w:r>
      <w:r>
        <w:rPr>
          <w:rFonts w:hint="default" w:ascii="Times New Roman" w:hAnsi="Times New Roman" w:eastAsia="楷体" w:cs="Times New Roman"/>
          <w:color w:val="auto"/>
          <w:sz w:val="28"/>
          <w:szCs w:val="28"/>
        </w:rPr>
        <w:instrText xml:space="preserve">TOC \o "1-2" \h \u </w:instrText>
      </w:r>
      <w:r>
        <w:rPr>
          <w:rFonts w:hint="default" w:ascii="Times New Roman" w:hAnsi="Times New Roman" w:eastAsia="楷体" w:cs="Times New Roman"/>
          <w:color w:val="auto"/>
          <w:sz w:val="28"/>
          <w:szCs w:val="28"/>
        </w:rPr>
        <w:fldChar w:fldCharType="separate"/>
      </w:r>
      <w:r>
        <w:rPr>
          <w:rFonts w:hint="eastAsia" w:ascii="黑体" w:hAnsi="黑体" w:eastAsia="黑体" w:cs="黑体"/>
          <w:color w:val="auto"/>
        </w:rPr>
        <w:fldChar w:fldCharType="begin"/>
      </w:r>
      <w:r>
        <w:rPr>
          <w:rFonts w:hint="eastAsia" w:ascii="黑体" w:hAnsi="黑体" w:eastAsia="黑体" w:cs="黑体"/>
          <w:color w:val="auto"/>
        </w:rPr>
        <w:instrText xml:space="preserve">HYPERLINK  \l "_Toc3057" </w:instrText>
      </w:r>
      <w:r>
        <w:rPr>
          <w:rFonts w:hint="eastAsia" w:ascii="黑体" w:hAnsi="黑体" w:eastAsia="黑体" w:cs="黑体"/>
          <w:color w:val="auto"/>
        </w:rPr>
        <w:fldChar w:fldCharType="separate"/>
      </w:r>
      <w:r>
        <w:rPr>
          <w:rFonts w:hint="eastAsia" w:ascii="黑体" w:hAnsi="黑体" w:eastAsia="黑体" w:cs="黑体"/>
          <w:color w:val="auto"/>
          <w:sz w:val="28"/>
          <w:szCs w:val="28"/>
        </w:rPr>
        <w:t>一、部门基本情况</w:t>
      </w:r>
      <w:r>
        <w:rPr>
          <w:rFonts w:hint="eastAsia" w:ascii="黑体" w:hAnsi="黑体" w:eastAsia="黑体" w:cs="黑体"/>
          <w:color w:val="auto"/>
          <w:sz w:val="28"/>
          <w:szCs w:val="28"/>
        </w:rPr>
        <w:tab/>
      </w:r>
      <w:r>
        <w:rPr>
          <w:rFonts w:hint="eastAsia" w:ascii="黑体" w:hAnsi="黑体" w:eastAsia="黑体" w:cs="黑体"/>
          <w:color w:val="auto"/>
          <w:sz w:val="28"/>
          <w:szCs w:val="28"/>
        </w:rPr>
        <w:t>.</w:t>
      </w: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color w:val="auto"/>
          <w:sz w:val="28"/>
          <w:szCs w:val="28"/>
        </w:rPr>
        <w:instrText xml:space="preserve"> PAGEREF _Toc3057 \h </w:instrText>
      </w:r>
      <w:r>
        <w:rPr>
          <w:rFonts w:hint="default" w:ascii="Times New Roman" w:hAnsi="Times New Roman" w:eastAsia="黑体" w:cs="Times New Roman"/>
          <w:color w:val="auto"/>
          <w:sz w:val="28"/>
          <w:szCs w:val="28"/>
        </w:rPr>
        <w:fldChar w:fldCharType="separate"/>
      </w:r>
      <w:r>
        <w:rPr>
          <w:rFonts w:hint="default" w:ascii="Times New Roman" w:hAnsi="Times New Roman" w:eastAsia="黑体" w:cs="Times New Roman"/>
          <w:color w:val="auto"/>
          <w:sz w:val="28"/>
          <w:szCs w:val="28"/>
        </w:rPr>
        <w:t>2</w:t>
      </w:r>
      <w:r>
        <w:rPr>
          <w:rFonts w:hint="default" w:ascii="Times New Roman" w:hAnsi="Times New Roman" w:eastAsia="黑体" w:cs="Times New Roman"/>
          <w:color w:val="auto"/>
          <w:sz w:val="28"/>
          <w:szCs w:val="28"/>
        </w:rPr>
        <w:fldChar w:fldCharType="end"/>
      </w:r>
      <w:r>
        <w:rPr>
          <w:rFonts w:hint="eastAsia" w:ascii="黑体" w:hAnsi="黑体" w:eastAsia="黑体" w:cs="黑体"/>
          <w:color w:val="auto"/>
        </w:rPr>
        <w:fldChar w:fldCharType="end"/>
      </w:r>
    </w:p>
    <w:p>
      <w:pPr>
        <w:pStyle w:val="11"/>
        <w:widowControl w:val="0"/>
        <w:tabs>
          <w:tab w:val="right" w:leader="dot" w:pos="8306"/>
        </w:tabs>
        <w:wordWrap/>
        <w:adjustRightInd/>
        <w:snapToGrid/>
        <w:spacing w:before="0" w:after="0" w:line="640" w:lineRule="exact"/>
        <w:ind w:left="0" w:leftChars="0" w:right="0"/>
        <w:jc w:val="both"/>
        <w:textAlignment w:val="auto"/>
        <w:outlineLvl w:val="9"/>
        <w:rPr>
          <w:rFonts w:hint="default" w:ascii="Times New Roman" w:hAnsi="Times New Roman" w:eastAsia="楷体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"_Toc26864" </w:instrText>
      </w:r>
      <w:r>
        <w:rPr>
          <w:rFonts w:hint="default" w:ascii="Times New Roman" w:hAnsi="Times New Roman" w:cs="Times New Roman"/>
          <w:color w:val="auto"/>
        </w:rPr>
        <w:fldChar w:fldCharType="separate"/>
      </w:r>
      <w:r>
        <w:rPr>
          <w:rFonts w:hint="eastAsia" w:ascii="黑体" w:hAnsi="黑体" w:eastAsia="黑体" w:cs="黑体"/>
          <w:color w:val="auto"/>
          <w:sz w:val="28"/>
          <w:szCs w:val="28"/>
        </w:rPr>
        <w:t>二、一般公共预算支出情况</w:t>
      </w:r>
      <w:r>
        <w:rPr>
          <w:rFonts w:hint="default" w:ascii="Times New Roman" w:hAnsi="Times New Roman" w:eastAsia="楷体_GB2312" w:cs="Times New Roman"/>
          <w:color w:val="auto"/>
          <w:sz w:val="28"/>
          <w:szCs w:val="28"/>
        </w:rPr>
        <w:tab/>
      </w:r>
      <w:r>
        <w:rPr>
          <w:rFonts w:hint="default" w:ascii="Times New Roman" w:hAnsi="Times New Roman" w:eastAsia="楷体_GB2312" w:cs="Times New Roman"/>
          <w:color w:val="auto"/>
          <w:sz w:val="28"/>
          <w:szCs w:val="28"/>
        </w:rPr>
        <w:fldChar w:fldCharType="begin"/>
      </w:r>
      <w:r>
        <w:rPr>
          <w:rFonts w:hint="default" w:ascii="Times New Roman" w:hAnsi="Times New Roman" w:eastAsia="楷体_GB2312" w:cs="Times New Roman"/>
          <w:color w:val="auto"/>
          <w:sz w:val="28"/>
          <w:szCs w:val="28"/>
        </w:rPr>
        <w:instrText xml:space="preserve"> PAGEREF _Toc26864 \h </w:instrText>
      </w:r>
      <w:r>
        <w:rPr>
          <w:rFonts w:hint="default" w:ascii="Times New Roman" w:hAnsi="Times New Roman" w:eastAsia="楷体_GB2312" w:cs="Times New Roman"/>
          <w:color w:val="auto"/>
          <w:sz w:val="28"/>
          <w:szCs w:val="28"/>
        </w:rPr>
        <w:fldChar w:fldCharType="separate"/>
      </w:r>
      <w:r>
        <w:rPr>
          <w:rFonts w:hint="default" w:ascii="Times New Roman" w:hAnsi="Times New Roman" w:eastAsia="楷体_GB2312" w:cs="Times New Roman"/>
          <w:color w:val="auto"/>
          <w:sz w:val="28"/>
          <w:szCs w:val="28"/>
        </w:rPr>
        <w:t>2</w:t>
      </w:r>
      <w:r>
        <w:rPr>
          <w:rFonts w:hint="default" w:ascii="Times New Roman" w:hAnsi="Times New Roman" w:eastAsia="楷体_GB2312" w:cs="Times New Roman"/>
          <w:color w:val="auto"/>
          <w:sz w:val="28"/>
          <w:szCs w:val="28"/>
        </w:rPr>
        <w:fldChar w:fldCharType="end"/>
      </w:r>
      <w:r>
        <w:rPr>
          <w:rFonts w:hint="default" w:ascii="Times New Roman" w:hAnsi="Times New Roman" w:cs="Times New Roman"/>
          <w:color w:val="auto"/>
        </w:rPr>
        <w:fldChar w:fldCharType="end"/>
      </w:r>
    </w:p>
    <w:p>
      <w:pPr>
        <w:pStyle w:val="13"/>
        <w:widowControl w:val="0"/>
        <w:tabs>
          <w:tab w:val="right" w:leader="dot" w:pos="8306"/>
        </w:tabs>
        <w:wordWrap/>
        <w:adjustRightInd/>
        <w:snapToGrid/>
        <w:spacing w:before="0" w:after="0" w:line="640" w:lineRule="exact"/>
        <w:ind w:left="0" w:leftChars="0" w:right="0" w:firstLine="420" w:firstLineChars="200"/>
        <w:jc w:val="both"/>
        <w:textAlignment w:val="auto"/>
        <w:outlineLvl w:val="9"/>
        <w:rPr>
          <w:rFonts w:hint="default" w:ascii="Times New Roman" w:hAnsi="Times New Roman" w:eastAsia="楷体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"_Toc15836" </w:instrText>
      </w:r>
      <w:r>
        <w:rPr>
          <w:rFonts w:hint="default" w:ascii="Times New Roman" w:hAnsi="Times New Roman" w:cs="Times New Roman"/>
          <w:color w:val="auto"/>
        </w:rPr>
        <w:fldChar w:fldCharType="separate"/>
      </w:r>
      <w:r>
        <w:rPr>
          <w:rFonts w:hint="default" w:ascii="Times New Roman" w:hAnsi="Times New Roman" w:eastAsia="楷体_GB2312" w:cs="Times New Roman"/>
          <w:color w:val="auto"/>
          <w:sz w:val="28"/>
          <w:szCs w:val="28"/>
        </w:rPr>
        <w:t>（一）一般公共预算总体情况</w:t>
      </w:r>
      <w:r>
        <w:rPr>
          <w:rFonts w:hint="default" w:ascii="Times New Roman" w:hAnsi="Times New Roman" w:eastAsia="楷体_GB2312" w:cs="Times New Roman"/>
          <w:color w:val="auto"/>
          <w:sz w:val="28"/>
          <w:szCs w:val="28"/>
        </w:rPr>
        <w:tab/>
      </w:r>
      <w:r>
        <w:rPr>
          <w:rFonts w:hint="default" w:ascii="Times New Roman" w:hAnsi="Times New Roman" w:eastAsia="楷体_GB2312" w:cs="Times New Roman"/>
          <w:color w:val="auto"/>
          <w:sz w:val="28"/>
          <w:szCs w:val="28"/>
        </w:rPr>
        <w:fldChar w:fldCharType="begin"/>
      </w:r>
      <w:r>
        <w:rPr>
          <w:rFonts w:hint="default" w:ascii="Times New Roman" w:hAnsi="Times New Roman" w:eastAsia="楷体_GB2312" w:cs="Times New Roman"/>
          <w:color w:val="auto"/>
          <w:sz w:val="28"/>
          <w:szCs w:val="28"/>
        </w:rPr>
        <w:instrText xml:space="preserve"> PAGEREF _Toc15836 \h </w:instrText>
      </w:r>
      <w:r>
        <w:rPr>
          <w:rFonts w:hint="default" w:ascii="Times New Roman" w:hAnsi="Times New Roman" w:eastAsia="楷体_GB2312" w:cs="Times New Roman"/>
          <w:color w:val="auto"/>
          <w:sz w:val="28"/>
          <w:szCs w:val="28"/>
        </w:rPr>
        <w:fldChar w:fldCharType="separate"/>
      </w:r>
      <w:r>
        <w:rPr>
          <w:rFonts w:hint="default" w:ascii="Times New Roman" w:hAnsi="Times New Roman" w:eastAsia="楷体_GB2312" w:cs="Times New Roman"/>
          <w:color w:val="auto"/>
          <w:sz w:val="28"/>
          <w:szCs w:val="28"/>
        </w:rPr>
        <w:t>2</w:t>
      </w:r>
      <w:r>
        <w:rPr>
          <w:rFonts w:hint="default" w:ascii="Times New Roman" w:hAnsi="Times New Roman" w:eastAsia="楷体_GB2312" w:cs="Times New Roman"/>
          <w:color w:val="auto"/>
          <w:sz w:val="28"/>
          <w:szCs w:val="28"/>
        </w:rPr>
        <w:fldChar w:fldCharType="end"/>
      </w:r>
      <w:r>
        <w:rPr>
          <w:rFonts w:hint="default" w:ascii="Times New Roman" w:hAnsi="Times New Roman" w:cs="Times New Roman"/>
          <w:color w:val="auto"/>
        </w:rPr>
        <w:fldChar w:fldCharType="end"/>
      </w:r>
    </w:p>
    <w:p>
      <w:pPr>
        <w:pStyle w:val="13"/>
        <w:widowControl w:val="0"/>
        <w:tabs>
          <w:tab w:val="right" w:leader="dot" w:pos="8306"/>
        </w:tabs>
        <w:wordWrap/>
        <w:adjustRightInd/>
        <w:snapToGrid/>
        <w:spacing w:before="0" w:after="0" w:line="640" w:lineRule="exact"/>
        <w:ind w:left="0" w:leftChars="0" w:right="0" w:firstLine="420" w:firstLineChars="200"/>
        <w:jc w:val="both"/>
        <w:textAlignment w:val="auto"/>
        <w:outlineLvl w:val="9"/>
        <w:rPr>
          <w:rFonts w:hint="default" w:ascii="Times New Roman" w:hAnsi="Times New Roman" w:eastAsia="楷体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"_Toc9681" </w:instrText>
      </w:r>
      <w:r>
        <w:rPr>
          <w:rFonts w:hint="default" w:ascii="Times New Roman" w:hAnsi="Times New Roman" w:cs="Times New Roman"/>
          <w:color w:val="auto"/>
        </w:rPr>
        <w:fldChar w:fldCharType="separate"/>
      </w:r>
      <w:r>
        <w:rPr>
          <w:rFonts w:hint="default" w:ascii="Times New Roman" w:hAnsi="Times New Roman" w:eastAsia="楷体_GB2312" w:cs="Times New Roman"/>
          <w:color w:val="auto"/>
          <w:sz w:val="28"/>
          <w:szCs w:val="28"/>
        </w:rPr>
        <w:t>（二）基本支出情况</w:t>
      </w:r>
      <w:r>
        <w:rPr>
          <w:rFonts w:hint="default" w:ascii="Times New Roman" w:hAnsi="Times New Roman" w:eastAsia="楷体_GB2312" w:cs="Times New Roman"/>
          <w:color w:val="auto"/>
          <w:sz w:val="28"/>
          <w:szCs w:val="28"/>
        </w:rPr>
        <w:tab/>
      </w:r>
      <w:r>
        <w:rPr>
          <w:rFonts w:hint="default" w:ascii="Times New Roman" w:hAnsi="Times New Roman" w:eastAsia="楷体_GB2312" w:cs="Times New Roman"/>
          <w:color w:val="auto"/>
          <w:sz w:val="28"/>
          <w:szCs w:val="28"/>
        </w:rPr>
        <w:fldChar w:fldCharType="begin"/>
      </w:r>
      <w:r>
        <w:rPr>
          <w:rFonts w:hint="default" w:ascii="Times New Roman" w:hAnsi="Times New Roman" w:eastAsia="楷体_GB2312" w:cs="Times New Roman"/>
          <w:color w:val="auto"/>
          <w:sz w:val="28"/>
          <w:szCs w:val="28"/>
        </w:rPr>
        <w:instrText xml:space="preserve"> PAGEREF _Toc9681 \h </w:instrText>
      </w:r>
      <w:r>
        <w:rPr>
          <w:rFonts w:hint="default" w:ascii="Times New Roman" w:hAnsi="Times New Roman" w:eastAsia="楷体_GB2312" w:cs="Times New Roman"/>
          <w:color w:val="auto"/>
          <w:sz w:val="28"/>
          <w:szCs w:val="28"/>
        </w:rPr>
        <w:fldChar w:fldCharType="separate"/>
      </w:r>
      <w:r>
        <w:rPr>
          <w:rFonts w:hint="default" w:ascii="Times New Roman" w:hAnsi="Times New Roman" w:eastAsia="楷体_GB2312" w:cs="Times New Roman"/>
          <w:color w:val="auto"/>
          <w:sz w:val="28"/>
          <w:szCs w:val="28"/>
        </w:rPr>
        <w:t>3</w:t>
      </w:r>
      <w:r>
        <w:rPr>
          <w:rFonts w:hint="default" w:ascii="Times New Roman" w:hAnsi="Times New Roman" w:eastAsia="楷体_GB2312" w:cs="Times New Roman"/>
          <w:color w:val="auto"/>
          <w:sz w:val="28"/>
          <w:szCs w:val="28"/>
        </w:rPr>
        <w:fldChar w:fldCharType="end"/>
      </w:r>
      <w:r>
        <w:rPr>
          <w:rFonts w:hint="default" w:ascii="Times New Roman" w:hAnsi="Times New Roman" w:cs="Times New Roman"/>
          <w:color w:val="auto"/>
        </w:rPr>
        <w:fldChar w:fldCharType="end"/>
      </w:r>
    </w:p>
    <w:p>
      <w:pPr>
        <w:pStyle w:val="13"/>
        <w:widowControl w:val="0"/>
        <w:tabs>
          <w:tab w:val="right" w:leader="dot" w:pos="8306"/>
        </w:tabs>
        <w:wordWrap/>
        <w:adjustRightInd/>
        <w:snapToGrid/>
        <w:spacing w:before="0" w:after="0" w:line="640" w:lineRule="exact"/>
        <w:ind w:left="0" w:leftChars="0" w:right="0" w:firstLine="420" w:firstLineChars="200"/>
        <w:jc w:val="both"/>
        <w:textAlignment w:val="auto"/>
        <w:outlineLvl w:val="9"/>
        <w:rPr>
          <w:rFonts w:hint="default" w:ascii="Times New Roman" w:hAnsi="Times New Roman" w:eastAsia="楷体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"_Toc31351" </w:instrText>
      </w:r>
      <w:r>
        <w:rPr>
          <w:rFonts w:hint="default" w:ascii="Times New Roman" w:hAnsi="Times New Roman" w:cs="Times New Roman"/>
          <w:color w:val="auto"/>
        </w:rPr>
        <w:fldChar w:fldCharType="separate"/>
      </w:r>
      <w:r>
        <w:rPr>
          <w:rFonts w:hint="default" w:ascii="Times New Roman" w:hAnsi="Times New Roman" w:eastAsia="楷体_GB2312" w:cs="Times New Roman"/>
          <w:color w:val="auto"/>
          <w:sz w:val="28"/>
          <w:szCs w:val="28"/>
        </w:rPr>
        <w:t>（三）项目支出情况</w:t>
      </w:r>
      <w:r>
        <w:rPr>
          <w:rFonts w:hint="default" w:ascii="Times New Roman" w:hAnsi="Times New Roman" w:eastAsia="楷体_GB2312" w:cs="Times New Roman"/>
          <w:color w:val="auto"/>
          <w:sz w:val="28"/>
          <w:szCs w:val="28"/>
        </w:rPr>
        <w:tab/>
      </w:r>
      <w:r>
        <w:rPr>
          <w:rFonts w:hint="default" w:ascii="Times New Roman" w:hAnsi="Times New Roman" w:eastAsia="楷体_GB2312" w:cs="Times New Roman"/>
          <w:color w:val="auto"/>
          <w:sz w:val="28"/>
          <w:szCs w:val="28"/>
        </w:rPr>
        <w:fldChar w:fldCharType="begin"/>
      </w:r>
      <w:r>
        <w:rPr>
          <w:rFonts w:hint="default" w:ascii="Times New Roman" w:hAnsi="Times New Roman" w:eastAsia="楷体_GB2312" w:cs="Times New Roman"/>
          <w:color w:val="auto"/>
          <w:sz w:val="28"/>
          <w:szCs w:val="28"/>
        </w:rPr>
        <w:instrText xml:space="preserve"> PAGEREF _Toc31351 \h </w:instrText>
      </w:r>
      <w:r>
        <w:rPr>
          <w:rFonts w:hint="default" w:ascii="Times New Roman" w:hAnsi="Times New Roman" w:eastAsia="楷体_GB2312" w:cs="Times New Roman"/>
          <w:color w:val="auto"/>
          <w:sz w:val="28"/>
          <w:szCs w:val="28"/>
        </w:rPr>
        <w:fldChar w:fldCharType="separate"/>
      </w:r>
      <w:r>
        <w:rPr>
          <w:rFonts w:hint="default" w:ascii="Times New Roman" w:hAnsi="Times New Roman" w:eastAsia="楷体_GB2312" w:cs="Times New Roman"/>
          <w:color w:val="auto"/>
          <w:sz w:val="28"/>
          <w:szCs w:val="28"/>
        </w:rPr>
        <w:t>4</w:t>
      </w:r>
      <w:r>
        <w:rPr>
          <w:rFonts w:hint="default" w:ascii="Times New Roman" w:hAnsi="Times New Roman" w:eastAsia="楷体_GB2312" w:cs="Times New Roman"/>
          <w:color w:val="auto"/>
          <w:sz w:val="28"/>
          <w:szCs w:val="28"/>
        </w:rPr>
        <w:fldChar w:fldCharType="end"/>
      </w:r>
      <w:r>
        <w:rPr>
          <w:rFonts w:hint="default" w:ascii="Times New Roman" w:hAnsi="Times New Roman" w:cs="Times New Roman"/>
          <w:color w:val="auto"/>
        </w:rPr>
        <w:fldChar w:fldCharType="end"/>
      </w:r>
    </w:p>
    <w:p>
      <w:pPr>
        <w:pStyle w:val="13"/>
        <w:widowControl w:val="0"/>
        <w:tabs>
          <w:tab w:val="right" w:leader="dot" w:pos="8306"/>
        </w:tabs>
        <w:wordWrap/>
        <w:adjustRightInd/>
        <w:snapToGrid/>
        <w:spacing w:before="0" w:after="0" w:line="640" w:lineRule="exact"/>
        <w:ind w:left="0" w:leftChars="0" w:right="0"/>
        <w:jc w:val="both"/>
        <w:textAlignment w:val="auto"/>
        <w:outlineLvl w:val="9"/>
        <w:rPr>
          <w:rFonts w:hint="default" w:ascii="Times New Roman" w:hAnsi="Times New Roman" w:eastAsia="楷体_GB2312" w:cs="Times New Roman"/>
          <w:color w:val="auto"/>
          <w:sz w:val="28"/>
          <w:szCs w:val="28"/>
        </w:rPr>
      </w:pP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"_Toc21729" </w:instrText>
      </w:r>
      <w:r>
        <w:rPr>
          <w:rFonts w:hint="default" w:ascii="Times New Roman" w:hAnsi="Times New Roman" w:cs="Times New Roman"/>
          <w:color w:val="auto"/>
        </w:rPr>
        <w:fldChar w:fldCharType="separate"/>
      </w:r>
      <w:r>
        <w:rPr>
          <w:rFonts w:hint="default" w:ascii="Times New Roman" w:hAnsi="Times New Roman" w:eastAsia="楷体_GB2312" w:cs="Times New Roman"/>
          <w:color w:val="auto"/>
          <w:sz w:val="28"/>
          <w:szCs w:val="28"/>
        </w:rPr>
        <w:t>四）三公经费预算执行情况</w:t>
      </w:r>
      <w:r>
        <w:rPr>
          <w:rFonts w:hint="default" w:ascii="Times New Roman" w:hAnsi="Times New Roman" w:eastAsia="楷体_GB2312" w:cs="Times New Roman"/>
          <w:color w:val="auto"/>
          <w:sz w:val="28"/>
          <w:szCs w:val="28"/>
        </w:rPr>
        <w:tab/>
      </w:r>
      <w:r>
        <w:rPr>
          <w:rFonts w:hint="default" w:ascii="Times New Roman" w:hAnsi="Times New Roman" w:eastAsia="楷体_GB2312" w:cs="Times New Roman"/>
          <w:color w:val="auto"/>
          <w:sz w:val="28"/>
          <w:szCs w:val="28"/>
        </w:rPr>
        <w:fldChar w:fldCharType="begin"/>
      </w:r>
      <w:r>
        <w:rPr>
          <w:rFonts w:hint="default" w:ascii="Times New Roman" w:hAnsi="Times New Roman" w:eastAsia="楷体_GB2312" w:cs="Times New Roman"/>
          <w:color w:val="auto"/>
          <w:sz w:val="28"/>
          <w:szCs w:val="28"/>
        </w:rPr>
        <w:instrText xml:space="preserve"> PAGEREF _Toc21729 \h </w:instrText>
      </w:r>
      <w:r>
        <w:rPr>
          <w:rFonts w:hint="default" w:ascii="Times New Roman" w:hAnsi="Times New Roman" w:eastAsia="楷体_GB2312" w:cs="Times New Roman"/>
          <w:color w:val="auto"/>
          <w:sz w:val="28"/>
          <w:szCs w:val="28"/>
        </w:rPr>
        <w:fldChar w:fldCharType="separate"/>
      </w:r>
      <w:r>
        <w:rPr>
          <w:rFonts w:hint="default" w:ascii="Times New Roman" w:hAnsi="Times New Roman" w:eastAsia="楷体_GB2312" w:cs="Times New Roman"/>
          <w:color w:val="auto"/>
          <w:sz w:val="28"/>
          <w:szCs w:val="28"/>
        </w:rPr>
        <w:t>4</w:t>
      </w:r>
      <w:r>
        <w:rPr>
          <w:rFonts w:hint="default" w:ascii="Times New Roman" w:hAnsi="Times New Roman" w:eastAsia="楷体_GB2312" w:cs="Times New Roman"/>
          <w:color w:val="auto"/>
          <w:sz w:val="28"/>
          <w:szCs w:val="28"/>
        </w:rPr>
        <w:fldChar w:fldCharType="end"/>
      </w:r>
      <w:r>
        <w:rPr>
          <w:rFonts w:hint="default" w:ascii="Times New Roman" w:hAnsi="Times New Roman" w:cs="Times New Roman"/>
          <w:color w:val="auto"/>
        </w:rPr>
        <w:fldChar w:fldCharType="end"/>
      </w:r>
    </w:p>
    <w:p>
      <w:pPr>
        <w:pStyle w:val="13"/>
        <w:widowControl w:val="0"/>
        <w:tabs>
          <w:tab w:val="right" w:leader="dot" w:pos="8306"/>
        </w:tabs>
        <w:wordWrap/>
        <w:adjustRightInd/>
        <w:snapToGrid/>
        <w:spacing w:before="0" w:after="0" w:line="640" w:lineRule="exact"/>
        <w:ind w:left="0" w:leftChars="0" w:right="0" w:firstLine="420" w:firstLineChars="200"/>
        <w:jc w:val="both"/>
        <w:textAlignment w:val="auto"/>
        <w:outlineLvl w:val="9"/>
        <w:rPr>
          <w:rFonts w:hint="default" w:ascii="Times New Roman" w:hAnsi="Times New Roman" w:eastAsia="楷体"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"_Toc704" </w:instrText>
      </w:r>
      <w:r>
        <w:rPr>
          <w:rFonts w:hint="default" w:ascii="Times New Roman" w:hAnsi="Times New Roman" w:cs="Times New Roman"/>
          <w:color w:val="auto"/>
        </w:rPr>
        <w:fldChar w:fldCharType="separate"/>
      </w:r>
      <w:r>
        <w:rPr>
          <w:rFonts w:hint="default" w:ascii="Times New Roman" w:hAnsi="Times New Roman" w:eastAsia="楷体_GB2312" w:cs="Times New Roman"/>
          <w:color w:val="auto"/>
          <w:sz w:val="28"/>
          <w:szCs w:val="28"/>
        </w:rPr>
        <w:t>（五）政府采购管理情况</w:t>
      </w:r>
      <w:r>
        <w:rPr>
          <w:rFonts w:hint="default" w:ascii="Times New Roman" w:hAnsi="Times New Roman" w:eastAsia="楷体_GB2312" w:cs="Times New Roman"/>
          <w:color w:val="auto"/>
          <w:sz w:val="28"/>
          <w:szCs w:val="28"/>
        </w:rPr>
        <w:tab/>
      </w:r>
      <w:r>
        <w:rPr>
          <w:rFonts w:hint="default" w:ascii="Times New Roman" w:hAnsi="Times New Roman" w:eastAsia="楷体_GB2312" w:cs="Times New Roman"/>
          <w:color w:val="auto"/>
          <w:sz w:val="28"/>
          <w:szCs w:val="28"/>
        </w:rPr>
        <w:fldChar w:fldCharType="begin"/>
      </w:r>
      <w:r>
        <w:rPr>
          <w:rFonts w:hint="default" w:ascii="Times New Roman" w:hAnsi="Times New Roman" w:eastAsia="楷体_GB2312" w:cs="Times New Roman"/>
          <w:color w:val="auto"/>
          <w:sz w:val="28"/>
          <w:szCs w:val="28"/>
        </w:rPr>
        <w:instrText xml:space="preserve"> PAGEREF _Toc704 \h </w:instrText>
      </w:r>
      <w:r>
        <w:rPr>
          <w:rFonts w:hint="default" w:ascii="Times New Roman" w:hAnsi="Times New Roman" w:eastAsia="楷体_GB2312" w:cs="Times New Roman"/>
          <w:color w:val="auto"/>
          <w:sz w:val="28"/>
          <w:szCs w:val="28"/>
        </w:rPr>
        <w:fldChar w:fldCharType="separate"/>
      </w:r>
      <w:r>
        <w:rPr>
          <w:rFonts w:hint="default" w:ascii="Times New Roman" w:hAnsi="Times New Roman" w:eastAsia="楷体_GB2312" w:cs="Times New Roman"/>
          <w:color w:val="auto"/>
          <w:sz w:val="28"/>
          <w:szCs w:val="28"/>
        </w:rPr>
        <w:t>5</w:t>
      </w:r>
      <w:r>
        <w:rPr>
          <w:rFonts w:hint="default" w:ascii="Times New Roman" w:hAnsi="Times New Roman" w:eastAsia="楷体_GB2312" w:cs="Times New Roman"/>
          <w:color w:val="auto"/>
          <w:sz w:val="28"/>
          <w:szCs w:val="28"/>
        </w:rPr>
        <w:fldChar w:fldCharType="end"/>
      </w:r>
      <w:r>
        <w:rPr>
          <w:rFonts w:hint="default" w:ascii="Times New Roman" w:hAnsi="Times New Roman" w:cs="Times New Roman"/>
          <w:color w:val="auto"/>
        </w:rPr>
        <w:fldChar w:fldCharType="end"/>
      </w:r>
    </w:p>
    <w:p>
      <w:pPr>
        <w:pStyle w:val="11"/>
        <w:widowControl w:val="0"/>
        <w:tabs>
          <w:tab w:val="right" w:leader="dot" w:pos="8306"/>
        </w:tabs>
        <w:wordWrap/>
        <w:adjustRightInd/>
        <w:snapToGrid/>
        <w:spacing w:before="0" w:after="0" w:line="640" w:lineRule="exact"/>
        <w:ind w:left="0" w:leftChars="0" w:right="0"/>
        <w:jc w:val="both"/>
        <w:textAlignment w:val="auto"/>
        <w:outlineLvl w:val="9"/>
        <w:rPr>
          <w:rFonts w:hint="default" w:ascii="Times New Roman" w:hAnsi="Times New Roman" w:eastAsia="黑体"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"_Toc12094"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sz w:val="28"/>
          <w:szCs w:val="28"/>
        </w:rPr>
        <w:t>三、部门整体支出绩效情况</w:t>
      </w:r>
      <w:r>
        <w:rPr>
          <w:rFonts w:hint="default" w:ascii="Times New Roman" w:hAnsi="Times New Roman" w:eastAsia="黑体" w:cs="Times New Roman"/>
          <w:color w:val="auto"/>
          <w:sz w:val="28"/>
          <w:szCs w:val="28"/>
        </w:rPr>
        <w:tab/>
      </w: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color w:val="auto"/>
          <w:sz w:val="28"/>
          <w:szCs w:val="28"/>
        </w:rPr>
        <w:instrText xml:space="preserve"> PAGEREF _Toc12094 \h </w:instrText>
      </w:r>
      <w:r>
        <w:rPr>
          <w:rFonts w:hint="default" w:ascii="Times New Roman" w:hAnsi="Times New Roman" w:eastAsia="黑体" w:cs="Times New Roman"/>
          <w:color w:val="auto"/>
          <w:sz w:val="28"/>
          <w:szCs w:val="28"/>
        </w:rPr>
        <w:fldChar w:fldCharType="separate"/>
      </w:r>
      <w:r>
        <w:rPr>
          <w:rFonts w:hint="default" w:ascii="Times New Roman" w:hAnsi="Times New Roman" w:eastAsia="黑体" w:cs="Times New Roman"/>
          <w:color w:val="auto"/>
          <w:sz w:val="28"/>
          <w:szCs w:val="28"/>
        </w:rPr>
        <w:t>5</w:t>
      </w:r>
      <w:r>
        <w:rPr>
          <w:rFonts w:hint="default" w:ascii="Times New Roman" w:hAnsi="Times New Roman" w:eastAsia="黑体" w:cs="Times New Roman"/>
          <w:color w:val="auto"/>
          <w:sz w:val="28"/>
          <w:szCs w:val="28"/>
        </w:rPr>
        <w:fldChar w:fldCharType="end"/>
      </w:r>
      <w:r>
        <w:rPr>
          <w:rFonts w:hint="default" w:ascii="Times New Roman" w:hAnsi="Times New Roman" w:cs="Times New Roman"/>
          <w:color w:val="auto"/>
        </w:rPr>
        <w:fldChar w:fldCharType="end"/>
      </w:r>
    </w:p>
    <w:p>
      <w:pPr>
        <w:pStyle w:val="11"/>
        <w:widowControl w:val="0"/>
        <w:tabs>
          <w:tab w:val="right" w:leader="dot" w:pos="8306"/>
        </w:tabs>
        <w:wordWrap/>
        <w:adjustRightInd/>
        <w:snapToGrid/>
        <w:spacing w:before="0" w:after="0" w:line="640" w:lineRule="exact"/>
        <w:ind w:left="0" w:leftChars="0" w:right="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"_Toc32548"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sz w:val="28"/>
          <w:szCs w:val="28"/>
        </w:rPr>
        <w:t>四、存在的问题及原因分析</w:t>
      </w:r>
      <w:r>
        <w:rPr>
          <w:rFonts w:hint="default" w:ascii="Times New Roman" w:hAnsi="Times New Roman" w:eastAsia="黑体" w:cs="Times New Roman"/>
          <w:color w:val="auto"/>
          <w:sz w:val="28"/>
          <w:szCs w:val="28"/>
        </w:rPr>
        <w:tab/>
      </w:r>
      <w:r>
        <w:rPr>
          <w:rFonts w:hint="eastAsia" w:ascii="Times New Roman" w:hAnsi="Times New Roman" w:eastAsia="黑体" w:cs="Times New Roman"/>
          <w:color w:val="auto"/>
          <w:sz w:val="28"/>
          <w:szCs w:val="28"/>
          <w:lang w:val="en-US" w:eastAsia="zh-CN"/>
        </w:rPr>
        <w:t>9</w:t>
      </w:r>
      <w:r>
        <w:rPr>
          <w:rFonts w:hint="default" w:ascii="Times New Roman" w:hAnsi="Times New Roman" w:cs="Times New Roman"/>
          <w:color w:val="auto"/>
        </w:rPr>
        <w:fldChar w:fldCharType="end"/>
      </w:r>
    </w:p>
    <w:p>
      <w:pPr>
        <w:widowControl w:val="0"/>
        <w:numPr>
          <w:numId w:val="0"/>
        </w:numPr>
        <w:wordWrap/>
        <w:adjustRightInd/>
        <w:snapToGrid/>
        <w:spacing w:before="0" w:after="0" w:line="640" w:lineRule="exact"/>
        <w:ind w:left="0" w:leftChars="0" w:right="0" w:firstLine="560" w:firstLineChars="200"/>
        <w:jc w:val="both"/>
        <w:textAlignment w:val="auto"/>
        <w:outlineLvl w:val="9"/>
        <w:rPr>
          <w:rFonts w:hint="eastAsia" w:ascii="Times New Roman" w:hAnsi="Times New Roman" w:eastAsia="楷体_GB2312" w:cs="Times New Roman"/>
          <w:color w:val="auto"/>
          <w:sz w:val="28"/>
          <w:szCs w:val="28"/>
          <w:lang w:val="en-US" w:eastAsia="zh-CN"/>
        </w:rPr>
      </w:pPr>
      <w:r>
        <w:rPr>
          <w:rFonts w:hint="default" w:ascii="Times New Roman" w:hAnsi="Times New Roman" w:eastAsia="楷体_GB2312" w:cs="Times New Roman"/>
          <w:color w:val="auto"/>
          <w:kern w:val="2"/>
          <w:sz w:val="28"/>
          <w:szCs w:val="28"/>
          <w:lang w:val="en-US" w:eastAsia="zh-CN" w:bidi="ar-SA"/>
        </w:rPr>
        <w:t>（一）</w:t>
      </w:r>
      <w:r>
        <w:rPr>
          <w:rFonts w:hint="default" w:ascii="Times New Roman" w:hAnsi="Times New Roman" w:eastAsia="楷体_GB2312" w:cs="Times New Roman"/>
          <w:color w:val="auto"/>
          <w:sz w:val="28"/>
          <w:szCs w:val="28"/>
        </w:rPr>
        <w:t>预算执行管理方面</w:t>
      </w:r>
      <w:r>
        <w:rPr>
          <w:rFonts w:hint="default" w:ascii="Times New Roman" w:hAnsi="Times New Roman" w:eastAsia="黑体" w:cs="Times New Roman"/>
          <w:color w:val="auto"/>
          <w:sz w:val="28"/>
          <w:szCs w:val="28"/>
          <w:lang w:val="en-US" w:eastAsia="zh-CN"/>
        </w:rPr>
        <w:t>............................................................</w:t>
      </w:r>
      <w:r>
        <w:rPr>
          <w:rFonts w:hint="eastAsia"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28"/>
          <w:szCs w:val="28"/>
          <w:lang w:val="en-US" w:eastAsia="zh-CN"/>
        </w:rPr>
        <w:t>.</w:t>
      </w:r>
      <w:r>
        <w:rPr>
          <w:rFonts w:hint="eastAsia" w:ascii="Times New Roman" w:hAnsi="Times New Roman" w:eastAsia="楷体_GB2312" w:cs="Times New Roman"/>
          <w:color w:val="auto"/>
          <w:sz w:val="28"/>
          <w:szCs w:val="28"/>
          <w:lang w:val="en-US" w:eastAsia="zh-CN"/>
        </w:rPr>
        <w:t xml:space="preserve">9   </w:t>
      </w:r>
    </w:p>
    <w:p>
      <w:pPr>
        <w:widowControl w:val="0"/>
        <w:numPr>
          <w:numId w:val="0"/>
        </w:numPr>
        <w:wordWrap/>
        <w:adjustRightInd/>
        <w:snapToGrid/>
        <w:spacing w:before="0" w:after="0" w:line="640" w:lineRule="exact"/>
        <w:ind w:left="0" w:leftChars="0" w:right="0" w:firstLine="560" w:firstLineChars="200"/>
        <w:jc w:val="both"/>
        <w:textAlignment w:val="auto"/>
        <w:outlineLvl w:val="9"/>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kern w:val="2"/>
          <w:sz w:val="28"/>
          <w:szCs w:val="28"/>
          <w:lang w:val="en-US" w:eastAsia="zh-CN" w:bidi="ar-SA"/>
        </w:rPr>
        <w:t>（</w:t>
      </w:r>
      <w:r>
        <w:rPr>
          <w:rFonts w:hint="eastAsia" w:ascii="Times New Roman" w:hAnsi="Times New Roman" w:eastAsia="楷体_GB2312" w:cs="Times New Roman"/>
          <w:color w:val="auto"/>
          <w:kern w:val="2"/>
          <w:sz w:val="28"/>
          <w:szCs w:val="28"/>
          <w:lang w:val="en-US" w:eastAsia="zh-CN" w:bidi="ar-SA"/>
        </w:rPr>
        <w:t>二</w:t>
      </w:r>
      <w:r>
        <w:rPr>
          <w:rFonts w:hint="default" w:ascii="Times New Roman" w:hAnsi="Times New Roman" w:eastAsia="楷体_GB2312" w:cs="Times New Roman"/>
          <w:color w:val="auto"/>
          <w:kern w:val="2"/>
          <w:sz w:val="28"/>
          <w:szCs w:val="28"/>
          <w:lang w:val="en-US" w:eastAsia="zh-CN" w:bidi="ar-SA"/>
        </w:rPr>
        <w:t>）</w:t>
      </w:r>
      <w:r>
        <w:rPr>
          <w:rFonts w:hint="default" w:ascii="Times New Roman" w:hAnsi="Times New Roman" w:eastAsia="楷体_GB2312" w:cs="Times New Roman"/>
          <w:color w:val="auto"/>
          <w:sz w:val="28"/>
          <w:szCs w:val="28"/>
        </w:rPr>
        <w:t>预算绩效管理方面</w:t>
      </w:r>
      <w:r>
        <w:rPr>
          <w:rFonts w:hint="default" w:ascii="Times New Roman" w:hAnsi="Times New Roman" w:eastAsia="黑体" w:cs="Times New Roman"/>
          <w:color w:val="auto"/>
          <w:sz w:val="28"/>
          <w:szCs w:val="28"/>
          <w:lang w:val="en-US" w:eastAsia="zh-CN"/>
        </w:rPr>
        <w:t>............................................................</w:t>
      </w:r>
      <w:r>
        <w:rPr>
          <w:rFonts w:hint="eastAsia"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28"/>
          <w:szCs w:val="28"/>
          <w:lang w:val="en-US" w:eastAsia="zh-CN"/>
        </w:rPr>
        <w:t>..</w:t>
      </w:r>
      <w:r>
        <w:rPr>
          <w:rFonts w:hint="eastAsia"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28"/>
          <w:szCs w:val="28"/>
          <w:lang w:val="en-US" w:eastAsia="zh-CN"/>
        </w:rPr>
        <w:t>9</w:t>
      </w:r>
    </w:p>
    <w:p>
      <w:pPr>
        <w:pStyle w:val="11"/>
        <w:widowControl w:val="0"/>
        <w:tabs>
          <w:tab w:val="right" w:leader="dot" w:pos="8306"/>
        </w:tabs>
        <w:wordWrap/>
        <w:adjustRightInd/>
        <w:snapToGrid/>
        <w:spacing w:before="0" w:after="0" w:line="640" w:lineRule="exact"/>
        <w:ind w:left="0" w:leftChars="0" w:right="0"/>
        <w:jc w:val="both"/>
        <w:textAlignment w:val="auto"/>
        <w:outlineLvl w:val="9"/>
        <w:rPr>
          <w:rFonts w:hint="default" w:ascii="Times New Roman" w:hAnsi="Times New Roman" w:eastAsia="黑体"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"_Toc13117"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sz w:val="28"/>
          <w:szCs w:val="28"/>
        </w:rPr>
        <w:t>五、下一步改进措施.</w:t>
      </w:r>
      <w:r>
        <w:rPr>
          <w:rFonts w:hint="default" w:ascii="Times New Roman" w:hAnsi="Times New Roman" w:eastAsia="黑体" w:cs="Times New Roman"/>
          <w:color w:val="auto"/>
          <w:sz w:val="28"/>
          <w:szCs w:val="28"/>
        </w:rPr>
        <w:tab/>
      </w:r>
      <w:r>
        <w:rPr>
          <w:rFonts w:hint="eastAsia"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9</w:t>
      </w:r>
      <w:r>
        <w:rPr>
          <w:rFonts w:hint="default" w:ascii="Times New Roman" w:hAnsi="Times New Roman" w:cs="Times New Roman"/>
          <w:color w:val="auto"/>
        </w:rPr>
        <w:fldChar w:fldCharType="end"/>
      </w:r>
    </w:p>
    <w:p>
      <w:pPr>
        <w:widowControl w:val="0"/>
        <w:wordWrap/>
        <w:adjustRightInd/>
        <w:snapToGrid/>
        <w:spacing w:before="0" w:after="0" w:line="640" w:lineRule="exact"/>
        <w:ind w:left="0" w:leftChars="0" w:right="0" w:firstLine="420" w:firstLineChars="200"/>
        <w:jc w:val="both"/>
        <w:textAlignment w:val="auto"/>
        <w:outlineLvl w:val="9"/>
        <w:rPr>
          <w:rFonts w:hint="default" w:ascii="Times New Roman" w:hAnsi="Times New Roman" w:eastAsia="楷体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"_Toc15751" </w:instrText>
      </w:r>
      <w:r>
        <w:rPr>
          <w:rFonts w:hint="default" w:ascii="Times New Roman" w:hAnsi="Times New Roman" w:cs="Times New Roman"/>
          <w:color w:val="auto"/>
        </w:rPr>
        <w:fldChar w:fldCharType="separate"/>
      </w:r>
      <w:r>
        <w:rPr>
          <w:rFonts w:hint="default" w:ascii="Times New Roman" w:hAnsi="Times New Roman" w:eastAsia="楷体_GB2312" w:cs="Times New Roman"/>
          <w:color w:val="auto"/>
          <w:kern w:val="2"/>
          <w:sz w:val="28"/>
          <w:szCs w:val="28"/>
          <w:lang w:val="en-US" w:eastAsia="zh-CN" w:bidi="ar-SA"/>
        </w:rPr>
        <w:t>（一）</w:t>
      </w:r>
      <w:r>
        <w:rPr>
          <w:rFonts w:hint="default" w:ascii="Times New Roman" w:hAnsi="Times New Roman" w:eastAsia="楷体_GB2312" w:cs="Times New Roman"/>
          <w:color w:val="auto"/>
          <w:sz w:val="28"/>
          <w:szCs w:val="28"/>
        </w:rPr>
        <w:t>强化预算管理意识，增强预算执行时效性、严肃性</w:t>
      </w:r>
      <w:r>
        <w:rPr>
          <w:rFonts w:hint="default" w:ascii="Times New Roman" w:hAnsi="Times New Roman" w:eastAsia="黑体" w:cs="Times New Roman"/>
          <w:color w:val="auto"/>
          <w:sz w:val="28"/>
          <w:szCs w:val="28"/>
        </w:rPr>
        <w:t>...</w:t>
      </w:r>
      <w:r>
        <w:rPr>
          <w:rFonts w:hint="default" w:ascii="Times New Roman" w:hAnsi="Times New Roman" w:eastAsia="黑体" w:cs="Times New Roman"/>
          <w:color w:val="auto"/>
          <w:sz w:val="28"/>
          <w:szCs w:val="28"/>
          <w:lang w:val="en-US" w:eastAsia="zh-CN"/>
        </w:rPr>
        <w:t>......</w:t>
      </w:r>
      <w:r>
        <w:rPr>
          <w:rFonts w:hint="eastAsia"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lang w:val="en-US" w:eastAsia="zh-CN"/>
        </w:rPr>
        <w:t>..</w:t>
      </w:r>
      <w:r>
        <w:rPr>
          <w:rFonts w:hint="default" w:ascii="Times New Roman" w:hAnsi="Times New Roman" w:eastAsia="楷体_GB2312" w:cs="Times New Roman"/>
          <w:color w:val="auto"/>
          <w:sz w:val="28"/>
          <w:szCs w:val="28"/>
        </w:rPr>
        <w:fldChar w:fldCharType="begin"/>
      </w:r>
      <w:r>
        <w:rPr>
          <w:rFonts w:hint="default" w:ascii="Times New Roman" w:hAnsi="Times New Roman" w:eastAsia="楷体_GB2312" w:cs="Times New Roman"/>
          <w:color w:val="auto"/>
          <w:sz w:val="28"/>
          <w:szCs w:val="28"/>
        </w:rPr>
        <w:instrText xml:space="preserve"> PAGEREF _Toc15751 \h </w:instrText>
      </w:r>
      <w:r>
        <w:rPr>
          <w:rFonts w:hint="default" w:ascii="Times New Roman" w:hAnsi="Times New Roman" w:eastAsia="楷体_GB2312" w:cs="Times New Roman"/>
          <w:color w:val="auto"/>
          <w:sz w:val="28"/>
          <w:szCs w:val="28"/>
        </w:rPr>
        <w:fldChar w:fldCharType="separate"/>
      </w:r>
      <w:r>
        <w:rPr>
          <w:rFonts w:hint="default" w:ascii="Times New Roman" w:hAnsi="Times New Roman" w:eastAsia="楷体_GB2312" w:cs="Times New Roman"/>
          <w:color w:val="auto"/>
          <w:sz w:val="28"/>
          <w:szCs w:val="28"/>
        </w:rPr>
        <w:t>9</w:t>
      </w:r>
      <w:r>
        <w:rPr>
          <w:rFonts w:hint="default" w:ascii="Times New Roman" w:hAnsi="Times New Roman" w:eastAsia="楷体_GB2312" w:cs="Times New Roman"/>
          <w:color w:val="auto"/>
          <w:sz w:val="28"/>
          <w:szCs w:val="28"/>
        </w:rPr>
        <w:fldChar w:fldCharType="end"/>
      </w:r>
      <w:r>
        <w:rPr>
          <w:rFonts w:hint="default" w:ascii="Times New Roman" w:hAnsi="Times New Roman" w:cs="Times New Roman"/>
          <w:color w:val="auto"/>
        </w:rPr>
        <w:fldChar w:fldCharType="end"/>
      </w:r>
    </w:p>
    <w:p>
      <w:pPr>
        <w:widowControl w:val="0"/>
        <w:wordWrap/>
        <w:adjustRightInd/>
        <w:snapToGrid/>
        <w:spacing w:before="0" w:after="0" w:line="640" w:lineRule="exact"/>
        <w:ind w:left="0" w:leftChars="0" w:right="0"/>
        <w:jc w:val="both"/>
        <w:textAlignment w:val="auto"/>
        <w:outlineLvl w:val="9"/>
        <w:rPr>
          <w:rFonts w:hint="default" w:ascii="Times New Roman" w:hAnsi="Times New Roman" w:eastAsia="楷体_GB2312" w:cs="Times New Roman"/>
          <w:color w:val="auto"/>
        </w:rPr>
      </w:pPr>
      <w:r>
        <w:rPr>
          <w:rFonts w:hint="eastAsia" w:ascii="Times New Roman" w:hAnsi="Times New Roman" w:eastAsia="黑体" w:cs="Times New Roman"/>
          <w:color w:val="auto"/>
          <w:kern w:val="2"/>
          <w:sz w:val="28"/>
          <w:szCs w:val="28"/>
          <w:lang w:val="en-US" w:eastAsia="zh-CN" w:bidi="ar-SA"/>
        </w:rPr>
        <w:t xml:space="preserve">   </w:t>
      </w:r>
      <w:r>
        <w:rPr>
          <w:rFonts w:hint="default" w:ascii="Times New Roman" w:hAnsi="Times New Roman" w:eastAsia="黑体" w:cs="Times New Roman"/>
          <w:color w:val="auto"/>
          <w:kern w:val="2"/>
          <w:sz w:val="28"/>
          <w:szCs w:val="28"/>
          <w:lang w:val="en-US" w:eastAsia="zh-CN" w:bidi="ar-SA"/>
        </w:rPr>
        <w:fldChar w:fldCharType="begin"/>
      </w:r>
      <w:r>
        <w:rPr>
          <w:rFonts w:hint="default" w:ascii="Times New Roman" w:hAnsi="Times New Roman" w:eastAsia="黑体" w:cs="Times New Roman"/>
          <w:color w:val="auto"/>
          <w:kern w:val="2"/>
          <w:sz w:val="28"/>
          <w:szCs w:val="28"/>
          <w:lang w:val="en-US" w:eastAsia="zh-CN" w:bidi="ar-SA"/>
        </w:rPr>
        <w:instrText xml:space="preserve">HYPERLINK  \l "_Toc31331" </w:instrText>
      </w:r>
      <w:r>
        <w:rPr>
          <w:rFonts w:hint="default" w:ascii="Times New Roman" w:hAnsi="Times New Roman" w:eastAsia="黑体" w:cs="Times New Roman"/>
          <w:color w:val="auto"/>
          <w:kern w:val="2"/>
          <w:sz w:val="28"/>
          <w:szCs w:val="28"/>
          <w:lang w:val="en-US" w:eastAsia="zh-CN" w:bidi="ar-SA"/>
        </w:rPr>
        <w:fldChar w:fldCharType="separate"/>
      </w:r>
      <w:r>
        <w:rPr>
          <w:rFonts w:hint="default" w:ascii="Times New Roman" w:hAnsi="Times New Roman" w:eastAsia="楷体_GB2312" w:cs="Times New Roman"/>
          <w:color w:val="auto"/>
          <w:kern w:val="2"/>
          <w:sz w:val="28"/>
          <w:szCs w:val="28"/>
          <w:lang w:val="en-US" w:eastAsia="zh-CN" w:bidi="ar-SA"/>
        </w:rPr>
        <w:t>（</w:t>
      </w:r>
      <w:r>
        <w:rPr>
          <w:rFonts w:hint="eastAsia" w:ascii="Times New Roman" w:hAnsi="Times New Roman" w:eastAsia="楷体_GB2312" w:cs="Times New Roman"/>
          <w:color w:val="auto"/>
          <w:kern w:val="2"/>
          <w:sz w:val="28"/>
          <w:szCs w:val="28"/>
          <w:lang w:val="en-US" w:eastAsia="zh-CN" w:bidi="ar-SA"/>
        </w:rPr>
        <w:t>二</w:t>
      </w:r>
      <w:r>
        <w:rPr>
          <w:rFonts w:hint="default" w:ascii="Times New Roman" w:hAnsi="Times New Roman" w:eastAsia="楷体_GB2312" w:cs="Times New Roman"/>
          <w:color w:val="auto"/>
          <w:kern w:val="2"/>
          <w:sz w:val="28"/>
          <w:szCs w:val="28"/>
          <w:lang w:val="en-US" w:eastAsia="zh-CN" w:bidi="ar-SA"/>
        </w:rPr>
        <w:t>）</w:t>
      </w:r>
      <w:r>
        <w:rPr>
          <w:rFonts w:hint="default" w:ascii="Times New Roman" w:hAnsi="Times New Roman" w:eastAsia="楷体_GB2312" w:cs="Times New Roman"/>
          <w:color w:val="auto"/>
          <w:sz w:val="28"/>
          <w:szCs w:val="28"/>
          <w:lang w:val="en-US" w:eastAsia="zh-CN"/>
        </w:rPr>
        <w:t>强化绩效管理意识，提高绩效目标精准性、操作性.</w:t>
      </w:r>
      <w:r>
        <w:rPr>
          <w:rFonts w:hint="default" w:ascii="Times New Roman" w:hAnsi="Times New Roman" w:eastAsia="黑体" w:cs="Times New Roman"/>
          <w:color w:val="auto"/>
          <w:kern w:val="2"/>
          <w:sz w:val="28"/>
          <w:szCs w:val="28"/>
          <w:lang w:val="en-US" w:eastAsia="zh-CN" w:bidi="ar-SA"/>
        </w:rPr>
        <w:t>..........</w:t>
      </w:r>
      <w:r>
        <w:rPr>
          <w:rFonts w:hint="eastAsia" w:ascii="Times New Roman" w:hAnsi="Times New Roman" w:eastAsia="黑体" w:cs="Times New Roman"/>
          <w:color w:val="auto"/>
          <w:kern w:val="2"/>
          <w:sz w:val="28"/>
          <w:szCs w:val="28"/>
          <w:lang w:val="en-US" w:eastAsia="zh-CN" w:bidi="ar-SA"/>
        </w:rPr>
        <w:t>1</w:t>
      </w:r>
      <w:r>
        <w:rPr>
          <w:rFonts w:hint="default" w:ascii="Times New Roman" w:hAnsi="Times New Roman" w:eastAsia="黑体" w:cs="Times New Roman"/>
          <w:color w:val="auto"/>
          <w:kern w:val="2"/>
          <w:sz w:val="28"/>
          <w:szCs w:val="28"/>
          <w:lang w:val="en-US" w:eastAsia="zh-CN" w:bidi="ar-SA"/>
        </w:rPr>
        <w:fldChar w:fldCharType="end"/>
      </w:r>
      <w:r>
        <w:rPr>
          <w:rFonts w:hint="eastAsia" w:ascii="Times New Roman" w:hAnsi="Times New Roman" w:eastAsia="黑体" w:cs="Times New Roman"/>
          <w:color w:val="auto"/>
          <w:kern w:val="2"/>
          <w:sz w:val="28"/>
          <w:szCs w:val="28"/>
          <w:lang w:val="en-US" w:eastAsia="zh-CN" w:bidi="ar-SA"/>
        </w:rPr>
        <w:t>0</w:t>
      </w:r>
    </w:p>
    <w:p>
      <w:pPr>
        <w:pStyle w:val="11"/>
        <w:widowControl w:val="0"/>
        <w:tabs>
          <w:tab w:val="right" w:leader="dot" w:pos="8306"/>
        </w:tabs>
        <w:wordWrap/>
        <w:adjustRightInd/>
        <w:snapToGrid/>
        <w:spacing w:before="0" w:after="0" w:line="640" w:lineRule="exact"/>
        <w:ind w:left="0" w:leftChars="0" w:right="0"/>
        <w:jc w:val="both"/>
        <w:textAlignment w:val="auto"/>
        <w:outlineLvl w:val="9"/>
        <w:rPr>
          <w:rFonts w:hint="default" w:ascii="Times New Roman" w:hAnsi="Times New Roman" w:eastAsia="黑体"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HYPERLINK  \l "_Toc27634" </w:instrText>
      </w:r>
      <w:r>
        <w:rPr>
          <w:rFonts w:hint="default" w:ascii="Times New Roman" w:hAnsi="Times New Roman" w:cs="Times New Roman"/>
          <w:color w:val="auto"/>
        </w:rPr>
        <w:fldChar w:fldCharType="separate"/>
      </w:r>
      <w:r>
        <w:rPr>
          <w:rFonts w:hint="default" w:ascii="Times New Roman" w:hAnsi="Times New Roman" w:eastAsia="黑体" w:cs="Times New Roman"/>
          <w:color w:val="auto"/>
          <w:sz w:val="28"/>
          <w:szCs w:val="28"/>
        </w:rPr>
        <w:t>六、部门整体支出绩效评价结果拟应用和公开情况…..</w:t>
      </w:r>
      <w:r>
        <w:rPr>
          <w:rFonts w:hint="default" w:ascii="Times New Roman" w:hAnsi="Times New Roman" w:eastAsia="黑体" w:cs="Times New Roman"/>
          <w:color w:val="auto"/>
          <w:sz w:val="28"/>
          <w:szCs w:val="28"/>
        </w:rPr>
        <w:tab/>
      </w:r>
      <w:r>
        <w:rPr>
          <w:rFonts w:hint="default" w:ascii="Times New Roman" w:hAnsi="Times New Roman" w:eastAsia="黑体" w:cs="Times New Roman"/>
          <w:color w:val="auto"/>
          <w:sz w:val="28"/>
          <w:szCs w:val="28"/>
        </w:rPr>
        <w:t>………........</w:t>
      </w:r>
      <w:r>
        <w:rPr>
          <w:rFonts w:hint="eastAsia"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28"/>
          <w:szCs w:val="28"/>
        </w:rPr>
        <w:t>.10</w:t>
      </w:r>
      <w:r>
        <w:rPr>
          <w:rFonts w:hint="default" w:ascii="Times New Roman" w:hAnsi="Times New Roman" w:cs="Times New Roman"/>
          <w:color w:val="auto"/>
        </w:rPr>
        <w:fldChar w:fldCharType="end"/>
      </w:r>
    </w:p>
    <w:p>
      <w:pPr>
        <w:pStyle w:val="11"/>
        <w:tabs>
          <w:tab w:val="right" w:leader="dot" w:pos="8306"/>
        </w:tabs>
        <w:rPr>
          <w:rFonts w:hint="default" w:ascii="Times New Roman" w:hAnsi="Times New Roman" w:eastAsia="楷体" w:cs="Times New Roman"/>
          <w:color w:val="auto"/>
          <w:sz w:val="28"/>
          <w:szCs w:val="28"/>
        </w:rPr>
      </w:pPr>
    </w:p>
    <w:p>
      <w:pPr>
        <w:spacing w:line="600" w:lineRule="exact"/>
        <w:rPr>
          <w:rFonts w:hint="default" w:ascii="Times New Roman" w:hAnsi="Times New Roman" w:eastAsia="楷体" w:cs="Times New Roman"/>
          <w:color w:val="FF0000"/>
          <w:sz w:val="28"/>
          <w:szCs w:val="28"/>
        </w:rPr>
      </w:pPr>
      <w:r>
        <w:rPr>
          <w:rFonts w:hint="default" w:ascii="Times New Roman" w:hAnsi="Times New Roman" w:eastAsia="楷体" w:cs="Times New Roman"/>
          <w:color w:val="auto"/>
          <w:sz w:val="28"/>
          <w:szCs w:val="28"/>
        </w:rPr>
        <w:fldChar w:fldCharType="end"/>
      </w:r>
    </w:p>
    <w:p>
      <w:pPr>
        <w:spacing w:line="600" w:lineRule="exact"/>
        <w:rPr>
          <w:rFonts w:hint="default" w:ascii="Times New Roman" w:hAnsi="Times New Roman" w:cs="Times New Roman"/>
          <w:color w:val="FF0000"/>
        </w:rPr>
      </w:pPr>
    </w:p>
    <w:p>
      <w:pPr>
        <w:rPr>
          <w:rFonts w:hint="default" w:ascii="Times New Roman" w:hAnsi="Times New Roman" w:cs="Times New Roman"/>
        </w:rPr>
      </w:pPr>
    </w:p>
    <w:p>
      <w:pPr>
        <w:wordWrap/>
        <w:adjustRightInd/>
        <w:snapToGrid/>
        <w:spacing w:before="0" w:after="0"/>
        <w:ind w:left="0" w:leftChars="0" w:right="0"/>
        <w:jc w:val="center"/>
        <w:textAlignment w:val="auto"/>
        <w:outlineLvl w:val="0"/>
        <w:rPr>
          <w:rFonts w:hint="default" w:ascii="Times New Roman" w:hAnsi="Times New Roman" w:eastAsia="方正小标宋简体" w:cs="Times New Roman"/>
          <w:sz w:val="36"/>
          <w:szCs w:val="36"/>
        </w:rPr>
      </w:pPr>
      <w:bookmarkStart w:id="3" w:name="_Toc10217"/>
      <w:r>
        <w:rPr>
          <w:rFonts w:hint="default" w:ascii="Times New Roman" w:hAnsi="Times New Roman" w:eastAsia="方正小标宋简体" w:cs="Times New Roman"/>
          <w:sz w:val="36"/>
          <w:szCs w:val="36"/>
        </w:rPr>
        <w:t>2024年度省委组织部整体支出绩效自评报告</w:t>
      </w:r>
      <w:bookmarkEnd w:id="3"/>
    </w:p>
    <w:p>
      <w:pPr>
        <w:pStyle w:val="2"/>
        <w:wordWrap/>
        <w:adjustRightInd/>
        <w:snapToGrid/>
        <w:spacing w:before="0" w:after="0"/>
        <w:ind w:left="0" w:leftChars="0" w:right="0" w:firstLine="640"/>
        <w:jc w:val="both"/>
        <w:textAlignment w:val="auto"/>
        <w:rPr>
          <w:rFonts w:hint="default" w:ascii="Times New Roman" w:hAnsi="Times New Roman" w:cs="Times New Roman"/>
        </w:rPr>
      </w:pPr>
    </w:p>
    <w:p>
      <w:pPr>
        <w:pStyle w:val="2"/>
        <w:wordWrap/>
        <w:adjustRightInd/>
        <w:snapToGrid/>
        <w:spacing w:before="0" w:after="0"/>
        <w:ind w:left="0" w:leftChars="0" w:right="0" w:firstLine="640"/>
        <w:jc w:val="both"/>
        <w:textAlignment w:val="auto"/>
        <w:rPr>
          <w:rFonts w:hint="default" w:ascii="Times New Roman" w:hAnsi="Times New Roman" w:eastAsia="仿宋_GB2312" w:cs="Times New Roman"/>
        </w:rPr>
      </w:pPr>
      <w:bookmarkStart w:id="4" w:name="_Toc3057"/>
      <w:r>
        <w:rPr>
          <w:rFonts w:hint="default" w:ascii="Times New Roman" w:hAnsi="Times New Roman" w:cs="Times New Roman"/>
        </w:rPr>
        <w:t>一、部门基本情况</w:t>
      </w:r>
      <w:bookmarkEnd w:id="4"/>
    </w:p>
    <w:p>
      <w:pPr>
        <w:widowControl/>
        <w:wordWrap/>
        <w:adjustRightInd/>
        <w:snapToGrid/>
        <w:spacing w:before="0" w:after="0" w:line="600" w:lineRule="exact"/>
        <w:ind w:left="0" w:leftChars="0" w:right="0" w:firstLine="627" w:firstLineChars="196"/>
        <w:jc w:val="both"/>
        <w:textAlignment w:val="auto"/>
        <w:rPr>
          <w:rFonts w:hint="default" w:ascii="Times New Roman" w:hAnsi="Times New Roman" w:eastAsia="仿宋_GB2312" w:cs="Times New Roman"/>
          <w:sz w:val="32"/>
          <w:szCs w:val="32"/>
        </w:rPr>
      </w:pPr>
      <w:bookmarkStart w:id="5" w:name="_Toc26864"/>
      <w:r>
        <w:rPr>
          <w:rFonts w:hint="default" w:ascii="Times New Roman" w:hAnsi="Times New Roman" w:eastAsia="仿宋_GB2312" w:cs="Times New Roman"/>
          <w:sz w:val="32"/>
          <w:szCs w:val="32"/>
        </w:rPr>
        <w:t>省委组织部是省委主管组织工作、干部工作、公务员工作和人才工作的综合职能部门。</w:t>
      </w:r>
    </w:p>
    <w:p>
      <w:pPr>
        <w:widowControl/>
        <w:wordWrap/>
        <w:adjustRightInd/>
        <w:snapToGrid/>
        <w:spacing w:before="0" w:after="0" w:line="600" w:lineRule="exact"/>
        <w:ind w:left="0" w:leftChars="0" w:right="0" w:firstLine="627" w:firstLineChars="196"/>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我部共有内设职能处室19个，下设省人才发展中心、党员教育中心（省委远教办）、党建研究所等3个公益一类事业单位。</w:t>
      </w:r>
    </w:p>
    <w:p>
      <w:pPr>
        <w:pStyle w:val="2"/>
        <w:wordWrap/>
        <w:adjustRightInd/>
        <w:snapToGrid/>
        <w:spacing w:before="0" w:after="0"/>
        <w:ind w:left="0" w:leftChars="0" w:right="0" w:firstLine="640"/>
        <w:jc w:val="both"/>
        <w:textAlignment w:val="auto"/>
        <w:rPr>
          <w:rFonts w:hint="default" w:ascii="Times New Roman" w:hAnsi="Times New Roman" w:cs="Times New Roman"/>
        </w:rPr>
      </w:pPr>
      <w:r>
        <w:rPr>
          <w:rFonts w:hint="default" w:ascii="Times New Roman" w:hAnsi="Times New Roman" w:cs="Times New Roman"/>
        </w:rPr>
        <w:t>二、一般公共预算支出情况</w:t>
      </w:r>
      <w:bookmarkEnd w:id="5"/>
    </w:p>
    <w:p>
      <w:pPr>
        <w:pStyle w:val="3"/>
        <w:wordWrap/>
        <w:adjustRightInd/>
        <w:snapToGrid/>
        <w:spacing w:before="0" w:after="0"/>
        <w:ind w:left="0" w:leftChars="0" w:right="0" w:firstLine="640"/>
        <w:jc w:val="both"/>
        <w:textAlignment w:val="auto"/>
        <w:rPr>
          <w:rFonts w:hint="default" w:ascii="Times New Roman" w:hAnsi="Times New Roman" w:eastAsia="楷体_GB2312" w:cs="Times New Roman"/>
        </w:rPr>
      </w:pPr>
      <w:bookmarkStart w:id="6" w:name="_Toc15836"/>
      <w:r>
        <w:rPr>
          <w:rFonts w:hint="default" w:ascii="Times New Roman" w:hAnsi="Times New Roman" w:eastAsia="楷体_GB2312" w:cs="Times New Roman"/>
        </w:rPr>
        <w:t>（一）一般公共预算总体情况</w:t>
      </w:r>
      <w:bookmarkEnd w:id="6"/>
    </w:p>
    <w:p>
      <w:pPr>
        <w:wordWrap/>
        <w:adjustRightInd/>
        <w:snapToGrid/>
        <w:spacing w:before="0" w:after="0" w:line="600" w:lineRule="exact"/>
        <w:ind w:left="0" w:leftChars="0" w:right="0" w:firstLine="643" w:firstLineChars="200"/>
        <w:jc w:val="both"/>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1.部门预算情况</w:t>
      </w:r>
    </w:p>
    <w:p>
      <w:pPr>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2024年预算总收入11551.97万元，年中预算调整后，全年经费收入共计16413.02万元。具体见下表：</w:t>
      </w:r>
    </w:p>
    <w:tbl>
      <w:tblPr>
        <w:tblW w:w="8717" w:type="dxa"/>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
      <w:tblGrid>
        <w:gridCol w:w="2180"/>
        <w:gridCol w:w="2179"/>
        <w:gridCol w:w="2179"/>
        <w:gridCol w:w="2179"/>
      </w:tblGrid>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180"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项目</w:t>
            </w:r>
          </w:p>
        </w:tc>
        <w:tc>
          <w:tcPr>
            <w:tcW w:w="2179"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年初预算</w:t>
            </w:r>
          </w:p>
        </w:tc>
        <w:tc>
          <w:tcPr>
            <w:tcW w:w="2179"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本年追加</w:t>
            </w:r>
          </w:p>
        </w:tc>
        <w:tc>
          <w:tcPr>
            <w:tcW w:w="2179"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合计</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180"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基本支出</w:t>
            </w:r>
          </w:p>
        </w:tc>
        <w:tc>
          <w:tcPr>
            <w:tcW w:w="2179"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5876.32</w:t>
            </w:r>
          </w:p>
        </w:tc>
        <w:tc>
          <w:tcPr>
            <w:tcW w:w="2179"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280.1</w:t>
            </w:r>
          </w:p>
        </w:tc>
        <w:tc>
          <w:tcPr>
            <w:tcW w:w="2179"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6156.42</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180"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项目支出</w:t>
            </w:r>
          </w:p>
        </w:tc>
        <w:tc>
          <w:tcPr>
            <w:tcW w:w="2179"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5675.65</w:t>
            </w:r>
          </w:p>
        </w:tc>
        <w:tc>
          <w:tcPr>
            <w:tcW w:w="2179"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4580.95</w:t>
            </w:r>
          </w:p>
        </w:tc>
        <w:tc>
          <w:tcPr>
            <w:tcW w:w="2179"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10256.6</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180" w:type="dxa"/>
            <w:tcBorders>
              <w:tl2br w:val="nil"/>
              <w:tr2bl w:val="nil"/>
            </w:tcBorders>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合计</w:t>
            </w:r>
          </w:p>
        </w:tc>
        <w:tc>
          <w:tcPr>
            <w:tcW w:w="2179"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11551.97</w:t>
            </w:r>
          </w:p>
        </w:tc>
        <w:tc>
          <w:tcPr>
            <w:tcW w:w="2179"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4861.05</w:t>
            </w:r>
          </w:p>
        </w:tc>
        <w:tc>
          <w:tcPr>
            <w:tcW w:w="2179"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16413.02</w:t>
            </w:r>
          </w:p>
        </w:tc>
      </w:tr>
    </w:tbl>
    <w:p>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2.部门决算情况</w:t>
      </w:r>
    </w:p>
    <w:p>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2024年一般公共预算支出15172.19万元，其中基本支出6085.04万元，项目支出9087.15万元。</w:t>
      </w:r>
    </w:p>
    <w:p>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3.预算执行率及结转结余情况</w:t>
      </w:r>
    </w:p>
    <w:p>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2024年部门结转结余</w:t>
      </w:r>
      <w:r>
        <w:rPr>
          <w:rFonts w:hint="default" w:ascii="Times New Roman" w:hAnsi="Times New Roman" w:eastAsia="仿宋_GB2312" w:cs="Times New Roman"/>
          <w:sz w:val="32"/>
          <w:szCs w:val="32"/>
        </w:rPr>
        <w:t>1240.83万元，预算执行率92.44%。具体见下表：</w:t>
      </w:r>
    </w:p>
    <w:tbl>
      <w:tblPr>
        <w:tblW w:w="8718" w:type="dxa"/>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
      <w:tblGrid>
        <w:gridCol w:w="1742"/>
        <w:gridCol w:w="1745"/>
        <w:gridCol w:w="1745"/>
        <w:gridCol w:w="1744"/>
        <w:gridCol w:w="1742"/>
      </w:tblGrid>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1742"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项目</w:t>
            </w:r>
          </w:p>
        </w:tc>
        <w:tc>
          <w:tcPr>
            <w:tcW w:w="1745"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全年预算</w:t>
            </w:r>
          </w:p>
        </w:tc>
        <w:tc>
          <w:tcPr>
            <w:tcW w:w="1745"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决算</w:t>
            </w:r>
          </w:p>
        </w:tc>
        <w:tc>
          <w:tcPr>
            <w:tcW w:w="1744"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结转结余</w:t>
            </w:r>
          </w:p>
        </w:tc>
        <w:tc>
          <w:tcPr>
            <w:tcW w:w="1742" w:type="dxa"/>
            <w:tcBorders>
              <w:tl2br w:val="nil"/>
              <w:tr2bl w:val="nil"/>
            </w:tcBorders>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预算执行率</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1742"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基本支出</w:t>
            </w:r>
          </w:p>
        </w:tc>
        <w:tc>
          <w:tcPr>
            <w:tcW w:w="1745"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6156.42</w:t>
            </w:r>
          </w:p>
        </w:tc>
        <w:tc>
          <w:tcPr>
            <w:tcW w:w="1745" w:type="dxa"/>
            <w:tcBorders>
              <w:tl2br w:val="nil"/>
              <w:tr2bl w:val="nil"/>
            </w:tcBorders>
            <w:vAlign w:val="center"/>
          </w:tcPr>
          <w:p>
            <w:pPr>
              <w:widowControl/>
              <w:jc w:val="right"/>
              <w:textAlignment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6085.04</w:t>
            </w:r>
          </w:p>
        </w:tc>
        <w:tc>
          <w:tcPr>
            <w:tcW w:w="1744"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71.38</w:t>
            </w:r>
          </w:p>
        </w:tc>
        <w:tc>
          <w:tcPr>
            <w:tcW w:w="1742" w:type="dxa"/>
            <w:tcBorders>
              <w:tl2br w:val="nil"/>
              <w:tr2bl w:val="nil"/>
            </w:tcBorders>
            <w:vAlign w:val="center"/>
          </w:tcPr>
          <w:p>
            <w:pPr>
              <w:widowControl/>
              <w:jc w:val="right"/>
              <w:textAlignment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98.84%</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1742"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项目支出</w:t>
            </w:r>
          </w:p>
        </w:tc>
        <w:tc>
          <w:tcPr>
            <w:tcW w:w="1745"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10256.6</w:t>
            </w:r>
          </w:p>
        </w:tc>
        <w:tc>
          <w:tcPr>
            <w:tcW w:w="1745" w:type="dxa"/>
            <w:tcBorders>
              <w:tl2br w:val="nil"/>
              <w:tr2bl w:val="nil"/>
            </w:tcBorders>
            <w:vAlign w:val="center"/>
          </w:tcPr>
          <w:p>
            <w:pPr>
              <w:widowControl/>
              <w:jc w:val="right"/>
              <w:textAlignment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9087.15</w:t>
            </w:r>
          </w:p>
        </w:tc>
        <w:tc>
          <w:tcPr>
            <w:tcW w:w="1744"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1169.45</w:t>
            </w:r>
          </w:p>
        </w:tc>
        <w:tc>
          <w:tcPr>
            <w:tcW w:w="1742" w:type="dxa"/>
            <w:tcBorders>
              <w:tl2br w:val="nil"/>
              <w:tr2bl w:val="nil"/>
            </w:tcBorders>
            <w:vAlign w:val="center"/>
          </w:tcPr>
          <w:p>
            <w:pPr>
              <w:widowControl/>
              <w:jc w:val="right"/>
              <w:textAlignment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88.6%</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1742" w:type="dxa"/>
            <w:tcBorders>
              <w:tl2br w:val="nil"/>
              <w:tr2bl w:val="nil"/>
            </w:tcBorders>
            <w:vAlign w:val="center"/>
          </w:tcPr>
          <w:p>
            <w:pPr>
              <w:widowControl/>
              <w:jc w:val="center"/>
              <w:textAlignment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合计</w:t>
            </w:r>
          </w:p>
        </w:tc>
        <w:tc>
          <w:tcPr>
            <w:tcW w:w="1745"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cs="Times New Roman"/>
                <w:kern w:val="0"/>
                <w:sz w:val="22"/>
                <w:szCs w:val="22"/>
              </w:rPr>
              <w:t>16413.02</w:t>
            </w:r>
          </w:p>
        </w:tc>
        <w:tc>
          <w:tcPr>
            <w:tcW w:w="1745"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15172.19</w:t>
            </w:r>
          </w:p>
        </w:tc>
        <w:tc>
          <w:tcPr>
            <w:tcW w:w="1744" w:type="dxa"/>
            <w:tcBorders>
              <w:tl2br w:val="nil"/>
              <w:tr2bl w:val="nil"/>
            </w:tcBorders>
            <w:vAlign w:val="center"/>
          </w:tcPr>
          <w:p>
            <w:pPr>
              <w:widowControl/>
              <w:jc w:val="righ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1240.83</w:t>
            </w:r>
          </w:p>
        </w:tc>
        <w:tc>
          <w:tcPr>
            <w:tcW w:w="1742" w:type="dxa"/>
            <w:tcBorders>
              <w:tl2br w:val="nil"/>
              <w:tr2bl w:val="nil"/>
            </w:tcBorders>
            <w:vAlign w:val="center"/>
          </w:tcPr>
          <w:p>
            <w:pPr>
              <w:widowControl/>
              <w:jc w:val="right"/>
              <w:textAlignment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92.44%</w:t>
            </w:r>
          </w:p>
        </w:tc>
      </w:tr>
    </w:tbl>
    <w:p>
      <w:pPr>
        <w:pStyle w:val="3"/>
        <w:widowControl w:val="0"/>
        <w:wordWrap/>
        <w:adjustRightInd/>
        <w:snapToGrid/>
        <w:spacing w:before="0" w:after="0" w:line="600" w:lineRule="exact"/>
        <w:ind w:left="0" w:leftChars="0" w:right="0" w:firstLine="640" w:firstLineChars="200"/>
        <w:jc w:val="both"/>
        <w:textAlignment w:val="auto"/>
        <w:rPr>
          <w:rFonts w:hint="default" w:ascii="Times New Roman" w:hAnsi="Times New Roman" w:eastAsia="楷体_GB2312" w:cs="Times New Roman"/>
        </w:rPr>
      </w:pPr>
      <w:bookmarkStart w:id="7" w:name="_Toc9681"/>
      <w:r>
        <w:rPr>
          <w:rFonts w:hint="default" w:ascii="Times New Roman" w:hAnsi="Times New Roman" w:eastAsia="楷体_GB2312" w:cs="Times New Roman"/>
        </w:rPr>
        <w:t>（二）基本支出情况</w:t>
      </w:r>
      <w:bookmarkEnd w:id="7"/>
    </w:p>
    <w:p>
      <w:pPr>
        <w:widowControl w:val="0"/>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1.基本支出预决算总体情况</w:t>
      </w:r>
    </w:p>
    <w:p>
      <w:pPr>
        <w:widowControl w:val="0"/>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基本支出的范围和主要用途包括人员经费和公用经费，2024年部门基本支出全年预算6156.42万元，全年决算6085.04万元，结转结余71.38万元。具体见下表：</w:t>
      </w:r>
    </w:p>
    <w:tbl>
      <w:tblPr>
        <w:tblW w:w="8717" w:type="dxa"/>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
      <w:tblGrid>
        <w:gridCol w:w="2037"/>
        <w:gridCol w:w="1518"/>
        <w:gridCol w:w="1542"/>
        <w:gridCol w:w="1681"/>
        <w:gridCol w:w="1939"/>
      </w:tblGrid>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blHeader/>
        </w:trPr>
        <w:tc>
          <w:tcPr>
            <w:tcW w:w="203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项目</w:t>
            </w:r>
          </w:p>
        </w:tc>
        <w:tc>
          <w:tcPr>
            <w:tcW w:w="1518"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全年预算</w:t>
            </w:r>
          </w:p>
        </w:tc>
        <w:tc>
          <w:tcPr>
            <w:tcW w:w="1542"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决算</w:t>
            </w:r>
          </w:p>
        </w:tc>
        <w:tc>
          <w:tcPr>
            <w:tcW w:w="1681"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结转结余</w:t>
            </w:r>
          </w:p>
        </w:tc>
        <w:tc>
          <w:tcPr>
            <w:tcW w:w="1939"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预算执行率</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03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人员经费</w:t>
            </w:r>
          </w:p>
        </w:tc>
        <w:tc>
          <w:tcPr>
            <w:tcW w:w="1518"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5469.42</w:t>
            </w:r>
          </w:p>
        </w:tc>
        <w:tc>
          <w:tcPr>
            <w:tcW w:w="1542"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5447.16</w:t>
            </w:r>
          </w:p>
        </w:tc>
        <w:tc>
          <w:tcPr>
            <w:tcW w:w="1681"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22.26</w:t>
            </w:r>
          </w:p>
        </w:tc>
        <w:tc>
          <w:tcPr>
            <w:tcW w:w="1939"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99.59%</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03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公用经费</w:t>
            </w:r>
          </w:p>
        </w:tc>
        <w:tc>
          <w:tcPr>
            <w:tcW w:w="1518"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687 </w:t>
            </w:r>
          </w:p>
        </w:tc>
        <w:tc>
          <w:tcPr>
            <w:tcW w:w="1542"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637.88</w:t>
            </w:r>
          </w:p>
        </w:tc>
        <w:tc>
          <w:tcPr>
            <w:tcW w:w="1681"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49.12</w:t>
            </w:r>
          </w:p>
        </w:tc>
        <w:tc>
          <w:tcPr>
            <w:tcW w:w="1939"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92.85%</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03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合计</w:t>
            </w:r>
          </w:p>
        </w:tc>
        <w:tc>
          <w:tcPr>
            <w:tcW w:w="1518"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6156.42</w:t>
            </w:r>
          </w:p>
        </w:tc>
        <w:tc>
          <w:tcPr>
            <w:tcW w:w="1542"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6085.04</w:t>
            </w:r>
          </w:p>
        </w:tc>
        <w:tc>
          <w:tcPr>
            <w:tcW w:w="1681"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71.38</w:t>
            </w:r>
          </w:p>
        </w:tc>
        <w:tc>
          <w:tcPr>
            <w:tcW w:w="1939"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98.84%</w:t>
            </w:r>
          </w:p>
        </w:tc>
      </w:tr>
    </w:tbl>
    <w:p>
      <w:pPr>
        <w:spacing w:line="600" w:lineRule="exact"/>
        <w:ind w:firstLine="643" w:firstLineChars="200"/>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2.人员经费预决算情况</w:t>
      </w:r>
    </w:p>
    <w:p>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2024年部门人员经费预算5469.42万元，决算支出5447.16万元，结转结余22.26万元。具体见下表：</w:t>
      </w:r>
    </w:p>
    <w:tbl>
      <w:tblPr>
        <w:tblW w:w="8717" w:type="dxa"/>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
      <w:tblGrid>
        <w:gridCol w:w="1856"/>
        <w:gridCol w:w="1587"/>
        <w:gridCol w:w="1423"/>
        <w:gridCol w:w="1947"/>
        <w:gridCol w:w="1904"/>
      </w:tblGrid>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blHeader/>
        </w:trPr>
        <w:tc>
          <w:tcPr>
            <w:tcW w:w="1856"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经济分类名称</w:t>
            </w:r>
          </w:p>
        </w:tc>
        <w:tc>
          <w:tcPr>
            <w:tcW w:w="158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全年预算</w:t>
            </w:r>
          </w:p>
        </w:tc>
        <w:tc>
          <w:tcPr>
            <w:tcW w:w="1423"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决算</w:t>
            </w:r>
          </w:p>
        </w:tc>
        <w:tc>
          <w:tcPr>
            <w:tcW w:w="194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结转结余</w:t>
            </w:r>
          </w:p>
        </w:tc>
        <w:tc>
          <w:tcPr>
            <w:tcW w:w="1904"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预算执行率</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1856"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工资福利支出</w:t>
            </w:r>
          </w:p>
        </w:tc>
        <w:tc>
          <w:tcPr>
            <w:tcW w:w="1587"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5184.16</w:t>
            </w:r>
          </w:p>
        </w:tc>
        <w:tc>
          <w:tcPr>
            <w:tcW w:w="1423"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5161.90</w:t>
            </w:r>
          </w:p>
        </w:tc>
        <w:tc>
          <w:tcPr>
            <w:tcW w:w="1947"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22.26</w:t>
            </w:r>
          </w:p>
        </w:tc>
        <w:tc>
          <w:tcPr>
            <w:tcW w:w="1904"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99.57%</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1856"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对个人和家庭的补助</w:t>
            </w:r>
          </w:p>
        </w:tc>
        <w:tc>
          <w:tcPr>
            <w:tcW w:w="1587"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285.26</w:t>
            </w:r>
          </w:p>
        </w:tc>
        <w:tc>
          <w:tcPr>
            <w:tcW w:w="1423"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285.26</w:t>
            </w:r>
          </w:p>
        </w:tc>
        <w:tc>
          <w:tcPr>
            <w:tcW w:w="1947"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0.00</w:t>
            </w:r>
          </w:p>
        </w:tc>
        <w:tc>
          <w:tcPr>
            <w:tcW w:w="1904"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100%</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1856"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小计</w:t>
            </w:r>
          </w:p>
        </w:tc>
        <w:tc>
          <w:tcPr>
            <w:tcW w:w="1587"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5469.42</w:t>
            </w:r>
          </w:p>
        </w:tc>
        <w:tc>
          <w:tcPr>
            <w:tcW w:w="1423"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5447.16</w:t>
            </w:r>
          </w:p>
        </w:tc>
        <w:tc>
          <w:tcPr>
            <w:tcW w:w="1947"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22.26</w:t>
            </w:r>
          </w:p>
        </w:tc>
        <w:tc>
          <w:tcPr>
            <w:tcW w:w="1904" w:type="dxa"/>
            <w:tcBorders>
              <w:tl2br w:val="nil"/>
              <w:tr2bl w:val="nil"/>
            </w:tcBorders>
            <w:vAlign w:val="center"/>
          </w:tcPr>
          <w:p>
            <w:pPr>
              <w:widowControl/>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99.59%</w:t>
            </w:r>
          </w:p>
        </w:tc>
      </w:tr>
    </w:tbl>
    <w:p>
      <w:pPr>
        <w:spacing w:line="600" w:lineRule="exact"/>
        <w:ind w:firstLine="643" w:firstLineChars="200"/>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3.公用经费预决算情况</w:t>
      </w:r>
    </w:p>
    <w:p>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2024年部门公用经费预算687万元，决算支出637.88万元，结转结余49.12万元，预算执行率92.85%。</w:t>
      </w:r>
    </w:p>
    <w:p>
      <w:pPr>
        <w:pStyle w:val="3"/>
        <w:ind w:firstLine="640"/>
        <w:rPr>
          <w:rFonts w:hint="default" w:ascii="Times New Roman" w:hAnsi="Times New Roman" w:eastAsia="楷体_GB2312" w:cs="Times New Roman"/>
        </w:rPr>
      </w:pPr>
      <w:bookmarkStart w:id="8" w:name="_Toc31351"/>
      <w:r>
        <w:rPr>
          <w:rFonts w:hint="default" w:ascii="Times New Roman" w:hAnsi="Times New Roman" w:eastAsia="楷体_GB2312" w:cs="Times New Roman"/>
        </w:rPr>
        <w:t>（三）项目支出情况</w:t>
      </w:r>
      <w:bookmarkEnd w:id="8"/>
    </w:p>
    <w:p>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2024年度项目支出全年预算10256.6万元，决算支出9087.15万元，预算执行率88.6%。</w:t>
      </w:r>
      <w:r>
        <w:rPr>
          <w:rFonts w:hint="default" w:ascii="Times New Roman" w:hAnsi="Times New Roman" w:eastAsia="仿宋_GB2312" w:cs="Times New Roman"/>
          <w:b/>
          <w:sz w:val="32"/>
        </w:rPr>
        <w:t>一是</w:t>
      </w:r>
      <w:r>
        <w:rPr>
          <w:rFonts w:hint="default" w:ascii="Times New Roman" w:hAnsi="Times New Roman" w:eastAsia="仿宋_GB2312" w:cs="Times New Roman"/>
          <w:sz w:val="32"/>
        </w:rPr>
        <w:t>2024年度省级</w:t>
      </w:r>
      <w:r>
        <w:rPr>
          <w:rFonts w:hint="eastAsia" w:ascii="Times New Roman" w:hAnsi="Times New Roman" w:eastAsia="仿宋_GB2312" w:cs="Times New Roman"/>
          <w:sz w:val="32"/>
          <w:lang w:eastAsia="zh-CN"/>
        </w:rPr>
        <w:t>人才</w:t>
      </w:r>
      <w:r>
        <w:rPr>
          <w:rFonts w:hint="default" w:ascii="Times New Roman" w:hAnsi="Times New Roman" w:eastAsia="仿宋_GB2312" w:cs="Times New Roman"/>
          <w:sz w:val="32"/>
        </w:rPr>
        <w:t>专项</w:t>
      </w:r>
      <w:r>
        <w:rPr>
          <w:rFonts w:hint="eastAsia" w:ascii="Times New Roman" w:hAnsi="Times New Roman" w:eastAsia="仿宋_GB2312" w:cs="Times New Roman"/>
          <w:sz w:val="32"/>
          <w:lang w:eastAsia="zh-CN"/>
        </w:rPr>
        <w:t>发展</w:t>
      </w:r>
      <w:r>
        <w:rPr>
          <w:rFonts w:hint="default" w:ascii="Times New Roman" w:hAnsi="Times New Roman" w:eastAsia="仿宋_GB2312" w:cs="Times New Roman"/>
          <w:sz w:val="32"/>
        </w:rPr>
        <w:t>资金</w:t>
      </w:r>
      <w:r>
        <w:rPr>
          <w:rFonts w:hint="eastAsia" w:ascii="Times New Roman" w:hAnsi="Times New Roman" w:eastAsia="仿宋_GB2312" w:cs="Times New Roman"/>
          <w:sz w:val="32"/>
          <w:lang w:eastAsia="zh-CN"/>
        </w:rPr>
        <w:t>（部机关本级预算资金）</w:t>
      </w:r>
      <w:r>
        <w:rPr>
          <w:rFonts w:hint="default" w:ascii="Times New Roman" w:hAnsi="Times New Roman" w:eastAsia="仿宋_GB2312" w:cs="Times New Roman"/>
          <w:sz w:val="32"/>
          <w:szCs w:val="32"/>
        </w:rPr>
        <w:t>6560.99万元，决算支出6148.63万元，预算执行率93.71%。</w:t>
      </w:r>
      <w:r>
        <w:rPr>
          <w:rFonts w:hint="default" w:ascii="Times New Roman" w:hAnsi="Times New Roman" w:eastAsia="仿宋_GB2312" w:cs="Times New Roman"/>
          <w:b/>
          <w:sz w:val="32"/>
        </w:rPr>
        <w:t>二是</w:t>
      </w:r>
      <w:r>
        <w:rPr>
          <w:rFonts w:hint="default" w:ascii="Times New Roman" w:hAnsi="Times New Roman" w:eastAsia="仿宋_GB2312" w:cs="Times New Roman"/>
          <w:sz w:val="32"/>
          <w:szCs w:val="32"/>
        </w:rPr>
        <w:t>业务工作经费全年预算3157.07万元，决算支出2528.19万元，预算执行率80.08%。</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sz w:val="32"/>
          <w:szCs w:val="32"/>
        </w:rPr>
        <w:t>其他事业发展资金全年预算538.54万元，决算支出410.33万元，预算执行率76.19%。</w:t>
      </w:r>
    </w:p>
    <w:p>
      <w:pPr>
        <w:pStyle w:val="3"/>
        <w:ind w:firstLine="640"/>
        <w:rPr>
          <w:rFonts w:hint="default" w:ascii="Times New Roman" w:hAnsi="Times New Roman" w:eastAsia="楷体_GB2312" w:cs="Times New Roman"/>
        </w:rPr>
      </w:pPr>
      <w:bookmarkStart w:id="9" w:name="_Toc21729"/>
      <w:r>
        <w:rPr>
          <w:rFonts w:hint="default" w:ascii="Times New Roman" w:hAnsi="Times New Roman" w:eastAsia="楷体_GB2312" w:cs="Times New Roman"/>
        </w:rPr>
        <w:t>（四）三公经费预算执行情况</w:t>
      </w:r>
      <w:bookmarkEnd w:id="9"/>
    </w:p>
    <w:p>
      <w:pPr>
        <w:spacing w:line="600" w:lineRule="exact"/>
        <w:ind w:firstLine="643" w:firstLineChars="200"/>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1.三公经费总体预算及执行情况</w:t>
      </w:r>
    </w:p>
    <w:p>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2024年“三公”经费全年预算244.00万元，决算支出175.31万元，预算执行率71.85%。具体见下表：</w:t>
      </w:r>
    </w:p>
    <w:tbl>
      <w:tblPr>
        <w:tblW w:w="8717" w:type="dxa"/>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
      <w:tblGrid>
        <w:gridCol w:w="2457"/>
        <w:gridCol w:w="1720"/>
        <w:gridCol w:w="1548"/>
        <w:gridCol w:w="1341"/>
        <w:gridCol w:w="1651"/>
      </w:tblGrid>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blHeader/>
        </w:trPr>
        <w:tc>
          <w:tcPr>
            <w:tcW w:w="245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科目</w:t>
            </w:r>
          </w:p>
        </w:tc>
        <w:tc>
          <w:tcPr>
            <w:tcW w:w="1720"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本年预算</w:t>
            </w:r>
          </w:p>
        </w:tc>
        <w:tc>
          <w:tcPr>
            <w:tcW w:w="1548"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本年支出</w:t>
            </w:r>
          </w:p>
        </w:tc>
        <w:tc>
          <w:tcPr>
            <w:tcW w:w="1341"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年末结余</w:t>
            </w:r>
          </w:p>
        </w:tc>
        <w:tc>
          <w:tcPr>
            <w:tcW w:w="1651"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预算执行率</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45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公务接待费</w:t>
            </w:r>
          </w:p>
        </w:tc>
        <w:tc>
          <w:tcPr>
            <w:tcW w:w="1720" w:type="dxa"/>
            <w:tcBorders>
              <w:tl2br w:val="nil"/>
              <w:tr2bl w:val="nil"/>
            </w:tcBorders>
            <w:vAlign w:val="center"/>
          </w:tcPr>
          <w:p>
            <w:pPr>
              <w:widowControl/>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10</w:t>
            </w:r>
          </w:p>
        </w:tc>
        <w:tc>
          <w:tcPr>
            <w:tcW w:w="1548" w:type="dxa"/>
            <w:tcBorders>
              <w:tl2br w:val="nil"/>
              <w:tr2bl w:val="nil"/>
            </w:tcBorders>
            <w:vAlign w:val="center"/>
          </w:tcPr>
          <w:p>
            <w:pPr>
              <w:widowControl/>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2.88</w:t>
            </w:r>
          </w:p>
        </w:tc>
        <w:tc>
          <w:tcPr>
            <w:tcW w:w="1341"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7.12</w:t>
            </w:r>
          </w:p>
        </w:tc>
        <w:tc>
          <w:tcPr>
            <w:tcW w:w="1651"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28.8</w:t>
            </w:r>
            <w:r>
              <w:rPr>
                <w:rFonts w:hint="default" w:ascii="Times New Roman" w:hAnsi="Times New Roman" w:eastAsia="Times New Roman Regular" w:cs="Times New Roman"/>
                <w:kern w:val="0"/>
                <w:szCs w:val="21"/>
              </w:rPr>
              <w:t>%</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45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公务用车运行维护费</w:t>
            </w:r>
          </w:p>
        </w:tc>
        <w:tc>
          <w:tcPr>
            <w:tcW w:w="1720" w:type="dxa"/>
            <w:tcBorders>
              <w:tl2br w:val="nil"/>
              <w:tr2bl w:val="nil"/>
            </w:tcBorders>
            <w:vAlign w:val="center"/>
          </w:tcPr>
          <w:p>
            <w:pPr>
              <w:widowControl/>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54</w:t>
            </w:r>
          </w:p>
        </w:tc>
        <w:tc>
          <w:tcPr>
            <w:tcW w:w="1548" w:type="dxa"/>
            <w:tcBorders>
              <w:tl2br w:val="nil"/>
              <w:tr2bl w:val="nil"/>
            </w:tcBorders>
            <w:vAlign w:val="center"/>
          </w:tcPr>
          <w:p>
            <w:pPr>
              <w:widowControl/>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26.22</w:t>
            </w:r>
          </w:p>
        </w:tc>
        <w:tc>
          <w:tcPr>
            <w:tcW w:w="1341" w:type="dxa"/>
            <w:tcBorders>
              <w:tl2br w:val="nil"/>
              <w:tr2bl w:val="nil"/>
            </w:tcBorders>
            <w:vAlign w:val="center"/>
          </w:tcPr>
          <w:p>
            <w:pPr>
              <w:widowControl/>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27.78</w:t>
            </w:r>
          </w:p>
        </w:tc>
        <w:tc>
          <w:tcPr>
            <w:tcW w:w="1651"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48.56</w:t>
            </w:r>
            <w:r>
              <w:rPr>
                <w:rFonts w:hint="default" w:ascii="Times New Roman" w:hAnsi="Times New Roman" w:eastAsia="Times New Roman Regular" w:cs="Times New Roman"/>
                <w:kern w:val="0"/>
                <w:szCs w:val="21"/>
              </w:rPr>
              <w:t>%</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45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公车购置</w:t>
            </w:r>
          </w:p>
        </w:tc>
        <w:tc>
          <w:tcPr>
            <w:tcW w:w="1720" w:type="dxa"/>
            <w:tcBorders>
              <w:tl2br w:val="nil"/>
              <w:tr2bl w:val="nil"/>
            </w:tcBorders>
            <w:vAlign w:val="center"/>
          </w:tcPr>
          <w:p>
            <w:pPr>
              <w:widowControl/>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20</w:t>
            </w:r>
          </w:p>
        </w:tc>
        <w:tc>
          <w:tcPr>
            <w:tcW w:w="1548"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w:t>
            </w:r>
          </w:p>
        </w:tc>
        <w:tc>
          <w:tcPr>
            <w:tcW w:w="1341" w:type="dxa"/>
            <w:tcBorders>
              <w:tl2br w:val="nil"/>
              <w:tr2bl w:val="nil"/>
            </w:tcBorders>
            <w:vAlign w:val="center"/>
          </w:tcPr>
          <w:p>
            <w:pPr>
              <w:widowControl/>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0</w:t>
            </w:r>
          </w:p>
        </w:tc>
        <w:tc>
          <w:tcPr>
            <w:tcW w:w="1651"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100</w:t>
            </w:r>
            <w:r>
              <w:rPr>
                <w:rFonts w:hint="default" w:ascii="Times New Roman" w:hAnsi="Times New Roman" w:eastAsia="Times New Roman Regular" w:cs="Times New Roman"/>
                <w:kern w:val="0"/>
                <w:szCs w:val="21"/>
              </w:rPr>
              <w:t>%</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45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出国出境费</w:t>
            </w:r>
          </w:p>
        </w:tc>
        <w:tc>
          <w:tcPr>
            <w:tcW w:w="1720" w:type="dxa"/>
            <w:tcBorders>
              <w:tl2br w:val="nil"/>
              <w:tr2bl w:val="nil"/>
            </w:tcBorders>
            <w:vAlign w:val="center"/>
          </w:tcPr>
          <w:p>
            <w:pPr>
              <w:widowControl/>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160</w:t>
            </w:r>
          </w:p>
        </w:tc>
        <w:tc>
          <w:tcPr>
            <w:tcW w:w="1548"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126.21</w:t>
            </w:r>
          </w:p>
        </w:tc>
        <w:tc>
          <w:tcPr>
            <w:tcW w:w="1341" w:type="dxa"/>
            <w:tcBorders>
              <w:tl2br w:val="nil"/>
              <w:tr2bl w:val="nil"/>
            </w:tcBorders>
            <w:vAlign w:val="center"/>
          </w:tcPr>
          <w:p>
            <w:pPr>
              <w:widowControl/>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33.79</w:t>
            </w:r>
          </w:p>
        </w:tc>
        <w:tc>
          <w:tcPr>
            <w:tcW w:w="1651"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78.88</w:t>
            </w:r>
            <w:r>
              <w:rPr>
                <w:rFonts w:hint="default" w:ascii="Times New Roman" w:hAnsi="Times New Roman" w:eastAsia="Times New Roman Regular" w:cs="Times New Roman"/>
                <w:kern w:val="0"/>
                <w:szCs w:val="21"/>
              </w:rPr>
              <w:t>%</w:t>
            </w:r>
          </w:p>
        </w:tc>
      </w:tr>
      <w:tr>
        <w:tblPrEx>
          <w:tblBorders>
            <w:top w:val="single" w:color="000000" w:sz="8" w:space="0"/>
            <w:left w:val="none" w:color="auto" w:sz="0" w:space="0"/>
            <w:bottom w:val="single" w:color="000000" w:sz="8" w:space="0"/>
            <w:right w:val="none" w:color="auto" w:sz="0" w:space="0"/>
            <w:insideH w:val="dotted" w:color="000000" w:sz="4" w:space="0"/>
            <w:insideV w:val="dotted" w:color="000000" w:sz="4" w:space="0"/>
          </w:tblBorders>
          <w:tblLayout w:type="fixed"/>
          <w:tblCellMar>
            <w:left w:w="108" w:type="dxa"/>
            <w:right w:w="108" w:type="dxa"/>
          </w:tblCellMar>
        </w:tblPrEx>
        <w:trPr>
          <w:trHeight w:val="454" w:hRule="atLeast"/>
        </w:trPr>
        <w:tc>
          <w:tcPr>
            <w:tcW w:w="2457" w:type="dxa"/>
            <w:tcBorders>
              <w:tl2br w:val="nil"/>
              <w:tr2bl w:val="nil"/>
            </w:tcBorders>
            <w:vAlign w:val="center"/>
          </w:tcPr>
          <w:p>
            <w:pPr>
              <w:widowControl/>
              <w:jc w:val="center"/>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合计</w:t>
            </w:r>
          </w:p>
        </w:tc>
        <w:tc>
          <w:tcPr>
            <w:tcW w:w="1720" w:type="dxa"/>
            <w:tcBorders>
              <w:tl2br w:val="nil"/>
              <w:tr2bl w:val="nil"/>
            </w:tcBorders>
            <w:vAlign w:val="center"/>
          </w:tcPr>
          <w:p>
            <w:pPr>
              <w:widowControl/>
              <w:jc w:val="center"/>
              <w:textAlignment w:val="center"/>
              <w:rPr>
                <w:rFonts w:hint="default" w:ascii="Times New Roman" w:hAnsi="Times New Roman" w:eastAsia="Times New Roman Regular" w:cs="Times New Roman"/>
                <w:kern w:val="0"/>
                <w:szCs w:val="21"/>
              </w:rPr>
            </w:pPr>
            <w:r>
              <w:rPr>
                <w:rFonts w:hint="default" w:ascii="Times New Roman" w:hAnsi="Times New Roman" w:cs="Times New Roman"/>
                <w:kern w:val="0"/>
                <w:szCs w:val="21"/>
              </w:rPr>
              <w:t>244</w:t>
            </w:r>
          </w:p>
        </w:tc>
        <w:tc>
          <w:tcPr>
            <w:tcW w:w="1548"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175.31</w:t>
            </w:r>
          </w:p>
        </w:tc>
        <w:tc>
          <w:tcPr>
            <w:tcW w:w="1341"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68.69</w:t>
            </w:r>
          </w:p>
        </w:tc>
        <w:tc>
          <w:tcPr>
            <w:tcW w:w="1651" w:type="dxa"/>
            <w:tcBorders>
              <w:tl2br w:val="nil"/>
              <w:tr2bl w:val="nil"/>
            </w:tcBorders>
            <w:vAlign w:val="center"/>
          </w:tcPr>
          <w:p>
            <w:pPr>
              <w:widowControl/>
              <w:jc w:val="center"/>
              <w:textAlignment w:val="center"/>
              <w:rPr>
                <w:rFonts w:hint="default" w:ascii="Times New Roman" w:hAnsi="Times New Roman" w:eastAsia="仿宋_GB2312" w:cs="Times New Roman"/>
                <w:kern w:val="0"/>
                <w:szCs w:val="21"/>
              </w:rPr>
            </w:pPr>
            <w:r>
              <w:rPr>
                <w:rFonts w:hint="default" w:ascii="Times New Roman" w:hAnsi="Times New Roman" w:cs="Times New Roman"/>
                <w:kern w:val="0"/>
                <w:szCs w:val="21"/>
              </w:rPr>
              <w:t>71.85</w:t>
            </w:r>
            <w:r>
              <w:rPr>
                <w:rFonts w:hint="default" w:ascii="Times New Roman" w:hAnsi="Times New Roman" w:eastAsia="Times New Roman Regular" w:cs="Times New Roman"/>
                <w:kern w:val="0"/>
                <w:szCs w:val="21"/>
              </w:rPr>
              <w:t>%</w:t>
            </w:r>
          </w:p>
        </w:tc>
      </w:tr>
    </w:tbl>
    <w:p>
      <w:pPr>
        <w:widowControl w:val="0"/>
        <w:wordWrap/>
        <w:spacing w:before="0" w:after="0" w:line="600" w:lineRule="exact"/>
        <w:ind w:left="0" w:leftChars="0" w:right="0" w:firstLine="640" w:firstLineChars="200"/>
        <w:jc w:val="both"/>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2.三公经费分析</w:t>
      </w:r>
    </w:p>
    <w:p>
      <w:pPr>
        <w:widowControl w:val="0"/>
        <w:wordWrap/>
        <w:spacing w:before="0" w:after="0" w:line="600" w:lineRule="exact"/>
        <w:ind w:left="0" w:leftChars="0" w:righ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2024年“三公”经费支出175.31万元，比上年增加102.79万元，增幅141.74%，主要原因是2024年恢复出国（境）培训工作。</w:t>
      </w:r>
      <w:r>
        <w:rPr>
          <w:rFonts w:hint="default" w:ascii="Times New Roman" w:hAnsi="Times New Roman" w:eastAsia="仿宋_GB2312" w:cs="Times New Roman"/>
          <w:sz w:val="32"/>
          <w:lang w:val="zh-CN"/>
        </w:rPr>
        <w:t>其中：公务接待费支出</w:t>
      </w:r>
      <w:r>
        <w:rPr>
          <w:rFonts w:hint="default" w:ascii="Times New Roman" w:hAnsi="Times New Roman" w:eastAsia="仿宋_GB2312" w:cs="Times New Roman"/>
          <w:sz w:val="32"/>
        </w:rPr>
        <w:t>2.88万元</w:t>
      </w:r>
      <w:r>
        <w:rPr>
          <w:rFonts w:hint="default" w:ascii="Times New Roman" w:hAnsi="Times New Roman" w:eastAsia="仿宋_GB2312" w:cs="Times New Roman"/>
          <w:sz w:val="32"/>
          <w:lang w:val="zh-CN"/>
        </w:rPr>
        <w:t>，较上年增加</w:t>
      </w:r>
      <w:r>
        <w:rPr>
          <w:rFonts w:hint="default" w:ascii="Times New Roman" w:hAnsi="Times New Roman" w:eastAsia="仿宋_GB2312" w:cs="Times New Roman"/>
          <w:sz w:val="32"/>
        </w:rPr>
        <w:t>0.89万元，增幅45.22%；</w:t>
      </w:r>
      <w:r>
        <w:rPr>
          <w:rFonts w:hint="default" w:ascii="Times New Roman" w:hAnsi="Times New Roman" w:eastAsia="仿宋_GB2312" w:cs="Times New Roman"/>
          <w:sz w:val="32"/>
          <w:lang w:val="zh-CN"/>
        </w:rPr>
        <w:t>公务用车购置及运行维护支出</w:t>
      </w:r>
      <w:r>
        <w:rPr>
          <w:rFonts w:hint="default" w:ascii="Times New Roman" w:hAnsi="Times New Roman" w:eastAsia="仿宋_GB2312" w:cs="Times New Roman"/>
          <w:sz w:val="32"/>
        </w:rPr>
        <w:t>46.22万元，较上年减少24.31万元，降幅34.48%；因公出国（境）费用126.21万元，较上年增加126.21万元。</w:t>
      </w:r>
    </w:p>
    <w:p>
      <w:pPr>
        <w:pStyle w:val="3"/>
        <w:widowControl w:val="0"/>
        <w:wordWrap/>
        <w:spacing w:before="0" w:after="0"/>
        <w:ind w:left="0" w:leftChars="0" w:right="0" w:firstLine="640" w:firstLineChars="200"/>
        <w:jc w:val="both"/>
        <w:textAlignment w:val="auto"/>
        <w:rPr>
          <w:rFonts w:hint="default" w:ascii="Times New Roman" w:hAnsi="Times New Roman" w:eastAsia="楷体_GB2312" w:cs="Times New Roman"/>
        </w:rPr>
      </w:pPr>
      <w:bookmarkStart w:id="10" w:name="_Toc704"/>
      <w:r>
        <w:rPr>
          <w:rFonts w:hint="default" w:ascii="Times New Roman" w:hAnsi="Times New Roman" w:eastAsia="楷体_GB2312" w:cs="Times New Roman"/>
        </w:rPr>
        <w:t>（五）政府采购管理情况</w:t>
      </w:r>
      <w:bookmarkEnd w:id="10"/>
    </w:p>
    <w:p>
      <w:pPr>
        <w:widowControl w:val="0"/>
        <w:wordWrap/>
        <w:adjustRightInd w:val="0"/>
        <w:snapToGrid w:val="0"/>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2024年我部政府采购合计金额1701.32万元，其中政府采购货物支出268.01万元，政府采购服务支出1433.31万元。</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sz w:val="32"/>
          <w:szCs w:val="32"/>
        </w:rPr>
        <w:t>坚持全面从严与重点管控并举，将严的要求贯穿政府采购全流程、各环节，并重点盯住关键环节、关键岗位和重大风险事项，做到管早管小、预防在先。</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坚持分工制衡与提升效能并重，发挥内部机构之间、业务环节之间、不同岗位之间的相互监督和制约作用，合理分工，优化流程，加强衔接，不断提高采购绩效和行政效能。</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sz w:val="32"/>
          <w:szCs w:val="32"/>
        </w:rPr>
        <w:t>坚持权责对等与严肃问责并行，在政府采购执行与监管过程中贯彻权责一致原则，明确采购需求管理、审批、执行、履约验收等各个环节职责权限，建立依法依规、运转高效、监督到位、严格问责的政府采购内部控制制度。</w:t>
      </w:r>
    </w:p>
    <w:p>
      <w:pPr>
        <w:pStyle w:val="2"/>
        <w:widowControl w:val="0"/>
        <w:wordWrap/>
        <w:spacing w:before="0" w:after="0"/>
        <w:ind w:left="0" w:leftChars="0" w:right="0" w:firstLine="640" w:firstLineChars="200"/>
        <w:jc w:val="both"/>
        <w:textAlignment w:val="auto"/>
        <w:rPr>
          <w:rFonts w:hint="default" w:ascii="Times New Roman" w:hAnsi="Times New Roman" w:cs="Times New Roman"/>
        </w:rPr>
      </w:pPr>
      <w:bookmarkStart w:id="11" w:name="_Toc12094"/>
      <w:r>
        <w:rPr>
          <w:rFonts w:hint="default" w:ascii="Times New Roman" w:hAnsi="Times New Roman" w:cs="Times New Roman"/>
        </w:rPr>
        <w:t>三、部门整体支出绩效情况</w:t>
      </w:r>
      <w:bookmarkEnd w:id="11"/>
    </w:p>
    <w:p>
      <w:pPr>
        <w:widowControl w:val="0"/>
        <w:wordWrap/>
        <w:spacing w:before="0" w:after="0"/>
        <w:ind w:left="0" w:leftChars="0" w:right="0" w:firstLine="640" w:firstLineChars="200"/>
        <w:jc w:val="both"/>
        <w:textAlignment w:val="auto"/>
        <w:rPr>
          <w:rFonts w:hint="default" w:ascii="Times New Roman" w:hAnsi="Times New Roman" w:eastAsia="仿宋_GB2312" w:cs="Times New Roman"/>
          <w:sz w:val="32"/>
          <w:szCs w:val="32"/>
        </w:rPr>
      </w:pPr>
      <w:bookmarkStart w:id="12" w:name="_Toc32548"/>
      <w:r>
        <w:rPr>
          <w:rFonts w:hint="default" w:ascii="Times New Roman" w:hAnsi="Times New Roman" w:eastAsia="仿宋_GB2312" w:cs="Times New Roman"/>
          <w:sz w:val="32"/>
          <w:szCs w:val="32"/>
        </w:rPr>
        <w:t>2024年，省委组织部部门预算整体支出进度92.44%，各项年初预定工作目标基本完成，在扎实推进组织工作各项任务落地落实，保障部机关正常运转等方面发挥了积极作用，总体支出绩效较好。</w:t>
      </w:r>
    </w:p>
    <w:p>
      <w:pPr>
        <w:widowControl w:val="0"/>
        <w:wordWrap/>
        <w:adjustRightInd w:val="0"/>
        <w:snapToGrid w:val="0"/>
        <w:spacing w:before="0" w:after="0" w:line="636" w:lineRule="exact"/>
        <w:ind w:left="0" w:leftChars="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1.着力推动党的创新理论武装走深走实。一是</w:t>
      </w:r>
      <w:r>
        <w:rPr>
          <w:rFonts w:hint="default" w:ascii="Times New Roman" w:hAnsi="Times New Roman" w:eastAsia="仿宋_GB2312" w:cs="Times New Roman"/>
          <w:kern w:val="0"/>
          <w:sz w:val="32"/>
          <w:szCs w:val="32"/>
        </w:rPr>
        <w:t>巩固拓展主题教育成果。制定我省巩固拓展主题教育成果实施意见，健全以学铸魂、以学增智、以学正风、以学促干长效机制。举办学习贯彻习近平总书记考察湖南重要讲话和指示精神专题研讨班，指导办好厅级、县处级干部专题进修班，把党的创新理论学习贯彻不断引向深入。</w:t>
      </w:r>
      <w:r>
        <w:rPr>
          <w:rFonts w:hint="default" w:ascii="Times New Roman" w:hAnsi="Times New Roman" w:eastAsia="仿宋_GB2312" w:cs="Times New Roman"/>
          <w:b/>
          <w:kern w:val="0"/>
          <w:sz w:val="32"/>
          <w:szCs w:val="32"/>
        </w:rPr>
        <w:t>二是</w:t>
      </w:r>
      <w:r>
        <w:rPr>
          <w:rFonts w:hint="default" w:ascii="Times New Roman" w:hAnsi="Times New Roman" w:eastAsia="仿宋_GB2312" w:cs="Times New Roman"/>
          <w:kern w:val="0"/>
          <w:sz w:val="32"/>
          <w:szCs w:val="32"/>
        </w:rPr>
        <w:t>认真组织党纪学习教育。为各级党组织编印发放《条例》案例解读，深入开展“一进两送”，推动各级党校将《条例》</w:t>
      </w:r>
      <w:r>
        <w:rPr>
          <w:rFonts w:hint="eastAsia" w:ascii="Times New Roman" w:hAnsi="Times New Roman" w:eastAsia="仿宋_GB2312" w:cs="Times New Roman"/>
          <w:kern w:val="0"/>
          <w:sz w:val="32"/>
          <w:szCs w:val="32"/>
          <w:lang w:eastAsia="zh-CN"/>
        </w:rPr>
        <w:t>纳入</w:t>
      </w:r>
      <w:r>
        <w:rPr>
          <w:rFonts w:hint="default" w:ascii="Times New Roman" w:hAnsi="Times New Roman" w:eastAsia="仿宋_GB2312" w:cs="Times New Roman"/>
          <w:kern w:val="0"/>
          <w:sz w:val="32"/>
          <w:szCs w:val="32"/>
        </w:rPr>
        <w:t>教学内容，各级党组织开展送学送教1.2万余场。</w:t>
      </w:r>
      <w:r>
        <w:rPr>
          <w:rFonts w:hint="default" w:ascii="Times New Roman" w:hAnsi="Times New Roman" w:eastAsia="仿宋_GB2312" w:cs="Times New Roman"/>
          <w:b/>
          <w:kern w:val="0"/>
          <w:sz w:val="32"/>
          <w:szCs w:val="32"/>
        </w:rPr>
        <w:t>三是</w:t>
      </w:r>
      <w:r>
        <w:rPr>
          <w:rFonts w:hint="default" w:ascii="Times New Roman" w:hAnsi="Times New Roman" w:eastAsia="仿宋_GB2312" w:cs="Times New Roman"/>
          <w:kern w:val="0"/>
          <w:sz w:val="32"/>
          <w:szCs w:val="32"/>
        </w:rPr>
        <w:t>开展党的二十届三中全会精神全覆盖轮训。举办市厅级主要领导干部专题研讨班和省管干部专题轮训班，抓好县处级及相当职务层次干部集中轮训，指导各地各单位抓好全覆盖培训。</w:t>
      </w:r>
      <w:r>
        <w:rPr>
          <w:rFonts w:hint="default" w:ascii="Times New Roman" w:hAnsi="Times New Roman" w:eastAsia="仿宋_GB2312" w:cs="Times New Roman"/>
          <w:b/>
          <w:kern w:val="0"/>
          <w:sz w:val="32"/>
          <w:szCs w:val="32"/>
        </w:rPr>
        <w:t>四是</w:t>
      </w:r>
      <w:r>
        <w:rPr>
          <w:rFonts w:hint="default" w:ascii="Times New Roman" w:hAnsi="Times New Roman" w:eastAsia="仿宋_GB2312" w:cs="Times New Roman"/>
          <w:kern w:val="0"/>
          <w:sz w:val="32"/>
          <w:szCs w:val="32"/>
        </w:rPr>
        <w:t>持之以恒强化党性教育。举办厅级干部党章党规党纪专题研修等专题培训班。评选党性教育精品课96堂，5堂党性教育精品课程入选全国好课程。</w:t>
      </w:r>
    </w:p>
    <w:p>
      <w:pPr>
        <w:widowControl w:val="0"/>
        <w:wordWrap/>
        <w:adjustRightInd w:val="0"/>
        <w:snapToGrid w:val="0"/>
        <w:spacing w:before="0" w:after="0" w:line="636" w:lineRule="exact"/>
        <w:ind w:left="0" w:leftChars="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2.着力建设高素质干部队伍。一是</w:t>
      </w:r>
      <w:r>
        <w:rPr>
          <w:rFonts w:hint="default" w:ascii="Times New Roman" w:hAnsi="Times New Roman" w:eastAsia="仿宋_GB2312" w:cs="Times New Roman"/>
          <w:kern w:val="0"/>
          <w:sz w:val="32"/>
          <w:szCs w:val="32"/>
        </w:rPr>
        <w:t>推动树立和践行正确政绩观。常态化开展“一树两严”专题培训，举办树立和践行正确政绩观、推动金融高质量发展等专题培训班。</w:t>
      </w:r>
      <w:r>
        <w:rPr>
          <w:rFonts w:hint="default" w:ascii="Times New Roman" w:hAnsi="Times New Roman" w:eastAsia="仿宋_GB2312" w:cs="Times New Roman"/>
          <w:b/>
          <w:kern w:val="0"/>
          <w:sz w:val="32"/>
          <w:szCs w:val="32"/>
        </w:rPr>
        <w:t>二是</w:t>
      </w:r>
      <w:r>
        <w:rPr>
          <w:rFonts w:hint="default" w:ascii="Times New Roman" w:hAnsi="Times New Roman" w:eastAsia="仿宋_GB2312" w:cs="Times New Roman"/>
          <w:kern w:val="0"/>
          <w:sz w:val="32"/>
          <w:szCs w:val="32"/>
        </w:rPr>
        <w:t>重构推动高质量发展考核体系。将市州绩效考核调整为市州高质量发展综合绩效评价，构建以年度考核为统领、综合考核和专项考核相结合的“1+7”考核体系，统筹用好各类考核成果。</w:t>
      </w:r>
      <w:r>
        <w:rPr>
          <w:rFonts w:hint="default" w:ascii="Times New Roman" w:hAnsi="Times New Roman" w:eastAsia="仿宋_GB2312" w:cs="Times New Roman"/>
          <w:b/>
          <w:kern w:val="0"/>
          <w:sz w:val="32"/>
          <w:szCs w:val="32"/>
        </w:rPr>
        <w:t>三是</w:t>
      </w:r>
      <w:r>
        <w:rPr>
          <w:rFonts w:hint="default" w:ascii="Times New Roman" w:hAnsi="Times New Roman" w:eastAsia="仿宋_GB2312" w:cs="Times New Roman"/>
          <w:kern w:val="0"/>
          <w:sz w:val="32"/>
          <w:szCs w:val="32"/>
        </w:rPr>
        <w:t>持续优化干部选任工作。制定党政领导班子建设、公务员队伍建设规划纲要实施意见和省管高校领导班子建设、事业单位领导人员管理办法等政策文件。</w:t>
      </w:r>
      <w:r>
        <w:rPr>
          <w:rFonts w:hint="eastAsia" w:ascii="Times New Roman" w:hAnsi="Times New Roman" w:eastAsia="仿宋_GB2312" w:cs="Times New Roman"/>
          <w:kern w:val="0"/>
          <w:sz w:val="32"/>
          <w:szCs w:val="32"/>
          <w:lang w:eastAsia="zh-CN"/>
        </w:rPr>
        <w:t>继续做好从高校选拔选调生到村（社区）工作。</w:t>
      </w:r>
      <w:r>
        <w:rPr>
          <w:rFonts w:hint="default" w:ascii="Times New Roman" w:hAnsi="Times New Roman" w:eastAsia="仿宋_GB2312" w:cs="Times New Roman"/>
          <w:kern w:val="0"/>
          <w:sz w:val="32"/>
          <w:szCs w:val="32"/>
        </w:rPr>
        <w:t>继续用好“四类干部”调研成果，注重老中青搭配，充分调动各年龄层次和不同领域干部积极性。</w:t>
      </w:r>
      <w:r>
        <w:rPr>
          <w:rFonts w:hint="default" w:ascii="Times New Roman" w:hAnsi="Times New Roman" w:eastAsia="仿宋_GB2312" w:cs="Times New Roman"/>
          <w:b/>
          <w:kern w:val="0"/>
          <w:sz w:val="32"/>
          <w:szCs w:val="32"/>
        </w:rPr>
        <w:t>四是</w:t>
      </w:r>
      <w:r>
        <w:rPr>
          <w:rFonts w:hint="default" w:ascii="Times New Roman" w:hAnsi="Times New Roman" w:eastAsia="仿宋_GB2312" w:cs="Times New Roman"/>
          <w:kern w:val="0"/>
          <w:sz w:val="32"/>
          <w:szCs w:val="32"/>
        </w:rPr>
        <w:t>严管厚爱相结合推动干部担当作为。制定省管干部选拔任用“四必核”操作办法和任前审核存在暂缓选拔使用情形的后续工作操作办法，完善干部选任工作闭环。</w:t>
      </w:r>
    </w:p>
    <w:p>
      <w:pPr>
        <w:widowControl w:val="0"/>
        <w:wordWrap/>
        <w:adjustRightInd w:val="0"/>
        <w:snapToGrid w:val="0"/>
        <w:spacing w:before="0" w:after="0" w:line="636" w:lineRule="exact"/>
        <w:ind w:left="0" w:leftChars="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3.着力增强党组织政治功能和组织功能。一是</w:t>
      </w:r>
      <w:r>
        <w:rPr>
          <w:rFonts w:hint="default" w:ascii="Times New Roman" w:hAnsi="Times New Roman" w:eastAsia="仿宋_GB2312" w:cs="Times New Roman"/>
          <w:kern w:val="0"/>
          <w:sz w:val="32"/>
          <w:szCs w:val="32"/>
        </w:rPr>
        <w:t>着力破解乡村治理“小马拉大车”突出问题。</w:t>
      </w:r>
      <w:r>
        <w:rPr>
          <w:rFonts w:hint="eastAsia" w:ascii="Times New Roman" w:hAnsi="Times New Roman" w:eastAsia="仿宋_GB2312" w:cs="Times New Roman"/>
          <w:kern w:val="0"/>
          <w:sz w:val="32"/>
          <w:szCs w:val="32"/>
          <w:lang w:eastAsia="zh-CN"/>
        </w:rPr>
        <w:t>制定落实</w:t>
      </w:r>
      <w:r>
        <w:rPr>
          <w:rFonts w:hint="default" w:ascii="Times New Roman" w:hAnsi="Times New Roman" w:eastAsia="仿宋_GB2312" w:cs="Times New Roman"/>
          <w:kern w:val="0"/>
          <w:sz w:val="32"/>
          <w:szCs w:val="32"/>
        </w:rPr>
        <w:t>为乡村干部减负赋能75项</w:t>
      </w:r>
      <w:r>
        <w:rPr>
          <w:rFonts w:hint="eastAsia" w:ascii="Times New Roman" w:hAnsi="Times New Roman" w:eastAsia="仿宋_GB2312" w:cs="Times New Roman"/>
          <w:kern w:val="0"/>
          <w:sz w:val="32"/>
          <w:szCs w:val="32"/>
          <w:lang w:eastAsia="zh-CN"/>
        </w:rPr>
        <w:t>具体</w:t>
      </w:r>
      <w:r>
        <w:rPr>
          <w:rFonts w:hint="default" w:ascii="Times New Roman" w:hAnsi="Times New Roman" w:eastAsia="仿宋_GB2312" w:cs="Times New Roman"/>
          <w:kern w:val="0"/>
          <w:sz w:val="32"/>
          <w:szCs w:val="32"/>
        </w:rPr>
        <w:t>举措</w:t>
      </w:r>
      <w:r>
        <w:rPr>
          <w:rFonts w:hint="eastAsia" w:ascii="Times New Roman" w:hAnsi="Times New Roman" w:eastAsia="仿宋_GB2312" w:cs="Times New Roman"/>
          <w:kern w:val="0"/>
          <w:sz w:val="32"/>
          <w:szCs w:val="32"/>
          <w:lang w:eastAsia="zh-CN"/>
        </w:rPr>
        <w:t>，并建立健全长效机制</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kern w:val="0"/>
          <w:sz w:val="32"/>
          <w:szCs w:val="32"/>
        </w:rPr>
        <w:t>二是</w:t>
      </w:r>
      <w:r>
        <w:rPr>
          <w:rFonts w:hint="default" w:ascii="Times New Roman" w:hAnsi="Times New Roman" w:eastAsia="仿宋_GB2312" w:cs="Times New Roman"/>
          <w:kern w:val="0"/>
          <w:sz w:val="32"/>
          <w:szCs w:val="32"/>
        </w:rPr>
        <w:t>持续推进抓党建促乡村振兴。省、市选派482名优秀年轻干部到乡镇挂职锻炼，省级选派600名科技特派员到基层一线服务。承办全国抓党建促乡村振兴专题培训班，举办省级示范班，带动市县举办相关培训班2300余期。</w:t>
      </w:r>
      <w:r>
        <w:rPr>
          <w:rFonts w:hint="default" w:ascii="Times New Roman" w:hAnsi="Times New Roman" w:eastAsia="仿宋_GB2312" w:cs="Times New Roman"/>
          <w:b/>
          <w:kern w:val="0"/>
          <w:sz w:val="32"/>
          <w:szCs w:val="32"/>
        </w:rPr>
        <w:t>三是</w:t>
      </w:r>
      <w:r>
        <w:rPr>
          <w:rFonts w:hint="default" w:ascii="Times New Roman" w:hAnsi="Times New Roman" w:eastAsia="仿宋_GB2312" w:cs="Times New Roman"/>
          <w:kern w:val="0"/>
          <w:sz w:val="32"/>
          <w:szCs w:val="32"/>
        </w:rPr>
        <w:t>推深做实片组邻“三长制”，</w:t>
      </w:r>
      <w:r>
        <w:rPr>
          <w:rFonts w:hint="eastAsia" w:ascii="Times New Roman" w:hAnsi="Times New Roman" w:eastAsia="仿宋_GB2312" w:cs="Times New Roman"/>
          <w:kern w:val="0"/>
          <w:sz w:val="32"/>
          <w:szCs w:val="32"/>
          <w:lang w:eastAsia="zh-CN"/>
        </w:rPr>
        <w:t>推动</w:t>
      </w:r>
      <w:r>
        <w:rPr>
          <w:rFonts w:hint="default" w:ascii="Times New Roman" w:hAnsi="Times New Roman" w:eastAsia="仿宋_GB2312" w:cs="Times New Roman"/>
          <w:kern w:val="0"/>
          <w:sz w:val="32"/>
          <w:szCs w:val="32"/>
        </w:rPr>
        <w:t>邻</w:t>
      </w:r>
      <w:r>
        <w:rPr>
          <w:rFonts w:hint="eastAsia" w:ascii="Times New Roman" w:hAnsi="Times New Roman" w:eastAsia="仿宋_GB2312" w:cs="Times New Roman"/>
          <w:kern w:val="0"/>
          <w:sz w:val="32"/>
          <w:szCs w:val="32"/>
          <w:lang w:eastAsia="zh-CN"/>
        </w:rPr>
        <w:t>长更好发挥作用，</w:t>
      </w:r>
      <w:r>
        <w:rPr>
          <w:rFonts w:hint="default" w:ascii="Times New Roman" w:hAnsi="Times New Roman" w:eastAsia="仿宋_GB2312" w:cs="Times New Roman"/>
          <w:kern w:val="0"/>
          <w:sz w:val="32"/>
          <w:szCs w:val="32"/>
        </w:rPr>
        <w:t>累计为群众解决各类问题192.4万件，提供微服务583.4万次。</w:t>
      </w:r>
      <w:r>
        <w:rPr>
          <w:rFonts w:hint="default" w:ascii="Times New Roman" w:hAnsi="Times New Roman" w:eastAsia="仿宋_GB2312" w:cs="Times New Roman"/>
          <w:b/>
          <w:kern w:val="0"/>
          <w:sz w:val="32"/>
          <w:szCs w:val="32"/>
        </w:rPr>
        <w:t>四是</w:t>
      </w:r>
      <w:r>
        <w:rPr>
          <w:rFonts w:hint="default" w:ascii="Times New Roman" w:hAnsi="Times New Roman" w:eastAsia="仿宋_GB2312" w:cs="Times New Roman"/>
          <w:sz w:val="32"/>
          <w:szCs w:val="32"/>
        </w:rPr>
        <w:t>切实加强党员教育管理和服务。</w:t>
      </w:r>
      <w:r>
        <w:rPr>
          <w:rFonts w:hint="default" w:ascii="Times New Roman" w:hAnsi="Times New Roman" w:eastAsia="仿宋_GB2312" w:cs="Times New Roman"/>
          <w:kern w:val="0"/>
          <w:sz w:val="32"/>
          <w:szCs w:val="32"/>
        </w:rPr>
        <w:t>深入开展“一月一课一片一实践”主题党日，党员参与率提高到90%以上。</w:t>
      </w:r>
      <w:r>
        <w:rPr>
          <w:rFonts w:hint="default" w:ascii="Times New Roman" w:hAnsi="Times New Roman" w:eastAsia="仿宋_GB2312" w:cs="Times New Roman"/>
          <w:b/>
          <w:kern w:val="0"/>
          <w:sz w:val="32"/>
          <w:szCs w:val="32"/>
        </w:rPr>
        <w:t>五是</w:t>
      </w:r>
      <w:r>
        <w:rPr>
          <w:rFonts w:hint="default" w:ascii="Times New Roman" w:hAnsi="Times New Roman" w:eastAsia="仿宋_GB2312" w:cs="Times New Roman"/>
          <w:kern w:val="0"/>
          <w:sz w:val="32"/>
          <w:szCs w:val="32"/>
        </w:rPr>
        <w:t>统筹抓好各领域基层党组织建设。推动市县全面建立党建引领基层治理领导协调机制，持续推进高校党建“对标争先”计划，抓实“三新”领域党建，引导新就业群体积极参与基层治理、志愿服务。</w:t>
      </w:r>
    </w:p>
    <w:p>
      <w:pPr>
        <w:widowControl w:val="0"/>
        <w:wordWrap/>
        <w:adjustRightInd w:val="0"/>
        <w:snapToGrid w:val="0"/>
        <w:spacing w:before="0" w:after="0" w:line="636" w:lineRule="exact"/>
        <w:ind w:left="0" w:leftChars="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4.着力提升公务员工作质量。一是</w:t>
      </w:r>
      <w:r>
        <w:rPr>
          <w:rFonts w:hint="default" w:ascii="Times New Roman" w:hAnsi="Times New Roman" w:eastAsia="仿宋_GB2312" w:cs="Times New Roman"/>
          <w:kern w:val="0"/>
          <w:sz w:val="32"/>
          <w:szCs w:val="32"/>
        </w:rPr>
        <w:t>公务员管理制度机制进一步健全。制定落实《全国公务员队伍建设规划纲要（2024—2028年）》的实施意见。制定加强人民满意的公务员和公务员集体等先进典型跟踪管理措施，组织先进典型专题培训。</w:t>
      </w:r>
      <w:r>
        <w:rPr>
          <w:rFonts w:hint="default" w:ascii="Times New Roman" w:hAnsi="Times New Roman" w:eastAsia="仿宋_GB2312" w:cs="Times New Roman"/>
          <w:b/>
          <w:kern w:val="0"/>
          <w:sz w:val="32"/>
          <w:szCs w:val="32"/>
        </w:rPr>
        <w:t>二是</w:t>
      </w:r>
      <w:r>
        <w:rPr>
          <w:rFonts w:hint="default" w:ascii="Times New Roman" w:hAnsi="Times New Roman" w:eastAsia="仿宋_GB2312" w:cs="Times New Roman"/>
          <w:kern w:val="0"/>
          <w:sz w:val="32"/>
          <w:szCs w:val="32"/>
        </w:rPr>
        <w:t>公务员队伍得到充实优化。完善“四级联考”方式，</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畅通基层公务员向上流动通道，</w:t>
      </w:r>
      <w:r>
        <w:rPr>
          <w:rFonts w:hint="eastAsia" w:ascii="Times New Roman" w:hAnsi="Times New Roman" w:eastAsia="仿宋_GB2312" w:cs="Times New Roman"/>
          <w:kern w:val="0"/>
          <w:sz w:val="32"/>
          <w:szCs w:val="32"/>
          <w:lang w:eastAsia="zh-CN"/>
        </w:rPr>
        <w:t>扎实做好公务员录用和遴选工作</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kern w:val="0"/>
          <w:sz w:val="32"/>
          <w:szCs w:val="32"/>
        </w:rPr>
        <w:t>三是</w:t>
      </w:r>
      <w:r>
        <w:rPr>
          <w:rFonts w:hint="default" w:ascii="Times New Roman" w:hAnsi="Times New Roman" w:eastAsia="仿宋_GB2312" w:cs="Times New Roman"/>
          <w:kern w:val="0"/>
          <w:sz w:val="32"/>
          <w:szCs w:val="32"/>
        </w:rPr>
        <w:t>公务员分类改革向纵深推进。启动专业技术类公务员管理改革，指导省司法厅首次开展警务技术任职资格评定工作，常态化开展公安机关警务技术任职资格评定。</w:t>
      </w:r>
    </w:p>
    <w:p>
      <w:pPr>
        <w:widowControl w:val="0"/>
        <w:wordWrap/>
        <w:adjustRightInd w:val="0"/>
        <w:snapToGrid w:val="0"/>
        <w:spacing w:before="0" w:after="0" w:line="636"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5.着力打造湖湘人才高地。一是</w:t>
      </w:r>
      <w:r>
        <w:rPr>
          <w:rFonts w:hint="default" w:ascii="Times New Roman" w:hAnsi="Times New Roman" w:eastAsia="仿宋_GB2312" w:cs="Times New Roman"/>
          <w:kern w:val="0"/>
          <w:sz w:val="32"/>
          <w:szCs w:val="32"/>
        </w:rPr>
        <w:t>牵头抓总工作机制进一步完善。牵头组建推进教育科技人才体制机制一体改革工作专班、农村人才管理改革专班，省市合力推进长沙建设全球研发中心城市。</w:t>
      </w:r>
      <w:r>
        <w:rPr>
          <w:rFonts w:hint="default" w:ascii="Times New Roman" w:hAnsi="Times New Roman" w:eastAsia="仿宋_GB2312" w:cs="Times New Roman"/>
          <w:b/>
          <w:kern w:val="0"/>
          <w:sz w:val="32"/>
          <w:szCs w:val="32"/>
        </w:rPr>
        <w:t>二是</w:t>
      </w:r>
      <w:r>
        <w:rPr>
          <w:rFonts w:hint="default" w:ascii="Times New Roman" w:hAnsi="Times New Roman" w:eastAsia="仿宋_GB2312" w:cs="Times New Roman"/>
          <w:kern w:val="0"/>
          <w:sz w:val="32"/>
          <w:szCs w:val="32"/>
        </w:rPr>
        <w:t>深化人才发展体制机制改革取得新的进展。优化高层次人才流动调配等政策措施，出台加快高校科技成果转化举措，推进科研经费放管服改革，人才发展制度环境逐步优化。</w:t>
      </w:r>
      <w:r>
        <w:rPr>
          <w:rFonts w:hint="default" w:ascii="Times New Roman" w:hAnsi="Times New Roman" w:eastAsia="仿宋_GB2312" w:cs="Times New Roman"/>
          <w:b/>
          <w:kern w:val="0"/>
          <w:sz w:val="32"/>
          <w:szCs w:val="32"/>
        </w:rPr>
        <w:t>三是</w:t>
      </w:r>
      <w:r>
        <w:rPr>
          <w:rFonts w:hint="default" w:ascii="Times New Roman" w:hAnsi="Times New Roman" w:eastAsia="仿宋_GB2312" w:cs="Times New Roman"/>
          <w:kern w:val="0"/>
          <w:sz w:val="32"/>
          <w:szCs w:val="32"/>
        </w:rPr>
        <w:t>人才培育力度持续加大。深入实施“芙蓉计划”，召开“湘智兴湘”院士恳谈会，举办“智汇潇湘”系列人才活动。</w:t>
      </w:r>
      <w:r>
        <w:rPr>
          <w:rFonts w:hint="default" w:ascii="Times New Roman" w:hAnsi="Times New Roman" w:eastAsia="仿宋_GB2312" w:cs="Times New Roman"/>
          <w:b/>
          <w:kern w:val="0"/>
          <w:sz w:val="32"/>
          <w:szCs w:val="32"/>
        </w:rPr>
        <w:t>四是</w:t>
      </w:r>
      <w:r>
        <w:rPr>
          <w:rFonts w:hint="default" w:ascii="Times New Roman" w:hAnsi="Times New Roman" w:eastAsia="仿宋_GB2312" w:cs="Times New Roman"/>
          <w:kern w:val="0"/>
          <w:sz w:val="32"/>
          <w:szCs w:val="32"/>
        </w:rPr>
        <w:t>人才服务质效不断提升。落实领导干部直接联系服务专家制度，制发“湖湘院士卡”，组织专家人才开展专题研修等活动。</w:t>
      </w:r>
    </w:p>
    <w:p>
      <w:pPr>
        <w:pStyle w:val="2"/>
        <w:widowControl w:val="0"/>
        <w:tabs>
          <w:tab w:val="left" w:pos="7063"/>
        </w:tabs>
        <w:wordWrap/>
        <w:spacing w:before="0" w:after="0"/>
        <w:ind w:left="0" w:leftChars="0" w:right="0" w:firstLine="640" w:firstLineChars="200"/>
        <w:jc w:val="both"/>
        <w:textAlignment w:val="auto"/>
        <w:rPr>
          <w:rFonts w:hint="default" w:ascii="Times New Roman" w:hAnsi="Times New Roman" w:cs="Times New Roman"/>
        </w:rPr>
      </w:pPr>
      <w:r>
        <w:rPr>
          <w:rFonts w:hint="default" w:ascii="Times New Roman" w:hAnsi="Times New Roman" w:cs="Times New Roman"/>
        </w:rPr>
        <w:t>四、存在的问题及原因分析</w:t>
      </w:r>
      <w:bookmarkEnd w:id="12"/>
      <w:bookmarkStart w:id="13" w:name="_Toc27634"/>
      <w:r>
        <w:rPr>
          <w:rFonts w:hint="default" w:ascii="Times New Roman" w:hAnsi="Times New Roman" w:cs="Times New Roman"/>
        </w:rPr>
        <w:tab/>
      </w:r>
    </w:p>
    <w:p>
      <w:pPr>
        <w:widowControl w:val="0"/>
        <w:wordWrap/>
        <w:spacing w:before="0" w:after="0" w:line="600" w:lineRule="exact"/>
        <w:ind w:left="0" w:leftChars="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（一）预算执行管理方面</w:t>
      </w:r>
    </w:p>
    <w:p>
      <w:pPr>
        <w:widowControl w:val="0"/>
        <w:wordWrap/>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2024年我部整体支出预算执行率达到92.44%，较去年有了较大提高，</w:t>
      </w:r>
      <w:r>
        <w:rPr>
          <w:rFonts w:hint="default" w:ascii="Times New Roman" w:hAnsi="Times New Roman" w:eastAsia="仿宋_GB2312" w:cs="Times New Roman"/>
          <w:kern w:val="0"/>
          <w:sz w:val="32"/>
          <w:szCs w:val="32"/>
        </w:rPr>
        <w:t>但仍然存在每月支出进度不平衡，大部分开支集中在年底11、12月结算支付的问题。主要原因：</w:t>
      </w:r>
      <w:r>
        <w:rPr>
          <w:rFonts w:hint="default" w:ascii="Times New Roman" w:hAnsi="Times New Roman" w:eastAsia="仿宋_GB2312" w:cs="Times New Roman"/>
          <w:b/>
          <w:kern w:val="0"/>
          <w:sz w:val="32"/>
          <w:szCs w:val="32"/>
        </w:rPr>
        <w:t>一是</w:t>
      </w:r>
      <w:r>
        <w:rPr>
          <w:rFonts w:hint="default" w:ascii="Times New Roman" w:hAnsi="Times New Roman" w:eastAsia="仿宋_GB2312" w:cs="Times New Roman"/>
          <w:kern w:val="0"/>
          <w:sz w:val="32"/>
          <w:szCs w:val="32"/>
        </w:rPr>
        <w:t>个别处室工作推进计划性不够强、节奏不够紧，有的工作没有在预定时间内完成，有的工作完成了但报账不及时。</w:t>
      </w:r>
      <w:r>
        <w:rPr>
          <w:rFonts w:hint="default" w:ascii="Times New Roman" w:hAnsi="Times New Roman" w:eastAsia="仿宋_GB2312" w:cs="Times New Roman"/>
          <w:b/>
          <w:kern w:val="0"/>
          <w:sz w:val="32"/>
          <w:szCs w:val="32"/>
        </w:rPr>
        <w:t>二是</w:t>
      </w:r>
      <w:r>
        <w:rPr>
          <w:rFonts w:hint="eastAsia" w:ascii="Times New Roman" w:hAnsi="Times New Roman" w:eastAsia="仿宋_GB2312" w:cs="Times New Roman"/>
          <w:b w:val="0"/>
          <w:bCs/>
          <w:kern w:val="0"/>
          <w:sz w:val="32"/>
          <w:szCs w:val="32"/>
          <w:lang w:eastAsia="zh-CN"/>
        </w:rPr>
        <w:t>有的项目</w:t>
      </w:r>
      <w:r>
        <w:rPr>
          <w:rFonts w:hint="default" w:ascii="Times New Roman" w:hAnsi="Times New Roman" w:eastAsia="仿宋_GB2312" w:cs="Times New Roman"/>
          <w:kern w:val="0"/>
          <w:sz w:val="32"/>
          <w:szCs w:val="32"/>
        </w:rPr>
        <w:t>按</w:t>
      </w:r>
      <w:r>
        <w:rPr>
          <w:rFonts w:hint="eastAsia" w:ascii="Times New Roman" w:hAnsi="Times New Roman" w:eastAsia="仿宋_GB2312" w:cs="Times New Roman"/>
          <w:kern w:val="0"/>
          <w:sz w:val="32"/>
          <w:szCs w:val="32"/>
          <w:lang w:eastAsia="zh-CN"/>
        </w:rPr>
        <w:t>工作</w:t>
      </w:r>
      <w:r>
        <w:rPr>
          <w:rFonts w:hint="default" w:ascii="Times New Roman" w:hAnsi="Times New Roman" w:eastAsia="仿宋_GB2312" w:cs="Times New Roman"/>
          <w:kern w:val="0"/>
          <w:sz w:val="32"/>
          <w:szCs w:val="32"/>
        </w:rPr>
        <w:t>计划只能在年底完成结算，导致资金支付较为集中。</w:t>
      </w:r>
    </w:p>
    <w:p>
      <w:pPr>
        <w:widowControl w:val="0"/>
        <w:wordWrap/>
        <w:spacing w:before="0" w:after="0" w:line="600" w:lineRule="exact"/>
        <w:ind w:left="0" w:leftChars="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（二）预算绩效管理方面</w:t>
      </w:r>
    </w:p>
    <w:p>
      <w:pPr>
        <w:pStyle w:val="4"/>
        <w:widowControl w:val="0"/>
        <w:wordWrap/>
        <w:spacing w:before="0" w:after="0" w:line="600" w:lineRule="exact"/>
        <w:ind w:left="0" w:leftChars="0" w:right="0" w:firstLine="640" w:firstLineChars="200"/>
        <w:jc w:val="both"/>
        <w:textAlignment w:val="auto"/>
        <w:rPr>
          <w:rFonts w:hint="default" w:ascii="Times New Roman" w:hAnsi="Times New Roman" w:eastAsia="仿宋_GB2312" w:cs="Times New Roman"/>
          <w:lang w:val="en-US" w:bidi="ar-SA"/>
        </w:rPr>
      </w:pPr>
      <w:r>
        <w:rPr>
          <w:rFonts w:hint="default" w:ascii="Times New Roman" w:hAnsi="Times New Roman" w:eastAsia="仿宋_GB2312" w:cs="Times New Roman"/>
          <w:lang w:val="en-US" w:bidi="ar-SA"/>
        </w:rPr>
        <w:t>主要存在目标评价标准设置较为单一、细化量化不够的问题。主要原因：</w:t>
      </w:r>
      <w:r>
        <w:rPr>
          <w:rFonts w:hint="default" w:ascii="Times New Roman" w:hAnsi="Times New Roman" w:eastAsia="仿宋_GB2312" w:cs="Times New Roman"/>
          <w:b/>
        </w:rPr>
        <w:t>一是</w:t>
      </w:r>
      <w:r>
        <w:rPr>
          <w:rFonts w:hint="default" w:ascii="Times New Roman" w:hAnsi="Times New Roman" w:eastAsia="仿宋_GB2312" w:cs="Times New Roman"/>
        </w:rPr>
        <w:t>有的业务处室对预算绩效管理落实不严，部分项目预算绩效目标较为笼统，质量指标设置不全。</w:t>
      </w:r>
      <w:r>
        <w:rPr>
          <w:rFonts w:hint="default" w:ascii="Times New Roman" w:hAnsi="Times New Roman" w:eastAsia="仿宋_GB2312" w:cs="Times New Roman"/>
          <w:b/>
        </w:rPr>
        <w:t>二是</w:t>
      </w:r>
      <w:r>
        <w:rPr>
          <w:rFonts w:hint="default" w:ascii="Times New Roman" w:hAnsi="Times New Roman" w:eastAsia="仿宋_GB2312" w:cs="Times New Roman"/>
        </w:rPr>
        <w:t>受部门职责和工作性质影响，我部大多数项目绩效成果的体现需要较长周期，且和其他部门的工作息息相关，难以在</w:t>
      </w:r>
      <w:r>
        <w:rPr>
          <w:rFonts w:hint="eastAsia" w:ascii="Times New Roman" w:hAnsi="Times New Roman" w:eastAsia="仿宋_GB2312" w:cs="Times New Roman"/>
          <w:lang w:eastAsia="zh-CN"/>
        </w:rPr>
        <w:t>较短周期</w:t>
      </w:r>
      <w:r>
        <w:rPr>
          <w:rFonts w:hint="default" w:ascii="Times New Roman" w:hAnsi="Times New Roman" w:eastAsia="仿宋_GB2312" w:cs="Times New Roman"/>
        </w:rPr>
        <w:t>内作出全面系统的评价和衡量。</w:t>
      </w:r>
    </w:p>
    <w:p>
      <w:pPr>
        <w:widowControl w:val="0"/>
        <w:wordWrap/>
        <w:spacing w:before="0" w:after="0" w:line="60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五、下一步改进措施</w:t>
      </w:r>
      <w:bookmarkStart w:id="14" w:name="_Toc15751"/>
    </w:p>
    <w:p>
      <w:pPr>
        <w:widowControl w:val="0"/>
        <w:wordWrap/>
        <w:spacing w:before="0" w:after="0" w:line="600" w:lineRule="exact"/>
        <w:ind w:left="0" w:leftChars="0" w:right="0" w:firstLine="640" w:firstLineChars="200"/>
        <w:jc w:val="both"/>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（一）强化预算管理意识，</w:t>
      </w:r>
      <w:bookmarkEnd w:id="14"/>
      <w:r>
        <w:rPr>
          <w:rFonts w:hint="default" w:ascii="Times New Roman" w:hAnsi="Times New Roman" w:eastAsia="楷体_GB2312" w:cs="Times New Roman"/>
          <w:sz w:val="32"/>
        </w:rPr>
        <w:t>增强预算执行时效性、严肃性</w:t>
      </w:r>
    </w:p>
    <w:p>
      <w:pPr>
        <w:widowControl w:val="0"/>
        <w:wordWrap/>
        <w:spacing w:before="0" w:after="0" w:line="600" w:lineRule="exact"/>
        <w:ind w:left="0" w:leftChars="0" w:righ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指导处室加强项目事前论证和调研，真实全面编制预算明细、设置预算目标，切实提高预算编制的全面性、准确性和精准性。强化预算执行日常动态监管，对项目实施和资金使用情况进行全过程跟踪监督，坚持项目执行进度定期通报机制，对执行进度较慢的处室，及时督促纠偏。将各项目预算执行情况作为新年度预算编制重要依据，压减低效项目资金规模，不断提高财政资金使用效能。</w:t>
      </w:r>
      <w:bookmarkStart w:id="15" w:name="_Toc31331"/>
    </w:p>
    <w:p>
      <w:pPr>
        <w:widowControl w:val="0"/>
        <w:wordWrap/>
        <w:spacing w:before="0" w:after="0" w:line="600" w:lineRule="exact"/>
        <w:ind w:left="0" w:leftChars="0" w:right="0" w:firstLine="640" w:firstLineChars="200"/>
        <w:jc w:val="both"/>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（二）强化绩效管理意识，</w:t>
      </w:r>
      <w:bookmarkEnd w:id="15"/>
      <w:r>
        <w:rPr>
          <w:rFonts w:hint="default" w:ascii="Times New Roman" w:hAnsi="Times New Roman" w:eastAsia="楷体_GB2312" w:cs="Times New Roman"/>
          <w:sz w:val="32"/>
        </w:rPr>
        <w:t>提</w:t>
      </w:r>
      <w:r>
        <w:rPr>
          <w:rFonts w:hint="eastAsia" w:ascii="Times New Roman" w:hAnsi="Times New Roman" w:eastAsia="楷体_GB2312" w:cs="Times New Roman"/>
          <w:sz w:val="32"/>
          <w:lang w:eastAsia="zh-CN"/>
        </w:rPr>
        <w:t>升</w:t>
      </w:r>
      <w:r>
        <w:rPr>
          <w:rFonts w:hint="default" w:ascii="Times New Roman" w:hAnsi="Times New Roman" w:eastAsia="楷体_GB2312" w:cs="Times New Roman"/>
          <w:sz w:val="32"/>
        </w:rPr>
        <w:t>绩效目标精准性、操作性</w:t>
      </w:r>
    </w:p>
    <w:p>
      <w:pPr>
        <w:widowControl w:val="0"/>
        <w:wordWrap/>
        <w:spacing w:before="0" w:after="0" w:line="600" w:lineRule="exact"/>
        <w:ind w:left="0" w:leftChars="0" w:right="0" w:firstLine="640" w:firstLineChars="200"/>
        <w:jc w:val="both"/>
        <w:textAlignment w:val="auto"/>
        <w:rPr>
          <w:rFonts w:hint="default" w:ascii="Times New Roman" w:hAnsi="Times New Roman" w:eastAsia="仿宋_GB2312" w:cs="Times New Roman"/>
          <w:sz w:val="32"/>
        </w:rPr>
      </w:pPr>
      <w:bookmarkStart w:id="16" w:name="_Toc32371"/>
      <w:r>
        <w:rPr>
          <w:rFonts w:hint="default" w:ascii="Times New Roman" w:hAnsi="Times New Roman" w:eastAsia="仿宋_GB2312" w:cs="Times New Roman"/>
          <w:sz w:val="32"/>
        </w:rPr>
        <w:t>加强部机关干部绩效管理的宣传培训，树牢各业务处室绩效管理主体责任，推动开展项目事前绩效评估分析，结合历年来工作实际成效，分别梳理能够反映工作成效的关键性指标和不同类型项目的个案指标，确保绩效指标可量化、可操作。加强绩效监控评价的成果运用，持续推动资金项目整合优化，打破预算资金分配的固化格局。</w:t>
      </w:r>
      <w:bookmarkEnd w:id="16"/>
    </w:p>
    <w:p>
      <w:pPr>
        <w:pStyle w:val="2"/>
        <w:widowControl w:val="0"/>
        <w:wordWrap/>
        <w:spacing w:before="0" w:after="0"/>
        <w:ind w:left="0" w:leftChars="0" w:right="0" w:firstLine="640" w:firstLineChars="200"/>
        <w:jc w:val="both"/>
        <w:textAlignment w:val="auto"/>
        <w:rPr>
          <w:rFonts w:hint="default" w:ascii="Times New Roman" w:hAnsi="Times New Roman" w:cs="Times New Roman"/>
        </w:rPr>
      </w:pPr>
      <w:r>
        <w:rPr>
          <w:rFonts w:hint="default" w:ascii="Times New Roman" w:hAnsi="Times New Roman" w:cs="Times New Roman"/>
        </w:rPr>
        <w:t>六、部门整体支出绩效评价结果拟应用和公开情况</w:t>
      </w:r>
      <w:bookmarkEnd w:id="13"/>
    </w:p>
    <w:p>
      <w:pPr>
        <w:widowControl w:val="0"/>
        <w:wordWrap/>
        <w:spacing w:before="0" w:after="0" w:line="600" w:lineRule="exact"/>
        <w:ind w:left="0" w:leftChars="0" w:right="0" w:firstLine="640" w:firstLineChars="200"/>
        <w:jc w:val="both"/>
        <w:textAlignment w:val="auto"/>
        <w:rPr>
          <w:rFonts w:hint="default" w:ascii="Times New Roman" w:hAnsi="Times New Roman" w:cs="Times New Roman"/>
          <w:spacing w:val="-6"/>
        </w:rPr>
      </w:pPr>
      <w:r>
        <w:rPr>
          <w:rFonts w:hint="default" w:ascii="Times New Roman" w:hAnsi="Times New Roman" w:eastAsia="仿宋_GB2312" w:cs="Times New Roman"/>
          <w:sz w:val="32"/>
        </w:rPr>
        <w:t>2024年部门整体支出绩效评价自查自评结果为优秀，自评结果将作为下年度部门预算安排的重要依据，与预算调整和</w:t>
      </w:r>
      <w:r>
        <w:rPr>
          <w:rFonts w:hint="default" w:ascii="Times New Roman" w:hAnsi="Times New Roman" w:eastAsia="仿宋_GB2312" w:cs="Times New Roman"/>
          <w:spacing w:val="-6"/>
          <w:sz w:val="32"/>
        </w:rPr>
        <w:t>项目安排挂钩。拟通过省财政厅官网向社会公开，接受社会监督。</w:t>
      </w:r>
    </w:p>
    <w:p>
      <w:pPr>
        <w:pStyle w:val="5"/>
        <w:widowControl w:val="0"/>
        <w:wordWrap/>
        <w:spacing w:before="0" w:after="0"/>
        <w:ind w:left="0" w:leftChars="0" w:right="0" w:firstLine="640" w:firstLineChars="200"/>
        <w:jc w:val="both"/>
        <w:textAlignment w:val="auto"/>
        <w:rPr>
          <w:rFonts w:hint="default" w:ascii="Times New Roman" w:hAnsi="Times New Roman" w:cs="Times New Roman"/>
        </w:rPr>
      </w:pPr>
    </w:p>
    <w:p>
      <w:pPr>
        <w:widowControl w:val="0"/>
        <w:wordWrap/>
        <w:spacing w:before="0" w:after="0"/>
        <w:ind w:left="0" w:leftChars="0" w:right="0" w:firstLine="640" w:firstLineChars="200"/>
        <w:jc w:val="both"/>
        <w:textAlignment w:val="auto"/>
        <w:rPr>
          <w:rFonts w:hint="default" w:ascii="Times New Roman" w:hAnsi="Times New Roman" w:cs="Times New Roman"/>
        </w:rPr>
      </w:pPr>
    </w:p>
    <w:p>
      <w:pPr>
        <w:widowControl w:val="0"/>
        <w:wordWrap/>
        <w:spacing w:before="0" w:after="0"/>
        <w:ind w:left="0" w:leftChars="0" w:right="0" w:firstLine="640" w:firstLineChars="200"/>
        <w:jc w:val="both"/>
        <w:textAlignment w:val="auto"/>
        <w:rPr>
          <w:rFonts w:hint="default" w:ascii="Times New Roman" w:hAnsi="Times New Roman" w:cs="Times New Roman"/>
        </w:rPr>
      </w:pPr>
    </w:p>
    <w:p>
      <w:pPr>
        <w:widowControl w:val="0"/>
        <w:wordWrap/>
        <w:spacing w:before="0" w:after="0"/>
        <w:ind w:left="0" w:leftChars="0" w:right="0" w:firstLine="640" w:firstLineChars="200"/>
        <w:jc w:val="both"/>
        <w:textAlignment w:val="auto"/>
        <w:rPr>
          <w:rFonts w:hint="default" w:ascii="Times New Roman" w:hAnsi="Times New Roman" w:cs="Times New Roman"/>
        </w:rPr>
      </w:pPr>
    </w:p>
    <w:p>
      <w:pPr>
        <w:widowControl w:val="0"/>
        <w:wordWrap/>
        <w:spacing w:before="0" w:after="0"/>
        <w:ind w:left="0" w:leftChars="0" w:right="0" w:firstLine="640" w:firstLineChars="200"/>
        <w:jc w:val="both"/>
        <w:textAlignment w:val="auto"/>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600" w:lineRule="exact"/>
        <w:outlineLvl w:val="0"/>
        <w:rPr>
          <w:rFonts w:hint="default" w:ascii="Times New Roman" w:hAnsi="Times New Roman" w:eastAsia="黑体" w:cs="Times New Roman"/>
          <w:sz w:val="28"/>
          <w:szCs w:val="28"/>
        </w:rPr>
      </w:pPr>
      <w:bookmarkStart w:id="17" w:name="_Toc28031"/>
      <w:r>
        <w:rPr>
          <w:rFonts w:hint="default" w:ascii="Times New Roman" w:hAnsi="Times New Roman" w:eastAsia="黑体" w:cs="Times New Roman"/>
          <w:sz w:val="28"/>
          <w:szCs w:val="28"/>
        </w:rPr>
        <w:t>附件1</w:t>
      </w:r>
      <w:bookmarkEnd w:id="17"/>
    </w:p>
    <w:p>
      <w:pPr>
        <w:spacing w:line="600" w:lineRule="exact"/>
        <w:jc w:val="center"/>
        <w:rPr>
          <w:rFonts w:hint="default" w:ascii="Times New Roman" w:hAnsi="Times New Roman" w:eastAsia="方正小标宋_GBK" w:cs="Times New Roman"/>
          <w:sz w:val="32"/>
        </w:rPr>
      </w:pPr>
      <w:r>
        <w:rPr>
          <w:rFonts w:hint="default" w:ascii="Times New Roman" w:hAnsi="Times New Roman" w:eastAsia="方正小标宋_GBK" w:cs="Times New Roman"/>
          <w:sz w:val="32"/>
        </w:rPr>
        <w:t>2024年度部门整体支出绩效评价基础数据表</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139"/>
        <w:gridCol w:w="846"/>
        <w:gridCol w:w="846"/>
        <w:gridCol w:w="1067"/>
        <w:gridCol w:w="1072"/>
        <w:gridCol w:w="778"/>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Merge w:val="restart"/>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财政供养人员情况（人）</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编制数</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2024年实际在职人数</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Merge w:val="continue"/>
            <w:vAlign w:val="center"/>
          </w:tcPr>
          <w:p>
            <w:pPr>
              <w:jc w:val="center"/>
              <w:rPr>
                <w:rFonts w:hint="default" w:ascii="Times New Roman" w:hAnsi="Times New Roman" w:eastAsia="仿宋" w:cs="Times New Roman"/>
                <w:szCs w:val="21"/>
              </w:rPr>
            </w:pP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213</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182</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85.45%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经费控制情况</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2023年决算数</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2024年预算数</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2024年决算数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三公经费</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72.52</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244</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175.31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ind w:firstLine="315" w:firstLineChars="150"/>
              <w:rPr>
                <w:rFonts w:hint="default" w:ascii="Times New Roman" w:hAnsi="Times New Roman" w:eastAsia="仿宋" w:cs="Times New Roman"/>
                <w:szCs w:val="21"/>
              </w:rPr>
            </w:pPr>
            <w:r>
              <w:rPr>
                <w:rFonts w:hint="default" w:ascii="Times New Roman" w:hAnsi="Times New Roman" w:eastAsia="仿宋" w:cs="Times New Roman"/>
                <w:szCs w:val="21"/>
              </w:rPr>
              <w:t>1、公务用车购置和维护费</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70.53</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74</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46.22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ind w:firstLine="315" w:firstLineChars="150"/>
              <w:jc w:val="center"/>
              <w:rPr>
                <w:rFonts w:hint="default" w:ascii="Times New Roman" w:hAnsi="Times New Roman" w:eastAsia="仿宋" w:cs="Times New Roman"/>
                <w:szCs w:val="21"/>
              </w:rPr>
            </w:pPr>
            <w:r>
              <w:rPr>
                <w:rFonts w:hint="default" w:ascii="Times New Roman" w:hAnsi="Times New Roman" w:eastAsia="仿宋" w:cs="Times New Roman"/>
                <w:szCs w:val="21"/>
              </w:rPr>
              <w:t>其中：公车购置</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24.98</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20</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ind w:firstLine="315" w:firstLineChars="150"/>
              <w:jc w:val="center"/>
              <w:rPr>
                <w:rFonts w:hint="default" w:ascii="Times New Roman" w:hAnsi="Times New Roman" w:eastAsia="仿宋" w:cs="Times New Roman"/>
                <w:szCs w:val="21"/>
              </w:rPr>
            </w:pPr>
            <w:r>
              <w:rPr>
                <w:rFonts w:hint="default" w:ascii="Times New Roman" w:hAnsi="Times New Roman" w:eastAsia="仿宋" w:cs="Times New Roman"/>
                <w:szCs w:val="21"/>
              </w:rPr>
              <w:t>公车运行维护</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45.55</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54</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ind w:firstLine="315" w:firstLineChars="150"/>
              <w:rPr>
                <w:rFonts w:hint="default" w:ascii="Times New Roman" w:hAnsi="Times New Roman" w:eastAsia="仿宋" w:cs="Times New Roman"/>
                <w:szCs w:val="21"/>
              </w:rPr>
            </w:pPr>
            <w:r>
              <w:rPr>
                <w:rFonts w:hint="default" w:ascii="Times New Roman" w:hAnsi="Times New Roman" w:eastAsia="仿宋" w:cs="Times New Roman"/>
                <w:szCs w:val="21"/>
              </w:rPr>
              <w:t>2、出国经费</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0</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160</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126.21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ind w:firstLine="315" w:firstLineChars="150"/>
              <w:rPr>
                <w:rFonts w:hint="default" w:ascii="Times New Roman" w:hAnsi="Times New Roman" w:eastAsia="仿宋" w:cs="Times New Roman"/>
                <w:szCs w:val="21"/>
              </w:rPr>
            </w:pPr>
            <w:r>
              <w:rPr>
                <w:rFonts w:hint="default" w:ascii="Times New Roman" w:hAnsi="Times New Roman" w:eastAsia="仿宋" w:cs="Times New Roman"/>
                <w:szCs w:val="21"/>
              </w:rPr>
              <w:t>3、公务接待</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1.99</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10</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项目支出：</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22606.01</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23184.29</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22164.84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ind w:firstLine="315" w:firstLineChars="150"/>
              <w:rPr>
                <w:rFonts w:hint="default" w:ascii="Times New Roman" w:hAnsi="Times New Roman" w:eastAsia="仿宋" w:cs="Times New Roman"/>
                <w:szCs w:val="21"/>
              </w:rPr>
            </w:pPr>
            <w:r>
              <w:rPr>
                <w:rFonts w:hint="default" w:ascii="Times New Roman" w:hAnsi="Times New Roman" w:eastAsia="仿宋" w:cs="Times New Roman"/>
                <w:szCs w:val="21"/>
              </w:rPr>
              <w:t>1、业务工作经费</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2188.98</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3157.07</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2528.19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ind w:firstLine="315" w:firstLineChars="150"/>
              <w:rPr>
                <w:rFonts w:hint="default" w:ascii="Times New Roman" w:hAnsi="Times New Roman" w:eastAsia="仿宋" w:cs="Times New Roman"/>
                <w:szCs w:val="21"/>
              </w:rPr>
            </w:pPr>
            <w:r>
              <w:rPr>
                <w:rFonts w:hint="default" w:ascii="Times New Roman" w:hAnsi="Times New Roman" w:eastAsia="仿宋" w:cs="Times New Roman"/>
                <w:szCs w:val="21"/>
              </w:rPr>
              <w:t>2、其他事业发展资金</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637.16</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538.54</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410.34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1" w:hRule="atLeast"/>
        </w:trPr>
        <w:tc>
          <w:tcPr>
            <w:tcW w:w="3139" w:type="dxa"/>
            <w:vAlign w:val="center"/>
          </w:tcPr>
          <w:p>
            <w:pPr>
              <w:ind w:firstLine="315" w:firstLineChars="150"/>
              <w:rPr>
                <w:rFonts w:hint="default" w:ascii="Times New Roman" w:hAnsi="Times New Roman" w:eastAsia="仿宋" w:cs="Times New Roman"/>
                <w:szCs w:val="21"/>
              </w:rPr>
            </w:pPr>
            <w:r>
              <w:rPr>
                <w:rFonts w:hint="default" w:ascii="Times New Roman" w:hAnsi="Times New Roman" w:eastAsia="仿宋" w:cs="Times New Roman"/>
                <w:szCs w:val="21"/>
              </w:rPr>
              <w:t>3、省级专项资金</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19824.06</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19488.68</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19226.31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公用经费</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639.81</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687</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637.88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其中：办公经费</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550.04</w:t>
            </w:r>
          </w:p>
        </w:tc>
        <w:tc>
          <w:tcPr>
            <w:tcW w:w="2139" w:type="dxa"/>
            <w:gridSpan w:val="2"/>
            <w:vAlign w:val="center"/>
          </w:tcPr>
          <w:p>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val="en-US" w:eastAsia="zh-CN"/>
              </w:rPr>
              <w:t>506</w:t>
            </w:r>
          </w:p>
        </w:tc>
        <w:tc>
          <w:tcPr>
            <w:tcW w:w="1552" w:type="dxa"/>
            <w:gridSpan w:val="2"/>
            <w:vAlign w:val="center"/>
          </w:tcPr>
          <w:p>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val="en-US" w:eastAsia="zh-CN"/>
              </w:rPr>
              <w:t>470.88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 xml:space="preserve">          水费、电费、差旅费</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70</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60</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39.07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 xml:space="preserve">      会议费、培训费</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19.77</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27</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政府采购金额</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2583.29</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559.91</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1701.32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部门基本支出预算调整</w:t>
            </w:r>
          </w:p>
        </w:tc>
        <w:tc>
          <w:tcPr>
            <w:tcW w:w="169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c>
          <w:tcPr>
            <w:tcW w:w="2139"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_GB2312" w:cs="Times New Roman"/>
                <w:szCs w:val="21"/>
              </w:rPr>
              <w:t>280.1</w:t>
            </w:r>
          </w:p>
        </w:tc>
        <w:tc>
          <w:tcPr>
            <w:tcW w:w="155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Merge w:val="restart"/>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楼堂馆所控制情况</w:t>
            </w:r>
            <w:r>
              <w:rPr>
                <w:rFonts w:hint="default" w:ascii="Times New Roman" w:hAnsi="Times New Roman" w:eastAsia="仿宋" w:cs="Times New Roman"/>
                <w:szCs w:val="21"/>
              </w:rPr>
              <w:br/>
            </w:r>
            <w:r>
              <w:rPr>
                <w:rFonts w:hint="default" w:ascii="Times New Roman" w:hAnsi="Times New Roman" w:eastAsia="仿宋" w:cs="Times New Roman"/>
                <w:szCs w:val="21"/>
              </w:rPr>
              <w:t>（2024年完工项目）</w:t>
            </w:r>
          </w:p>
        </w:tc>
        <w:tc>
          <w:tcPr>
            <w:tcW w:w="846"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批复规模（㎡）</w:t>
            </w:r>
          </w:p>
        </w:tc>
        <w:tc>
          <w:tcPr>
            <w:tcW w:w="846"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实际规模（㎡）</w:t>
            </w:r>
          </w:p>
        </w:tc>
        <w:tc>
          <w:tcPr>
            <w:tcW w:w="1067"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规模控制率</w:t>
            </w:r>
          </w:p>
        </w:tc>
        <w:tc>
          <w:tcPr>
            <w:tcW w:w="1072"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预算投资（万元）</w:t>
            </w:r>
          </w:p>
        </w:tc>
        <w:tc>
          <w:tcPr>
            <w:tcW w:w="778"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实际投资（万元）</w:t>
            </w:r>
          </w:p>
        </w:tc>
        <w:tc>
          <w:tcPr>
            <w:tcW w:w="774"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Merge w:val="continue"/>
            <w:vAlign w:val="top"/>
          </w:tcPr>
          <w:p>
            <w:pPr>
              <w:jc w:val="center"/>
              <w:rPr>
                <w:rFonts w:hint="default" w:ascii="Times New Roman" w:hAnsi="Times New Roman" w:eastAsia="仿宋" w:cs="Times New Roman"/>
                <w:szCs w:val="21"/>
              </w:rPr>
            </w:pPr>
          </w:p>
        </w:tc>
        <w:tc>
          <w:tcPr>
            <w:tcW w:w="846" w:type="dxa"/>
            <w:vAlign w:val="top"/>
          </w:tcPr>
          <w:p>
            <w:pPr>
              <w:jc w:val="center"/>
              <w:rPr>
                <w:rFonts w:hint="default" w:ascii="Times New Roman" w:hAnsi="Times New Roman" w:eastAsia="仿宋" w:cs="Times New Roman"/>
                <w:szCs w:val="21"/>
              </w:rPr>
            </w:pPr>
          </w:p>
        </w:tc>
        <w:tc>
          <w:tcPr>
            <w:tcW w:w="846" w:type="dxa"/>
            <w:vAlign w:val="top"/>
          </w:tcPr>
          <w:p>
            <w:pPr>
              <w:jc w:val="center"/>
              <w:rPr>
                <w:rFonts w:hint="default" w:ascii="Times New Roman" w:hAnsi="Times New Roman" w:eastAsia="仿宋" w:cs="Times New Roman"/>
                <w:szCs w:val="21"/>
              </w:rPr>
            </w:pPr>
          </w:p>
        </w:tc>
        <w:tc>
          <w:tcPr>
            <w:tcW w:w="1067" w:type="dxa"/>
            <w:vAlign w:val="top"/>
          </w:tcPr>
          <w:p>
            <w:pPr>
              <w:jc w:val="center"/>
              <w:rPr>
                <w:rFonts w:hint="default" w:ascii="Times New Roman" w:hAnsi="Times New Roman" w:eastAsia="仿宋" w:cs="Times New Roman"/>
                <w:szCs w:val="21"/>
              </w:rPr>
            </w:pPr>
          </w:p>
        </w:tc>
        <w:tc>
          <w:tcPr>
            <w:tcW w:w="1072" w:type="dxa"/>
            <w:vAlign w:val="top"/>
          </w:tcPr>
          <w:p>
            <w:pPr>
              <w:jc w:val="center"/>
              <w:rPr>
                <w:rFonts w:hint="default" w:ascii="Times New Roman" w:hAnsi="Times New Roman" w:eastAsia="仿宋" w:cs="Times New Roman"/>
                <w:szCs w:val="21"/>
              </w:rPr>
            </w:pPr>
          </w:p>
        </w:tc>
        <w:tc>
          <w:tcPr>
            <w:tcW w:w="778" w:type="dxa"/>
            <w:vAlign w:val="top"/>
          </w:tcPr>
          <w:p>
            <w:pPr>
              <w:jc w:val="center"/>
              <w:rPr>
                <w:rFonts w:hint="default" w:ascii="Times New Roman" w:hAnsi="Times New Roman" w:eastAsia="仿宋" w:cs="Times New Roman"/>
                <w:szCs w:val="21"/>
              </w:rPr>
            </w:pPr>
          </w:p>
        </w:tc>
        <w:tc>
          <w:tcPr>
            <w:tcW w:w="774" w:type="dxa"/>
            <w:vAlign w:val="top"/>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3139" w:type="dxa"/>
            <w:vAlign w:val="top"/>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厉行节约保障措施</w:t>
            </w:r>
          </w:p>
        </w:tc>
        <w:tc>
          <w:tcPr>
            <w:tcW w:w="5383" w:type="dxa"/>
            <w:gridSpan w:val="6"/>
            <w:vAlign w:val="top"/>
          </w:tcPr>
          <w:p>
            <w:pPr>
              <w:jc w:val="center"/>
              <w:rPr>
                <w:rFonts w:hint="default" w:ascii="Times New Roman" w:hAnsi="Times New Roman" w:eastAsia="仿宋" w:cs="Times New Roman"/>
                <w:szCs w:val="21"/>
              </w:rPr>
            </w:pPr>
          </w:p>
        </w:tc>
      </w:tr>
    </w:tbl>
    <w:p>
      <w:pPr>
        <w:rPr>
          <w:rFonts w:hint="default" w:ascii="Times New Roman" w:hAnsi="Times New Roman" w:eastAsia="仿宋_GB2312" w:cs="Times New Roman"/>
          <w:szCs w:val="18"/>
        </w:rPr>
      </w:pPr>
      <w:r>
        <w:rPr>
          <w:rFonts w:hint="default" w:ascii="Times New Roman" w:hAnsi="Times New Roman" w:eastAsia="仿宋_GB2312" w:cs="Times New Roman"/>
          <w:szCs w:val="18"/>
        </w:rPr>
        <w:t>说明：“项目支出”需要填报基本支出以外的所有项目支出情况，“公用经费”填报基本支出中一般商品和服务支出。</w:t>
      </w:r>
    </w:p>
    <w:p>
      <w:pPr>
        <w:rPr>
          <w:rFonts w:hint="default" w:ascii="Times New Roman" w:hAnsi="Times New Roman" w:eastAsia="仿宋_GB2312" w:cs="Times New Roman"/>
          <w:szCs w:val="18"/>
        </w:rPr>
      </w:pPr>
      <w:r>
        <w:rPr>
          <w:rFonts w:hint="default" w:ascii="Times New Roman" w:hAnsi="Times New Roman" w:eastAsia="仿宋_GB2312" w:cs="Times New Roman"/>
          <w:szCs w:val="18"/>
        </w:rPr>
        <w:t>填表人：陆地  填报日期：2025/4/20   联系电话：81126178   单位负责人签字：</w:t>
      </w:r>
    </w:p>
    <w:p>
      <w:pPr>
        <w:rPr>
          <w:rFonts w:hint="default" w:ascii="Times New Roman" w:hAnsi="Times New Roman" w:eastAsia="仿宋_GB2312" w:cs="Times New Roman"/>
          <w:szCs w:val="18"/>
        </w:rPr>
      </w:pPr>
    </w:p>
    <w:p>
      <w:pPr>
        <w:rPr>
          <w:rFonts w:hint="default" w:ascii="Times New Roman" w:hAnsi="Times New Roman" w:eastAsia="仿宋_GB2312" w:cs="Times New Roman"/>
          <w:szCs w:val="18"/>
        </w:rPr>
      </w:pPr>
    </w:p>
    <w:p>
      <w:pPr>
        <w:rPr>
          <w:rFonts w:hint="default" w:ascii="Times New Roman" w:hAnsi="Times New Roman" w:eastAsia="仿宋_GB2312" w:cs="Times New Roman"/>
          <w:szCs w:val="18"/>
        </w:rPr>
      </w:pPr>
    </w:p>
    <w:p>
      <w:pPr>
        <w:rPr>
          <w:rFonts w:hint="default" w:ascii="Times New Roman" w:hAnsi="Times New Roman" w:eastAsia="仿宋_GB2312" w:cs="Times New Roman"/>
          <w:szCs w:val="18"/>
        </w:rPr>
      </w:pPr>
    </w:p>
    <w:p>
      <w:pPr>
        <w:spacing w:line="600" w:lineRule="exact"/>
        <w:outlineLvl w:val="0"/>
        <w:rPr>
          <w:rFonts w:hint="default" w:ascii="Times New Roman" w:hAnsi="Times New Roman" w:eastAsia="黑体" w:cs="Times New Roman"/>
          <w:sz w:val="28"/>
          <w:szCs w:val="28"/>
        </w:rPr>
      </w:pPr>
      <w:bookmarkStart w:id="18" w:name="_Toc24835"/>
      <w:r>
        <w:rPr>
          <w:rFonts w:hint="default" w:ascii="Times New Roman" w:hAnsi="Times New Roman" w:eastAsia="黑体" w:cs="Times New Roman"/>
          <w:sz w:val="28"/>
          <w:szCs w:val="28"/>
        </w:rPr>
        <w:t>附件2</w:t>
      </w:r>
      <w:bookmarkEnd w:id="18"/>
    </w:p>
    <w:p>
      <w:pPr>
        <w:spacing w:line="600" w:lineRule="exact"/>
        <w:jc w:val="center"/>
        <w:rPr>
          <w:rFonts w:hint="default" w:ascii="Times New Roman" w:hAnsi="Times New Roman" w:eastAsia="方正小标宋_GBK" w:cs="Times New Roman"/>
          <w:sz w:val="32"/>
        </w:rPr>
      </w:pPr>
      <w:r>
        <w:rPr>
          <w:rFonts w:hint="default" w:ascii="Times New Roman" w:hAnsi="Times New Roman" w:eastAsia="方正小标宋_GBK" w:cs="Times New Roman"/>
          <w:sz w:val="32"/>
        </w:rPr>
        <w:t>2024年度部门整体支出绩效自评表</w:t>
      </w:r>
    </w:p>
    <w:tbl>
      <w:tblPr>
        <w:tblW w:w="9506" w:type="dxa"/>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69"/>
        <w:gridCol w:w="755"/>
        <w:gridCol w:w="761"/>
        <w:gridCol w:w="1311"/>
        <w:gridCol w:w="540"/>
        <w:gridCol w:w="860"/>
        <w:gridCol w:w="946"/>
        <w:gridCol w:w="188"/>
        <w:gridCol w:w="740"/>
        <w:gridCol w:w="94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省级预算部门名称</w:t>
            </w:r>
          </w:p>
        </w:tc>
        <w:tc>
          <w:tcPr>
            <w:tcW w:w="8437" w:type="dxa"/>
            <w:gridSpan w:val="10"/>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湖南省委组织部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restart"/>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年度预算申请（万元）</w:t>
            </w:r>
          </w:p>
        </w:tc>
        <w:tc>
          <w:tcPr>
            <w:tcW w:w="1516" w:type="dxa"/>
            <w:gridSpan w:val="2"/>
            <w:vAlign w:val="center"/>
          </w:tcPr>
          <w:p>
            <w:pPr>
              <w:jc w:val="center"/>
              <w:rPr>
                <w:rFonts w:hint="default" w:ascii="Times New Roman" w:hAnsi="Times New Roman" w:eastAsia="仿宋" w:cs="Times New Roman"/>
                <w:szCs w:val="21"/>
              </w:rPr>
            </w:pPr>
          </w:p>
        </w:tc>
        <w:tc>
          <w:tcPr>
            <w:tcW w:w="1311"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年初预算数</w:t>
            </w:r>
          </w:p>
        </w:tc>
        <w:tc>
          <w:tcPr>
            <w:tcW w:w="1400"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全年预算数</w:t>
            </w:r>
          </w:p>
        </w:tc>
        <w:tc>
          <w:tcPr>
            <w:tcW w:w="1134"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全年执行数</w:t>
            </w:r>
          </w:p>
        </w:tc>
        <w:tc>
          <w:tcPr>
            <w:tcW w:w="740"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分值</w:t>
            </w:r>
          </w:p>
        </w:tc>
        <w:tc>
          <w:tcPr>
            <w:tcW w:w="943"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执行率</w:t>
            </w:r>
          </w:p>
        </w:tc>
        <w:tc>
          <w:tcPr>
            <w:tcW w:w="1393"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1516"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年度资金总额</w:t>
            </w:r>
          </w:p>
        </w:tc>
        <w:tc>
          <w:tcPr>
            <w:tcW w:w="1311"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11551.97</w:t>
            </w:r>
          </w:p>
        </w:tc>
        <w:tc>
          <w:tcPr>
            <w:tcW w:w="1400"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16413.02</w:t>
            </w:r>
          </w:p>
        </w:tc>
        <w:tc>
          <w:tcPr>
            <w:tcW w:w="1134"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15172.19</w:t>
            </w:r>
          </w:p>
        </w:tc>
        <w:tc>
          <w:tcPr>
            <w:tcW w:w="740"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10</w:t>
            </w:r>
          </w:p>
        </w:tc>
        <w:tc>
          <w:tcPr>
            <w:tcW w:w="943"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92.44</w:t>
            </w:r>
          </w:p>
        </w:tc>
        <w:tc>
          <w:tcPr>
            <w:tcW w:w="1393"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4227" w:type="dxa"/>
            <w:gridSpan w:val="5"/>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按收入性质分：</w:t>
            </w:r>
          </w:p>
        </w:tc>
        <w:tc>
          <w:tcPr>
            <w:tcW w:w="4210" w:type="dxa"/>
            <w:gridSpan w:val="5"/>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4227" w:type="dxa"/>
            <w:gridSpan w:val="5"/>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 xml:space="preserve">  其中：一般公共预算：16413.02</w:t>
            </w:r>
          </w:p>
        </w:tc>
        <w:tc>
          <w:tcPr>
            <w:tcW w:w="4210" w:type="dxa"/>
            <w:gridSpan w:val="5"/>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其中：基本支出：6156.42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4227" w:type="dxa"/>
            <w:gridSpan w:val="5"/>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 xml:space="preserve">      政府性基金拨款：</w:t>
            </w:r>
          </w:p>
        </w:tc>
        <w:tc>
          <w:tcPr>
            <w:tcW w:w="4210" w:type="dxa"/>
            <w:gridSpan w:val="5"/>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 xml:space="preserve">      项目支出：10256.6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4227" w:type="dxa"/>
            <w:gridSpan w:val="5"/>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纳入专户管理的非税收入拨款：</w:t>
            </w:r>
          </w:p>
        </w:tc>
        <w:tc>
          <w:tcPr>
            <w:tcW w:w="4210" w:type="dxa"/>
            <w:gridSpan w:val="5"/>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4227" w:type="dxa"/>
            <w:gridSpan w:val="5"/>
            <w:vAlign w:val="center"/>
          </w:tcPr>
          <w:p>
            <w:pPr>
              <w:rPr>
                <w:rFonts w:hint="default" w:ascii="Times New Roman" w:hAnsi="Times New Roman" w:eastAsia="仿宋" w:cs="Times New Roman"/>
                <w:szCs w:val="21"/>
              </w:rPr>
            </w:pPr>
            <w:r>
              <w:rPr>
                <w:rFonts w:hint="default" w:ascii="Times New Roman" w:hAnsi="Times New Roman" w:eastAsia="仿宋" w:cs="Times New Roman"/>
                <w:szCs w:val="21"/>
              </w:rPr>
              <w:t xml:space="preserve">            其他资金：</w:t>
            </w:r>
          </w:p>
        </w:tc>
        <w:tc>
          <w:tcPr>
            <w:tcW w:w="4210" w:type="dxa"/>
            <w:gridSpan w:val="5"/>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restart"/>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年度总体目标</w:t>
            </w:r>
          </w:p>
        </w:tc>
        <w:tc>
          <w:tcPr>
            <w:tcW w:w="4227" w:type="dxa"/>
            <w:gridSpan w:val="5"/>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预期目标</w:t>
            </w:r>
          </w:p>
        </w:tc>
        <w:tc>
          <w:tcPr>
            <w:tcW w:w="4210" w:type="dxa"/>
            <w:gridSpan w:val="5"/>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4227" w:type="dxa"/>
            <w:gridSpan w:val="5"/>
            <w:vAlign w:val="center"/>
          </w:tcPr>
          <w:p>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完成干部考察、选人用人检查，干部监督及12380举报等工作；做好干部档案、干部信息、党员信息统计等工作；完成干部培训、选调生录用培训、党员教育培训、党代表培训、乡镇党委书记及社区书记培训等工作；保障好人才专家院士考察、研修等工作，做好红星网红星云运行维护工作等。</w:t>
            </w:r>
          </w:p>
        </w:tc>
        <w:tc>
          <w:tcPr>
            <w:tcW w:w="4210" w:type="dxa"/>
            <w:gridSpan w:val="5"/>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已完成年度预期总体目标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restart"/>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绩效指标</w:t>
            </w:r>
          </w:p>
        </w:tc>
        <w:tc>
          <w:tcPr>
            <w:tcW w:w="755"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一级指标</w:t>
            </w:r>
          </w:p>
        </w:tc>
        <w:tc>
          <w:tcPr>
            <w:tcW w:w="761"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二级指标</w:t>
            </w:r>
          </w:p>
        </w:tc>
        <w:tc>
          <w:tcPr>
            <w:tcW w:w="1851"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三级指标</w:t>
            </w:r>
          </w:p>
        </w:tc>
        <w:tc>
          <w:tcPr>
            <w:tcW w:w="860"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年度指标值</w:t>
            </w:r>
          </w:p>
        </w:tc>
        <w:tc>
          <w:tcPr>
            <w:tcW w:w="946"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实际完成值</w:t>
            </w:r>
          </w:p>
        </w:tc>
        <w:tc>
          <w:tcPr>
            <w:tcW w:w="928"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分值</w:t>
            </w:r>
          </w:p>
        </w:tc>
        <w:tc>
          <w:tcPr>
            <w:tcW w:w="943"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得分</w:t>
            </w:r>
          </w:p>
        </w:tc>
        <w:tc>
          <w:tcPr>
            <w:tcW w:w="1393"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产出指标（50分）</w:t>
            </w:r>
          </w:p>
        </w:tc>
        <w:tc>
          <w:tcPr>
            <w:tcW w:w="761" w:type="dxa"/>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数量指标</w:t>
            </w: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考官培训人数</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≥330人</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340人</w:t>
            </w:r>
          </w:p>
        </w:tc>
        <w:tc>
          <w:tcPr>
            <w:tcW w:w="928" w:type="dxa"/>
            <w:gridSpan w:val="2"/>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w:t>
            </w:r>
          </w:p>
        </w:tc>
        <w:tc>
          <w:tcPr>
            <w:tcW w:w="943" w:type="dxa"/>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w:t>
            </w: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1"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公务员初任培训</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≥670人</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820人</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1"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村（社）区书记培训</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≥260人</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410人</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1"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干部专题研修班</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≥900人</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940人</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1"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省派驻村工作队员人数</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≥691人</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691人</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7"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党内帮扶慰问人数</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≥270人</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270人</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推送图文视频等稿件数量</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&gt;15000篇</w:t>
            </w:r>
          </w:p>
        </w:tc>
        <w:tc>
          <w:tcPr>
            <w:tcW w:w="946" w:type="dxa"/>
            <w:vAlign w:val="center"/>
          </w:tcPr>
          <w:p>
            <w:pPr>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eastAsia="zh-CN"/>
              </w:rPr>
              <w:t>约</w:t>
            </w:r>
            <w:r>
              <w:rPr>
                <w:rFonts w:hint="default" w:ascii="Times New Roman" w:hAnsi="Times New Roman" w:eastAsia="仿宋_GB2312" w:cs="Times New Roman"/>
                <w:szCs w:val="21"/>
              </w:rPr>
              <w:t>15600篇</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57"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restart"/>
            <w:vAlign w:val="center"/>
          </w:tcPr>
          <w:p>
            <w:pPr>
              <w:spacing w:line="280" w:lineRule="exact"/>
              <w:jc w:val="center"/>
              <w:rPr>
                <w:rFonts w:hint="default" w:ascii="Times New Roman" w:hAnsi="Times New Roman" w:eastAsia="仿宋_GB2312" w:cs="Times New Roman"/>
                <w:spacing w:val="-6"/>
                <w:szCs w:val="21"/>
              </w:rPr>
            </w:pPr>
            <w:r>
              <w:rPr>
                <w:rFonts w:hint="default" w:ascii="Times New Roman" w:hAnsi="Times New Roman" w:eastAsia="仿宋_GB2312" w:cs="Times New Roman"/>
                <w:spacing w:val="-6"/>
                <w:szCs w:val="21"/>
              </w:rPr>
              <w:t>质量指标</w:t>
            </w: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培训完成率</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≥95%</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64"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spacing w:line="280" w:lineRule="exact"/>
              <w:jc w:val="center"/>
              <w:rPr>
                <w:rFonts w:hint="default" w:ascii="Times New Roman" w:hAnsi="Times New Roman" w:eastAsia="仿宋_GB2312" w:cs="Times New Roman"/>
                <w:spacing w:val="-6"/>
                <w:szCs w:val="21"/>
              </w:rPr>
            </w:pPr>
          </w:p>
        </w:tc>
        <w:tc>
          <w:tcPr>
            <w:tcW w:w="1851" w:type="dxa"/>
            <w:gridSpan w:val="2"/>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一网一云阅读量10万以上稿件数量</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＞50篇</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52篇</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64"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spacing w:line="280" w:lineRule="exact"/>
              <w:jc w:val="center"/>
              <w:rPr>
                <w:rFonts w:hint="default" w:ascii="Times New Roman" w:hAnsi="Times New Roman" w:eastAsia="仿宋_GB2312" w:cs="Times New Roman"/>
                <w:spacing w:val="-6"/>
                <w:szCs w:val="21"/>
              </w:rPr>
            </w:pP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人才学历</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本科、研究生以上</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本科、研究生以上</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64"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pacing w:val="-6"/>
                <w:szCs w:val="21"/>
              </w:rPr>
              <w:t>时效指标</w:t>
            </w: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开支期限</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2024年</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2024年</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restart"/>
            <w:vAlign w:val="center"/>
          </w:tcPr>
          <w:p>
            <w:pPr>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成本指标</w:t>
            </w: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党内帮扶慰问一线基层党员干部、生活困难党员</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10000元/人</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10000元/人</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驻村队员保险</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≤600元/人</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600元/人</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一网一云运维开支</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≤377万元/年</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366万元/年</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效益指标（30分）</w:t>
            </w:r>
          </w:p>
        </w:tc>
        <w:tc>
          <w:tcPr>
            <w:tcW w:w="761"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社会效益指标</w:t>
            </w: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公务员干部队伍的认同度</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≥95%</w:t>
            </w:r>
          </w:p>
        </w:tc>
        <w:tc>
          <w:tcPr>
            <w:tcW w:w="946" w:type="dxa"/>
            <w:vAlign w:val="center"/>
          </w:tcPr>
          <w:p>
            <w:pPr>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99</w:t>
            </w:r>
            <w:r>
              <w:rPr>
                <w:rFonts w:hint="default" w:ascii="Times New Roman" w:hAnsi="Times New Roman" w:eastAsia="仿宋_GB2312" w:cs="Times New Roman"/>
                <w:szCs w:val="21"/>
              </w:rPr>
              <w:t>%</w:t>
            </w:r>
          </w:p>
        </w:tc>
        <w:tc>
          <w:tcPr>
            <w:tcW w:w="928" w:type="dxa"/>
            <w:gridSpan w:val="2"/>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30</w:t>
            </w:r>
          </w:p>
        </w:tc>
        <w:tc>
          <w:tcPr>
            <w:tcW w:w="943" w:type="dxa"/>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30</w:t>
            </w: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restart"/>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可持续影响指标</w:t>
            </w: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政治判断力</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提升</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提升</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政治领悟力</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提升</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提升</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Merge w:val="continue"/>
            <w:vAlign w:val="center"/>
          </w:tcPr>
          <w:p>
            <w:pPr>
              <w:jc w:val="center"/>
              <w:rPr>
                <w:rFonts w:hint="default" w:ascii="Times New Roman" w:hAnsi="Times New Roman" w:eastAsia="仿宋_GB2312" w:cs="Times New Roman"/>
                <w:szCs w:val="21"/>
              </w:rPr>
            </w:pPr>
          </w:p>
        </w:tc>
        <w:tc>
          <w:tcPr>
            <w:tcW w:w="761" w:type="dxa"/>
            <w:vMerge w:val="continue"/>
            <w:vAlign w:val="center"/>
          </w:tcPr>
          <w:p>
            <w:pPr>
              <w:jc w:val="center"/>
              <w:rPr>
                <w:rFonts w:hint="default" w:ascii="Times New Roman" w:hAnsi="Times New Roman" w:eastAsia="仿宋_GB2312" w:cs="Times New Roman"/>
                <w:szCs w:val="21"/>
              </w:rPr>
            </w:pP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政治执行力</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提升</w:t>
            </w:r>
          </w:p>
        </w:tc>
        <w:tc>
          <w:tcPr>
            <w:tcW w:w="94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提升</w:t>
            </w:r>
          </w:p>
        </w:tc>
        <w:tc>
          <w:tcPr>
            <w:tcW w:w="928" w:type="dxa"/>
            <w:gridSpan w:val="2"/>
            <w:vMerge w:val="continue"/>
            <w:vAlign w:val="center"/>
          </w:tcPr>
          <w:p>
            <w:pPr>
              <w:jc w:val="center"/>
              <w:rPr>
                <w:rFonts w:hint="default" w:ascii="Times New Roman" w:hAnsi="Times New Roman" w:eastAsia="仿宋_GB2312" w:cs="Times New Roman"/>
                <w:szCs w:val="21"/>
              </w:rPr>
            </w:pPr>
          </w:p>
        </w:tc>
        <w:tc>
          <w:tcPr>
            <w:tcW w:w="943" w:type="dxa"/>
            <w:vMerge w:val="continue"/>
            <w:vAlign w:val="center"/>
          </w:tcPr>
          <w:p>
            <w:pPr>
              <w:jc w:val="center"/>
              <w:rPr>
                <w:rFonts w:hint="default" w:ascii="Times New Roman" w:hAnsi="Times New Roman" w:eastAsia="仿宋_GB2312" w:cs="Times New Roman"/>
                <w:szCs w:val="21"/>
              </w:rPr>
            </w:pP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trPr>
        <w:tc>
          <w:tcPr>
            <w:tcW w:w="1069" w:type="dxa"/>
            <w:vMerge w:val="continue"/>
            <w:vAlign w:val="center"/>
          </w:tcPr>
          <w:p>
            <w:pPr>
              <w:jc w:val="center"/>
              <w:rPr>
                <w:rFonts w:hint="default" w:ascii="Times New Roman" w:hAnsi="Times New Roman" w:eastAsia="仿宋" w:cs="Times New Roman"/>
                <w:szCs w:val="21"/>
              </w:rPr>
            </w:pPr>
          </w:p>
        </w:tc>
        <w:tc>
          <w:tcPr>
            <w:tcW w:w="755"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满意度指标（10分）</w:t>
            </w:r>
          </w:p>
        </w:tc>
        <w:tc>
          <w:tcPr>
            <w:tcW w:w="761"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服务对象满意度指标</w:t>
            </w:r>
          </w:p>
        </w:tc>
        <w:tc>
          <w:tcPr>
            <w:tcW w:w="1851"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服务对象满意度</w:t>
            </w:r>
          </w:p>
        </w:tc>
        <w:tc>
          <w:tcPr>
            <w:tcW w:w="860"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≥95%</w:t>
            </w:r>
          </w:p>
        </w:tc>
        <w:tc>
          <w:tcPr>
            <w:tcW w:w="946" w:type="dxa"/>
            <w:vAlign w:val="center"/>
          </w:tcPr>
          <w:p>
            <w:pPr>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99</w:t>
            </w:r>
            <w:r>
              <w:rPr>
                <w:rFonts w:hint="default" w:ascii="Times New Roman" w:hAnsi="Times New Roman" w:eastAsia="仿宋_GB2312" w:cs="Times New Roman"/>
                <w:szCs w:val="21"/>
              </w:rPr>
              <w:t>%</w:t>
            </w:r>
          </w:p>
        </w:tc>
        <w:tc>
          <w:tcPr>
            <w:tcW w:w="928"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c>
          <w:tcPr>
            <w:tcW w:w="943"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c>
          <w:tcPr>
            <w:tcW w:w="1393" w:type="dxa"/>
            <w:vAlign w:val="center"/>
          </w:tcPr>
          <w:p>
            <w:pPr>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13" w:hRule="atLeast"/>
        </w:trPr>
        <w:tc>
          <w:tcPr>
            <w:tcW w:w="6242" w:type="dxa"/>
            <w:gridSpan w:val="7"/>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总分</w:t>
            </w:r>
          </w:p>
        </w:tc>
        <w:tc>
          <w:tcPr>
            <w:tcW w:w="928"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100</w:t>
            </w:r>
          </w:p>
        </w:tc>
        <w:tc>
          <w:tcPr>
            <w:tcW w:w="943"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99</w:t>
            </w:r>
          </w:p>
        </w:tc>
        <w:tc>
          <w:tcPr>
            <w:tcW w:w="1393" w:type="dxa"/>
            <w:vAlign w:val="center"/>
          </w:tcPr>
          <w:p>
            <w:pPr>
              <w:jc w:val="center"/>
              <w:rPr>
                <w:rFonts w:hint="default" w:ascii="Times New Roman" w:hAnsi="Times New Roman" w:eastAsia="仿宋" w:cs="Times New Roman"/>
                <w:szCs w:val="21"/>
              </w:rPr>
            </w:pPr>
          </w:p>
        </w:tc>
      </w:tr>
    </w:tbl>
    <w:p>
      <w:pPr>
        <w:rPr>
          <w:rFonts w:hint="default" w:ascii="Times New Roman" w:hAnsi="Times New Roman" w:eastAsia="仿宋_GB2312" w:cs="Times New Roman"/>
          <w:szCs w:val="18"/>
        </w:rPr>
      </w:pPr>
      <w:r>
        <w:rPr>
          <w:rFonts w:hint="default" w:ascii="Times New Roman" w:hAnsi="Times New Roman" w:eastAsia="仿宋_GB2312" w:cs="Times New Roman"/>
          <w:szCs w:val="18"/>
        </w:rPr>
        <w:t xml:space="preserve">填表人：陆地 </w:t>
      </w:r>
      <w:r>
        <w:rPr>
          <w:rFonts w:hint="default" w:ascii="Times New Roman" w:hAnsi="Times New Roman" w:eastAsia="仿宋_GB2312" w:cs="Times New Roman"/>
          <w:szCs w:val="18"/>
          <w:lang w:val="en-US" w:eastAsia="zh-CN"/>
        </w:rPr>
        <w:t xml:space="preserve">  </w:t>
      </w:r>
      <w:r>
        <w:rPr>
          <w:rFonts w:hint="default" w:ascii="Times New Roman" w:hAnsi="Times New Roman" w:eastAsia="仿宋_GB2312" w:cs="Times New Roman"/>
          <w:szCs w:val="18"/>
        </w:rPr>
        <w:t xml:space="preserve"> 填报日期：2025/4/20   </w:t>
      </w:r>
      <w:r>
        <w:rPr>
          <w:rFonts w:hint="default" w:ascii="Times New Roman" w:hAnsi="Times New Roman" w:eastAsia="仿宋_GB2312" w:cs="Times New Roman"/>
          <w:szCs w:val="18"/>
          <w:lang w:val="en-US" w:eastAsia="zh-CN"/>
        </w:rPr>
        <w:t xml:space="preserve">  </w:t>
      </w:r>
      <w:r>
        <w:rPr>
          <w:rFonts w:hint="default" w:ascii="Times New Roman" w:hAnsi="Times New Roman" w:eastAsia="仿宋_GB2312" w:cs="Times New Roman"/>
          <w:szCs w:val="18"/>
        </w:rPr>
        <w:t xml:space="preserve">联系电话：81126178 </w:t>
      </w:r>
      <w:r>
        <w:rPr>
          <w:rFonts w:hint="default" w:ascii="Times New Roman" w:hAnsi="Times New Roman" w:eastAsia="仿宋_GB2312" w:cs="Times New Roman"/>
          <w:szCs w:val="18"/>
          <w:lang w:val="en-US" w:eastAsia="zh-CN"/>
        </w:rPr>
        <w:t xml:space="preserve">  </w:t>
      </w:r>
      <w:r>
        <w:rPr>
          <w:rFonts w:hint="default" w:ascii="Times New Roman" w:hAnsi="Times New Roman" w:eastAsia="仿宋_GB2312" w:cs="Times New Roman"/>
          <w:szCs w:val="18"/>
        </w:rPr>
        <w:t xml:space="preserve">  单位负责人签字：</w:t>
      </w:r>
    </w:p>
    <w:p>
      <w:pPr>
        <w:spacing w:line="600" w:lineRule="exact"/>
        <w:ind w:firstLine="640" w:firstLineChars="200"/>
        <w:rPr>
          <w:rFonts w:hint="default" w:ascii="Times New Roman" w:hAnsi="Times New Roman" w:eastAsia="仿宋_GB2312" w:cs="Times New Roman"/>
          <w:sz w:val="32"/>
        </w:rPr>
      </w:pPr>
    </w:p>
    <w:p>
      <w:pPr>
        <w:spacing w:line="600" w:lineRule="exact"/>
        <w:rPr>
          <w:rFonts w:hint="default" w:ascii="Times New Roman" w:hAnsi="Times New Roman" w:eastAsia="仿宋_GB2312" w:cs="Times New Roman"/>
          <w:sz w:val="32"/>
        </w:rPr>
      </w:pPr>
    </w:p>
    <w:p>
      <w:pPr>
        <w:pStyle w:val="16"/>
        <w:spacing w:line="600" w:lineRule="exact"/>
        <w:ind w:firstLine="640" w:firstLineChars="200"/>
        <w:rPr>
          <w:rFonts w:ascii="Times New Roman" w:hAnsi="Times New Roman" w:eastAsia="仿宋_GB2312" w:cs="Times New Roman"/>
          <w:sz w:val="32"/>
          <w:szCs w:val="3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701" w:right="1701" w:bottom="1701" w:left="1701" w:header="851" w:footer="992" w:gutter="0"/>
      <w:paperSrc w:first="0" w:oth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18"/>
        <w:lang w:val="en-US" w:eastAsia="zh-CN" w:bidi="ar-SA"/>
      </w:rPr>
      <w:pict>
        <v:rect id="文本框 5"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5761171">
    <w:nsid w:val="68A6CA13"/>
    <w:multiLevelType w:val="singleLevel"/>
    <w:tmpl w:val="68A6CA13"/>
    <w:lvl w:ilvl="0" w:tentative="1">
      <w:start w:val="1"/>
      <w:numFmt w:val="chineseCounting"/>
      <w:suff w:val="nothing"/>
      <w:lvlText w:val="%1、"/>
      <w:lvlJc w:val="left"/>
    </w:lvl>
  </w:abstractNum>
  <w:abstractNum w:abstractNumId="1756867260">
    <w:nsid w:val="68B7AABC"/>
    <w:multiLevelType w:val="singleLevel"/>
    <w:tmpl w:val="68B7AABC"/>
    <w:lvl w:ilvl="0" w:tentative="1">
      <w:start w:val="13"/>
      <w:numFmt w:val="chineseCounting"/>
      <w:suff w:val="nothing"/>
      <w:lvlText w:val="%1、"/>
      <w:lvlJc w:val="left"/>
    </w:lvl>
  </w:abstractNum>
  <w:abstractNum w:abstractNumId="1756088435">
    <w:nsid w:val="68ABC873"/>
    <w:multiLevelType w:val="singleLevel"/>
    <w:tmpl w:val="68ABC873"/>
    <w:lvl w:ilvl="0" w:tentative="1">
      <w:start w:val="3"/>
      <w:numFmt w:val="decimal"/>
      <w:suff w:val="nothing"/>
      <w:lvlText w:val="%1、"/>
      <w:lvlJc w:val="left"/>
    </w:lvl>
  </w:abstractNum>
  <w:abstractNum w:abstractNumId="658272522">
    <w:nsid w:val="273C710A"/>
    <w:multiLevelType w:val="multilevel"/>
    <w:tmpl w:val="273C710A"/>
    <w:lvl w:ilvl="0" w:tentative="1">
      <w:start w:val="1"/>
      <w:numFmt w:val="none"/>
      <w:lvlText w:val="一、"/>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658272522"/>
  </w:num>
  <w:num w:numId="2">
    <w:abstractNumId w:val="1755761171"/>
  </w:num>
  <w:num w:numId="3">
    <w:abstractNumId w:val="1756088435"/>
  </w:num>
  <w:num w:numId="4">
    <w:abstractNumId w:val="17568672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line="600" w:lineRule="exact"/>
      <w:ind w:firstLine="420" w:firstLineChars="200"/>
      <w:outlineLvl w:val="0"/>
    </w:pPr>
    <w:rPr>
      <w:rFonts w:eastAsia="黑体"/>
      <w:kern w:val="44"/>
      <w:sz w:val="32"/>
    </w:rPr>
  </w:style>
  <w:style w:type="paragraph" w:styleId="3">
    <w:name w:val="heading 2"/>
    <w:basedOn w:val="1"/>
    <w:next w:val="1"/>
    <w:semiHidden/>
    <w:unhideWhenUsed/>
    <w:qFormat/>
    <w:uiPriority w:val="9"/>
    <w:pPr>
      <w:keepNext/>
      <w:keepLines/>
      <w:spacing w:line="600" w:lineRule="exact"/>
      <w:ind w:firstLine="723" w:firstLineChars="200"/>
      <w:outlineLvl w:val="1"/>
    </w:pPr>
    <w:rPr>
      <w:rFonts w:ascii="Arial" w:hAnsi="Arial" w:eastAsia="楷体"/>
      <w:sz w:val="32"/>
    </w:rPr>
  </w:style>
  <w:style w:type="character" w:default="1" w:styleId="15">
    <w:name w:val="Default Paragraph Font"/>
    <w:semiHidden/>
    <w:unhideWhenUsed/>
    <w:uiPriority w:val="1"/>
  </w:style>
  <w:style w:type="paragraph" w:styleId="4">
    <w:name w:val="Body Text"/>
    <w:basedOn w:val="1"/>
    <w:next w:val="5"/>
    <w:semiHidden/>
    <w:unhideWhenUsed/>
    <w:uiPriority w:val="0"/>
    <w:pPr>
      <w:spacing w:before="190"/>
    </w:pPr>
    <w:rPr>
      <w:rFonts w:ascii="宋体" w:hAnsi="宋体" w:eastAsia="宋体" w:cs="宋体"/>
      <w:sz w:val="32"/>
      <w:szCs w:val="32"/>
      <w:lang w:val="zh-CN" w:bidi="zh-CN"/>
    </w:rPr>
  </w:style>
  <w:style w:type="paragraph" w:styleId="5">
    <w:name w:val="toc 5"/>
    <w:basedOn w:val="1"/>
    <w:next w:val="1"/>
    <w:semiHidden/>
    <w:unhideWhenUsed/>
    <w:uiPriority w:val="39"/>
    <w:pPr>
      <w:ind w:left="1680" w:leftChars="800"/>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uiPriority w:val="39"/>
  </w:style>
  <w:style w:type="paragraph" w:styleId="12">
    <w:name w:val="footnote text"/>
    <w:basedOn w:val="1"/>
    <w:next w:val="7"/>
    <w:semiHidden/>
    <w:qFormat/>
    <w:uiPriority w:val="0"/>
    <w:pPr>
      <w:snapToGrid w:val="0"/>
      <w:jc w:val="left"/>
    </w:pPr>
    <w:rPr>
      <w:sz w:val="18"/>
      <w:szCs w:val="18"/>
    </w:rPr>
  </w:style>
  <w:style w:type="paragraph" w:styleId="13">
    <w:name w:val="toc 2"/>
    <w:basedOn w:val="1"/>
    <w:next w:val="1"/>
    <w:semiHidden/>
    <w:unhideWhenUsed/>
    <w:uiPriority w:val="39"/>
    <w:pPr>
      <w:ind w:left="420" w:leftChars="200"/>
    </w:pPr>
  </w:style>
  <w:style w:type="paragraph" w:styleId="14">
    <w:name w:val="Normal (Web)"/>
    <w:basedOn w:val="1"/>
    <w:semiHidden/>
    <w:unhideWhenUsed/>
    <w:uiPriority w:val="0"/>
    <w:pPr>
      <w:jc w:val="left"/>
    </w:pPr>
    <w:rPr>
      <w:rFonts w:hint="eastAsia" w:ascii="微软雅黑" w:hAnsi="微软雅黑" w:eastAsia="微软雅黑"/>
      <w:kern w:val="0"/>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rPr>
  </w:style>
  <w:style w:type="paragraph" w:customStyle="1" w:styleId="17">
    <w:name w:val="List Paragraph"/>
    <w:basedOn w:val="1"/>
    <w:qFormat/>
    <w:uiPriority w:val="34"/>
    <w:pPr>
      <w:ind w:firstLine="420" w:firstLineChars="200"/>
    </w:p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批注框文本 Char"/>
    <w:basedOn w:val="15"/>
    <w:link w:val="8"/>
    <w:semiHidden/>
    <w:qFormat/>
    <w:uiPriority w:val="99"/>
    <w:rPr>
      <w:sz w:val="18"/>
      <w:szCs w:val="18"/>
    </w:rPr>
  </w:style>
  <w:style w:type="character" w:customStyle="1" w:styleId="21">
    <w:name w:val="font01"/>
    <w:basedOn w:val="15"/>
    <w:qFormat/>
    <w:uiPriority w:val="0"/>
    <w:rPr>
      <w:rFonts w:hint="eastAsia" w:ascii="宋体" w:hAnsi="宋体" w:eastAsia="宋体" w:cs="宋体"/>
      <w:color w:val="000000"/>
      <w:sz w:val="22"/>
      <w:szCs w:val="22"/>
      <w:u w:val="none"/>
    </w:rPr>
  </w:style>
  <w:style w:type="character" w:customStyle="1" w:styleId="22">
    <w:name w:val="font21"/>
    <w:basedOn w:val="15"/>
    <w:qFormat/>
    <w:uiPriority w:val="0"/>
    <w:rPr>
      <w:rFonts w:hint="eastAsia" w:ascii="宋体" w:hAnsi="宋体" w:eastAsia="宋体" w:cs="宋体"/>
      <w:color w:val="000000"/>
      <w:sz w:val="24"/>
      <w:szCs w:val="24"/>
      <w:u w:val="none"/>
    </w:rPr>
  </w:style>
  <w:style w:type="character" w:customStyle="1" w:styleId="23">
    <w:name w:val="font1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1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2025-09-05T08:46:00Z</cp:lastPrinted>
  <dcterms:modified xsi:type="dcterms:W3CDTF">2025-09-10T01:50:47Z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BB7B6AA21D207914D6FDA268992A22D6</vt:lpwstr>
  </property>
</Properties>
</file>