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7"/>
        <w:jc w:val="center"/>
        <w:rPr>
          <w:sz w:val="56"/>
          <w:szCs w:val="56"/>
        </w:rPr>
      </w:pPr>
      <w:r>
        <w:rPr>
          <w:rFonts w:ascii="黑体" w:hAnsi="Calibri" w:eastAsia="黑体" w:cs="黑体"/>
          <w:color w:val="000000"/>
          <w:sz w:val="56"/>
          <w:szCs w:val="24"/>
          <w:lang w:val="en-US" w:eastAsia="zh-CN" w:bidi="ar-SA"/>
        </w:rPr>
        <w:pict>
          <v:shape id="Quad Arrow 2" o:spid="_x0000_s1026" type="#_x0000_t202" style="position:absolute;left:0;margin-left:-18.6pt;margin-top:-23.4pt;height:40.75pt;width:119.95pt;rotation:0f;z-index:251658240;" o:ole="f" fillcolor="#FFFFFF" filled="t" o:preferrelative="t" stroked="f" coordorigin="0,0" coordsize="21600,21600">
            <v:imagedata gain="65536f" blacklevel="0f" gamma="0"/>
            <o:lock v:ext="edit" position="f" selection="f" grouping="f" rotation="f" cropping="f" text="f" aspectratio="f"/>
            <v:textbox>
              <w:txbxContent>
                <w:p>
                  <w:pPr>
                    <w:rPr>
                      <w:rFonts w:ascii="黑体" w:hAnsi="黑体" w:eastAsia="黑体" w:cs="楷体"/>
                      <w:sz w:val="28"/>
                      <w:szCs w:val="28"/>
                    </w:rPr>
                  </w:pPr>
                </w:p>
              </w:txbxContent>
            </v:textbox>
          </v:shape>
        </w:pict>
      </w:r>
    </w:p>
    <w:p>
      <w:pPr>
        <w:pStyle w:val="17"/>
        <w:jc w:val="center"/>
        <w:rPr>
          <w:sz w:val="56"/>
          <w:szCs w:val="56"/>
        </w:rPr>
      </w:pPr>
    </w:p>
    <w:p>
      <w:pPr>
        <w:pStyle w:val="17"/>
        <w:jc w:val="center"/>
        <w:rPr>
          <w:sz w:val="84"/>
          <w:szCs w:val="84"/>
        </w:rPr>
      </w:pPr>
    </w:p>
    <w:p>
      <w:pPr>
        <w:pStyle w:val="17"/>
        <w:jc w:val="center"/>
        <w:rPr>
          <w:sz w:val="84"/>
          <w:szCs w:val="84"/>
        </w:rPr>
      </w:pPr>
    </w:p>
    <w:p>
      <w:pPr>
        <w:pStyle w:val="17"/>
        <w:jc w:val="center"/>
        <w:rPr>
          <w:rFonts w:ascii="方正小标宋_GBK" w:hAnsi="方正小标宋_GBK" w:eastAsia="方正小标宋_GBK" w:cs="方正小标宋_GBK"/>
          <w:sz w:val="72"/>
          <w:szCs w:val="72"/>
        </w:rPr>
      </w:pPr>
      <w:r>
        <w:rPr>
          <w:rFonts w:ascii="Times New Roman" w:hAnsi="Times New Roman" w:eastAsia="方正小标宋_GBK" w:cs="Times New Roman"/>
          <w:sz w:val="72"/>
          <w:szCs w:val="72"/>
        </w:rPr>
        <w:t>2023</w:t>
      </w:r>
      <w:r>
        <w:rPr>
          <w:rFonts w:hint="eastAsia" w:ascii="方正小标宋_GBK" w:hAnsi="方正小标宋_GBK" w:eastAsia="方正小标宋_GBK" w:cs="方正小标宋_GBK"/>
          <w:sz w:val="72"/>
          <w:szCs w:val="72"/>
        </w:rPr>
        <w:t>年度</w:t>
      </w:r>
    </w:p>
    <w:p>
      <w:pPr>
        <w:pStyle w:val="17"/>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中共湖南省委组织部</w:t>
      </w:r>
    </w:p>
    <w:p>
      <w:pPr>
        <w:pStyle w:val="17"/>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pPr>
        <w:pStyle w:val="17"/>
        <w:jc w:val="center"/>
        <w:rPr>
          <w:rFonts w:ascii="方正小标宋_GBK" w:hAnsi="方正小标宋_GBK" w:eastAsia="方正小标宋_GBK" w:cs="方正小标宋_GBK"/>
          <w:sz w:val="56"/>
          <w:szCs w:val="56"/>
        </w:rPr>
      </w:pPr>
    </w:p>
    <w:p>
      <w:pPr>
        <w:pStyle w:val="17"/>
        <w:jc w:val="center"/>
        <w:rPr>
          <w:sz w:val="56"/>
          <w:szCs w:val="56"/>
        </w:rPr>
      </w:pPr>
    </w:p>
    <w:p>
      <w:pPr>
        <w:pStyle w:val="17"/>
        <w:jc w:val="center"/>
        <w:rPr>
          <w:sz w:val="56"/>
          <w:szCs w:val="56"/>
        </w:rPr>
      </w:pPr>
    </w:p>
    <w:p>
      <w:pPr>
        <w:pStyle w:val="17"/>
        <w:jc w:val="both"/>
        <w:rPr>
          <w:sz w:val="56"/>
          <w:szCs w:val="56"/>
        </w:rPr>
      </w:pPr>
    </w:p>
    <w:p>
      <w:pPr>
        <w:pStyle w:val="17"/>
        <w:spacing w:line="500" w:lineRule="exact"/>
        <w:jc w:val="both"/>
        <w:rPr>
          <w:b/>
          <w:sz w:val="36"/>
          <w:szCs w:val="28"/>
        </w:rPr>
      </w:pPr>
    </w:p>
    <w:p>
      <w:pPr>
        <w:pStyle w:val="17"/>
        <w:spacing w:line="500" w:lineRule="exact"/>
        <w:jc w:val="center"/>
        <w:rPr>
          <w:rFonts w:hint="eastAsia"/>
          <w:sz w:val="36"/>
          <w:szCs w:val="28"/>
        </w:rPr>
      </w:pPr>
      <w:r>
        <w:rPr>
          <w:rFonts w:hint="eastAsia"/>
          <w:sz w:val="36"/>
          <w:szCs w:val="28"/>
        </w:rPr>
        <w:t>目 录</w:t>
      </w:r>
    </w:p>
    <w:p>
      <w:pPr>
        <w:pStyle w:val="17"/>
        <w:spacing w:line="500" w:lineRule="exact"/>
        <w:jc w:val="center"/>
        <w:rPr>
          <w:rFonts w:hint="eastAsia"/>
          <w:sz w:val="36"/>
          <w:szCs w:val="28"/>
        </w:rPr>
      </w:pPr>
    </w:p>
    <w:p>
      <w:pPr>
        <w:pStyle w:val="17"/>
        <w:spacing w:line="500" w:lineRule="exact"/>
        <w:rPr>
          <w:rFonts w:hAnsi="黑体"/>
          <w:bCs/>
          <w:sz w:val="28"/>
          <w:szCs w:val="28"/>
        </w:rPr>
      </w:pPr>
      <w:r>
        <w:rPr>
          <w:rFonts w:hint="eastAsia" w:hAnsi="黑体"/>
          <w:bCs/>
          <w:sz w:val="28"/>
          <w:szCs w:val="28"/>
        </w:rPr>
        <w:t>第一部分</w:t>
      </w:r>
      <w:r>
        <w:rPr>
          <w:rFonts w:hint="eastAsia" w:hAnsi="黑体"/>
          <w:bCs/>
          <w:sz w:val="28"/>
          <w:szCs w:val="28"/>
          <w:lang w:val="en-US" w:eastAsia="zh-CN"/>
        </w:rPr>
        <w:t xml:space="preserve">  </w:t>
      </w:r>
      <w:r>
        <w:rPr>
          <w:rFonts w:hint="eastAsia" w:hAnsi="黑体"/>
          <w:bCs/>
          <w:sz w:val="28"/>
          <w:szCs w:val="28"/>
        </w:rPr>
        <w:t>中共湖南省委组织部概况</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7"/>
        <w:spacing w:line="500" w:lineRule="exact"/>
        <w:rPr>
          <w:rFonts w:hAnsi="黑体"/>
          <w:bCs/>
          <w:sz w:val="28"/>
          <w:szCs w:val="28"/>
        </w:rPr>
      </w:pPr>
      <w:r>
        <w:rPr>
          <w:rFonts w:hint="eastAsia" w:hAnsi="黑体"/>
          <w:bCs/>
          <w:sz w:val="28"/>
          <w:szCs w:val="28"/>
        </w:rPr>
        <w:t>第二部分</w:t>
      </w:r>
      <w:r>
        <w:rPr>
          <w:rFonts w:hint="eastAsia" w:hAnsi="黑体"/>
          <w:bCs/>
          <w:sz w:val="28"/>
          <w:szCs w:val="28"/>
          <w:lang w:val="en-US" w:eastAsia="zh-CN"/>
        </w:rPr>
        <w:t xml:space="preserve">  </w:t>
      </w:r>
      <w:r>
        <w:rPr>
          <w:rFonts w:hint="eastAsia" w:hAnsi="黑体"/>
          <w:bCs/>
          <w:sz w:val="28"/>
          <w:szCs w:val="28"/>
        </w:rPr>
        <w:t>部门决算表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7"/>
        <w:spacing w:line="500" w:lineRule="exact"/>
        <w:rPr>
          <w:rFonts w:hAnsi="黑体"/>
          <w:bCs/>
          <w:sz w:val="28"/>
          <w:szCs w:val="28"/>
        </w:rPr>
      </w:pPr>
      <w:r>
        <w:rPr>
          <w:rFonts w:hint="eastAsia" w:hAnsi="黑体"/>
          <w:bCs/>
          <w:sz w:val="28"/>
          <w:szCs w:val="28"/>
        </w:rPr>
        <w:t>第三部分</w:t>
      </w:r>
      <w:r>
        <w:rPr>
          <w:rFonts w:hint="eastAsia" w:hAnsi="黑体"/>
          <w:bCs/>
          <w:sz w:val="28"/>
          <w:szCs w:val="28"/>
          <w:lang w:val="en-US" w:eastAsia="zh-CN"/>
        </w:rPr>
        <w:t xml:space="preserve">  </w:t>
      </w:r>
      <w:r>
        <w:rPr>
          <w:rFonts w:hint="eastAsia" w:hAnsi="黑体"/>
          <w:bCs/>
          <w:sz w:val="28"/>
          <w:szCs w:val="28"/>
        </w:rPr>
        <w:t>部门决算情况说明</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pPr>
        <w:pStyle w:val="17"/>
        <w:spacing w:line="500" w:lineRule="exact"/>
        <w:rPr>
          <w:rFonts w:hint="eastAsia" w:hAnsi="黑体"/>
          <w:bCs/>
          <w:sz w:val="28"/>
          <w:szCs w:val="28"/>
        </w:rPr>
      </w:pPr>
      <w:r>
        <w:rPr>
          <w:rFonts w:hint="eastAsia" w:hAnsi="黑体"/>
          <w:bCs/>
          <w:sz w:val="28"/>
          <w:szCs w:val="28"/>
        </w:rPr>
        <w:t>第四部分</w:t>
      </w:r>
      <w:r>
        <w:rPr>
          <w:rFonts w:hint="eastAsia" w:hAnsi="黑体"/>
          <w:bCs/>
          <w:sz w:val="28"/>
          <w:szCs w:val="28"/>
          <w:lang w:val="en-US" w:eastAsia="zh-CN"/>
        </w:rPr>
        <w:t xml:space="preserve">  </w:t>
      </w:r>
      <w:r>
        <w:rPr>
          <w:rFonts w:hint="eastAsia" w:hAnsi="黑体"/>
          <w:bCs/>
          <w:sz w:val="28"/>
          <w:szCs w:val="28"/>
        </w:rPr>
        <w:t>名词解释</w:t>
      </w:r>
    </w:p>
    <w:p>
      <w:pPr>
        <w:pStyle w:val="17"/>
        <w:spacing w:line="500" w:lineRule="exact"/>
        <w:rPr>
          <w:rFonts w:hint="eastAsia" w:hAnsi="黑体" w:eastAsia="黑体"/>
          <w:bCs/>
          <w:sz w:val="28"/>
          <w:szCs w:val="28"/>
          <w:lang w:val="en-US" w:eastAsia="zh-CN"/>
        </w:rPr>
      </w:pPr>
      <w:r>
        <w:rPr>
          <w:rFonts w:hint="eastAsia" w:hAnsi="黑体"/>
          <w:bCs/>
          <w:sz w:val="28"/>
          <w:szCs w:val="28"/>
          <w:lang w:val="en-US" w:eastAsia="zh-CN"/>
        </w:rPr>
        <w:t>第五部分  附 件</w:t>
      </w:r>
    </w:p>
    <w:p>
      <w:pPr>
        <w:pStyle w:val="17"/>
        <w:spacing w:line="500" w:lineRule="exact"/>
        <w:rPr>
          <w:rFonts w:hAnsi="黑体"/>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ascii="方正小标宋_GBK" w:hAnsi="方正小标宋_GBK" w:eastAsia="方正小标宋_GBK" w:cs="方正小标宋_GBK"/>
          <w:sz w:val="72"/>
          <w:szCs w:val="72"/>
        </w:rPr>
      </w:pPr>
    </w:p>
    <w:p>
      <w:pPr>
        <w:pStyle w:val="12"/>
      </w:pPr>
    </w:p>
    <w:p>
      <w:pPr>
        <w:pStyle w:val="7"/>
        <w:ind w:firstLine="480"/>
      </w:pPr>
    </w:p>
    <w:p/>
    <w:p>
      <w:pPr>
        <w:pStyle w:val="12"/>
      </w:pPr>
    </w:p>
    <w:p>
      <w:pPr>
        <w:pStyle w:val="7"/>
        <w:ind w:firstLine="480"/>
      </w:pPr>
    </w:p>
    <w:p/>
    <w:p>
      <w:pPr>
        <w:pStyle w:val="12"/>
      </w:pPr>
    </w:p>
    <w:p>
      <w:pPr>
        <w:pStyle w:val="7"/>
        <w:ind w:firstLine="480"/>
      </w:pPr>
    </w:p>
    <w:p/>
    <w:p>
      <w:pPr>
        <w:pStyle w:val="12"/>
      </w:pPr>
    </w:p>
    <w:p>
      <w:pPr>
        <w:pStyle w:val="7"/>
        <w:ind w:firstLine="480"/>
      </w:pPr>
    </w:p>
    <w:p/>
    <w:p>
      <w:pPr>
        <w:pStyle w:val="12"/>
      </w:pPr>
    </w:p>
    <w:p>
      <w:pPr>
        <w:pStyle w:val="7"/>
        <w:ind w:firstLine="480"/>
      </w:pPr>
    </w:p>
    <w:p/>
    <w:p>
      <w:pPr>
        <w:pStyle w:val="12"/>
      </w:pPr>
    </w:p>
    <w:p>
      <w:pPr>
        <w:pStyle w:val="17"/>
        <w:jc w:val="center"/>
        <w:rPr>
          <w:rFonts w:ascii="方正小标宋_GBK" w:hAnsi="方正小标宋_GBK" w:eastAsia="方正小标宋_GBK" w:cs="方正小标宋_GBK"/>
          <w:sz w:val="84"/>
          <w:szCs w:val="84"/>
        </w:rPr>
      </w:pPr>
    </w:p>
    <w:p>
      <w:pPr>
        <w:pStyle w:val="17"/>
        <w:jc w:val="center"/>
        <w:rPr>
          <w:rFonts w:ascii="方正小标宋_GBK" w:hAnsi="方正小标宋_GBK" w:eastAsia="方正小标宋_GBK" w:cs="方正小标宋_GBK"/>
          <w:sz w:val="84"/>
          <w:szCs w:val="84"/>
        </w:rPr>
      </w:pPr>
    </w:p>
    <w:p>
      <w:pPr>
        <w:pStyle w:val="17"/>
        <w:jc w:val="center"/>
        <w:rPr>
          <w:rFonts w:ascii="方正小标宋简体" w:hAnsi="方正小标宋_GBK" w:eastAsia="方正小标宋简体" w:cs="方正小标宋_GBK"/>
          <w:sz w:val="72"/>
          <w:szCs w:val="72"/>
        </w:rPr>
      </w:pPr>
      <w:r>
        <w:rPr>
          <w:rFonts w:hint="eastAsia" w:ascii="方正小标宋简体" w:hAnsi="方正小标宋_GBK" w:eastAsia="方正小标宋简体" w:cs="方正小标宋_GBK"/>
          <w:sz w:val="72"/>
          <w:szCs w:val="72"/>
        </w:rPr>
        <w:t xml:space="preserve">第一部分 </w:t>
      </w:r>
    </w:p>
    <w:p>
      <w:pPr>
        <w:pStyle w:val="17"/>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中共湖南省委组织部概况</w:t>
      </w:r>
    </w:p>
    <w:p>
      <w:pPr>
        <w:jc w:val="center"/>
        <w:rPr>
          <w:rFonts w:ascii="方正小标宋_GBK" w:hAnsi="方正小标宋_GBK" w:eastAsia="方正小标宋_GBK" w:cs="方正小标宋_GBK"/>
          <w:sz w:val="72"/>
          <w:szCs w:val="72"/>
        </w:rPr>
      </w:pPr>
    </w:p>
    <w:p>
      <w:pPr>
        <w:jc w:val="center"/>
        <w:rPr>
          <w:rFonts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18"/>
        <w:ind w:left="720" w:firstLine="0" w:firstLineChars="0"/>
        <w:jc w:val="left"/>
        <w:rPr>
          <w:rFonts w:ascii="黑体" w:hAnsi="黑体" w:eastAsia="黑体" w:cs="黑体"/>
          <w:sz w:val="32"/>
          <w:szCs w:val="32"/>
        </w:rPr>
      </w:pPr>
    </w:p>
    <w:p>
      <w:pPr>
        <w:pStyle w:val="18"/>
        <w:ind w:left="720" w:firstLine="0" w:firstLineChars="0"/>
        <w:jc w:val="left"/>
        <w:rPr>
          <w:rFonts w:ascii="黑体" w:hAnsi="黑体" w:eastAsia="黑体" w:cs="黑体"/>
          <w:sz w:val="32"/>
          <w:szCs w:val="32"/>
        </w:rPr>
      </w:pPr>
    </w:p>
    <w:p>
      <w:pPr>
        <w:pStyle w:val="18"/>
        <w:ind w:left="720" w:firstLine="0" w:firstLineChars="0"/>
        <w:jc w:val="left"/>
        <w:rPr>
          <w:rFonts w:ascii="黑体" w:hAnsi="黑体" w:eastAsia="黑体" w:cs="黑体"/>
          <w:sz w:val="32"/>
          <w:szCs w:val="32"/>
        </w:rPr>
      </w:pPr>
    </w:p>
    <w:p>
      <w:pPr>
        <w:pStyle w:val="18"/>
        <w:numPr>
          <w:ilvl w:val="0"/>
          <w:numId w:val="1"/>
        </w:numPr>
        <w:spacing w:line="600" w:lineRule="exact"/>
        <w:ind w:firstLineChars="0"/>
        <w:jc w:val="left"/>
        <w:rPr>
          <w:rFonts w:ascii="黑体" w:hAnsi="黑体" w:eastAsia="黑体" w:cs="黑体"/>
          <w:sz w:val="32"/>
          <w:szCs w:val="32"/>
        </w:rPr>
      </w:pPr>
      <w:r>
        <w:rPr>
          <w:rFonts w:hint="eastAsia" w:ascii="黑体" w:hAnsi="黑体" w:eastAsia="黑体" w:cs="黑体"/>
          <w:sz w:val="32"/>
          <w:szCs w:val="32"/>
        </w:rPr>
        <w:t>部门职责</w:t>
      </w:r>
    </w:p>
    <w:p>
      <w:pPr>
        <w:widowControl/>
        <w:spacing w:line="600" w:lineRule="exact"/>
        <w:ind w:firstLine="640" w:firstLineChars="200"/>
        <w:rPr>
          <w:rFonts w:eastAsia="仿宋_GB2312"/>
          <w:sz w:val="32"/>
          <w:szCs w:val="32"/>
        </w:rPr>
      </w:pPr>
      <w:r>
        <w:rPr>
          <w:rFonts w:hint="eastAsia" w:eastAsia="仿宋_GB2312"/>
          <w:sz w:val="32"/>
          <w:szCs w:val="32"/>
        </w:rPr>
        <w:t>省委组织部是省委主管组织工作、干部工作、公务员工作和人才工作的综合职能部门。</w:t>
      </w:r>
    </w:p>
    <w:p>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widowControl/>
        <w:spacing w:line="600" w:lineRule="exact"/>
        <w:ind w:firstLine="640" w:firstLineChars="200"/>
        <w:rPr>
          <w:rFonts w:eastAsia="仿宋_GB2312"/>
          <w:sz w:val="32"/>
          <w:szCs w:val="32"/>
        </w:rPr>
      </w:pPr>
      <w:r>
        <w:rPr>
          <w:rFonts w:hint="eastAsia" w:ascii="楷体_GB2312" w:hAnsi="Times New Roman" w:eastAsia="楷体_GB2312" w:cs="仿宋_GB2312"/>
          <w:bCs/>
          <w:kern w:val="0"/>
          <w:sz w:val="32"/>
          <w:szCs w:val="32"/>
        </w:rPr>
        <w:t>（一）内设机构设置。</w:t>
      </w:r>
      <w:r>
        <w:rPr>
          <w:rFonts w:hint="eastAsia" w:eastAsia="仿宋_GB2312"/>
          <w:sz w:val="32"/>
          <w:szCs w:val="32"/>
          <w:lang w:eastAsia="zh-CN"/>
        </w:rPr>
        <w:t>省委组织部</w:t>
      </w:r>
      <w:r>
        <w:rPr>
          <w:rFonts w:hint="eastAsia" w:eastAsia="仿宋_GB2312"/>
          <w:sz w:val="32"/>
          <w:szCs w:val="32"/>
        </w:rPr>
        <w:t>共有内设职能处室</w:t>
      </w:r>
      <w:r>
        <w:rPr>
          <w:rFonts w:ascii="Times New Roman" w:hAnsi="Times New Roman" w:eastAsia="仿宋_GB2312" w:cs="Times New Roman"/>
          <w:sz w:val="32"/>
          <w:szCs w:val="32"/>
        </w:rPr>
        <w:t>20</w:t>
      </w:r>
      <w:r>
        <w:rPr>
          <w:rFonts w:hint="eastAsia" w:eastAsia="仿宋_GB2312"/>
          <w:sz w:val="32"/>
          <w:szCs w:val="32"/>
        </w:rPr>
        <w:t>个，下设省人才发展中心、党员教育中心（省委远教办）、党建研究所等</w:t>
      </w:r>
      <w:r>
        <w:rPr>
          <w:rFonts w:ascii="Times New Roman" w:hAnsi="Times New Roman" w:eastAsia="仿宋_GB2312" w:cs="Times New Roman"/>
          <w:sz w:val="32"/>
          <w:szCs w:val="32"/>
        </w:rPr>
        <w:t>3</w:t>
      </w:r>
      <w:r>
        <w:rPr>
          <w:rFonts w:hint="eastAsia" w:eastAsia="仿宋_GB2312"/>
          <w:sz w:val="32"/>
          <w:szCs w:val="32"/>
        </w:rPr>
        <w:t>个公益一类事业单位。</w:t>
      </w:r>
    </w:p>
    <w:p>
      <w:pPr>
        <w:widowControl/>
        <w:spacing w:line="600" w:lineRule="exact"/>
        <w:ind w:firstLine="640" w:firstLineChars="200"/>
        <w:jc w:val="left"/>
        <w:rPr>
          <w:rFonts w:ascii="Times New Roman" w:hAnsi="Times New Roman" w:eastAsia="仿宋_GB2312" w:cs="Times New Roman"/>
          <w:sz w:val="28"/>
          <w:szCs w:val="32"/>
        </w:rPr>
      </w:pPr>
      <w:r>
        <w:rPr>
          <w:rFonts w:hint="eastAsia" w:ascii="楷体_GB2312" w:hAnsi="Times New Roman" w:eastAsia="楷体_GB2312" w:cs="仿宋_GB2312"/>
          <w:bCs/>
          <w:kern w:val="0"/>
          <w:sz w:val="32"/>
          <w:szCs w:val="32"/>
        </w:rPr>
        <w:t>（二）决算单位构成。</w:t>
      </w:r>
      <w:r>
        <w:rPr>
          <w:rFonts w:ascii="Times New Roman" w:hAnsi="Times New Roman" w:eastAsia="仿宋_GB2312" w:cs="Times New Roman"/>
          <w:bCs/>
          <w:kern w:val="0"/>
          <w:sz w:val="32"/>
          <w:szCs w:val="32"/>
        </w:rPr>
        <w:t>省委组织部202</w:t>
      </w:r>
      <w:r>
        <w:rPr>
          <w:rFonts w:hint="eastAsia" w:ascii="Times New Roman" w:hAnsi="Times New Roman" w:eastAsia="仿宋_GB2312" w:cs="Times New Roman"/>
          <w:bCs/>
          <w:kern w:val="0"/>
          <w:sz w:val="32"/>
          <w:szCs w:val="32"/>
        </w:rPr>
        <w:t>3</w:t>
      </w:r>
      <w:r>
        <w:rPr>
          <w:rFonts w:ascii="Times New Roman" w:hAnsi="Times New Roman" w:eastAsia="仿宋_GB2312" w:cs="Times New Roman"/>
          <w:bCs/>
          <w:kern w:val="0"/>
          <w:sz w:val="32"/>
          <w:szCs w:val="32"/>
        </w:rPr>
        <w:t>年部门决算汇总公开单位构成包括：省委组织部本级。省委组织部为省直一级预算单位，无下属二级机构及其他。</w:t>
      </w:r>
    </w:p>
    <w:p>
      <w:pPr>
        <w:spacing w:line="600" w:lineRule="exact"/>
        <w:jc w:val="left"/>
        <w:rPr>
          <w:rFonts w:ascii="Times New Roman" w:hAnsi="Times New Roman" w:eastAsia="黑体" w:cs="Times New Roman"/>
          <w:sz w:val="28"/>
          <w:szCs w:val="28"/>
        </w:rPr>
      </w:pPr>
    </w:p>
    <w:p>
      <w:pPr>
        <w:widowControl/>
        <w:spacing w:line="600" w:lineRule="exac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pStyle w:val="17"/>
        <w:jc w:val="center"/>
        <w:rPr>
          <w:rFonts w:ascii="方正小标宋简体" w:hAnsi="方正小标宋_GBK" w:eastAsia="方正小标宋简体" w:cs="方正小标宋_GBK"/>
          <w:sz w:val="72"/>
          <w:szCs w:val="72"/>
        </w:rPr>
      </w:pPr>
      <w:r>
        <w:rPr>
          <w:rFonts w:hint="eastAsia" w:ascii="方正小标宋简体" w:hAnsi="方正小标宋_GBK" w:eastAsia="方正小标宋简体" w:cs="方正小标宋_GBK"/>
          <w:sz w:val="72"/>
          <w:szCs w:val="72"/>
        </w:rPr>
        <w:t>第二部分</w:t>
      </w:r>
    </w:p>
    <w:p>
      <w:pPr>
        <w:pStyle w:val="17"/>
        <w:jc w:val="center"/>
        <w:rPr>
          <w:rFonts w:ascii="方正小标宋简体" w:hAnsi="方正小标宋_GBK" w:eastAsia="方正小标宋简体" w:cs="方正小标宋_GBK"/>
          <w:sz w:val="72"/>
          <w:szCs w:val="72"/>
        </w:rPr>
      </w:pPr>
      <w:r>
        <w:rPr>
          <w:rFonts w:hint="eastAsia" w:ascii="方正小标宋简体" w:hAnsi="方正小标宋_GBK" w:eastAsia="方正小标宋简体" w:cs="方正小标宋_GBK"/>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宋体" w:hAnsi="宋体"/>
          <w:sz w:val="32"/>
          <w:szCs w:val="32"/>
        </w:rPr>
        <w:sectPr>
          <w:footerReference r:id="rId4" w:type="default"/>
          <w:pgSz w:w="11906" w:h="16838"/>
          <w:pgMar w:top="1701" w:right="1701" w:bottom="1701" w:left="1701" w:header="851" w:footer="992" w:gutter="0"/>
          <w:cols w:space="720" w:num="1"/>
          <w:docGrid w:type="lines" w:linePitch="312" w:charSpace="0"/>
        </w:sectPr>
      </w:pPr>
    </w:p>
    <w:tbl>
      <w:tblPr>
        <w:tblStyle w:val="15"/>
        <w:tblW w:w="15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15280" w:type="dxa"/>
            <w:tcBorders>
              <w:top w:val="nil"/>
              <w:left w:val="nil"/>
              <w:bottom w:val="nil"/>
              <w:right w:val="nil"/>
            </w:tcBorders>
            <w:tcMar>
              <w:top w:w="15" w:type="dxa"/>
              <w:left w:w="15" w:type="dxa"/>
              <w:bottom w:w="0" w:type="dxa"/>
              <w:right w:w="15" w:type="dxa"/>
            </w:tcMar>
            <w:vAlign w:val="center"/>
          </w:tcPr>
          <w:tbl>
            <w:tblPr>
              <w:tblStyle w:val="15"/>
              <w:tblW w:w="15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6"/>
              <w:gridCol w:w="412"/>
              <w:gridCol w:w="413"/>
              <w:gridCol w:w="2552"/>
              <w:gridCol w:w="713"/>
              <w:gridCol w:w="242"/>
              <w:gridCol w:w="1187"/>
              <w:gridCol w:w="182"/>
              <w:gridCol w:w="1328"/>
              <w:gridCol w:w="1081"/>
              <w:gridCol w:w="886"/>
              <w:gridCol w:w="886"/>
              <w:gridCol w:w="266"/>
              <w:gridCol w:w="680"/>
              <w:gridCol w:w="412"/>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5250" w:type="dxa"/>
                  <w:gridSpan w:val="16"/>
                  <w:tcBorders>
                    <w:top w:val="nil"/>
                    <w:left w:val="nil"/>
                    <w:bottom w:val="nil"/>
                    <w:right w:val="nil"/>
                  </w:tcBorders>
                  <w:vAlign w:val="center"/>
                </w:tcPr>
                <w:p>
                  <w:pPr>
                    <w:widowControl/>
                    <w:spacing w:line="260" w:lineRule="exact"/>
                    <w:jc w:val="center"/>
                    <w:rPr>
                      <w:rFonts w:ascii="黑体" w:hAnsi="黑体" w:eastAsia="黑体" w:cs="宋体"/>
                      <w:kern w:val="0"/>
                      <w:sz w:val="24"/>
                      <w:szCs w:val="24"/>
                    </w:rPr>
                  </w:pPr>
                  <w:r>
                    <w:rPr>
                      <w:rFonts w:hint="eastAsia" w:ascii="黑体" w:hAnsi="黑体" w:eastAsia="黑体" w:cs="宋体"/>
                      <w:kern w:val="0"/>
                      <w:sz w:val="24"/>
                      <w:szCs w:val="24"/>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43" w:type="dxa"/>
                  <w:gridSpan w:val="4"/>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713" w:type="dxa"/>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1429" w:type="dxa"/>
                  <w:gridSpan w:val="2"/>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4629" w:type="dxa"/>
                  <w:gridSpan w:val="6"/>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680" w:type="dxa"/>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1956" w:type="dxa"/>
                  <w:gridSpan w:val="2"/>
                  <w:tcBorders>
                    <w:top w:val="nil"/>
                    <w:left w:val="nil"/>
                    <w:bottom w:val="nil"/>
                    <w:right w:val="nil"/>
                  </w:tcBorders>
                  <w:vAlign w:val="bottom"/>
                </w:tcPr>
                <w:p>
                  <w:pPr>
                    <w:widowControl/>
                    <w:spacing w:line="20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43" w:type="dxa"/>
                  <w:gridSpan w:val="4"/>
                  <w:tcBorders>
                    <w:top w:val="nil"/>
                    <w:left w:val="nil"/>
                    <w:bottom w:val="nil"/>
                    <w:right w:val="nil"/>
                  </w:tcBorders>
                  <w:vAlign w:val="bottom"/>
                </w:tcPr>
                <w:p>
                  <w:pPr>
                    <w:widowControl/>
                    <w:spacing w:line="200" w:lineRule="exact"/>
                    <w:jc w:val="left"/>
                    <w:rPr>
                      <w:rFonts w:ascii="宋体" w:hAnsi="宋体" w:eastAsia="宋体" w:cs="宋体"/>
                      <w:kern w:val="0"/>
                      <w:sz w:val="18"/>
                      <w:szCs w:val="18"/>
                    </w:rPr>
                  </w:pPr>
                  <w:r>
                    <w:rPr>
                      <w:rFonts w:hint="eastAsia" w:ascii="宋体" w:hAnsi="宋体" w:eastAsia="宋体" w:cs="宋体"/>
                      <w:kern w:val="0"/>
                      <w:sz w:val="18"/>
                      <w:szCs w:val="18"/>
                    </w:rPr>
                    <w:t>部门：中共湖南省委组织部</w:t>
                  </w:r>
                </w:p>
              </w:tc>
              <w:tc>
                <w:tcPr>
                  <w:tcW w:w="713" w:type="dxa"/>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1429" w:type="dxa"/>
                  <w:gridSpan w:val="2"/>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4629" w:type="dxa"/>
                  <w:gridSpan w:val="6"/>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680" w:type="dxa"/>
                  <w:tcBorders>
                    <w:top w:val="nil"/>
                    <w:left w:val="nil"/>
                    <w:bottom w:val="nil"/>
                    <w:right w:val="nil"/>
                  </w:tcBorders>
                  <w:vAlign w:val="center"/>
                </w:tcPr>
                <w:p>
                  <w:pPr>
                    <w:widowControl/>
                    <w:spacing w:line="200" w:lineRule="exact"/>
                    <w:jc w:val="left"/>
                    <w:rPr>
                      <w:rFonts w:ascii="宋体" w:hAnsi="宋体" w:eastAsia="宋体" w:cs="宋体"/>
                      <w:color w:val="000000"/>
                      <w:kern w:val="0"/>
                      <w:sz w:val="18"/>
                      <w:szCs w:val="18"/>
                    </w:rPr>
                  </w:pPr>
                </w:p>
              </w:tc>
              <w:tc>
                <w:tcPr>
                  <w:tcW w:w="1956" w:type="dxa"/>
                  <w:gridSpan w:val="2"/>
                  <w:tcBorders>
                    <w:top w:val="nil"/>
                    <w:left w:val="nil"/>
                    <w:bottom w:val="nil"/>
                    <w:right w:val="nil"/>
                  </w:tcBorders>
                  <w:vAlign w:val="bottom"/>
                </w:tcPr>
                <w:p>
                  <w:pPr>
                    <w:widowControl/>
                    <w:spacing w:line="20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79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收入</w:t>
                  </w:r>
                </w:p>
              </w:tc>
              <w:tc>
                <w:tcPr>
                  <w:tcW w:w="7265"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142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金额</w:t>
                  </w:r>
                </w:p>
              </w:tc>
              <w:tc>
                <w:tcPr>
                  <w:tcW w:w="4629" w:type="dxa"/>
                  <w:gridSpan w:val="6"/>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195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629" w:type="dxa"/>
                  <w:gridSpan w:val="6"/>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56"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一、一般公共预算财政拨款收入</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10,877.46</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7,720.07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二、政府性基金预算财政拨款收入</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三、国有资本经营预算财政拨款收入</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四、上级补助收入</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五、事业收入</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六、经营收入</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七、附属单位上缴收入</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七、文化旅游体育与传媒支出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八、其他收入</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708.82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九、卫生健康支出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658.11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十、节能环保支出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十一、城乡社区支出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十二、农林水支出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十三、交通运输支出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十四、资源勘探工业信息等支出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十五、商业服务业等支出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十六、金融支出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十七、援助其他地区支出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十八、自然资源海洋气象等支出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十九、住房保障支出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442.29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二十、粮油物资储备支出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二十一、国有资本经营预算支出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二十二、灾害防治及应急管理支出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二十三、其他支出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二十四、债务还本支出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二十五、债务付息支出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二十六、抗疫特别国债安排的支出</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本年收入合计</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10,877.46</w:t>
                  </w:r>
                </w:p>
              </w:tc>
              <w:tc>
                <w:tcPr>
                  <w:tcW w:w="4629" w:type="dxa"/>
                  <w:gridSpan w:val="6"/>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本年支出合计</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9,568.91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使用非财政拨款结余和专用结余</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结余分配</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年初结转和结余</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559.82</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年末结转和结余</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1,868.36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29"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1956"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exact"/>
              </w:trPr>
              <w:tc>
                <w:tcPr>
                  <w:tcW w:w="5843"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71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42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11,437.27</w:t>
                  </w:r>
                </w:p>
              </w:tc>
              <w:tc>
                <w:tcPr>
                  <w:tcW w:w="4629" w:type="dxa"/>
                  <w:gridSpan w:val="6"/>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6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1956"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11,437.27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250" w:type="dxa"/>
                  <w:gridSpan w:val="16"/>
                  <w:tcBorders>
                    <w:top w:val="nil"/>
                    <w:left w:val="nil"/>
                    <w:bottom w:val="nil"/>
                    <w:right w:val="nil"/>
                  </w:tcBorders>
                  <w:vAlign w:val="center"/>
                </w:tcPr>
                <w:p>
                  <w:pPr>
                    <w:widowControl/>
                    <w:spacing w:line="1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250" w:type="dxa"/>
                  <w:gridSpan w:val="16"/>
                  <w:tcBorders>
                    <w:top w:val="nil"/>
                    <w:left w:val="nil"/>
                    <w:bottom w:val="nil"/>
                    <w:right w:val="nil"/>
                  </w:tcBorders>
                  <w:vAlign w:val="center"/>
                </w:tcPr>
                <w:p>
                  <w:pPr>
                    <w:widowControl/>
                    <w:spacing w:line="1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5250" w:type="dxa"/>
                  <w:gridSpan w:val="16"/>
                  <w:tcBorders>
                    <w:top w:val="nil"/>
                    <w:left w:val="nil"/>
                    <w:bottom w:val="nil"/>
                    <w:right w:val="nil"/>
                  </w:tcBorders>
                  <w:vAlign w:val="center"/>
                </w:tcPr>
                <w:p>
                  <w:pPr>
                    <w:widowControl/>
                    <w:jc w:val="center"/>
                    <w:rPr>
                      <w:rFonts w:ascii="黑体" w:hAnsi="黑体" w:eastAsia="黑体" w:cs="宋体"/>
                      <w:kern w:val="0"/>
                      <w:sz w:val="20"/>
                      <w:szCs w:val="20"/>
                    </w:rPr>
                  </w:pPr>
                  <w:r>
                    <w:rPr>
                      <w:rFonts w:hint="eastAsia" w:ascii="黑体" w:hAnsi="黑体" w:eastAsia="黑体" w:cs="宋体"/>
                      <w:kern w:val="0"/>
                      <w:sz w:val="24"/>
                      <w:szCs w:val="24"/>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466"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412"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413"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3507" w:type="dxa"/>
                  <w:gridSpan w:val="3"/>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369" w:type="dxa"/>
                  <w:gridSpan w:val="2"/>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328"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081"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886"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886"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358" w:type="dxa"/>
                  <w:gridSpan w:val="3"/>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544" w:type="dxa"/>
                  <w:tcBorders>
                    <w:top w:val="nil"/>
                    <w:left w:val="nil"/>
                    <w:bottom w:val="nil"/>
                    <w:right w:val="nil"/>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798" w:type="dxa"/>
                  <w:gridSpan w:val="6"/>
                  <w:tcBorders>
                    <w:top w:val="nil"/>
                    <w:left w:val="nil"/>
                    <w:bottom w:val="nil"/>
                    <w:right w:val="nil"/>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部门：中共湖南省委组织部</w:t>
                  </w:r>
                </w:p>
              </w:tc>
              <w:tc>
                <w:tcPr>
                  <w:tcW w:w="1369" w:type="dxa"/>
                  <w:gridSpan w:val="2"/>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328"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081"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886"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886"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358" w:type="dxa"/>
                  <w:gridSpan w:val="3"/>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544" w:type="dxa"/>
                  <w:tcBorders>
                    <w:top w:val="nil"/>
                    <w:left w:val="nil"/>
                    <w:bottom w:val="nil"/>
                    <w:right w:val="nil"/>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79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136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本年收入合计</w:t>
                  </w:r>
                </w:p>
              </w:tc>
              <w:tc>
                <w:tcPr>
                  <w:tcW w:w="13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财政拨款收入</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上级补助收入</w:t>
                  </w:r>
                </w:p>
              </w:tc>
              <w:tc>
                <w:tcPr>
                  <w:tcW w:w="8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事业收入</w:t>
                  </w:r>
                </w:p>
              </w:tc>
              <w:tc>
                <w:tcPr>
                  <w:tcW w:w="8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经营收入</w:t>
                  </w:r>
                </w:p>
              </w:tc>
              <w:tc>
                <w:tcPr>
                  <w:tcW w:w="135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附属单位上缴收入</w:t>
                  </w:r>
                </w:p>
              </w:tc>
              <w:tc>
                <w:tcPr>
                  <w:tcW w:w="1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329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科目代码</w:t>
                  </w:r>
                </w:p>
              </w:tc>
              <w:tc>
                <w:tcPr>
                  <w:tcW w:w="3507"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科目名称</w:t>
                  </w:r>
                </w:p>
              </w:tc>
              <w:tc>
                <w:tcPr>
                  <w:tcW w:w="13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3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35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32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50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3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3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35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32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50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3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3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35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79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栏次</w:t>
                  </w:r>
                </w:p>
              </w:tc>
              <w:tc>
                <w:tcPr>
                  <w:tcW w:w="136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328"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8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358"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54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79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10,877.46</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10,877.46</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一般公共服务支出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8,603.16</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8,603.16</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20132</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组织事务</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8,603.16</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8,603.16</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2013201</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4,599.73</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4,599.73</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2013202</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一般行政管理事务</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4,003.44</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4,003.44</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205</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教育支出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461.00</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461.00</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20508</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进修及培训</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461.00</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461.00</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2050803</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培训支出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461.00</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461.00</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社会保障和就业支出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708.82</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708.82</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行政事业单位养老支出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698.21</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698.21</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2080501</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行政单位离退休</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245.00</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245.00</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机关事业单位基本养老保险缴费支出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453.21</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453.21</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20808</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抚恤</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2080899</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其他优抚支出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662.18</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662.18</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21011</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行政事业单位医疗</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662.18</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662.18</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2101101</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行政单位医疗</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388.74</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388.74</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2101103</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公务员医疗补助</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273.44</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273.44</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住房保障支出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442.29</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442.29</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住房改革支出</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442.29</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442.29</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440.00</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440.00</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2210203</w:t>
                  </w:r>
                </w:p>
              </w:tc>
              <w:tc>
                <w:tcPr>
                  <w:tcW w:w="3507"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购房补贴</w:t>
                  </w:r>
                </w:p>
              </w:tc>
              <w:tc>
                <w:tcPr>
                  <w:tcW w:w="1369"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2.29</w:t>
                  </w:r>
                </w:p>
              </w:tc>
              <w:tc>
                <w:tcPr>
                  <w:tcW w:w="1328"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2.29</w:t>
                  </w:r>
                </w:p>
              </w:tc>
              <w:tc>
                <w:tcPr>
                  <w:tcW w:w="1081"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886"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358"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44"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250" w:type="dxa"/>
                  <w:gridSpan w:val="16"/>
                  <w:tcBorders>
                    <w:top w:val="nil"/>
                    <w:left w:val="nil"/>
                    <w:bottom w:val="nil"/>
                    <w:right w:val="nil"/>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注：本表反映部门本年度取得的各项收入情况。</w:t>
                  </w:r>
                </w:p>
                <w:tbl>
                  <w:tblPr>
                    <w:tblStyle w:val="15"/>
                    <w:tblW w:w="150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
                    <w:gridCol w:w="305"/>
                    <w:gridCol w:w="431"/>
                    <w:gridCol w:w="640"/>
                    <w:gridCol w:w="382"/>
                    <w:gridCol w:w="131"/>
                    <w:gridCol w:w="1216"/>
                    <w:gridCol w:w="986"/>
                    <w:gridCol w:w="427"/>
                    <w:gridCol w:w="22"/>
                    <w:gridCol w:w="1652"/>
                    <w:gridCol w:w="927"/>
                    <w:gridCol w:w="486"/>
                    <w:gridCol w:w="99"/>
                    <w:gridCol w:w="850"/>
                    <w:gridCol w:w="743"/>
                    <w:gridCol w:w="722"/>
                    <w:gridCol w:w="718"/>
                    <w:gridCol w:w="717"/>
                    <w:gridCol w:w="341"/>
                    <w:gridCol w:w="955"/>
                    <w:gridCol w:w="490"/>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5034" w:type="dxa"/>
                        <w:gridSpan w:val="23"/>
                        <w:tcBorders>
                          <w:top w:val="nil"/>
                          <w:left w:val="nil"/>
                          <w:bottom w:val="nil"/>
                          <w:right w:val="nil"/>
                        </w:tcBorders>
                        <w:vAlign w:val="center"/>
                      </w:tcPr>
                      <w:p>
                        <w:pPr>
                          <w:widowControl/>
                          <w:jc w:val="center"/>
                          <w:rPr>
                            <w:rFonts w:hint="eastAsia" w:ascii="黑体" w:hAnsi="黑体" w:eastAsia="黑体" w:cs="宋体"/>
                            <w:kern w:val="0"/>
                            <w:sz w:val="24"/>
                            <w:szCs w:val="24"/>
                          </w:rPr>
                        </w:pPr>
                      </w:p>
                      <w:p>
                        <w:pPr>
                          <w:widowControl/>
                          <w:jc w:val="center"/>
                          <w:rPr>
                            <w:rFonts w:ascii="黑体" w:hAnsi="黑体" w:eastAsia="黑体" w:cs="宋体"/>
                            <w:kern w:val="0"/>
                            <w:sz w:val="20"/>
                            <w:szCs w:val="20"/>
                          </w:rPr>
                        </w:pPr>
                        <w:r>
                          <w:rPr>
                            <w:rFonts w:hint="eastAsia" w:ascii="黑体" w:hAnsi="黑体" w:eastAsia="黑体" w:cs="宋体"/>
                            <w:kern w:val="0"/>
                            <w:sz w:val="24"/>
                            <w:szCs w:val="24"/>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24" w:type="dxa"/>
                        <w:gridSpan w:val="2"/>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431" w:type="dxa"/>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640" w:type="dxa"/>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3164" w:type="dxa"/>
                        <w:gridSpan w:val="6"/>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652" w:type="dxa"/>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512" w:type="dxa"/>
                        <w:gridSpan w:val="3"/>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593" w:type="dxa"/>
                        <w:gridSpan w:val="2"/>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440" w:type="dxa"/>
                        <w:gridSpan w:val="2"/>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058" w:type="dxa"/>
                        <w:gridSpan w:val="2"/>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3120" w:type="dxa"/>
                        <w:gridSpan w:val="3"/>
                        <w:tcBorders>
                          <w:top w:val="nil"/>
                          <w:left w:val="nil"/>
                          <w:bottom w:val="nil"/>
                          <w:right w:val="nil"/>
                        </w:tcBorders>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59" w:type="dxa"/>
                        <w:gridSpan w:val="10"/>
                        <w:tcBorders>
                          <w:top w:val="nil"/>
                          <w:left w:val="nil"/>
                          <w:bottom w:val="nil"/>
                          <w:right w:val="nil"/>
                        </w:tcBorders>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部门：中共湖南省委组织部</w:t>
                        </w:r>
                      </w:p>
                    </w:tc>
                    <w:tc>
                      <w:tcPr>
                        <w:tcW w:w="1652" w:type="dxa"/>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512" w:type="dxa"/>
                        <w:gridSpan w:val="3"/>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593" w:type="dxa"/>
                        <w:gridSpan w:val="2"/>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440" w:type="dxa"/>
                        <w:gridSpan w:val="2"/>
                        <w:tcBorders>
                          <w:top w:val="nil"/>
                          <w:left w:val="nil"/>
                          <w:bottom w:val="nil"/>
                          <w:right w:val="nil"/>
                        </w:tcBorders>
                        <w:vAlign w:val="center"/>
                      </w:tcPr>
                      <w:p>
                        <w:pPr>
                          <w:widowControl/>
                          <w:jc w:val="left"/>
                          <w:rPr>
                            <w:rFonts w:ascii="宋体" w:hAnsi="宋体" w:eastAsia="宋体" w:cs="宋体"/>
                            <w:color w:val="000000"/>
                            <w:kern w:val="0"/>
                            <w:sz w:val="20"/>
                            <w:szCs w:val="20"/>
                          </w:rPr>
                        </w:pPr>
                      </w:p>
                    </w:tc>
                    <w:tc>
                      <w:tcPr>
                        <w:tcW w:w="1058" w:type="dxa"/>
                        <w:gridSpan w:val="2"/>
                        <w:tcBorders>
                          <w:top w:val="nil"/>
                          <w:left w:val="nil"/>
                          <w:bottom w:val="nil"/>
                          <w:right w:val="nil"/>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120" w:type="dxa"/>
                        <w:gridSpan w:val="3"/>
                        <w:tcBorders>
                          <w:top w:val="nil"/>
                          <w:left w:val="nil"/>
                          <w:bottom w:val="nil"/>
                          <w:right w:val="nil"/>
                        </w:tcBorders>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659"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16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本年支出合计</w:t>
                        </w:r>
                      </w:p>
                    </w:tc>
                    <w:tc>
                      <w:tcPr>
                        <w:tcW w:w="151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基本支出</w:t>
                        </w:r>
                      </w:p>
                    </w:tc>
                    <w:tc>
                      <w:tcPr>
                        <w:tcW w:w="159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项目支出</w:t>
                        </w: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上缴上级支出</w:t>
                        </w:r>
                      </w:p>
                    </w:tc>
                    <w:tc>
                      <w:tcPr>
                        <w:tcW w:w="105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经营支出</w:t>
                        </w:r>
                      </w:p>
                    </w:tc>
                    <w:tc>
                      <w:tcPr>
                        <w:tcW w:w="312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49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科目代码</w:t>
                        </w:r>
                      </w:p>
                    </w:tc>
                    <w:tc>
                      <w:tcPr>
                        <w:tcW w:w="3164" w:type="dxa"/>
                        <w:gridSpan w:val="6"/>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科目名称</w:t>
                        </w:r>
                      </w:p>
                    </w:tc>
                    <w:tc>
                      <w:tcPr>
                        <w:tcW w:w="1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1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0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1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49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164"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1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0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1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49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164"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1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5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0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1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659"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栏次</w:t>
                        </w:r>
                      </w:p>
                    </w:tc>
                    <w:tc>
                      <w:tcPr>
                        <w:tcW w:w="165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512"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593"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440"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058"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120"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659"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9,568.91</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6,237.39</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3,331.52</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一般公共服务支出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7,720.07</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4,438.78</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3,281.30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20132</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组织事务</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7,720.07</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4,438.78</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3,281.30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2013201</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4,438.78</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4,438.78</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2013202</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一般行政管理事务</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3,281.30</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3,281.30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205</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教育支出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39.61</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39.61</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20508</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进修及培训</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39.61</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39.61</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2050803</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培训支出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39.61</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39.61</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社会保障和就业支出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708.82</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698.21</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行政事业单位养老支出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698.21</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698.21</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2080501</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行政单位离退休</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245.00</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245.00</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机关事业单位基本养老保险缴费支出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453.21</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453.21</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20808</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抚恤</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2080899</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其他优抚支出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658.11</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658.11</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21011</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行政事业单位医疗</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658.11</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658.11</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2101101</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行政单位医疗</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384.67</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384.67</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2101103</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公务员医疗补助</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273.44</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273.44</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住房保障支出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442.29</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442.29</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住房改革支出</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442.29</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442.29</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440.00</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440.00</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9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2210203</w:t>
                        </w:r>
                      </w:p>
                    </w:tc>
                    <w:tc>
                      <w:tcPr>
                        <w:tcW w:w="316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购房补贴</w:t>
                        </w:r>
                      </w:p>
                    </w:tc>
                    <w:tc>
                      <w:tcPr>
                        <w:tcW w:w="1652"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2.29</w:t>
                        </w:r>
                      </w:p>
                    </w:tc>
                    <w:tc>
                      <w:tcPr>
                        <w:tcW w:w="1512"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2.29</w:t>
                        </w:r>
                      </w:p>
                    </w:tc>
                    <w:tc>
                      <w:tcPr>
                        <w:tcW w:w="159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440"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058"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3120"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034" w:type="dxa"/>
                        <w:gridSpan w:val="23"/>
                        <w:tcBorders>
                          <w:top w:val="nil"/>
                          <w:left w:val="nil"/>
                          <w:bottom w:val="nil"/>
                          <w:right w:val="nil"/>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390" w:hRule="atLeast"/>
                    </w:trPr>
                    <w:tc>
                      <w:tcPr>
                        <w:tcW w:w="14915" w:type="dxa"/>
                        <w:gridSpan w:val="22"/>
                        <w:tcBorders>
                          <w:top w:val="nil"/>
                          <w:left w:val="nil"/>
                          <w:bottom w:val="nil"/>
                          <w:right w:val="nil"/>
                        </w:tcBorders>
                        <w:vAlign w:val="center"/>
                      </w:tcPr>
                      <w:p>
                        <w:pPr>
                          <w:widowControl/>
                          <w:spacing w:line="240" w:lineRule="exact"/>
                          <w:jc w:val="center"/>
                          <w:rPr>
                            <w:rFonts w:ascii="黑体" w:hAnsi="黑体" w:eastAsia="黑体" w:cs="宋体"/>
                            <w:kern w:val="0"/>
                            <w:sz w:val="20"/>
                            <w:szCs w:val="20"/>
                          </w:rPr>
                        </w:pPr>
                        <w:r>
                          <w:rPr>
                            <w:rFonts w:hint="eastAsia" w:ascii="黑体" w:hAnsi="黑体" w:eastAsia="黑体" w:cs="宋体"/>
                            <w:kern w:val="0"/>
                            <w:sz w:val="24"/>
                            <w:szCs w:val="24"/>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758" w:type="dxa"/>
                        <w:gridSpan w:val="4"/>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2333" w:type="dxa"/>
                        <w:gridSpan w:val="3"/>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427" w:type="dxa"/>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2601" w:type="dxa"/>
                        <w:gridSpan w:val="3"/>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435" w:type="dxa"/>
                        <w:gridSpan w:val="3"/>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465" w:type="dxa"/>
                        <w:gridSpan w:val="2"/>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435" w:type="dxa"/>
                        <w:gridSpan w:val="2"/>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1296" w:type="dxa"/>
                        <w:gridSpan w:val="2"/>
                        <w:tcBorders>
                          <w:top w:val="nil"/>
                          <w:left w:val="nil"/>
                          <w:bottom w:val="nil"/>
                          <w:right w:val="nil"/>
                        </w:tcBorders>
                        <w:vAlign w:val="center"/>
                      </w:tcPr>
                      <w:p>
                        <w:pPr>
                          <w:widowControl/>
                          <w:jc w:val="left"/>
                          <w:rPr>
                            <w:rFonts w:ascii="宋体" w:hAnsi="宋体" w:eastAsia="宋体" w:cs="宋体"/>
                            <w:color w:val="000000"/>
                            <w:kern w:val="0"/>
                            <w:sz w:val="18"/>
                            <w:szCs w:val="18"/>
                          </w:rPr>
                        </w:pPr>
                      </w:p>
                    </w:tc>
                    <w:tc>
                      <w:tcPr>
                        <w:tcW w:w="2165" w:type="dxa"/>
                        <w:gridSpan w:val="2"/>
                        <w:tcBorders>
                          <w:top w:val="nil"/>
                          <w:left w:val="nil"/>
                          <w:bottom w:val="nil"/>
                          <w:right w:val="nil"/>
                        </w:tcBorders>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4091" w:type="dxa"/>
                        <w:gridSpan w:val="7"/>
                        <w:tcBorders>
                          <w:top w:val="nil"/>
                          <w:left w:val="nil"/>
                          <w:bottom w:val="nil"/>
                          <w:right w:val="nil"/>
                        </w:tcBorders>
                        <w:vAlign w:val="top"/>
                      </w:tcPr>
                      <w:p>
                        <w:pPr>
                          <w:rPr>
                            <w:rFonts w:ascii="Calibri" w:hAnsi="Calibri" w:eastAsia="宋体" w:cs="Times New Roman"/>
                            <w:color w:val="000000"/>
                            <w:kern w:val="0"/>
                            <w:sz w:val="18"/>
                            <w:szCs w:val="18"/>
                          </w:rPr>
                        </w:pPr>
                        <w:r>
                          <w:rPr>
                            <w:rFonts w:hint="eastAsia" w:ascii="宋体" w:hAnsi="宋体" w:eastAsia="宋体" w:cs="宋体"/>
                            <w:kern w:val="0"/>
                            <w:sz w:val="20"/>
                            <w:szCs w:val="20"/>
                          </w:rPr>
                          <w:t>部门：中共湖南省委组织部</w:t>
                        </w:r>
                      </w:p>
                    </w:tc>
                    <w:tc>
                      <w:tcPr>
                        <w:tcW w:w="427" w:type="dxa"/>
                        <w:tcBorders>
                          <w:top w:val="nil"/>
                          <w:left w:val="nil"/>
                          <w:bottom w:val="nil"/>
                          <w:right w:val="nil"/>
                        </w:tcBorders>
                        <w:vAlign w:val="center"/>
                      </w:tcPr>
                      <w:p>
                        <w:pPr>
                          <w:rPr>
                            <w:rFonts w:ascii="Calibri" w:hAnsi="Calibri" w:eastAsia="宋体" w:cs="Times New Roman"/>
                            <w:color w:val="000000"/>
                            <w:kern w:val="0"/>
                            <w:sz w:val="18"/>
                            <w:szCs w:val="18"/>
                          </w:rPr>
                        </w:pPr>
                      </w:p>
                    </w:tc>
                    <w:tc>
                      <w:tcPr>
                        <w:tcW w:w="2601" w:type="dxa"/>
                        <w:gridSpan w:val="3"/>
                        <w:tcBorders>
                          <w:top w:val="nil"/>
                          <w:left w:val="nil"/>
                          <w:bottom w:val="nil"/>
                          <w:right w:val="nil"/>
                        </w:tcBorders>
                        <w:vAlign w:val="center"/>
                      </w:tcPr>
                      <w:p>
                        <w:pPr>
                          <w:rPr>
                            <w:rFonts w:ascii="Calibri" w:hAnsi="Calibri" w:eastAsia="宋体" w:cs="Times New Roman"/>
                            <w:color w:val="000000"/>
                            <w:kern w:val="0"/>
                            <w:sz w:val="18"/>
                            <w:szCs w:val="18"/>
                          </w:rPr>
                        </w:pPr>
                      </w:p>
                    </w:tc>
                    <w:tc>
                      <w:tcPr>
                        <w:tcW w:w="1435" w:type="dxa"/>
                        <w:gridSpan w:val="3"/>
                        <w:tcBorders>
                          <w:top w:val="nil"/>
                          <w:left w:val="nil"/>
                          <w:bottom w:val="nil"/>
                          <w:right w:val="nil"/>
                        </w:tcBorders>
                        <w:vAlign w:val="center"/>
                      </w:tcPr>
                      <w:p>
                        <w:pPr>
                          <w:rPr>
                            <w:rFonts w:ascii="Calibri" w:hAnsi="Calibri" w:eastAsia="宋体" w:cs="Times New Roman"/>
                            <w:color w:val="000000"/>
                            <w:kern w:val="0"/>
                            <w:sz w:val="18"/>
                            <w:szCs w:val="18"/>
                          </w:rPr>
                        </w:pPr>
                      </w:p>
                    </w:tc>
                    <w:tc>
                      <w:tcPr>
                        <w:tcW w:w="1465" w:type="dxa"/>
                        <w:gridSpan w:val="2"/>
                        <w:tcBorders>
                          <w:top w:val="nil"/>
                          <w:left w:val="nil"/>
                          <w:bottom w:val="nil"/>
                          <w:right w:val="nil"/>
                        </w:tcBorders>
                        <w:vAlign w:val="center"/>
                      </w:tcPr>
                      <w:p>
                        <w:pPr>
                          <w:rPr>
                            <w:rFonts w:ascii="Calibri" w:hAnsi="Calibri" w:eastAsia="宋体" w:cs="Times New Roman"/>
                            <w:color w:val="000000"/>
                            <w:kern w:val="0"/>
                            <w:sz w:val="18"/>
                            <w:szCs w:val="18"/>
                          </w:rPr>
                        </w:pPr>
                      </w:p>
                    </w:tc>
                    <w:tc>
                      <w:tcPr>
                        <w:tcW w:w="1435" w:type="dxa"/>
                        <w:gridSpan w:val="2"/>
                        <w:tcBorders>
                          <w:top w:val="nil"/>
                          <w:left w:val="nil"/>
                          <w:bottom w:val="nil"/>
                          <w:right w:val="nil"/>
                        </w:tcBorders>
                        <w:vAlign w:val="center"/>
                      </w:tcPr>
                      <w:p>
                        <w:pPr>
                          <w:rPr>
                            <w:rFonts w:ascii="Calibri" w:hAnsi="Calibri" w:eastAsia="宋体" w:cs="Times New Roman"/>
                            <w:color w:val="000000"/>
                            <w:kern w:val="0"/>
                            <w:sz w:val="18"/>
                            <w:szCs w:val="18"/>
                          </w:rPr>
                        </w:pPr>
                      </w:p>
                    </w:tc>
                    <w:tc>
                      <w:tcPr>
                        <w:tcW w:w="1296" w:type="dxa"/>
                        <w:gridSpan w:val="2"/>
                        <w:tcBorders>
                          <w:top w:val="nil"/>
                          <w:left w:val="nil"/>
                          <w:bottom w:val="nil"/>
                          <w:right w:val="nil"/>
                        </w:tcBorders>
                        <w:vAlign w:val="center"/>
                      </w:tcPr>
                      <w:p>
                        <w:pPr>
                          <w:rPr>
                            <w:rFonts w:ascii="Calibri" w:hAnsi="Calibri" w:eastAsia="宋体" w:cs="Times New Roman"/>
                            <w:color w:val="000000"/>
                            <w:kern w:val="0"/>
                            <w:sz w:val="18"/>
                            <w:szCs w:val="18"/>
                          </w:rPr>
                        </w:pPr>
                      </w:p>
                    </w:tc>
                    <w:tc>
                      <w:tcPr>
                        <w:tcW w:w="2165" w:type="dxa"/>
                        <w:gridSpan w:val="2"/>
                        <w:tcBorders>
                          <w:top w:val="nil"/>
                          <w:left w:val="nil"/>
                          <w:bottom w:val="nil"/>
                          <w:right w:val="nil"/>
                        </w:tcBorders>
                        <w:vAlign w:val="bottom"/>
                      </w:tcPr>
                      <w:p>
                        <w:pPr>
                          <w:rPr>
                            <w:rFonts w:ascii="Calibri" w:hAnsi="Calibri" w:eastAsia="宋体" w:cs="Times New Roman"/>
                            <w:kern w:val="0"/>
                            <w:sz w:val="18"/>
                            <w:szCs w:val="18"/>
                          </w:rPr>
                        </w:pPr>
                        <w:r>
                          <w:rPr>
                            <w:rFonts w:hint="eastAsia" w:ascii="Calibri" w:hAnsi="Calibri" w:eastAsia="宋体" w:cs="Times New Roman"/>
                            <w:kern w:val="0"/>
                            <w:sz w:val="18"/>
                            <w:szCs w:val="18"/>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451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     入</w:t>
                        </w:r>
                      </w:p>
                    </w:tc>
                    <w:tc>
                      <w:tcPr>
                        <w:tcW w:w="10397" w:type="dxa"/>
                        <w:gridSpan w:val="1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21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1413"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金额</w:t>
                        </w:r>
                      </w:p>
                    </w:tc>
                    <w:tc>
                      <w:tcPr>
                        <w:tcW w:w="3087" w:type="dxa"/>
                        <w:gridSpan w:val="4"/>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949"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1465"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435"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一般公共预算财政拨款</w:t>
                        </w:r>
                      </w:p>
                    </w:tc>
                    <w:tc>
                      <w:tcPr>
                        <w:tcW w:w="1786" w:type="dxa"/>
                        <w:gridSpan w:val="3"/>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政府性基金预算财政拨款</w:t>
                        </w:r>
                      </w:p>
                    </w:tc>
                    <w:tc>
                      <w:tcPr>
                        <w:tcW w:w="167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2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1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087"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94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6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3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8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3"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087"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65"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35"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8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67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一、一般公共预算财政拨款</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10,877.46</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7,720.07</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7,720.07</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二、政府性基金预算财政拨款</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三、国有资本经营预算财政拨款</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39.61</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39.61</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七、文化旅游体育与传媒支出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708.82</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708.82</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九、卫生健康支出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658.11</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658.11</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十、节能环保支出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十一、城乡社区支出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十二、农林水支出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十三、交通运输支出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十四、资源勘探工业信息等支出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十五、商业服务业等支出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十六、金融支出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十七、援助其他地区支出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十八、自然资源海洋气象等支出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十九、住房保障支出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442.29</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442.29</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二十、粮油物资储备支出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二十一、国有资本经营预算支出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二十二、灾害防治及应急管理支出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二十三、其他支出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二十四、债务还本支出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二十五、债务付息支出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二十六、抗疫特别国债安排的支出</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本年收入合计</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10,877.46</w:t>
                        </w:r>
                      </w:p>
                    </w:tc>
                    <w:tc>
                      <w:tcPr>
                        <w:tcW w:w="3087"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本年支出合计</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9,568.91</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9,568.91</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年初财政拨款结转和结余</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559.82</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年末财政拨款结转和结余</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1,868.36</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1,868.36</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一般公共预算财政拨款</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559.82</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政府性基金预算财政拨款</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国有资本经营预算财政拨款</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087"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255" w:hRule="exact"/>
                    </w:trPr>
                    <w:tc>
                      <w:tcPr>
                        <w:tcW w:w="1889" w:type="dxa"/>
                        <w:gridSpan w:val="5"/>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413"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11,437.27</w:t>
                        </w:r>
                      </w:p>
                    </w:tc>
                    <w:tc>
                      <w:tcPr>
                        <w:tcW w:w="3087"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94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146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11,437.27</w:t>
                        </w:r>
                      </w:p>
                    </w:tc>
                    <w:tc>
                      <w:tcPr>
                        <w:tcW w:w="1435" w:type="dxa"/>
                        <w:gridSpan w:val="2"/>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11,437.27</w:t>
                        </w:r>
                      </w:p>
                    </w:tc>
                    <w:tc>
                      <w:tcPr>
                        <w:tcW w:w="1786" w:type="dxa"/>
                        <w:gridSpan w:val="3"/>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75"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19" w:type="dxa"/>
                      <w:trHeight w:val="300" w:hRule="atLeast"/>
                    </w:trPr>
                    <w:tc>
                      <w:tcPr>
                        <w:tcW w:w="13240" w:type="dxa"/>
                        <w:gridSpan w:val="21"/>
                        <w:tcBorders>
                          <w:top w:val="nil"/>
                          <w:left w:val="nil"/>
                          <w:bottom w:val="nil"/>
                          <w:right w:val="nil"/>
                        </w:tcBorders>
                        <w:vAlign w:val="center"/>
                      </w:tcPr>
                      <w:p>
                        <w:pPr>
                          <w:widowControl/>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注：本表反映部门本年度一般公共预算财政拨款、政府性基金预算财政拨款和国有资本经营预算财政拨款的总收支和年末结转结余情况。</w:t>
                        </w:r>
                      </w:p>
                    </w:tc>
                    <w:tc>
                      <w:tcPr>
                        <w:tcW w:w="1675" w:type="dxa"/>
                        <w:tcBorders>
                          <w:top w:val="nil"/>
                          <w:left w:val="nil"/>
                          <w:bottom w:val="nil"/>
                          <w:right w:val="nil"/>
                        </w:tcBorders>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widowControl/>
                    <w:jc w:val="center"/>
                    <w:textAlignment w:val="center"/>
                    <w:rPr>
                      <w:rFonts w:ascii="黑体" w:hAnsi="黑体" w:eastAsia="黑体" w:cs="宋体"/>
                      <w:kern w:val="0"/>
                      <w:sz w:val="24"/>
                      <w:szCs w:val="24"/>
                    </w:rPr>
                  </w:pPr>
                </w:p>
                <w:p>
                  <w:pPr>
                    <w:widowControl/>
                    <w:jc w:val="center"/>
                    <w:textAlignment w:val="center"/>
                    <w:rPr>
                      <w:rFonts w:ascii="黑体" w:hAnsi="黑体" w:eastAsia="黑体" w:cs="宋体"/>
                      <w:kern w:val="0"/>
                      <w:sz w:val="24"/>
                      <w:szCs w:val="24"/>
                    </w:rPr>
                  </w:pPr>
                  <w:r>
                    <w:rPr>
                      <w:rFonts w:hint="eastAsia" w:ascii="黑体" w:hAnsi="黑体" w:eastAsia="黑体" w:cs="宋体"/>
                      <w:kern w:val="0"/>
                      <w:sz w:val="24"/>
                      <w:szCs w:val="24"/>
                    </w:rPr>
                    <w:t>一般公共预算财政拨款支出决算表</w:t>
                  </w:r>
                </w:p>
                <w:tbl>
                  <w:tblPr>
                    <w:tblStyle w:val="15"/>
                    <w:tblW w:w="150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637"/>
                    <w:gridCol w:w="637"/>
                    <w:gridCol w:w="3305"/>
                    <w:gridCol w:w="1791"/>
                    <w:gridCol w:w="237"/>
                    <w:gridCol w:w="1491"/>
                    <w:gridCol w:w="2761"/>
                    <w:gridCol w:w="237"/>
                    <w:gridCol w:w="3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640" w:type="dxa"/>
                        <w:tcBorders>
                          <w:top w:val="nil"/>
                          <w:left w:val="nil"/>
                          <w:bottom w:val="nil"/>
                          <w:right w:val="nil"/>
                        </w:tcBorders>
                        <w:vAlign w:val="center"/>
                      </w:tcPr>
                      <w:p>
                        <w:pPr>
                          <w:rPr>
                            <w:rFonts w:ascii="宋体" w:hAnsi="宋体" w:eastAsia="宋体" w:cs="宋体"/>
                            <w:color w:val="000000"/>
                            <w:sz w:val="20"/>
                            <w:szCs w:val="20"/>
                          </w:rPr>
                        </w:pPr>
                      </w:p>
                    </w:tc>
                    <w:tc>
                      <w:tcPr>
                        <w:tcW w:w="637" w:type="dxa"/>
                        <w:tcBorders>
                          <w:top w:val="nil"/>
                          <w:left w:val="nil"/>
                          <w:bottom w:val="nil"/>
                          <w:right w:val="nil"/>
                        </w:tcBorders>
                        <w:vAlign w:val="center"/>
                      </w:tcPr>
                      <w:p>
                        <w:pPr>
                          <w:rPr>
                            <w:rFonts w:ascii="宋体" w:hAnsi="宋体" w:eastAsia="宋体" w:cs="宋体"/>
                            <w:color w:val="000000"/>
                            <w:sz w:val="20"/>
                            <w:szCs w:val="20"/>
                          </w:rPr>
                        </w:pPr>
                      </w:p>
                    </w:tc>
                    <w:tc>
                      <w:tcPr>
                        <w:tcW w:w="637" w:type="dxa"/>
                        <w:tcBorders>
                          <w:top w:val="nil"/>
                          <w:left w:val="nil"/>
                          <w:bottom w:val="nil"/>
                          <w:right w:val="nil"/>
                        </w:tcBorders>
                        <w:vAlign w:val="center"/>
                      </w:tcPr>
                      <w:p>
                        <w:pPr>
                          <w:rPr>
                            <w:rFonts w:ascii="宋体" w:hAnsi="宋体" w:eastAsia="宋体" w:cs="宋体"/>
                            <w:color w:val="000000"/>
                            <w:sz w:val="20"/>
                            <w:szCs w:val="20"/>
                          </w:rPr>
                        </w:pPr>
                      </w:p>
                    </w:tc>
                    <w:tc>
                      <w:tcPr>
                        <w:tcW w:w="3305" w:type="dxa"/>
                        <w:tcBorders>
                          <w:top w:val="nil"/>
                          <w:left w:val="nil"/>
                          <w:bottom w:val="nil"/>
                          <w:right w:val="nil"/>
                        </w:tcBorders>
                        <w:vAlign w:val="center"/>
                      </w:tcPr>
                      <w:p>
                        <w:pPr>
                          <w:rPr>
                            <w:rFonts w:ascii="宋体" w:hAnsi="宋体" w:eastAsia="宋体" w:cs="宋体"/>
                            <w:color w:val="000000"/>
                            <w:sz w:val="20"/>
                            <w:szCs w:val="20"/>
                          </w:rPr>
                        </w:pPr>
                      </w:p>
                    </w:tc>
                    <w:tc>
                      <w:tcPr>
                        <w:tcW w:w="2028" w:type="dxa"/>
                        <w:gridSpan w:val="2"/>
                        <w:tcBorders>
                          <w:top w:val="nil"/>
                          <w:left w:val="nil"/>
                          <w:bottom w:val="nil"/>
                          <w:right w:val="nil"/>
                        </w:tcBorders>
                        <w:vAlign w:val="center"/>
                      </w:tcPr>
                      <w:p>
                        <w:pPr>
                          <w:rPr>
                            <w:rFonts w:ascii="宋体" w:hAnsi="宋体" w:eastAsia="宋体" w:cs="宋体"/>
                            <w:color w:val="000000"/>
                            <w:sz w:val="20"/>
                            <w:szCs w:val="20"/>
                          </w:rPr>
                        </w:pPr>
                      </w:p>
                    </w:tc>
                    <w:tc>
                      <w:tcPr>
                        <w:tcW w:w="4252" w:type="dxa"/>
                        <w:gridSpan w:val="2"/>
                        <w:tcBorders>
                          <w:top w:val="nil"/>
                          <w:left w:val="nil"/>
                          <w:bottom w:val="nil"/>
                          <w:right w:val="nil"/>
                        </w:tcBorders>
                        <w:vAlign w:val="center"/>
                      </w:tcPr>
                      <w:p>
                        <w:pPr>
                          <w:rPr>
                            <w:rFonts w:ascii="宋体" w:hAnsi="宋体" w:eastAsia="宋体" w:cs="宋体"/>
                            <w:color w:val="000000"/>
                            <w:sz w:val="20"/>
                            <w:szCs w:val="20"/>
                          </w:rPr>
                        </w:pPr>
                      </w:p>
                    </w:tc>
                    <w:tc>
                      <w:tcPr>
                        <w:tcW w:w="3535" w:type="dxa"/>
                        <w:gridSpan w:val="2"/>
                        <w:tcBorders>
                          <w:top w:val="nil"/>
                          <w:left w:val="nil"/>
                          <w:bottom w:val="nil"/>
                          <w:right w:val="nil"/>
                        </w:tcBorders>
                        <w:vAlign w:val="bottom"/>
                      </w:tcPr>
                      <w:p>
                        <w:pPr>
                          <w:widowControl/>
                          <w:ind w:firstLine="8000" w:firstLineChars="4000"/>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5034" w:type="dxa"/>
                        <w:gridSpan w:val="10"/>
                        <w:tcBorders>
                          <w:top w:val="nil"/>
                          <w:left w:val="nil"/>
                          <w:bottom w:val="nil"/>
                          <w:right w:val="nil"/>
                        </w:tcBorders>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xml:space="preserve">部门：中共湖南省委组织部                                                                                                              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701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802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91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科目代码</w:t>
                        </w:r>
                      </w:p>
                    </w:tc>
                    <w:tc>
                      <w:tcPr>
                        <w:tcW w:w="509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科目名称</w:t>
                        </w:r>
                      </w:p>
                    </w:tc>
                    <w:tc>
                      <w:tcPr>
                        <w:tcW w:w="172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小计</w:t>
                        </w:r>
                      </w:p>
                    </w:tc>
                    <w:tc>
                      <w:tcPr>
                        <w:tcW w:w="299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基本支出</w:t>
                        </w:r>
                      </w:p>
                    </w:tc>
                    <w:tc>
                      <w:tcPr>
                        <w:tcW w:w="32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914"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c>
                      <w:tcPr>
                        <w:tcW w:w="509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c>
                      <w:tcPr>
                        <w:tcW w:w="172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c>
                      <w:tcPr>
                        <w:tcW w:w="299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c>
                      <w:tcPr>
                        <w:tcW w:w="32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914"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c>
                      <w:tcPr>
                        <w:tcW w:w="509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c>
                      <w:tcPr>
                        <w:tcW w:w="172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c>
                      <w:tcPr>
                        <w:tcW w:w="299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c>
                      <w:tcPr>
                        <w:tcW w:w="32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701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701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9,568.91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6,237.39</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3,331.52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一般公共服务支出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7,720.07</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4,438.78</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3,281.30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20132</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组织事务</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7,720.07</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4,438.78</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3,281.30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2013201</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行政运行</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4,438.78</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4,438.78</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2013202</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一般行政管理事务</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3,281.30</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3,281.30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教育支出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39.61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20508</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进修及培训</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39.61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2050803</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培训支出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39.61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社会保障和就业支出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708.82</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698.21</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行政事业单位养老支出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698.21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698.21</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2080501</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行政单位离退休</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245.00</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245.00</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2080505</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机关事业单位基本养老保险缴费支出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453.21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453.21</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20808</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抚恤</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10.62</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2080899</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其他优抚支出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10.62</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卫生健康支出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658.11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658.11</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行政事业单位医疗</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658.11</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658.11</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2101101</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行政单位医疗</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384.67</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384.67</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2101103</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公务员医疗补助</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273.44</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273.44</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住房保障支出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442.29</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442.29</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22102</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住房改革支出</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442.29</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442.29</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2210201</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住房公积金</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440.00</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440.00</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914"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2210203</w:t>
                        </w:r>
                      </w:p>
                    </w:tc>
                    <w:tc>
                      <w:tcPr>
                        <w:tcW w:w="509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购房补贴</w:t>
                        </w:r>
                      </w:p>
                    </w:tc>
                    <w:tc>
                      <w:tcPr>
                        <w:tcW w:w="172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2.29</w:t>
                        </w:r>
                      </w:p>
                    </w:tc>
                    <w:tc>
                      <w:tcPr>
                        <w:tcW w:w="2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2.29</w:t>
                        </w:r>
                      </w:p>
                    </w:tc>
                    <w:tc>
                      <w:tcPr>
                        <w:tcW w:w="32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034" w:type="dxa"/>
                        <w:gridSpan w:val="10"/>
                        <w:tcBorders>
                          <w:top w:val="nil"/>
                          <w:left w:val="nil"/>
                          <w:bottom w:val="nil"/>
                          <w:right w:val="nil"/>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注：本表反映部门本年度一般公共预算财政拨款支出情况。</w:t>
                        </w:r>
                      </w:p>
                      <w:p>
                        <w:pPr>
                          <w:pStyle w:val="12"/>
                        </w:pPr>
                      </w:p>
                    </w:tc>
                  </w:tr>
                </w:tbl>
                <w:p>
                  <w:pPr>
                    <w:rPr>
                      <w:rFonts w:ascii="Calibri" w:hAnsi="Calibri" w:eastAsia="宋体" w:cs="Times New Roman"/>
                      <w:sz w:val="20"/>
                      <w:szCs w:val="20"/>
                    </w:rPr>
                  </w:pPr>
                </w:p>
                <w:tbl>
                  <w:tblPr>
                    <w:tblStyle w:val="15"/>
                    <w:tblW w:w="150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
                    <w:gridCol w:w="557"/>
                    <w:gridCol w:w="56"/>
                    <w:gridCol w:w="432"/>
                    <w:gridCol w:w="534"/>
                    <w:gridCol w:w="535"/>
                    <w:gridCol w:w="1039"/>
                    <w:gridCol w:w="56"/>
                    <w:gridCol w:w="912"/>
                    <w:gridCol w:w="293"/>
                    <w:gridCol w:w="198"/>
                    <w:gridCol w:w="488"/>
                    <w:gridCol w:w="391"/>
                    <w:gridCol w:w="488"/>
                    <w:gridCol w:w="275"/>
                    <w:gridCol w:w="1098"/>
                    <w:gridCol w:w="11"/>
                    <w:gridCol w:w="996"/>
                    <w:gridCol w:w="488"/>
                    <w:gridCol w:w="681"/>
                    <w:gridCol w:w="2452"/>
                    <w:gridCol w:w="752"/>
                    <w:gridCol w:w="1477"/>
                    <w:gridCol w:w="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5034" w:type="dxa"/>
                        <w:gridSpan w:val="24"/>
                        <w:tcBorders>
                          <w:top w:val="nil"/>
                          <w:left w:val="nil"/>
                          <w:bottom w:val="nil"/>
                          <w:right w:val="nil"/>
                        </w:tcBorders>
                        <w:vAlign w:val="center"/>
                      </w:tcPr>
                      <w:p>
                        <w:pPr>
                          <w:widowControl/>
                          <w:jc w:val="center"/>
                          <w:textAlignment w:val="center"/>
                          <w:rPr>
                            <w:rFonts w:ascii="黑体" w:hAnsi="黑体" w:eastAsia="黑体" w:cs="宋体"/>
                            <w:kern w:val="0"/>
                            <w:sz w:val="24"/>
                            <w:szCs w:val="24"/>
                          </w:rPr>
                        </w:pPr>
                        <w:r>
                          <w:rPr>
                            <w:rFonts w:hint="eastAsia" w:ascii="黑体" w:hAnsi="黑体" w:eastAsia="黑体" w:cs="宋体"/>
                            <w:kern w:val="0"/>
                            <w:sz w:val="24"/>
                            <w:szCs w:val="24"/>
                          </w:rPr>
                          <w:t>一般公共预算财政拨款基本支出决算明细表</w:t>
                        </w:r>
                      </w:p>
                      <w:p>
                        <w:pPr>
                          <w:pStyle w:val="12"/>
                        </w:pPr>
                      </w:p>
                      <w:p>
                        <w:pPr>
                          <w:pStyle w:val="7"/>
                          <w:ind w:firstLine="480"/>
                        </w:pPr>
                      </w:p>
                      <w:p/>
                      <w:p>
                        <w:pPr>
                          <w:pStyle w:val="12"/>
                        </w:pPr>
                      </w:p>
                      <w:p>
                        <w:pPr>
                          <w:pStyle w:val="7"/>
                          <w:ind w:firstLine="480"/>
                        </w:pPr>
                      </w:p>
                      <w:p/>
                      <w:p>
                        <w:pPr>
                          <w:pStyle w:val="12"/>
                        </w:pPr>
                      </w:p>
                      <w:p>
                        <w:pPr>
                          <w:pStyle w:val="7"/>
                          <w:ind w:firstLine="480"/>
                        </w:pPr>
                      </w:p>
                      <w:p/>
                      <w:p>
                        <w:pPr>
                          <w:pStyle w:val="12"/>
                        </w:pPr>
                      </w:p>
                      <w:p>
                        <w:pPr>
                          <w:widowControl/>
                          <w:jc w:val="center"/>
                          <w:textAlignment w:val="center"/>
                          <w:rPr>
                            <w:rFonts w:ascii="黑体" w:hAnsi="宋体" w:eastAsia="黑体" w:cs="黑体"/>
                            <w:color w:val="000000"/>
                            <w:sz w:val="20"/>
                            <w:szCs w:val="20"/>
                          </w:rPr>
                        </w:pPr>
                        <w:r>
                          <w:rPr>
                            <w:rFonts w:hint="eastAsia" w:ascii="黑体" w:hAnsi="黑体" w:eastAsia="黑体" w:cs="宋体"/>
                            <w:kern w:val="0"/>
                            <w:sz w:val="24"/>
                            <w:szCs w:val="24"/>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5034" w:type="dxa"/>
                        <w:gridSpan w:val="24"/>
                        <w:tcBorders>
                          <w:top w:val="nil"/>
                          <w:left w:val="nil"/>
                          <w:bottom w:val="nil"/>
                          <w:right w:val="nil"/>
                        </w:tcBorders>
                        <w:vAlign w:val="center"/>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exact"/>
                    </w:trPr>
                    <w:tc>
                      <w:tcPr>
                        <w:tcW w:w="15034" w:type="dxa"/>
                        <w:gridSpan w:val="24"/>
                        <w:tcBorders>
                          <w:top w:val="nil"/>
                          <w:left w:val="nil"/>
                          <w:bottom w:val="nil"/>
                          <w:right w:val="nil"/>
                        </w:tcBorders>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部门：中共湖南省委组织部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3706"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11056"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科目代码</w:t>
                        </w:r>
                      </w:p>
                    </w:tc>
                    <w:tc>
                      <w:tcPr>
                        <w:tcW w:w="2596"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459"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决算数</w:t>
                        </w:r>
                      </w:p>
                    </w:tc>
                    <w:tc>
                      <w:tcPr>
                        <w:tcW w:w="87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科目代码</w:t>
                        </w:r>
                      </w:p>
                    </w:tc>
                    <w:tc>
                      <w:tcPr>
                        <w:tcW w:w="186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00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决算数</w:t>
                        </w:r>
                      </w:p>
                    </w:tc>
                    <w:tc>
                      <w:tcPr>
                        <w:tcW w:w="116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科目代码</w:t>
                        </w:r>
                      </w:p>
                    </w:tc>
                    <w:tc>
                      <w:tcPr>
                        <w:tcW w:w="320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4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596"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1459"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87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186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100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320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14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工资福利支出</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5,111.33</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商品和服务支出</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639.81</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债务利息及费用支出</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1,307.03</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982.30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8.34</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30702</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341.60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资本性支出</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156.50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856.40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453.21</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23.02</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职工基本医疗保险缴费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300.86</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公务员医疗补助缴费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273.44</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440.00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486.24</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9.77</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1.99</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31021</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文物和陈列品购置</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46.14</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31022</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无形资产购置</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79.85</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医疗费补助</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143.29</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39907</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国家赔偿费用支出</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115.00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39908</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对民间非营利组织和群众性自治组织补贴</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39909</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经常性赠与</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个人农业生产补贴</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45.55</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39910</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资本性赠与</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30311</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代缴社会保险费</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226.28</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39999</w:t>
                        </w: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其他支出</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51.82</w:t>
                        </w: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55" w:hRule="exact"/>
                    </w:trPr>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2596"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8"/>
                            <w:szCs w:val="18"/>
                          </w:rPr>
                        </w:pPr>
                      </w:p>
                    </w:tc>
                    <w:tc>
                      <w:tcPr>
                        <w:tcW w:w="87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86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007"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320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14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72" w:type="dxa"/>
                      <w:trHeight w:val="283" w:hRule="exact"/>
                    </w:trPr>
                    <w:tc>
                      <w:tcPr>
                        <w:tcW w:w="3706"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1459" w:type="dxa"/>
                        <w:gridSpan w:val="4"/>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5,597.58</w:t>
                        </w:r>
                      </w:p>
                    </w:tc>
                    <w:tc>
                      <w:tcPr>
                        <w:tcW w:w="812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trPr>
                    <w:tc>
                      <w:tcPr>
                        <w:tcW w:w="15034" w:type="dxa"/>
                        <w:gridSpan w:val="24"/>
                        <w:tcBorders>
                          <w:top w:val="nil"/>
                          <w:left w:val="nil"/>
                          <w:bottom w:val="nil"/>
                          <w:right w:val="nil"/>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5034" w:type="dxa"/>
                        <w:gridSpan w:val="24"/>
                        <w:tcBorders>
                          <w:top w:val="nil"/>
                          <w:left w:val="nil"/>
                          <w:bottom w:val="nil"/>
                          <w:right w:val="nil"/>
                        </w:tcBorders>
                        <w:vAlign w:val="center"/>
                      </w:tcPr>
                      <w:p>
                        <w:pPr>
                          <w:widowControl/>
                          <w:jc w:val="center"/>
                          <w:textAlignment w:val="center"/>
                          <w:rPr>
                            <w:rFonts w:ascii="黑体" w:hAnsi="宋体" w:eastAsia="黑体" w:cs="黑体"/>
                            <w:color w:val="000000"/>
                            <w:kern w:val="0"/>
                            <w:sz w:val="24"/>
                            <w:szCs w:val="24"/>
                          </w:rPr>
                        </w:pPr>
                      </w:p>
                      <w:p>
                        <w:pPr>
                          <w:pStyle w:val="12"/>
                        </w:pPr>
                      </w:p>
                      <w:p>
                        <w:pPr>
                          <w:pStyle w:val="7"/>
                          <w:ind w:firstLine="480"/>
                        </w:pPr>
                      </w:p>
                      <w:p>
                        <w:pPr>
                          <w:widowControl/>
                          <w:jc w:val="center"/>
                          <w:textAlignment w:val="center"/>
                          <w:rPr>
                            <w:rFonts w:ascii="黑体" w:hAnsi="宋体" w:eastAsia="黑体" w:cs="黑体"/>
                            <w:color w:val="000000"/>
                            <w:sz w:val="30"/>
                            <w:szCs w:val="30"/>
                          </w:rPr>
                        </w:pPr>
                        <w:r>
                          <w:rPr>
                            <w:rFonts w:hint="eastAsia" w:ascii="黑体" w:hAnsi="黑体" w:eastAsia="黑体" w:cs="宋体"/>
                            <w:kern w:val="0"/>
                            <w:sz w:val="24"/>
                            <w:szCs w:val="24"/>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034" w:type="dxa"/>
                        <w:gridSpan w:val="24"/>
                        <w:tcBorders>
                          <w:top w:val="nil"/>
                          <w:left w:val="nil"/>
                          <w:bottom w:val="nil"/>
                          <w:right w:val="nil"/>
                        </w:tcBorders>
                        <w:vAlign w:val="center"/>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034" w:type="dxa"/>
                        <w:gridSpan w:val="24"/>
                        <w:tcBorders>
                          <w:top w:val="nil"/>
                          <w:left w:val="nil"/>
                          <w:bottom w:val="nil"/>
                          <w:right w:val="nil"/>
                        </w:tcBorders>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部门：中共湖南省委组织部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1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63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120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w:t>
                        </w:r>
                      </w:p>
                    </w:tc>
                    <w:tc>
                      <w:tcPr>
                        <w:tcW w:w="7566"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c>
                      <w:tcPr>
                        <w:tcW w:w="250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166"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科目代码</w:t>
                        </w:r>
                      </w:p>
                    </w:tc>
                    <w:tc>
                      <w:tcPr>
                        <w:tcW w:w="9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63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840"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593"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313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25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16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63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840"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593"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13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5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166"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63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840"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593"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13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5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1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6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84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59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1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5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1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6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4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59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1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5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53" w:type="dxa"/>
                        <w:tcBorders>
                          <w:top w:val="nil"/>
                          <w:left w:val="nil"/>
                          <w:bottom w:val="single" w:color="D4D4D4" w:sz="4" w:space="0"/>
                          <w:right w:val="single" w:color="D4D4D4" w:sz="4" w:space="0"/>
                        </w:tcBorders>
                        <w:vAlign w:val="center"/>
                      </w:tcPr>
                      <w:p>
                        <w:pPr>
                          <w:jc w:val="left"/>
                          <w:rPr>
                            <w:rFonts w:ascii="宋体" w:hAnsi="宋体" w:eastAsia="宋体" w:cs="宋体"/>
                            <w:color w:val="000000"/>
                            <w:sz w:val="22"/>
                          </w:rPr>
                        </w:pPr>
                      </w:p>
                    </w:tc>
                    <w:tc>
                      <w:tcPr>
                        <w:tcW w:w="1045" w:type="dxa"/>
                        <w:gridSpan w:val="3"/>
                        <w:tcBorders>
                          <w:top w:val="nil"/>
                          <w:left w:val="nil"/>
                          <w:bottom w:val="single" w:color="D4D4D4" w:sz="4" w:space="0"/>
                          <w:right w:val="single" w:color="D4D4D4" w:sz="4" w:space="0"/>
                        </w:tcBorders>
                        <w:vAlign w:val="center"/>
                      </w:tcPr>
                      <w:p>
                        <w:pPr>
                          <w:jc w:val="left"/>
                          <w:rPr>
                            <w:rFonts w:ascii="宋体" w:hAnsi="宋体" w:eastAsia="宋体" w:cs="宋体"/>
                            <w:color w:val="000000"/>
                            <w:sz w:val="22"/>
                          </w:rPr>
                        </w:pPr>
                      </w:p>
                    </w:tc>
                    <w:tc>
                      <w:tcPr>
                        <w:tcW w:w="1069" w:type="dxa"/>
                        <w:gridSpan w:val="2"/>
                        <w:tcBorders>
                          <w:top w:val="nil"/>
                          <w:left w:val="nil"/>
                          <w:bottom w:val="single" w:color="D4D4D4" w:sz="4" w:space="0"/>
                          <w:right w:val="single" w:color="D4D4D4" w:sz="4" w:space="0"/>
                        </w:tcBorders>
                        <w:vAlign w:val="center"/>
                      </w:tcPr>
                      <w:p>
                        <w:pPr>
                          <w:jc w:val="right"/>
                          <w:rPr>
                            <w:rFonts w:ascii="宋体" w:hAnsi="宋体" w:eastAsia="宋体" w:cs="宋体"/>
                            <w:color w:val="000000"/>
                            <w:sz w:val="22"/>
                          </w:rPr>
                        </w:pPr>
                      </w:p>
                    </w:tc>
                    <w:tc>
                      <w:tcPr>
                        <w:tcW w:w="2007" w:type="dxa"/>
                        <w:gridSpan w:val="3"/>
                        <w:tcBorders>
                          <w:top w:val="nil"/>
                          <w:left w:val="nil"/>
                          <w:bottom w:val="single" w:color="D4D4D4" w:sz="4" w:space="0"/>
                          <w:right w:val="single" w:color="D4D4D4" w:sz="4" w:space="0"/>
                        </w:tcBorders>
                        <w:vAlign w:val="center"/>
                      </w:tcPr>
                      <w:p>
                        <w:pPr>
                          <w:jc w:val="right"/>
                          <w:rPr>
                            <w:rFonts w:ascii="宋体" w:hAnsi="宋体" w:eastAsia="宋体" w:cs="宋体"/>
                            <w:color w:val="000000"/>
                            <w:sz w:val="22"/>
                          </w:rPr>
                        </w:pPr>
                      </w:p>
                    </w:tc>
                    <w:tc>
                      <w:tcPr>
                        <w:tcW w:w="979" w:type="dxa"/>
                        <w:gridSpan w:val="3"/>
                        <w:tcBorders>
                          <w:top w:val="nil"/>
                          <w:left w:val="nil"/>
                          <w:bottom w:val="single" w:color="D4D4D4" w:sz="4" w:space="0"/>
                          <w:right w:val="single" w:color="D4D4D4" w:sz="4" w:space="0"/>
                        </w:tcBorders>
                        <w:vAlign w:val="center"/>
                      </w:tcPr>
                      <w:p>
                        <w:pPr>
                          <w:jc w:val="right"/>
                          <w:rPr>
                            <w:rFonts w:ascii="宋体" w:hAnsi="宋体" w:eastAsia="宋体" w:cs="宋体"/>
                            <w:color w:val="000000"/>
                            <w:sz w:val="22"/>
                          </w:rPr>
                        </w:pPr>
                      </w:p>
                    </w:tc>
                    <w:tc>
                      <w:tcPr>
                        <w:tcW w:w="879" w:type="dxa"/>
                        <w:gridSpan w:val="2"/>
                        <w:tcBorders>
                          <w:top w:val="nil"/>
                          <w:left w:val="nil"/>
                          <w:bottom w:val="single" w:color="D4D4D4" w:sz="4" w:space="0"/>
                          <w:right w:val="single" w:color="D4D4D4" w:sz="4" w:space="0"/>
                        </w:tcBorders>
                        <w:vAlign w:val="center"/>
                      </w:tcPr>
                      <w:p>
                        <w:pPr>
                          <w:jc w:val="right"/>
                          <w:rPr>
                            <w:rFonts w:ascii="宋体" w:hAnsi="宋体" w:eastAsia="宋体" w:cs="宋体"/>
                            <w:color w:val="000000"/>
                            <w:sz w:val="22"/>
                          </w:rPr>
                        </w:pPr>
                      </w:p>
                    </w:tc>
                    <w:tc>
                      <w:tcPr>
                        <w:tcW w:w="1384" w:type="dxa"/>
                        <w:gridSpan w:val="3"/>
                        <w:tcBorders>
                          <w:top w:val="nil"/>
                          <w:left w:val="nil"/>
                          <w:bottom w:val="single" w:color="D4D4D4" w:sz="4" w:space="0"/>
                          <w:right w:val="single" w:color="D4D4D4" w:sz="4" w:space="0"/>
                        </w:tcBorders>
                        <w:vAlign w:val="center"/>
                      </w:tcPr>
                      <w:p>
                        <w:pPr>
                          <w:jc w:val="right"/>
                          <w:rPr>
                            <w:rFonts w:ascii="宋体" w:hAnsi="宋体" w:eastAsia="宋体" w:cs="宋体"/>
                            <w:color w:val="000000"/>
                            <w:sz w:val="22"/>
                          </w:rPr>
                        </w:pPr>
                      </w:p>
                    </w:tc>
                    <w:tc>
                      <w:tcPr>
                        <w:tcW w:w="7118" w:type="dxa"/>
                        <w:gridSpan w:val="7"/>
                        <w:tcBorders>
                          <w:top w:val="nil"/>
                          <w:left w:val="nil"/>
                          <w:bottom w:val="single" w:color="D4D4D4" w:sz="4" w:space="0"/>
                          <w:right w:val="single" w:color="D4D4D4" w:sz="4" w:space="0"/>
                        </w:tcBorders>
                        <w:vAlign w:val="center"/>
                      </w:tcPr>
                      <w:p>
                        <w:pPr>
                          <w:jc w:val="right"/>
                          <w:rPr>
                            <w:rFonts w:ascii="宋体" w:hAnsi="宋体" w:eastAsia="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034" w:type="dxa"/>
                        <w:gridSpan w:val="24"/>
                        <w:tcBorders>
                          <w:top w:val="nil"/>
                          <w:left w:val="nil"/>
                          <w:bottom w:val="nil"/>
                          <w:right w:val="nil"/>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注：本表反映部门本年度政府性基金预算财政拨款收入、支出及结转和结余情况。</w:t>
                        </w:r>
                      </w:p>
                    </w:tc>
                  </w:tr>
                </w:tbl>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pPr>
                </w:p>
                <w:p>
                  <w:pPr>
                    <w:pStyle w:val="7"/>
                    <w:ind w:firstLine="480"/>
                  </w:pPr>
                </w:p>
                <w:tbl>
                  <w:tblPr>
                    <w:tblStyle w:val="15"/>
                    <w:tblW w:w="150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
                    <w:gridCol w:w="228"/>
                    <w:gridCol w:w="1688"/>
                    <w:gridCol w:w="3152"/>
                    <w:gridCol w:w="2794"/>
                    <w:gridCol w:w="3719"/>
                    <w:gridCol w:w="3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5034" w:type="dxa"/>
                        <w:gridSpan w:val="7"/>
                        <w:tcBorders>
                          <w:top w:val="nil"/>
                          <w:left w:val="nil"/>
                          <w:bottom w:val="nil"/>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黑体" w:eastAsia="黑体" w:cs="宋体"/>
                            <w:kern w:val="0"/>
                            <w:sz w:val="24"/>
                            <w:szCs w:val="24"/>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28" w:type="dxa"/>
                        <w:tcBorders>
                          <w:top w:val="nil"/>
                          <w:left w:val="nil"/>
                          <w:bottom w:val="nil"/>
                          <w:right w:val="nil"/>
                        </w:tcBorders>
                        <w:vAlign w:val="center"/>
                      </w:tcPr>
                      <w:p>
                        <w:pPr>
                          <w:rPr>
                            <w:rFonts w:ascii="宋体" w:hAnsi="宋体" w:eastAsia="宋体" w:cs="宋体"/>
                            <w:color w:val="000000"/>
                            <w:sz w:val="20"/>
                            <w:szCs w:val="20"/>
                          </w:rPr>
                        </w:pPr>
                      </w:p>
                    </w:tc>
                    <w:tc>
                      <w:tcPr>
                        <w:tcW w:w="228" w:type="dxa"/>
                        <w:tcBorders>
                          <w:top w:val="nil"/>
                          <w:left w:val="nil"/>
                          <w:bottom w:val="nil"/>
                          <w:right w:val="nil"/>
                        </w:tcBorders>
                        <w:vAlign w:val="center"/>
                      </w:tcPr>
                      <w:p>
                        <w:pPr>
                          <w:rPr>
                            <w:rFonts w:ascii="宋体" w:hAnsi="宋体" w:eastAsia="宋体" w:cs="宋体"/>
                            <w:color w:val="000000"/>
                            <w:sz w:val="20"/>
                            <w:szCs w:val="20"/>
                          </w:rPr>
                        </w:pPr>
                      </w:p>
                    </w:tc>
                    <w:tc>
                      <w:tcPr>
                        <w:tcW w:w="1688" w:type="dxa"/>
                        <w:tcBorders>
                          <w:top w:val="nil"/>
                          <w:left w:val="nil"/>
                          <w:bottom w:val="nil"/>
                          <w:right w:val="nil"/>
                        </w:tcBorders>
                        <w:vAlign w:val="center"/>
                      </w:tcPr>
                      <w:p>
                        <w:pPr>
                          <w:rPr>
                            <w:rFonts w:ascii="宋体" w:hAnsi="宋体" w:eastAsia="宋体" w:cs="宋体"/>
                            <w:color w:val="000000"/>
                            <w:sz w:val="20"/>
                            <w:szCs w:val="20"/>
                          </w:rPr>
                        </w:pPr>
                      </w:p>
                    </w:tc>
                    <w:tc>
                      <w:tcPr>
                        <w:tcW w:w="3152" w:type="dxa"/>
                        <w:tcBorders>
                          <w:top w:val="nil"/>
                          <w:left w:val="nil"/>
                          <w:bottom w:val="nil"/>
                          <w:right w:val="nil"/>
                        </w:tcBorders>
                        <w:vAlign w:val="center"/>
                      </w:tcPr>
                      <w:p>
                        <w:pPr>
                          <w:rPr>
                            <w:rFonts w:ascii="宋体" w:hAnsi="宋体" w:eastAsia="宋体" w:cs="宋体"/>
                            <w:color w:val="000000"/>
                            <w:sz w:val="20"/>
                            <w:szCs w:val="20"/>
                          </w:rPr>
                        </w:pPr>
                      </w:p>
                    </w:tc>
                    <w:tc>
                      <w:tcPr>
                        <w:tcW w:w="2794" w:type="dxa"/>
                        <w:tcBorders>
                          <w:top w:val="nil"/>
                          <w:left w:val="nil"/>
                          <w:bottom w:val="nil"/>
                          <w:right w:val="nil"/>
                        </w:tcBorders>
                        <w:vAlign w:val="center"/>
                      </w:tcPr>
                      <w:p>
                        <w:pPr>
                          <w:rPr>
                            <w:rFonts w:ascii="宋体" w:hAnsi="宋体" w:eastAsia="宋体" w:cs="宋体"/>
                            <w:color w:val="000000"/>
                            <w:sz w:val="20"/>
                            <w:szCs w:val="20"/>
                          </w:rPr>
                        </w:pPr>
                      </w:p>
                    </w:tc>
                    <w:tc>
                      <w:tcPr>
                        <w:tcW w:w="3719" w:type="dxa"/>
                        <w:tcBorders>
                          <w:top w:val="nil"/>
                          <w:left w:val="nil"/>
                          <w:bottom w:val="nil"/>
                          <w:right w:val="nil"/>
                        </w:tcBorders>
                        <w:vAlign w:val="center"/>
                      </w:tcPr>
                      <w:p>
                        <w:pPr>
                          <w:rPr>
                            <w:rFonts w:ascii="宋体" w:hAnsi="宋体" w:eastAsia="宋体" w:cs="宋体"/>
                            <w:color w:val="000000"/>
                            <w:sz w:val="20"/>
                            <w:szCs w:val="20"/>
                          </w:rPr>
                        </w:pPr>
                      </w:p>
                    </w:tc>
                    <w:tc>
                      <w:tcPr>
                        <w:tcW w:w="3225" w:type="dxa"/>
                        <w:tcBorders>
                          <w:top w:val="nil"/>
                          <w:left w:val="nil"/>
                          <w:bottom w:val="nil"/>
                          <w:right w:val="nil"/>
                        </w:tcBorders>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5034" w:type="dxa"/>
                        <w:gridSpan w:val="7"/>
                        <w:tcBorders>
                          <w:top w:val="nil"/>
                          <w:left w:val="nil"/>
                          <w:bottom w:val="nil"/>
                          <w:right w:val="nil"/>
                        </w:tcBorders>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部门：中共湖南省委组织部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29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97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14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科目代码</w:t>
                        </w:r>
                      </w:p>
                    </w:tc>
                    <w:tc>
                      <w:tcPr>
                        <w:tcW w:w="31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7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37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144"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1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7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2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2144"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1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27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2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29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529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2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 </w:t>
                        </w:r>
                      </w:p>
                    </w:tc>
                    <w:tc>
                      <w:tcPr>
                        <w:tcW w:w="3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 </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5034" w:type="dxa"/>
                        <w:gridSpan w:val="7"/>
                        <w:tcBorders>
                          <w:top w:val="nil"/>
                          <w:left w:val="nil"/>
                          <w:bottom w:val="nil"/>
                          <w:right w:val="nil"/>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注：本表反映部门本年度国有资本经营预算财政拨款支出情况。</w:t>
                        </w:r>
                      </w:p>
                    </w:tc>
                  </w:tr>
                </w:tbl>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00"/>
                    <w:rPr>
                      <w:sz w:val="20"/>
                      <w:szCs w:val="20"/>
                    </w:rPr>
                  </w:pPr>
                </w:p>
                <w:p>
                  <w:pPr>
                    <w:rPr>
                      <w:sz w:val="20"/>
                      <w:szCs w:val="20"/>
                    </w:rPr>
                  </w:pPr>
                </w:p>
                <w:p>
                  <w:pPr>
                    <w:pStyle w:val="12"/>
                    <w:rPr>
                      <w:sz w:val="20"/>
                      <w:szCs w:val="20"/>
                    </w:rPr>
                  </w:pPr>
                </w:p>
                <w:p>
                  <w:pPr>
                    <w:pStyle w:val="7"/>
                    <w:ind w:firstLine="480"/>
                  </w:pPr>
                </w:p>
                <w:tbl>
                  <w:tblPr>
                    <w:tblStyle w:val="15"/>
                    <w:tblW w:w="150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2"/>
                    <w:gridCol w:w="1021"/>
                    <w:gridCol w:w="871"/>
                    <w:gridCol w:w="1200"/>
                    <w:gridCol w:w="1951"/>
                    <w:gridCol w:w="1110"/>
                    <w:gridCol w:w="1125"/>
                    <w:gridCol w:w="1155"/>
                    <w:gridCol w:w="1140"/>
                    <w:gridCol w:w="1485"/>
                    <w:gridCol w:w="1860"/>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093" w:type="dxa"/>
                        <w:gridSpan w:val="12"/>
                        <w:tcBorders>
                          <w:top w:val="nil"/>
                          <w:left w:val="nil"/>
                          <w:bottom w:val="nil"/>
                          <w:right w:val="nil"/>
                        </w:tcBorders>
                        <w:vAlign w:val="center"/>
                      </w:tcPr>
                      <w:p>
                        <w:pPr>
                          <w:widowControl/>
                          <w:jc w:val="center"/>
                          <w:textAlignment w:val="center"/>
                          <w:rPr>
                            <w:rFonts w:ascii="黑体" w:hAnsi="宋体" w:eastAsia="黑体" w:cs="黑体"/>
                            <w:color w:val="000000"/>
                            <w:sz w:val="44"/>
                            <w:szCs w:val="44"/>
                          </w:rPr>
                        </w:pPr>
                        <w:r>
                          <w:rPr>
                            <w:rFonts w:hint="eastAsia" w:ascii="黑体" w:hAnsi="黑体" w:eastAsia="黑体" w:cs="宋体"/>
                            <w:kern w:val="0"/>
                            <w:sz w:val="24"/>
                            <w:szCs w:val="24"/>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093" w:type="dxa"/>
                        <w:gridSpan w:val="12"/>
                        <w:tcBorders>
                          <w:top w:val="nil"/>
                          <w:left w:val="nil"/>
                          <w:bottom w:val="nil"/>
                          <w:right w:val="nil"/>
                        </w:tcBorders>
                        <w:vAlign w:val="center"/>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5093" w:type="dxa"/>
                        <w:gridSpan w:val="12"/>
                        <w:tcBorders>
                          <w:top w:val="nil"/>
                          <w:left w:val="nil"/>
                          <w:bottom w:val="nil"/>
                          <w:right w:val="nil"/>
                        </w:tcBorders>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部门：中共湖南省委组织部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13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c>
                      <w:tcPr>
                        <w:tcW w:w="795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402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公务用车购置及运行维护费</w:t>
                        </w: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44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公务用车购置及运行维护费</w:t>
                        </w:r>
                      </w:p>
                    </w:tc>
                    <w:tc>
                      <w:tcPr>
                        <w:tcW w:w="11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1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公务用车运行维护费</w:t>
                        </w: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公务用车运行维护费</w:t>
                        </w:r>
                      </w:p>
                    </w:tc>
                    <w:tc>
                      <w:tcPr>
                        <w:tcW w:w="11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254.00</w:t>
                        </w: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160.00</w:t>
                        </w:r>
                      </w:p>
                    </w:tc>
                    <w:tc>
                      <w:tcPr>
                        <w:tcW w:w="8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74.00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25.00</w:t>
                        </w:r>
                      </w:p>
                    </w:tc>
                    <w:tc>
                      <w:tcPr>
                        <w:tcW w:w="1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49.00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72.52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70.53</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24.98</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45.55</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5093" w:type="dxa"/>
                        <w:gridSpan w:val="12"/>
                        <w:tcBorders>
                          <w:top w:val="nil"/>
                          <w:left w:val="nil"/>
                          <w:bottom w:val="nil"/>
                          <w:right w:val="nil"/>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7"/>
                    <w:ind w:firstLine="400"/>
                    <w:rPr>
                      <w:sz w:val="20"/>
                      <w:szCs w:val="20"/>
                    </w:rPr>
                  </w:pPr>
                </w:p>
                <w:p>
                  <w:pPr>
                    <w:rPr>
                      <w:sz w:val="20"/>
                      <w:szCs w:val="20"/>
                    </w:rPr>
                  </w:pPr>
                </w:p>
              </w:tc>
            </w:tr>
          </w:tbl>
          <w:p>
            <w:pPr>
              <w:jc w:val="center"/>
              <w:rPr>
                <w:rFonts w:ascii="华文中宋" w:hAnsi="华文中宋" w:eastAsia="华文中宋" w:cs="宋体"/>
                <w:color w:val="000000"/>
                <w:sz w:val="32"/>
                <w:szCs w:val="32"/>
              </w:rPr>
            </w:pPr>
          </w:p>
        </w:tc>
      </w:tr>
    </w:tbl>
    <w:p>
      <w:pPr>
        <w:widowControl/>
        <w:rPr>
          <w:sz w:val="72"/>
          <w:szCs w:val="72"/>
        </w:rPr>
        <w:sectPr>
          <w:pgSz w:w="16838" w:h="11906" w:orient="landscape"/>
          <w:pgMar w:top="454" w:right="737" w:bottom="454" w:left="851" w:header="851" w:footer="397" w:gutter="0"/>
          <w:cols w:space="720" w:num="1"/>
          <w:docGrid w:type="lines" w:linePitch="312" w:charSpace="0"/>
        </w:sectPr>
      </w:pPr>
    </w:p>
    <w:p>
      <w:pPr>
        <w:pStyle w:val="17"/>
        <w:rPr>
          <w:sz w:val="72"/>
          <w:szCs w:val="72"/>
        </w:rPr>
      </w:pPr>
    </w:p>
    <w:p>
      <w:pPr>
        <w:pStyle w:val="17"/>
        <w:rPr>
          <w:sz w:val="72"/>
          <w:szCs w:val="72"/>
        </w:rPr>
      </w:pPr>
    </w:p>
    <w:p>
      <w:pPr>
        <w:pStyle w:val="17"/>
        <w:rPr>
          <w:sz w:val="72"/>
          <w:szCs w:val="72"/>
        </w:rPr>
      </w:pPr>
    </w:p>
    <w:p>
      <w:pPr>
        <w:pStyle w:val="17"/>
        <w:jc w:val="center"/>
        <w:rPr>
          <w:rFonts w:ascii="方正小标宋简体" w:hAnsi="方正小标宋_GBK" w:eastAsia="方正小标宋简体" w:cs="方正小标宋_GBK"/>
          <w:spacing w:val="-20"/>
          <w:sz w:val="72"/>
          <w:szCs w:val="72"/>
        </w:rPr>
      </w:pPr>
      <w:r>
        <w:rPr>
          <w:rFonts w:hint="eastAsia" w:ascii="方正小标宋简体" w:hAnsi="方正小标宋_GBK" w:eastAsia="方正小标宋简体" w:cs="方正小标宋_GBK"/>
          <w:spacing w:val="-20"/>
          <w:sz w:val="72"/>
          <w:szCs w:val="72"/>
        </w:rPr>
        <w:t>第三部分</w:t>
      </w:r>
    </w:p>
    <w:p>
      <w:pPr>
        <w:pStyle w:val="17"/>
        <w:jc w:val="center"/>
        <w:rPr>
          <w:rFonts w:hint="eastAsia" w:ascii="方正小标宋简体" w:hAnsi="方正小标宋_GBK" w:eastAsia="方正小标宋简体" w:cs="方正小标宋_GBK"/>
          <w:spacing w:val="-20"/>
          <w:sz w:val="72"/>
          <w:szCs w:val="72"/>
        </w:rPr>
      </w:pPr>
      <w:r>
        <w:rPr>
          <w:rFonts w:hint="eastAsia" w:ascii="方正小标宋简体" w:hAnsi="方正小标宋_GBK" w:eastAsia="方正小标宋简体" w:cs="方正小标宋_GBK"/>
          <w:spacing w:val="-20"/>
          <w:sz w:val="72"/>
          <w:szCs w:val="72"/>
        </w:rPr>
        <w:t>2023年度部门决算情况说明</w:t>
      </w:r>
    </w:p>
    <w:p>
      <w:pPr>
        <w:pStyle w:val="17"/>
        <w:jc w:val="center"/>
        <w:rPr>
          <w:rFonts w:hint="eastAsia" w:ascii="方正小标宋简体" w:hAnsi="方正小标宋_GBK" w:eastAsia="方正小标宋简体" w:cs="方正小标宋_GBK"/>
          <w:spacing w:val="-20"/>
          <w:sz w:val="72"/>
          <w:szCs w:val="72"/>
        </w:rPr>
      </w:pPr>
    </w:p>
    <w:p>
      <w:pPr>
        <w:widowControl/>
        <w:jc w:val="left"/>
        <w:rPr>
          <w:rFonts w:ascii="宋体" w:hAnsi="宋体"/>
          <w:sz w:val="32"/>
          <w:szCs w:val="32"/>
        </w:rPr>
      </w:pPr>
      <w:r>
        <w:rPr>
          <w:rFonts w:hint="eastAsia" w:ascii="方正小标宋_GBK" w:hAnsi="方正小标宋_GBK" w:eastAsia="方正小标宋_GBK" w:cs="方正小标宋_GBK"/>
          <w:sz w:val="70"/>
          <w:szCs w:val="70"/>
        </w:rPr>
        <w:br w:type="page"/>
      </w:r>
    </w:p>
    <w:p>
      <w:pPr>
        <w:pStyle w:val="17"/>
        <w:widowControl w:val="0"/>
        <w:numPr>
          <w:ilvl w:val="0"/>
          <w:numId w:val="1"/>
        </w:numPr>
        <w:wordWrap/>
        <w:spacing w:line="600" w:lineRule="exact"/>
        <w:ind w:right="0"/>
        <w:jc w:val="both"/>
        <w:textAlignment w:val="auto"/>
        <w:outlineLvl w:val="9"/>
        <w:rPr>
          <w:rFonts w:hAnsi="黑体"/>
          <w:bCs/>
          <w:sz w:val="32"/>
          <w:szCs w:val="32"/>
        </w:rPr>
      </w:pPr>
      <w:r>
        <w:rPr>
          <w:rFonts w:hint="eastAsia" w:hAnsi="黑体"/>
          <w:bCs/>
          <w:sz w:val="32"/>
          <w:szCs w:val="32"/>
        </w:rPr>
        <w:t>收入支出决算总体情况说明</w:t>
      </w:r>
    </w:p>
    <w:p>
      <w:pPr>
        <w:pStyle w:val="17"/>
        <w:widowControl w:val="0"/>
        <w:wordWrap/>
        <w:spacing w:line="600" w:lineRule="exact"/>
        <w:ind w:right="0" w:firstLine="640" w:firstLineChars="200"/>
        <w:jc w:val="both"/>
        <w:textAlignment w:val="auto"/>
        <w:outlineLvl w:val="9"/>
        <w:rPr>
          <w:rFonts w:hAnsi="黑体"/>
          <w:bCs/>
          <w:color w:val="FF0000"/>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年度总收入</w:t>
      </w:r>
      <w:r>
        <w:rPr>
          <w:rFonts w:hint="eastAsia" w:ascii="Times New Roman" w:hAnsi="Times New Roman" w:eastAsia="仿宋_GB2312" w:cs="Times New Roman"/>
          <w:color w:val="auto"/>
          <w:sz w:val="32"/>
          <w:szCs w:val="32"/>
        </w:rPr>
        <w:t>11437.27</w:t>
      </w:r>
      <w:r>
        <w:rPr>
          <w:rFonts w:ascii="Times New Roman" w:hAnsi="Times New Roman" w:eastAsia="仿宋_GB2312" w:cs="Times New Roman"/>
          <w:color w:val="auto"/>
          <w:sz w:val="32"/>
          <w:szCs w:val="32"/>
        </w:rPr>
        <w:t>万元，总支出</w:t>
      </w:r>
      <w:r>
        <w:rPr>
          <w:rFonts w:hint="eastAsia" w:ascii="Times New Roman" w:hAnsi="Times New Roman" w:eastAsia="仿宋_GB2312" w:cs="Times New Roman"/>
          <w:color w:val="auto"/>
          <w:sz w:val="32"/>
          <w:szCs w:val="32"/>
        </w:rPr>
        <w:t>9568.91</w:t>
      </w:r>
      <w:r>
        <w:rPr>
          <w:rFonts w:ascii="Times New Roman" w:hAnsi="Times New Roman" w:eastAsia="仿宋_GB2312" w:cs="Times New Roman"/>
          <w:color w:val="auto"/>
          <w:sz w:val="32"/>
          <w:szCs w:val="32"/>
        </w:rPr>
        <w:t>万元。与上年相比，收入、支出分别减少</w:t>
      </w:r>
      <w:r>
        <w:rPr>
          <w:rFonts w:hint="eastAsia" w:ascii="Times New Roman" w:hAnsi="Times New Roman" w:eastAsia="仿宋_GB2312" w:cs="Times New Roman"/>
          <w:color w:val="auto"/>
          <w:sz w:val="32"/>
          <w:szCs w:val="32"/>
        </w:rPr>
        <w:t>3597.66万元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1187.06</w:t>
      </w:r>
      <w:r>
        <w:rPr>
          <w:rFonts w:ascii="Times New Roman" w:hAnsi="Times New Roman" w:eastAsia="仿宋_GB2312" w:cs="Times New Roman"/>
          <w:color w:val="auto"/>
          <w:sz w:val="32"/>
          <w:szCs w:val="32"/>
        </w:rPr>
        <w:t>万元，分别</w:t>
      </w:r>
      <w:r>
        <w:rPr>
          <w:rFonts w:hint="eastAsia" w:ascii="Times New Roman" w:hAnsi="Times New Roman" w:eastAsia="仿宋_GB2312" w:cs="Times New Roman"/>
          <w:color w:val="auto"/>
          <w:sz w:val="32"/>
          <w:szCs w:val="32"/>
        </w:rPr>
        <w:t>降低23.93</w:t>
      </w:r>
      <w:r>
        <w:rPr>
          <w:rFonts w:ascii="Times New Roman" w:hAnsi="Times New Roman" w:eastAsia="仿宋_GB2312" w:cs="Times New Roman"/>
          <w:color w:val="auto"/>
          <w:sz w:val="32"/>
          <w:szCs w:val="32"/>
        </w:rPr>
        <w:t>%、</w:t>
      </w:r>
      <w:r>
        <w:rPr>
          <w:rFonts w:ascii="Times New Roman" w:hAnsi="Times New Roman" w:eastAsia="仿宋_GB2312"/>
          <w:color w:val="auto"/>
          <w:sz w:val="32"/>
        </w:rPr>
        <w:t>11.04</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。主要原因：</w:t>
      </w:r>
      <w:r>
        <w:rPr>
          <w:rFonts w:hint="eastAsia" w:ascii="Times New Roman" w:hAnsi="Times New Roman" w:eastAsia="仿宋_GB2312"/>
          <w:color w:val="auto"/>
          <w:sz w:val="32"/>
          <w:lang w:val="zh-CN"/>
        </w:rPr>
        <w:t>收入减少主要是</w:t>
      </w:r>
      <w:r>
        <w:rPr>
          <w:rFonts w:ascii="Times New Roman" w:hAnsi="Times New Roman" w:eastAsia="仿宋_GB2312"/>
          <w:color w:val="auto"/>
          <w:sz w:val="32"/>
          <w:lang w:val="zh-CN"/>
        </w:rPr>
        <w:t>严格落实过紧日子要求，</w:t>
      </w:r>
      <w:r>
        <w:rPr>
          <w:rFonts w:hint="eastAsia" w:ascii="Times New Roman" w:hAnsi="Times New Roman" w:eastAsia="仿宋_GB2312"/>
          <w:color w:val="auto"/>
          <w:sz w:val="32"/>
          <w:lang w:val="zh-CN"/>
        </w:rPr>
        <w:t>坚持因事定财，主动压缩部门预算收入；支出减少主要是进一步</w:t>
      </w:r>
      <w:r>
        <w:rPr>
          <w:rFonts w:ascii="Times New Roman" w:hAnsi="Times New Roman" w:eastAsia="仿宋_GB2312"/>
          <w:color w:val="auto"/>
          <w:sz w:val="32"/>
          <w:lang w:val="zh-CN"/>
        </w:rPr>
        <w:t>压减一般性</w:t>
      </w:r>
      <w:r>
        <w:rPr>
          <w:rFonts w:hint="eastAsia" w:ascii="Times New Roman" w:hAnsi="Times New Roman" w:eastAsia="仿宋_GB2312"/>
          <w:color w:val="auto"/>
          <w:sz w:val="32"/>
          <w:lang w:val="zh-CN"/>
        </w:rPr>
        <w:t>行政</w:t>
      </w:r>
      <w:r>
        <w:rPr>
          <w:rFonts w:ascii="Times New Roman" w:hAnsi="Times New Roman" w:eastAsia="仿宋_GB2312"/>
          <w:color w:val="auto"/>
          <w:sz w:val="32"/>
          <w:lang w:val="zh-CN"/>
        </w:rPr>
        <w:t>支出</w:t>
      </w:r>
      <w:r>
        <w:rPr>
          <w:rFonts w:hint="eastAsia" w:ascii="Times New Roman" w:hAnsi="Times New Roman" w:eastAsia="仿宋_GB2312"/>
          <w:color w:val="auto"/>
          <w:sz w:val="32"/>
          <w:lang w:val="zh-CN"/>
        </w:rPr>
        <w:t>，且部分项目受政策影响取消执行。</w:t>
      </w:r>
    </w:p>
    <w:p>
      <w:pPr>
        <w:pStyle w:val="17"/>
        <w:widowControl w:val="0"/>
        <w:wordWrap/>
        <w:spacing w:line="600" w:lineRule="exact"/>
        <w:ind w:right="0" w:firstLine="640" w:firstLineChars="200"/>
        <w:jc w:val="both"/>
        <w:textAlignment w:val="auto"/>
        <w:outlineLvl w:val="9"/>
        <w:rPr>
          <w:rFonts w:hAnsi="黑体"/>
          <w:bCs/>
          <w:sz w:val="32"/>
          <w:szCs w:val="32"/>
        </w:rPr>
      </w:pPr>
      <w:r>
        <w:rPr>
          <w:rFonts w:hint="eastAsia" w:hAnsi="黑体"/>
          <w:bCs/>
          <w:sz w:val="32"/>
          <w:szCs w:val="32"/>
        </w:rPr>
        <w:t>二、收入决算情况说明</w:t>
      </w:r>
    </w:p>
    <w:p>
      <w:pPr>
        <w:pStyle w:val="17"/>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2023年度收入合计</w:t>
      </w:r>
      <w:r>
        <w:rPr>
          <w:rFonts w:hint="eastAsia" w:ascii="Times New Roman" w:hAnsi="Times New Roman" w:eastAsia="仿宋_GB2312" w:cs="Times New Roman"/>
          <w:color w:val="auto"/>
          <w:sz w:val="32"/>
          <w:szCs w:val="32"/>
        </w:rPr>
        <w:t>11437.27</w:t>
      </w:r>
      <w:r>
        <w:rPr>
          <w:rFonts w:hint="eastAsia" w:ascii="Times New Roman" w:hAnsi="Times New Roman" w:eastAsia="仿宋_GB2312"/>
          <w:sz w:val="32"/>
          <w:szCs w:val="32"/>
        </w:rPr>
        <w:t>万元，其中：财政拨款收入</w:t>
      </w:r>
      <w:r>
        <w:rPr>
          <w:rFonts w:hint="eastAsia" w:ascii="Times New Roman" w:hAnsi="Times New Roman" w:eastAsia="仿宋_GB2312" w:cs="Times New Roman"/>
          <w:color w:val="auto"/>
          <w:sz w:val="32"/>
          <w:szCs w:val="32"/>
        </w:rPr>
        <w:t>11437.27</w:t>
      </w:r>
      <w:r>
        <w:rPr>
          <w:rFonts w:hint="eastAsia" w:ascii="Times New Roman" w:hAnsi="Times New Roman" w:eastAsia="仿宋_GB2312"/>
          <w:sz w:val="32"/>
          <w:szCs w:val="32"/>
        </w:rPr>
        <w:t>万元，占100%；上级补助收入0万元，占0%；事业收入0万元，占0%；经营收入0万元，占0%；附属单位上缴收入0万元，占0%；其他收入0万元，占0%。</w:t>
      </w:r>
    </w:p>
    <w:p>
      <w:pPr>
        <w:pStyle w:val="17"/>
        <w:widowControl w:val="0"/>
        <w:wordWrap/>
        <w:spacing w:line="600" w:lineRule="exact"/>
        <w:ind w:right="0" w:firstLine="640" w:firstLineChars="200"/>
        <w:jc w:val="both"/>
        <w:textAlignment w:val="auto"/>
        <w:outlineLvl w:val="9"/>
        <w:rPr>
          <w:rFonts w:hAnsi="黑体"/>
          <w:bCs/>
          <w:sz w:val="32"/>
          <w:szCs w:val="32"/>
        </w:rPr>
      </w:pPr>
      <w:r>
        <w:rPr>
          <w:rFonts w:hint="eastAsia" w:hAnsi="黑体"/>
          <w:bCs/>
          <w:sz w:val="32"/>
          <w:szCs w:val="32"/>
        </w:rPr>
        <w:t>三、支出决算情况说明</w:t>
      </w:r>
    </w:p>
    <w:p>
      <w:pPr>
        <w:pStyle w:val="17"/>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2023年度支出合计9568.91万元，其中：基本支出</w:t>
      </w:r>
      <w:r>
        <w:rPr>
          <w:rFonts w:ascii="Times New Roman" w:hAnsi="Times New Roman" w:eastAsia="仿宋_GB2312"/>
          <w:sz w:val="32"/>
        </w:rPr>
        <w:t>6237.39</w:t>
      </w:r>
      <w:r>
        <w:rPr>
          <w:rFonts w:hint="eastAsia" w:ascii="Times New Roman" w:hAnsi="Times New Roman" w:eastAsia="仿宋_GB2312"/>
          <w:sz w:val="32"/>
          <w:szCs w:val="32"/>
        </w:rPr>
        <w:t>万元，占65.18%；项目支出</w:t>
      </w:r>
      <w:r>
        <w:rPr>
          <w:rFonts w:ascii="Times New Roman" w:hAnsi="Times New Roman" w:eastAsia="仿宋_GB2312"/>
          <w:sz w:val="32"/>
        </w:rPr>
        <w:t>3331.52</w:t>
      </w:r>
      <w:r>
        <w:rPr>
          <w:rFonts w:hint="eastAsia" w:ascii="Times New Roman" w:hAnsi="Times New Roman" w:eastAsia="仿宋_GB2312"/>
          <w:sz w:val="32"/>
          <w:szCs w:val="32"/>
        </w:rPr>
        <w:t>万元，占34.82%；上缴上级支出0万元，占0%；经营支出0万元，占0%；对附属单位补助支出0万元，占0%。</w:t>
      </w:r>
    </w:p>
    <w:p>
      <w:pPr>
        <w:pStyle w:val="17"/>
        <w:widowControl w:val="0"/>
        <w:wordWrap/>
        <w:spacing w:line="600" w:lineRule="exact"/>
        <w:ind w:right="0" w:firstLine="640" w:firstLineChars="200"/>
        <w:jc w:val="both"/>
        <w:textAlignment w:val="auto"/>
        <w:outlineLvl w:val="9"/>
        <w:rPr>
          <w:rFonts w:hAnsi="黑体"/>
          <w:bCs/>
          <w:sz w:val="32"/>
          <w:szCs w:val="32"/>
        </w:rPr>
      </w:pPr>
      <w:r>
        <w:rPr>
          <w:rFonts w:hint="eastAsia" w:hAnsi="黑体"/>
          <w:bCs/>
          <w:sz w:val="32"/>
          <w:szCs w:val="32"/>
        </w:rPr>
        <w:t>四、财政拨款收入支出决算总体情况说明</w:t>
      </w:r>
    </w:p>
    <w:p>
      <w:pPr>
        <w:pStyle w:val="17"/>
        <w:widowControl w:val="0"/>
        <w:wordWrap/>
        <w:spacing w:line="600" w:lineRule="exact"/>
        <w:ind w:right="0" w:firstLine="640" w:firstLineChars="200"/>
        <w:jc w:val="both"/>
        <w:textAlignment w:val="auto"/>
        <w:outlineLvl w:val="9"/>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年度总收入</w:t>
      </w:r>
      <w:r>
        <w:rPr>
          <w:rFonts w:hint="eastAsia" w:ascii="Times New Roman" w:hAnsi="Times New Roman" w:eastAsia="仿宋_GB2312" w:cs="Times New Roman"/>
          <w:color w:val="auto"/>
          <w:sz w:val="32"/>
          <w:szCs w:val="32"/>
        </w:rPr>
        <w:t>11437.27</w:t>
      </w:r>
      <w:r>
        <w:rPr>
          <w:rFonts w:ascii="Times New Roman" w:hAnsi="Times New Roman" w:eastAsia="仿宋_GB2312" w:cs="Times New Roman"/>
          <w:color w:val="auto"/>
          <w:sz w:val="32"/>
          <w:szCs w:val="32"/>
        </w:rPr>
        <w:t>万元，总支出</w:t>
      </w:r>
      <w:r>
        <w:rPr>
          <w:rFonts w:hint="eastAsia" w:ascii="Times New Roman" w:hAnsi="Times New Roman" w:eastAsia="仿宋_GB2312" w:cs="Times New Roman"/>
          <w:color w:val="auto"/>
          <w:sz w:val="32"/>
          <w:szCs w:val="32"/>
        </w:rPr>
        <w:t>9568.91</w:t>
      </w:r>
      <w:r>
        <w:rPr>
          <w:rFonts w:ascii="Times New Roman" w:hAnsi="Times New Roman" w:eastAsia="仿宋_GB2312" w:cs="Times New Roman"/>
          <w:color w:val="auto"/>
          <w:sz w:val="32"/>
          <w:szCs w:val="32"/>
        </w:rPr>
        <w:t>万元。与上年相比，收入、支出分别减少</w:t>
      </w:r>
      <w:r>
        <w:rPr>
          <w:rFonts w:hint="eastAsia" w:ascii="Times New Roman" w:hAnsi="Times New Roman" w:eastAsia="仿宋_GB2312" w:cs="Times New Roman"/>
          <w:color w:val="auto"/>
          <w:sz w:val="32"/>
          <w:szCs w:val="32"/>
        </w:rPr>
        <w:t>3597.66万元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1187.06</w:t>
      </w:r>
      <w:r>
        <w:rPr>
          <w:rFonts w:ascii="Times New Roman" w:hAnsi="Times New Roman" w:eastAsia="仿宋_GB2312" w:cs="Times New Roman"/>
          <w:color w:val="auto"/>
          <w:sz w:val="32"/>
          <w:szCs w:val="32"/>
        </w:rPr>
        <w:t>万元，分别减少</w:t>
      </w:r>
      <w:r>
        <w:rPr>
          <w:rFonts w:hint="eastAsia" w:ascii="Times New Roman" w:hAnsi="Times New Roman" w:eastAsia="仿宋_GB2312" w:cs="Times New Roman"/>
          <w:color w:val="auto"/>
          <w:sz w:val="32"/>
          <w:szCs w:val="32"/>
        </w:rPr>
        <w:t>23.93</w:t>
      </w:r>
      <w:r>
        <w:rPr>
          <w:rFonts w:ascii="Times New Roman" w:hAnsi="Times New Roman" w:eastAsia="仿宋_GB2312" w:cs="Times New Roman"/>
          <w:color w:val="auto"/>
          <w:sz w:val="32"/>
          <w:szCs w:val="32"/>
        </w:rPr>
        <w:t>%、</w:t>
      </w:r>
      <w:r>
        <w:rPr>
          <w:rFonts w:ascii="Times New Roman" w:hAnsi="Times New Roman" w:eastAsia="仿宋_GB2312"/>
          <w:color w:val="auto"/>
          <w:sz w:val="32"/>
        </w:rPr>
        <w:t>11.04</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。主要原因：</w:t>
      </w:r>
      <w:r>
        <w:rPr>
          <w:rFonts w:hint="eastAsia" w:ascii="Times New Roman" w:hAnsi="Times New Roman" w:eastAsia="仿宋_GB2312"/>
          <w:color w:val="auto"/>
          <w:sz w:val="32"/>
          <w:lang w:val="zh-CN"/>
        </w:rPr>
        <w:t>收入减少主要是</w:t>
      </w:r>
      <w:r>
        <w:rPr>
          <w:rFonts w:ascii="Times New Roman" w:hAnsi="Times New Roman" w:eastAsia="仿宋_GB2312"/>
          <w:color w:val="auto"/>
          <w:sz w:val="32"/>
          <w:lang w:val="zh-CN"/>
        </w:rPr>
        <w:t>严格落实过紧日子要求，</w:t>
      </w:r>
      <w:r>
        <w:rPr>
          <w:rFonts w:hint="eastAsia" w:ascii="Times New Roman" w:hAnsi="Times New Roman" w:eastAsia="仿宋_GB2312"/>
          <w:color w:val="auto"/>
          <w:sz w:val="32"/>
          <w:lang w:val="zh-CN"/>
        </w:rPr>
        <w:t>坚持因事定财，主动压缩部门预算收入；支出减少主要是进一步</w:t>
      </w:r>
      <w:r>
        <w:rPr>
          <w:rFonts w:ascii="Times New Roman" w:hAnsi="Times New Roman" w:eastAsia="仿宋_GB2312"/>
          <w:color w:val="auto"/>
          <w:sz w:val="32"/>
          <w:lang w:val="zh-CN"/>
        </w:rPr>
        <w:t>压减一般性</w:t>
      </w:r>
      <w:r>
        <w:rPr>
          <w:rFonts w:hint="eastAsia" w:ascii="Times New Roman" w:hAnsi="Times New Roman" w:eastAsia="仿宋_GB2312"/>
          <w:color w:val="auto"/>
          <w:sz w:val="32"/>
          <w:lang w:val="zh-CN"/>
        </w:rPr>
        <w:t>行政</w:t>
      </w:r>
      <w:r>
        <w:rPr>
          <w:rFonts w:ascii="Times New Roman" w:hAnsi="Times New Roman" w:eastAsia="仿宋_GB2312"/>
          <w:color w:val="auto"/>
          <w:sz w:val="32"/>
          <w:lang w:val="zh-CN"/>
        </w:rPr>
        <w:t>支出</w:t>
      </w:r>
      <w:r>
        <w:rPr>
          <w:rFonts w:hint="eastAsia" w:ascii="Times New Roman" w:hAnsi="Times New Roman" w:eastAsia="仿宋_GB2312"/>
          <w:color w:val="auto"/>
          <w:sz w:val="32"/>
          <w:lang w:val="zh-CN"/>
        </w:rPr>
        <w:t>，且部分项目受政策影响取消执行。</w:t>
      </w:r>
    </w:p>
    <w:p>
      <w:pPr>
        <w:pStyle w:val="17"/>
        <w:widowControl w:val="0"/>
        <w:wordWrap/>
        <w:spacing w:line="600" w:lineRule="exact"/>
        <w:ind w:right="0" w:firstLine="640" w:firstLineChars="200"/>
        <w:jc w:val="both"/>
        <w:textAlignment w:val="auto"/>
        <w:outlineLvl w:val="9"/>
        <w:rPr>
          <w:rFonts w:hAnsi="黑体"/>
          <w:bCs/>
          <w:color w:val="auto"/>
          <w:sz w:val="32"/>
          <w:szCs w:val="32"/>
        </w:rPr>
      </w:pPr>
      <w:r>
        <w:rPr>
          <w:rFonts w:hint="eastAsia" w:hAnsi="黑体"/>
          <w:bCs/>
          <w:color w:val="auto"/>
          <w:sz w:val="32"/>
          <w:szCs w:val="32"/>
        </w:rPr>
        <w:t>五、一般公共预算财政拨款支出决算情况说明</w:t>
      </w:r>
    </w:p>
    <w:p>
      <w:pPr>
        <w:pStyle w:val="17"/>
        <w:widowControl w:val="0"/>
        <w:wordWrap/>
        <w:spacing w:line="600" w:lineRule="exact"/>
        <w:ind w:right="0" w:firstLine="640" w:firstLineChars="200"/>
        <w:jc w:val="both"/>
        <w:textAlignment w:val="auto"/>
        <w:outlineLvl w:val="9"/>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pPr>
        <w:pStyle w:val="17"/>
        <w:widowControl w:val="0"/>
        <w:wordWrap/>
        <w:spacing w:line="600" w:lineRule="exact"/>
        <w:ind w:right="0" w:firstLine="640" w:firstLineChars="200"/>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color w:val="auto"/>
          <w:sz w:val="32"/>
          <w:szCs w:val="32"/>
        </w:rPr>
        <w:t>2023年度财政拨款支出9568.91万元，占本年支出合计的100%，与上年相比，财政拨款支出减少1187.06万元，减少11.04%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主要原因：一是</w:t>
      </w:r>
      <w:r>
        <w:rPr>
          <w:rFonts w:ascii="Times New Roman" w:hAnsi="Times New Roman" w:eastAsia="仿宋_GB2312" w:cs="Times New Roman"/>
          <w:color w:val="auto"/>
          <w:sz w:val="32"/>
          <w:szCs w:val="32"/>
        </w:rPr>
        <w:t>严格落实</w:t>
      </w:r>
      <w:r>
        <w:rPr>
          <w:rFonts w:hint="eastAsia" w:ascii="Times New Roman" w:hAnsi="Times New Roman" w:eastAsia="仿宋_GB2312" w:cs="Times New Roman"/>
          <w:color w:val="auto"/>
          <w:sz w:val="32"/>
          <w:szCs w:val="32"/>
          <w:lang w:eastAsia="zh-CN"/>
        </w:rPr>
        <w:t>过</w:t>
      </w:r>
      <w:r>
        <w:rPr>
          <w:rFonts w:ascii="Times New Roman" w:hAnsi="Times New Roman" w:eastAsia="仿宋_GB2312" w:cs="Times New Roman"/>
          <w:color w:val="auto"/>
          <w:sz w:val="32"/>
          <w:szCs w:val="32"/>
        </w:rPr>
        <w:t>紧日子要求，</w:t>
      </w:r>
      <w:r>
        <w:rPr>
          <w:rFonts w:hint="eastAsia" w:ascii="Times New Roman" w:hAnsi="Times New Roman" w:eastAsia="仿宋_GB2312" w:cs="Times New Roman"/>
          <w:color w:val="auto"/>
          <w:sz w:val="32"/>
          <w:szCs w:val="32"/>
          <w:lang w:eastAsia="zh-CN"/>
        </w:rPr>
        <w:t>对</w:t>
      </w:r>
      <w:r>
        <w:rPr>
          <w:rFonts w:ascii="Times New Roman" w:hAnsi="Times New Roman" w:eastAsia="仿宋_GB2312" w:cs="Times New Roman"/>
          <w:color w:val="auto"/>
          <w:sz w:val="32"/>
          <w:szCs w:val="32"/>
        </w:rPr>
        <w:t>一般性</w:t>
      </w:r>
      <w:r>
        <w:rPr>
          <w:rFonts w:hint="eastAsia" w:ascii="Times New Roman" w:hAnsi="Times New Roman" w:eastAsia="仿宋_GB2312" w:cs="Times New Roman"/>
          <w:color w:val="auto"/>
          <w:sz w:val="32"/>
          <w:szCs w:val="32"/>
        </w:rPr>
        <w:t>行政</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持续予以压减</w:t>
      </w:r>
      <w:r>
        <w:rPr>
          <w:rFonts w:hint="eastAsia" w:ascii="Times New Roman" w:hAnsi="Times New Roman" w:eastAsia="仿宋_GB2312" w:cs="Times New Roman"/>
          <w:color w:val="auto"/>
          <w:sz w:val="32"/>
          <w:szCs w:val="32"/>
        </w:rPr>
        <w:t>，对项目经费支出从严</w:t>
      </w:r>
      <w:r>
        <w:rPr>
          <w:rFonts w:hint="eastAsia" w:ascii="Times New Roman" w:hAnsi="Times New Roman" w:eastAsia="仿宋_GB2312" w:cs="Times New Roman"/>
          <w:color w:val="auto"/>
          <w:sz w:val="32"/>
          <w:szCs w:val="32"/>
          <w:lang w:eastAsia="zh-CN"/>
        </w:rPr>
        <w:t>审核把关</w:t>
      </w:r>
      <w:r>
        <w:rPr>
          <w:rFonts w:hint="eastAsia" w:ascii="Times New Roman" w:hAnsi="Times New Roman" w:eastAsia="仿宋_GB2312" w:cs="Times New Roman"/>
          <w:color w:val="auto"/>
          <w:sz w:val="32"/>
          <w:szCs w:val="32"/>
        </w:rPr>
        <w:t>；</w:t>
      </w:r>
      <w:r>
        <w:rPr>
          <w:rFonts w:hint="eastAsia" w:ascii="仿宋_GB2312" w:hAnsi="Times New Roman" w:eastAsia="仿宋_GB2312" w:cs="Times New Roman"/>
          <w:color w:val="auto"/>
          <w:sz w:val="32"/>
          <w:szCs w:val="32"/>
        </w:rPr>
        <w:t>二是受政策影响，</w:t>
      </w:r>
      <w:r>
        <w:rPr>
          <w:rFonts w:hint="eastAsia" w:ascii="仿宋_GB2312" w:hAnsi="Times New Roman" w:eastAsia="仿宋_GB2312" w:cs="Times New Roman"/>
          <w:color w:val="auto"/>
          <w:sz w:val="32"/>
          <w:szCs w:val="32"/>
          <w:lang w:eastAsia="zh-CN"/>
        </w:rPr>
        <w:t>部分</w:t>
      </w:r>
      <w:r>
        <w:rPr>
          <w:rFonts w:hint="eastAsia" w:ascii="仿宋_GB2312" w:hAnsi="Times New Roman" w:eastAsia="仿宋_GB2312" w:cs="Times New Roman"/>
          <w:color w:val="auto"/>
          <w:sz w:val="32"/>
          <w:szCs w:val="32"/>
        </w:rPr>
        <w:t>项目取消执行。</w:t>
      </w:r>
    </w:p>
    <w:p>
      <w:pPr>
        <w:pStyle w:val="17"/>
        <w:widowControl w:val="0"/>
        <w:wordWrap/>
        <w:spacing w:line="600" w:lineRule="exact"/>
        <w:ind w:right="0" w:firstLine="640" w:firstLineChars="200"/>
        <w:jc w:val="both"/>
        <w:textAlignment w:val="auto"/>
        <w:outlineLvl w:val="9"/>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pPr>
        <w:pStyle w:val="17"/>
        <w:widowControl w:val="0"/>
        <w:wordWrap/>
        <w:spacing w:line="600" w:lineRule="exact"/>
        <w:ind w:right="0" w:firstLine="640" w:firstLineChars="200"/>
        <w:jc w:val="both"/>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2023年度财政拨款支出</w:t>
      </w:r>
      <w:r>
        <w:rPr>
          <w:rFonts w:ascii="Times New Roman" w:hAnsi="Times New Roman" w:eastAsia="仿宋_GB2312"/>
          <w:color w:val="auto"/>
          <w:sz w:val="32"/>
        </w:rPr>
        <w:t>9568.91</w:t>
      </w:r>
      <w:r>
        <w:rPr>
          <w:rFonts w:hint="eastAsia" w:ascii="Times New Roman" w:hAnsi="Times New Roman" w:eastAsia="仿宋_GB2312"/>
          <w:color w:val="auto"/>
          <w:sz w:val="32"/>
          <w:szCs w:val="32"/>
        </w:rPr>
        <w:t>万元，主要用于以下方面：一般公共服务（类）支出</w:t>
      </w:r>
      <w:r>
        <w:rPr>
          <w:rFonts w:ascii="Times New Roman" w:hAnsi="Times New Roman" w:eastAsia="仿宋_GB2312"/>
          <w:color w:val="auto"/>
          <w:sz w:val="32"/>
        </w:rPr>
        <w:t>7720.07</w:t>
      </w:r>
      <w:r>
        <w:rPr>
          <w:rFonts w:hint="eastAsia" w:ascii="Times New Roman" w:hAnsi="Times New Roman" w:eastAsia="仿宋_GB2312"/>
          <w:color w:val="auto"/>
          <w:sz w:val="32"/>
          <w:szCs w:val="32"/>
        </w:rPr>
        <w:t>万元，占80.67%；教育（类）支出</w:t>
      </w:r>
      <w:r>
        <w:rPr>
          <w:rFonts w:ascii="Times New Roman" w:hAnsi="Times New Roman" w:eastAsia="仿宋_GB2312"/>
          <w:color w:val="auto"/>
          <w:sz w:val="32"/>
        </w:rPr>
        <w:t>39.61</w:t>
      </w:r>
      <w:r>
        <w:rPr>
          <w:rFonts w:hint="eastAsia" w:ascii="Times New Roman" w:hAnsi="Times New Roman" w:eastAsia="仿宋_GB2312"/>
          <w:color w:val="auto"/>
          <w:sz w:val="32"/>
          <w:szCs w:val="32"/>
        </w:rPr>
        <w:t>万元，占0.42%;</w:t>
      </w:r>
      <w:r>
        <w:rPr>
          <w:rFonts w:ascii="Times New Roman" w:hAnsi="Times New Roman" w:eastAsia="仿宋_GB2312"/>
          <w:color w:val="auto"/>
          <w:sz w:val="32"/>
          <w:szCs w:val="32"/>
        </w:rPr>
        <w:t>社会保障和就业</w:t>
      </w:r>
      <w:r>
        <w:rPr>
          <w:rFonts w:hint="eastAsia" w:ascii="Times New Roman" w:hAnsi="Times New Roman" w:eastAsia="仿宋_GB2312"/>
          <w:color w:val="auto"/>
          <w:sz w:val="32"/>
          <w:szCs w:val="32"/>
        </w:rPr>
        <w:t>（类）</w:t>
      </w:r>
      <w:r>
        <w:rPr>
          <w:rFonts w:ascii="Times New Roman" w:hAnsi="Times New Roman" w:eastAsia="仿宋_GB2312"/>
          <w:color w:val="auto"/>
          <w:sz w:val="32"/>
          <w:szCs w:val="32"/>
        </w:rPr>
        <w:t>支出</w:t>
      </w:r>
      <w:r>
        <w:rPr>
          <w:rFonts w:ascii="Times New Roman" w:hAnsi="Times New Roman" w:eastAsia="仿宋_GB2312"/>
          <w:color w:val="auto"/>
          <w:sz w:val="32"/>
        </w:rPr>
        <w:t>708.8</w:t>
      </w:r>
      <w:r>
        <w:rPr>
          <w:rFonts w:hint="eastAsia" w:ascii="Times New Roman" w:hAnsi="Times New Roman" w:eastAsia="仿宋_GB2312"/>
          <w:color w:val="auto"/>
          <w:sz w:val="32"/>
        </w:rPr>
        <w:t>2</w:t>
      </w:r>
      <w:r>
        <w:rPr>
          <w:rFonts w:ascii="Times New Roman" w:hAnsi="Times New Roman" w:eastAsia="仿宋_GB2312"/>
          <w:color w:val="auto"/>
          <w:sz w:val="32"/>
          <w:szCs w:val="32"/>
        </w:rPr>
        <w:t>万元，占7.41%；卫生健康支出658.11万元，占6.88%；住房保障支出442.29万元，占4.62%。</w:t>
      </w:r>
    </w:p>
    <w:p>
      <w:pPr>
        <w:pStyle w:val="17"/>
        <w:widowControl w:val="0"/>
        <w:wordWrap/>
        <w:spacing w:line="600" w:lineRule="exact"/>
        <w:ind w:right="0" w:firstLine="640" w:firstLineChars="200"/>
        <w:jc w:val="both"/>
        <w:textAlignment w:val="auto"/>
        <w:outlineLvl w:val="9"/>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pPr>
        <w:pStyle w:val="17"/>
        <w:widowControl w:val="0"/>
        <w:wordWrap/>
        <w:spacing w:line="600" w:lineRule="exact"/>
        <w:ind w:right="0" w:firstLine="640" w:firstLineChars="200"/>
        <w:jc w:val="both"/>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2023年度财政拨款支出全年预算数为11437.27万元，支出决算数为9568.91万元，完成全年预算的83.66%，其中：</w:t>
      </w:r>
    </w:p>
    <w:p>
      <w:pPr>
        <w:pStyle w:val="17"/>
        <w:widowControl w:val="0"/>
        <w:wordWrap/>
        <w:spacing w:line="600" w:lineRule="exact"/>
        <w:ind w:right="0" w:firstLine="643" w:firstLineChars="200"/>
        <w:jc w:val="both"/>
        <w:textAlignment w:val="auto"/>
        <w:outlineLvl w:val="9"/>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1.一般公共服务（类）组织事务（款）行政运行（项）</w:t>
      </w:r>
    </w:p>
    <w:p>
      <w:pPr>
        <w:widowControl w:val="0"/>
        <w:wordWrap/>
        <w:spacing w:line="600" w:lineRule="exact"/>
        <w:ind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为</w:t>
      </w:r>
      <w:r>
        <w:rPr>
          <w:rFonts w:hint="eastAsia" w:ascii="Times New Roman" w:hAnsi="Times New Roman" w:eastAsia="仿宋_GB2312"/>
          <w:kern w:val="10"/>
          <w:sz w:val="32"/>
          <w:szCs w:val="32"/>
        </w:rPr>
        <w:t>4599.73</w:t>
      </w:r>
      <w:r>
        <w:rPr>
          <w:rFonts w:ascii="Times New Roman" w:hAnsi="Times New Roman" w:eastAsia="仿宋_GB2312" w:cs="Times New Roman"/>
          <w:sz w:val="32"/>
          <w:szCs w:val="32"/>
        </w:rPr>
        <w:t>万元，支出决算为</w:t>
      </w:r>
      <w:r>
        <w:rPr>
          <w:rFonts w:hint="eastAsia" w:ascii="Times New Roman" w:hAnsi="Times New Roman" w:eastAsia="仿宋_GB2312"/>
          <w:kern w:val="10"/>
          <w:sz w:val="32"/>
          <w:szCs w:val="32"/>
        </w:rPr>
        <w:t>4438.78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96.5</w:t>
      </w:r>
      <w:r>
        <w:rPr>
          <w:rFonts w:ascii="Times New Roman" w:hAnsi="Times New Roman" w:eastAsia="仿宋_GB2312" w:cs="Times New Roman"/>
          <w:sz w:val="32"/>
          <w:szCs w:val="32"/>
        </w:rPr>
        <w:t xml:space="preserve"> %。</w:t>
      </w:r>
    </w:p>
    <w:p>
      <w:pPr>
        <w:pStyle w:val="17"/>
        <w:widowControl w:val="0"/>
        <w:wordWrap/>
        <w:spacing w:line="600" w:lineRule="exact"/>
        <w:ind w:right="0" w:firstLine="611" w:firstLineChars="200"/>
        <w:jc w:val="both"/>
        <w:textAlignment w:val="auto"/>
        <w:outlineLvl w:val="9"/>
        <w:rPr>
          <w:rFonts w:ascii="Times New Roman" w:hAnsi="Times New Roman" w:eastAsia="仿宋_GB2312" w:cs="Times New Roman"/>
          <w:b/>
          <w:color w:val="auto"/>
          <w:spacing w:val="-8"/>
          <w:sz w:val="32"/>
          <w:szCs w:val="32"/>
        </w:rPr>
      </w:pPr>
      <w:r>
        <w:rPr>
          <w:rFonts w:ascii="Times New Roman" w:hAnsi="Times New Roman" w:eastAsia="仿宋_GB2312" w:cs="Times New Roman"/>
          <w:b/>
          <w:color w:val="auto"/>
          <w:spacing w:val="-8"/>
          <w:sz w:val="32"/>
          <w:szCs w:val="32"/>
        </w:rPr>
        <w:t>2.一般公共服务（类）组织事务（款）一般行政管理事务（项）</w:t>
      </w:r>
    </w:p>
    <w:p>
      <w:pPr>
        <w:pStyle w:val="17"/>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color w:val="auto"/>
          <w:spacing w:val="-4"/>
          <w:sz w:val="32"/>
          <w:szCs w:val="32"/>
        </w:rPr>
      </w:pPr>
      <w:r>
        <w:rPr>
          <w:rFonts w:hint="eastAsia" w:ascii="Times New Roman" w:hAnsi="Times New Roman" w:eastAsia="仿宋_GB2312" w:cs="Times New Roman"/>
          <w:sz w:val="32"/>
          <w:szCs w:val="32"/>
        </w:rPr>
        <w:t>全年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4563.26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3281.3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71.91</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rPr>
        <w:t>：</w:t>
      </w:r>
      <w:r>
        <w:rPr>
          <w:rFonts w:hint="eastAsia" w:ascii="Times New Roman" w:hAnsi="Times New Roman" w:eastAsia="仿宋_GB2312"/>
          <w:color w:val="auto"/>
          <w:sz w:val="32"/>
          <w:szCs w:val="32"/>
        </w:rPr>
        <w:t>一是</w:t>
      </w:r>
      <w:r>
        <w:rPr>
          <w:rFonts w:hint="eastAsia" w:ascii="Times New Roman" w:hAnsi="Times New Roman" w:eastAsia="仿宋_GB2312"/>
          <w:color w:val="auto"/>
          <w:sz w:val="32"/>
          <w:szCs w:val="32"/>
          <w:lang w:eastAsia="zh-CN"/>
        </w:rPr>
        <w:t>对</w:t>
      </w:r>
      <w:r>
        <w:rPr>
          <w:rFonts w:hint="eastAsia" w:ascii="Times New Roman" w:hAnsi="Times New Roman" w:eastAsia="仿宋_GB2312" w:cs="Times New Roman"/>
          <w:color w:val="auto"/>
          <w:sz w:val="32"/>
          <w:szCs w:val="32"/>
        </w:rPr>
        <w:t>项目经费支出从严</w:t>
      </w:r>
      <w:r>
        <w:rPr>
          <w:rFonts w:hint="eastAsia" w:ascii="Times New Roman" w:hAnsi="Times New Roman" w:eastAsia="仿宋_GB2312" w:cs="Times New Roman"/>
          <w:color w:val="auto"/>
          <w:sz w:val="32"/>
          <w:szCs w:val="32"/>
          <w:lang w:eastAsia="zh-CN"/>
        </w:rPr>
        <w:t>审核把关，不断提升资金使用效能</w:t>
      </w:r>
      <w:r>
        <w:rPr>
          <w:rFonts w:hint="eastAsia" w:ascii="Times New Roman" w:hAnsi="Times New Roman" w:eastAsia="仿宋_GB2312" w:cs="Times New Roman"/>
          <w:color w:val="auto"/>
          <w:sz w:val="32"/>
          <w:szCs w:val="32"/>
        </w:rPr>
        <w:t>；</w:t>
      </w:r>
      <w:r>
        <w:rPr>
          <w:rFonts w:hint="eastAsia" w:ascii="仿宋_GB2312" w:hAnsi="Times New Roman" w:eastAsia="仿宋_GB2312" w:cs="Times New Roman"/>
          <w:color w:val="auto"/>
          <w:sz w:val="32"/>
          <w:szCs w:val="32"/>
        </w:rPr>
        <w:t>二是</w:t>
      </w:r>
      <w:r>
        <w:rPr>
          <w:rFonts w:hint="eastAsia" w:ascii="仿宋_GB2312" w:hAnsi="Times New Roman" w:eastAsia="仿宋_GB2312" w:cs="Times New Roman"/>
          <w:color w:val="auto"/>
          <w:sz w:val="32"/>
          <w:szCs w:val="32"/>
          <w:lang w:eastAsia="zh-CN"/>
        </w:rPr>
        <w:t>因工作计划调整，</w:t>
      </w:r>
      <w:r>
        <w:rPr>
          <w:rFonts w:hint="eastAsia" w:ascii="仿宋_GB2312" w:hAnsi="Times New Roman" w:eastAsia="仿宋_GB2312" w:cs="Times New Roman"/>
          <w:color w:val="auto"/>
          <w:spacing w:val="-4"/>
          <w:sz w:val="32"/>
          <w:szCs w:val="32"/>
          <w:lang w:val="en-US" w:eastAsia="zh-CN"/>
        </w:rPr>
        <w:t>部分项目支出较年初预算规模缩小</w:t>
      </w:r>
      <w:r>
        <w:rPr>
          <w:rFonts w:hint="eastAsia" w:ascii="仿宋_GB2312" w:hAnsi="Times New Roman" w:eastAsia="仿宋_GB2312" w:cs="Times New Roman"/>
          <w:color w:val="auto"/>
          <w:spacing w:val="-4"/>
          <w:sz w:val="32"/>
          <w:szCs w:val="32"/>
        </w:rPr>
        <w:t>。</w:t>
      </w:r>
    </w:p>
    <w:p>
      <w:pPr>
        <w:pStyle w:val="17"/>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3.教育支出（类）进修及培训（款）培训支出（项）</w:t>
      </w:r>
    </w:p>
    <w:p>
      <w:pPr>
        <w:pStyle w:val="17"/>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szCs w:val="32"/>
        </w:rPr>
        <w:t>全年</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rPr>
        <w:t>收入</w:t>
      </w:r>
      <w:r>
        <w:rPr>
          <w:rFonts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rPr>
        <w:t>461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39.61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8.59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受政策影响</w:t>
      </w:r>
      <w:r>
        <w:rPr>
          <w:rFonts w:hint="eastAsia" w:ascii="Times New Roman" w:hAnsi="Times New Roman" w:eastAsia="仿宋_GB2312" w:cs="Times New Roman"/>
          <w:color w:val="auto"/>
          <w:sz w:val="32"/>
          <w:szCs w:val="32"/>
          <w:lang w:eastAsia="zh-CN"/>
        </w:rPr>
        <w:t>，出国（境）培训等项目</w:t>
      </w:r>
      <w:r>
        <w:rPr>
          <w:rFonts w:hint="eastAsia" w:ascii="Times New Roman" w:hAnsi="Times New Roman" w:eastAsia="仿宋_GB2312" w:cs="Times New Roman"/>
          <w:color w:val="auto"/>
          <w:sz w:val="32"/>
          <w:szCs w:val="32"/>
        </w:rPr>
        <w:t>取消</w:t>
      </w:r>
      <w:r>
        <w:rPr>
          <w:rFonts w:ascii="Times New Roman" w:hAnsi="Times New Roman" w:eastAsia="仿宋_GB2312" w:cs="Times New Roman"/>
          <w:color w:val="auto"/>
          <w:sz w:val="32"/>
          <w:lang w:val="zh-CN"/>
        </w:rPr>
        <w:t>。</w:t>
      </w:r>
    </w:p>
    <w:p>
      <w:pPr>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4</w:t>
      </w:r>
      <w:r>
        <w:rPr>
          <w:rFonts w:ascii="Times New Roman" w:hAnsi="Times New Roman" w:eastAsia="仿宋_GB2312" w:cs="Times New Roman"/>
          <w:b/>
          <w:sz w:val="32"/>
          <w:szCs w:val="32"/>
        </w:rPr>
        <w:t>.社会保障和就业支出(类)行政事业单位养老支出(款)行政单位离退休(项)</w:t>
      </w:r>
    </w:p>
    <w:p>
      <w:pPr>
        <w:widowControl w:val="0"/>
        <w:wordWrap/>
        <w:snapToGrid/>
        <w:spacing w:line="580" w:lineRule="exact"/>
        <w:ind w:left="0" w:leftChars="0" w:right="0" w:firstLine="640" w:firstLineChars="200"/>
        <w:jc w:val="both"/>
        <w:textAlignment w:val="auto"/>
        <w:outlineLvl w:val="9"/>
        <w:rPr>
          <w:rFonts w:ascii="Times New Roman" w:hAnsi="Times New Roman" w:eastAsia="宋体" w:cs="Times New Roman"/>
          <w:spacing w:val="-12"/>
          <w:sz w:val="32"/>
          <w:szCs w:val="32"/>
        </w:rPr>
      </w:pPr>
      <w:r>
        <w:rPr>
          <w:rFonts w:hint="eastAsia" w:ascii="Times New Roman" w:hAnsi="Times New Roman" w:eastAsia="仿宋_GB2312" w:cs="Times New Roman"/>
          <w:sz w:val="32"/>
          <w:szCs w:val="32"/>
        </w:rPr>
        <w:t>年初</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为245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24"/>
        </w:rPr>
        <w:t>245</w:t>
      </w:r>
      <w:r>
        <w:rPr>
          <w:rFonts w:ascii="Times New Roman" w:hAnsi="Times New Roman" w:eastAsia="仿宋_GB2312" w:cs="Times New Roman"/>
          <w:sz w:val="32"/>
          <w:szCs w:val="32"/>
        </w:rPr>
        <w:t>万元，完成预算的</w:t>
      </w:r>
      <w:r>
        <w:rPr>
          <w:rFonts w:hint="eastAsia" w:ascii="Times New Roman" w:hAnsi="Times New Roman" w:eastAsia="宋体" w:cs="Times New Roman"/>
          <w:spacing w:val="-12"/>
          <w:sz w:val="32"/>
          <w:szCs w:val="32"/>
        </w:rPr>
        <w:t>100</w:t>
      </w:r>
      <w:r>
        <w:rPr>
          <w:rFonts w:ascii="Times New Roman" w:hAnsi="Times New Roman" w:eastAsia="宋体" w:cs="Times New Roman"/>
          <w:spacing w:val="-12"/>
          <w:sz w:val="32"/>
          <w:szCs w:val="32"/>
        </w:rPr>
        <w:t>%。</w:t>
      </w:r>
    </w:p>
    <w:p>
      <w:pPr>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5</w:t>
      </w:r>
      <w:r>
        <w:rPr>
          <w:rFonts w:ascii="Times New Roman" w:hAnsi="Times New Roman" w:eastAsia="仿宋_GB2312" w:cs="Times New Roman"/>
          <w:b/>
          <w:sz w:val="32"/>
          <w:szCs w:val="32"/>
        </w:rPr>
        <w:t>.社会保障和就业支出(类)行政事业单位养老支出(款)机关事业单位基本养老保险缴费支出(项)</w:t>
      </w:r>
    </w:p>
    <w:p>
      <w:pPr>
        <w:widowControl w:val="0"/>
        <w:wordWrap/>
        <w:snapToGrid/>
        <w:spacing w:line="580" w:lineRule="exact"/>
        <w:ind w:left="0" w:leftChars="0" w:right="0" w:firstLine="640" w:firstLineChars="200"/>
        <w:jc w:val="both"/>
        <w:textAlignment w:val="auto"/>
        <w:outlineLvl w:val="9"/>
        <w:rPr>
          <w:rFonts w:ascii="Times New Roman" w:hAnsi="Times New Roman" w:eastAsia="宋体" w:cs="Times New Roman"/>
          <w:spacing w:val="-12"/>
          <w:sz w:val="32"/>
          <w:szCs w:val="32"/>
        </w:rPr>
      </w:pPr>
      <w:r>
        <w:rPr>
          <w:rFonts w:hint="eastAsia" w:ascii="Times New Roman" w:hAnsi="Times New Roman" w:eastAsia="仿宋_GB2312" w:cs="Times New Roman"/>
          <w:sz w:val="32"/>
          <w:szCs w:val="32"/>
        </w:rPr>
        <w:t>全年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453.21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24"/>
        </w:rPr>
        <w:t>453.21</w:t>
      </w:r>
      <w:r>
        <w:rPr>
          <w:rFonts w:ascii="Times New Roman" w:hAnsi="Times New Roman" w:eastAsia="仿宋_GB2312" w:cs="Times New Roman"/>
          <w:sz w:val="32"/>
          <w:szCs w:val="32"/>
        </w:rPr>
        <w:t>万元，完成预算的</w:t>
      </w:r>
      <w:r>
        <w:rPr>
          <w:rFonts w:ascii="Times New Roman" w:hAnsi="Times New Roman" w:eastAsia="宋体" w:cs="Times New Roman"/>
          <w:spacing w:val="-12"/>
          <w:sz w:val="32"/>
          <w:szCs w:val="32"/>
        </w:rPr>
        <w:t>100%。</w:t>
      </w:r>
    </w:p>
    <w:p>
      <w:pPr>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6</w:t>
      </w:r>
      <w:r>
        <w:rPr>
          <w:rFonts w:ascii="Times New Roman" w:hAnsi="Times New Roman" w:eastAsia="仿宋_GB2312" w:cs="Times New Roman"/>
          <w:b/>
          <w:sz w:val="32"/>
          <w:szCs w:val="32"/>
        </w:rPr>
        <w:t>.社会保障和就业支出(类)</w:t>
      </w:r>
      <w:r>
        <w:rPr>
          <w:rFonts w:hint="eastAsia" w:ascii="Times New Roman" w:hAnsi="Times New Roman" w:eastAsia="仿宋_GB2312" w:cs="Times New Roman"/>
          <w:b/>
          <w:sz w:val="32"/>
          <w:szCs w:val="32"/>
        </w:rPr>
        <w:t>抚恤</w:t>
      </w:r>
      <w:r>
        <w:rPr>
          <w:rFonts w:ascii="Times New Roman" w:hAnsi="Times New Roman" w:eastAsia="仿宋_GB2312" w:cs="Times New Roman"/>
          <w:b/>
          <w:sz w:val="32"/>
          <w:szCs w:val="32"/>
        </w:rPr>
        <w:t>(款)</w:t>
      </w:r>
      <w:r>
        <w:rPr>
          <w:rFonts w:hint="eastAsia" w:ascii="Times New Roman" w:hAnsi="Times New Roman" w:eastAsia="仿宋_GB2312" w:cs="Times New Roman"/>
          <w:b/>
          <w:sz w:val="32"/>
          <w:szCs w:val="32"/>
        </w:rPr>
        <w:t>其他优抚支出</w:t>
      </w:r>
      <w:r>
        <w:rPr>
          <w:rFonts w:ascii="Times New Roman" w:hAnsi="Times New Roman" w:eastAsia="仿宋_GB2312" w:cs="Times New Roman"/>
          <w:b/>
          <w:sz w:val="32"/>
          <w:szCs w:val="32"/>
        </w:rPr>
        <w:t>(项)</w:t>
      </w:r>
    </w:p>
    <w:p>
      <w:pPr>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10.62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10.62</w:t>
      </w:r>
      <w:r>
        <w:rPr>
          <w:rFonts w:ascii="Times New Roman" w:hAnsi="Times New Roman" w:eastAsia="仿宋_GB2312" w:cs="Times New Roman"/>
          <w:sz w:val="32"/>
          <w:szCs w:val="32"/>
        </w:rPr>
        <w:t>万元，完成预算的100%。</w:t>
      </w:r>
    </w:p>
    <w:p>
      <w:pPr>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b/>
          <w:spacing w:val="-10"/>
          <w:sz w:val="32"/>
          <w:szCs w:val="32"/>
        </w:rPr>
      </w:pPr>
      <w:r>
        <w:rPr>
          <w:rFonts w:hint="eastAsia" w:ascii="Times New Roman" w:hAnsi="Times New Roman" w:eastAsia="仿宋_GB2312" w:cs="Times New Roman"/>
          <w:b/>
          <w:spacing w:val="-10"/>
          <w:sz w:val="32"/>
          <w:szCs w:val="32"/>
        </w:rPr>
        <w:t>7</w:t>
      </w:r>
      <w:r>
        <w:rPr>
          <w:rFonts w:ascii="Times New Roman" w:hAnsi="Times New Roman" w:eastAsia="仿宋_GB2312" w:cs="Times New Roman"/>
          <w:b/>
          <w:spacing w:val="-10"/>
          <w:sz w:val="32"/>
          <w:szCs w:val="32"/>
        </w:rPr>
        <w:t>.卫生健康支出(类)行政事业单位医疗(款)行政单位医疗(项)</w:t>
      </w:r>
    </w:p>
    <w:p>
      <w:pPr>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388.74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384.67</w:t>
      </w:r>
      <w:r>
        <w:rPr>
          <w:rFonts w:ascii="Times New Roman" w:hAnsi="Times New Roman" w:eastAsia="仿宋_GB2312" w:cs="Times New Roman"/>
          <w:sz w:val="32"/>
          <w:szCs w:val="32"/>
        </w:rPr>
        <w:t>万元，完成预算的100%。</w:t>
      </w:r>
    </w:p>
    <w:p>
      <w:pPr>
        <w:widowControl w:val="0"/>
        <w:wordWrap/>
        <w:snapToGrid/>
        <w:spacing w:line="580" w:lineRule="exact"/>
        <w:ind w:left="0" w:leftChars="0" w:right="0" w:firstLine="640" w:firstLineChars="200"/>
        <w:jc w:val="both"/>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8</w:t>
      </w:r>
      <w:r>
        <w:rPr>
          <w:rFonts w:ascii="Times New Roman" w:hAnsi="Times New Roman" w:eastAsia="仿宋_GB2312" w:cs="Times New Roman"/>
          <w:b/>
          <w:sz w:val="32"/>
          <w:szCs w:val="32"/>
        </w:rPr>
        <w:t>.卫生健康支出(类)行政事业单位医疗(款)公务员医疗补助(项)</w:t>
      </w:r>
    </w:p>
    <w:p>
      <w:pPr>
        <w:widowControl w:val="0"/>
        <w:wordWrap/>
        <w:spacing w:line="600" w:lineRule="exact"/>
        <w:ind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w:t>
      </w:r>
      <w:r>
        <w:rPr>
          <w:rFonts w:ascii="Times New Roman" w:hAnsi="Times New Roman" w:eastAsia="仿宋_GB2312" w:cs="Times New Roman"/>
          <w:sz w:val="32"/>
          <w:szCs w:val="32"/>
        </w:rPr>
        <w:t>预算为</w:t>
      </w:r>
      <w:r>
        <w:rPr>
          <w:rFonts w:hint="eastAsia" w:ascii="Times New Roman" w:hAnsi="Times New Roman" w:eastAsia="仿宋_GB2312" w:cs="Times New Roman"/>
          <w:sz w:val="32"/>
          <w:szCs w:val="32"/>
        </w:rPr>
        <w:t>273.44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273.44</w:t>
      </w:r>
      <w:r>
        <w:rPr>
          <w:rFonts w:ascii="Times New Roman" w:hAnsi="Times New Roman" w:eastAsia="仿宋_GB2312" w:cs="Times New Roman"/>
          <w:sz w:val="32"/>
          <w:szCs w:val="32"/>
        </w:rPr>
        <w:t>万元，完成预算的100%。</w:t>
      </w:r>
    </w:p>
    <w:p>
      <w:pPr>
        <w:widowControl w:val="0"/>
        <w:wordWrap/>
        <w:spacing w:line="600" w:lineRule="exact"/>
        <w:ind w:right="0" w:firstLine="643" w:firstLineChars="200"/>
        <w:jc w:val="both"/>
        <w:textAlignment w:val="auto"/>
        <w:outlineLvl w:val="9"/>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9</w:t>
      </w:r>
      <w:r>
        <w:rPr>
          <w:rFonts w:ascii="Times New Roman" w:hAnsi="Times New Roman" w:eastAsia="仿宋_GB2312" w:cs="Times New Roman"/>
          <w:b/>
          <w:sz w:val="32"/>
          <w:szCs w:val="32"/>
        </w:rPr>
        <w:t>.住房保障支出(类)住房改革支出(款)住房公积金(项)</w:t>
      </w:r>
    </w:p>
    <w:p>
      <w:pPr>
        <w:widowControl w:val="0"/>
        <w:wordWrap/>
        <w:spacing w:line="600" w:lineRule="exact"/>
        <w:ind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收入</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440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440</w:t>
      </w:r>
      <w:r>
        <w:rPr>
          <w:rFonts w:ascii="Times New Roman" w:hAnsi="Times New Roman" w:eastAsia="仿宋_GB2312" w:cs="Times New Roman"/>
          <w:sz w:val="32"/>
          <w:szCs w:val="32"/>
        </w:rPr>
        <w:t>万元，完成预算的100%。</w:t>
      </w:r>
    </w:p>
    <w:p>
      <w:pPr>
        <w:pStyle w:val="12"/>
        <w:widowControl w:val="0"/>
        <w:wordWrap/>
        <w:spacing w:line="600" w:lineRule="exact"/>
        <w:ind w:right="0" w:firstLine="643" w:firstLineChars="200"/>
        <w:jc w:val="both"/>
        <w:textAlignment w:val="auto"/>
        <w:outlineLvl w:val="9"/>
        <w:rPr>
          <w:rFonts w:ascii="仿宋" w:hAnsi="仿宋" w:eastAsia="仿宋" w:cs="仿宋"/>
          <w:b/>
          <w:bCs/>
          <w:spacing w:val="-3"/>
          <w:sz w:val="32"/>
          <w:szCs w:val="32"/>
        </w:rPr>
      </w:pPr>
      <w:r>
        <w:rPr>
          <w:rFonts w:hint="eastAsia" w:ascii="仿宋" w:hAnsi="仿宋" w:eastAsia="仿宋" w:cs="仿宋"/>
          <w:b/>
          <w:bCs/>
          <w:spacing w:val="-3"/>
          <w:sz w:val="32"/>
          <w:szCs w:val="32"/>
        </w:rPr>
        <w:t>10.住房保障支出（类）住房改革支出（款）住房补贴（项）</w:t>
      </w:r>
    </w:p>
    <w:p>
      <w:pPr>
        <w:pStyle w:val="12"/>
        <w:widowControl w:val="0"/>
        <w:wordWrap/>
        <w:spacing w:line="600" w:lineRule="exact"/>
        <w:ind w:right="0" w:firstLine="640" w:firstLineChars="200"/>
        <w:jc w:val="both"/>
        <w:textAlignment w:val="auto"/>
        <w:outlineLvl w:val="9"/>
        <w:rPr>
          <w:rFonts w:ascii="Times New Roman" w:hAnsi="Times New Roman" w:eastAsia="仿宋" w:cs="Times New Roman"/>
          <w:sz w:val="32"/>
          <w:szCs w:val="32"/>
        </w:rPr>
      </w:pPr>
      <w:r>
        <w:rPr>
          <w:rFonts w:ascii="Times New Roman" w:hAnsi="仿宋" w:eastAsia="仿宋" w:cs="Times New Roman"/>
          <w:sz w:val="32"/>
          <w:szCs w:val="32"/>
        </w:rPr>
        <w:t>年初预算为</w:t>
      </w:r>
      <w:r>
        <w:rPr>
          <w:rFonts w:ascii="Times New Roman" w:hAnsi="Times New Roman" w:eastAsia="仿宋" w:cs="Times New Roman"/>
          <w:sz w:val="32"/>
          <w:szCs w:val="32"/>
        </w:rPr>
        <w:t>2.29</w:t>
      </w:r>
      <w:r>
        <w:rPr>
          <w:rFonts w:ascii="Times New Roman" w:hAnsi="仿宋" w:eastAsia="仿宋" w:cs="Times New Roman"/>
          <w:sz w:val="32"/>
          <w:szCs w:val="32"/>
        </w:rPr>
        <w:t>万元，支出决算为</w:t>
      </w:r>
      <w:r>
        <w:rPr>
          <w:rFonts w:ascii="Times New Roman" w:hAnsi="Times New Roman" w:eastAsia="仿宋" w:cs="Times New Roman"/>
          <w:sz w:val="32"/>
          <w:szCs w:val="32"/>
        </w:rPr>
        <w:t>2.29</w:t>
      </w:r>
      <w:r>
        <w:rPr>
          <w:rFonts w:ascii="Times New Roman" w:hAnsi="仿宋" w:eastAsia="仿宋" w:cs="Times New Roman"/>
          <w:sz w:val="32"/>
          <w:szCs w:val="32"/>
        </w:rPr>
        <w:t>万元，完成年初预算的</w:t>
      </w:r>
      <w:r>
        <w:rPr>
          <w:rFonts w:ascii="Times New Roman" w:hAnsi="Times New Roman" w:eastAsia="仿宋" w:cs="Times New Roman"/>
          <w:sz w:val="32"/>
          <w:szCs w:val="32"/>
        </w:rPr>
        <w:t>100%</w:t>
      </w:r>
      <w:r>
        <w:rPr>
          <w:rFonts w:ascii="Times New Roman" w:hAnsi="仿宋" w:eastAsia="仿宋" w:cs="Times New Roman"/>
          <w:sz w:val="32"/>
          <w:szCs w:val="32"/>
        </w:rPr>
        <w:t>。</w:t>
      </w:r>
    </w:p>
    <w:p>
      <w:pPr>
        <w:pStyle w:val="17"/>
        <w:widowControl w:val="0"/>
        <w:wordWrap/>
        <w:spacing w:line="600" w:lineRule="exact"/>
        <w:ind w:right="0" w:firstLine="640" w:firstLineChars="200"/>
        <w:jc w:val="both"/>
        <w:textAlignment w:val="auto"/>
        <w:outlineLvl w:val="9"/>
        <w:rPr>
          <w:rFonts w:hAnsi="黑体"/>
          <w:bCs/>
          <w:sz w:val="32"/>
          <w:szCs w:val="32"/>
        </w:rPr>
      </w:pPr>
      <w:r>
        <w:rPr>
          <w:rFonts w:hint="eastAsia" w:hAnsi="黑体"/>
          <w:bCs/>
          <w:sz w:val="32"/>
          <w:szCs w:val="32"/>
        </w:rPr>
        <w:t>六、一般公共预算财政拨款基本支出决算情况说明</w:t>
      </w:r>
    </w:p>
    <w:p>
      <w:pPr>
        <w:pStyle w:val="17"/>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2023年度财政拨款基本支出6237.39万元，其中：</w:t>
      </w:r>
    </w:p>
    <w:p>
      <w:pPr>
        <w:pStyle w:val="17"/>
        <w:widowControl w:val="0"/>
        <w:wordWrap/>
        <w:spacing w:line="600" w:lineRule="exact"/>
        <w:ind w:right="0" w:firstLine="643" w:firstLineChars="200"/>
        <w:jc w:val="both"/>
        <w:textAlignment w:val="auto"/>
        <w:outlineLvl w:val="9"/>
        <w:rPr>
          <w:rFonts w:ascii="Times New Roman" w:hAnsi="Times New Roman" w:eastAsia="楷体" w:cs="Times New Roman"/>
          <w:b/>
          <w:bCs/>
          <w:i/>
          <w:color w:val="auto"/>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bCs/>
          <w:sz w:val="32"/>
          <w:szCs w:val="32"/>
        </w:rPr>
        <w:t>5597.58</w:t>
      </w:r>
      <w:r>
        <w:rPr>
          <w:rFonts w:hint="eastAsia" w:ascii="Times New Roman" w:hAnsi="Times New Roman" w:eastAsia="仿宋_GB2312"/>
          <w:sz w:val="32"/>
          <w:szCs w:val="32"/>
        </w:rPr>
        <w:t>万元，占基本支出的89.74%,</w:t>
      </w:r>
      <w:r>
        <w:rPr>
          <w:rFonts w:ascii="Times New Roman" w:hAnsi="Times New Roman" w:eastAsia="仿宋_GB2312" w:cs="Times New Roman"/>
          <w:color w:val="auto"/>
          <w:sz w:val="32"/>
          <w:szCs w:val="32"/>
        </w:rPr>
        <w:t>主要包括基本工资、津贴补贴、</w:t>
      </w:r>
      <w:r>
        <w:rPr>
          <w:rFonts w:hint="eastAsia" w:ascii="Times New Roman" w:hAnsi="Times New Roman" w:eastAsia="仿宋_GB2312" w:cs="Times New Roman"/>
          <w:color w:val="auto"/>
          <w:sz w:val="32"/>
          <w:szCs w:val="32"/>
        </w:rPr>
        <w:t>基础绩效</w:t>
      </w:r>
      <w:r>
        <w:rPr>
          <w:rFonts w:ascii="Times New Roman" w:hAnsi="Times New Roman" w:eastAsia="仿宋_GB2312" w:cs="Times New Roman"/>
          <w:color w:val="auto"/>
          <w:sz w:val="32"/>
          <w:szCs w:val="32"/>
        </w:rPr>
        <w:t>奖金、伙食补助费、机关事业单位养老保险缴费、职工基本医疗保障缴费、</w:t>
      </w:r>
      <w:r>
        <w:rPr>
          <w:rFonts w:hint="eastAsia" w:ascii="Times New Roman" w:hAnsi="Times New Roman" w:eastAsia="仿宋_GB2312" w:cs="Times New Roman"/>
          <w:color w:val="auto"/>
          <w:sz w:val="32"/>
          <w:szCs w:val="32"/>
        </w:rPr>
        <w:t>公务员医疗补助缴费、</w:t>
      </w:r>
      <w:r>
        <w:rPr>
          <w:rFonts w:ascii="Times New Roman" w:hAnsi="Times New Roman" w:eastAsia="仿宋_GB2312" w:cs="Times New Roman"/>
          <w:color w:val="auto"/>
          <w:sz w:val="32"/>
          <w:szCs w:val="32"/>
        </w:rPr>
        <w:t>住房公积金、医疗</w:t>
      </w:r>
      <w:r>
        <w:rPr>
          <w:rFonts w:hint="eastAsia" w:ascii="Times New Roman" w:hAnsi="Times New Roman" w:eastAsia="仿宋_GB2312" w:cs="Times New Roman"/>
          <w:color w:val="auto"/>
          <w:sz w:val="32"/>
          <w:szCs w:val="32"/>
        </w:rPr>
        <w:t>补助</w:t>
      </w:r>
      <w:r>
        <w:rPr>
          <w:rFonts w:ascii="Times New Roman" w:hAnsi="Times New Roman" w:eastAsia="仿宋_GB2312" w:cs="Times New Roman"/>
          <w:color w:val="auto"/>
          <w:sz w:val="32"/>
          <w:szCs w:val="32"/>
        </w:rPr>
        <w:t>、</w:t>
      </w:r>
      <w:r>
        <w:rPr>
          <w:rFonts w:ascii="Times New Roman" w:hAnsi="Times New Roman" w:eastAsia="仿宋" w:cs="Times New Roman"/>
          <w:color w:val="auto"/>
          <w:spacing w:val="-1"/>
          <w:sz w:val="32"/>
          <w:szCs w:val="32"/>
        </w:rPr>
        <w:t>离休</w:t>
      </w:r>
      <w:r>
        <w:rPr>
          <w:rFonts w:ascii="Times New Roman" w:hAnsi="Times New Roman" w:eastAsia="仿宋" w:cs="Times New Roman"/>
          <w:color w:val="auto"/>
          <w:spacing w:val="-2"/>
          <w:sz w:val="32"/>
          <w:szCs w:val="32"/>
        </w:rPr>
        <w:t>费、</w:t>
      </w:r>
      <w:r>
        <w:rPr>
          <w:rFonts w:hint="eastAsia" w:ascii="Times New Roman" w:hAnsi="Times New Roman" w:eastAsia="仿宋" w:cs="Times New Roman"/>
          <w:color w:val="auto"/>
          <w:spacing w:val="-2"/>
          <w:sz w:val="32"/>
          <w:szCs w:val="32"/>
        </w:rPr>
        <w:t>退休费、</w:t>
      </w:r>
      <w:r>
        <w:rPr>
          <w:rFonts w:ascii="Times New Roman" w:hAnsi="Times New Roman" w:eastAsia="仿宋" w:cs="Times New Roman"/>
          <w:color w:val="auto"/>
          <w:spacing w:val="-5"/>
          <w:sz w:val="32"/>
          <w:szCs w:val="32"/>
        </w:rPr>
        <w:t>抚恤金、其他对个人和家庭的补助支出等</w:t>
      </w:r>
      <w:r>
        <w:rPr>
          <w:rFonts w:ascii="Times New Roman" w:hAnsi="Times New Roman" w:eastAsia="仿宋_GB2312" w:cs="Times New Roman"/>
          <w:color w:val="auto"/>
          <w:sz w:val="32"/>
          <w:szCs w:val="32"/>
        </w:rPr>
        <w:t>。</w:t>
      </w:r>
    </w:p>
    <w:p>
      <w:pPr>
        <w:widowControl w:val="0"/>
        <w:wordWrap/>
        <w:spacing w:line="600" w:lineRule="exact"/>
        <w:ind w:right="0" w:firstLine="643" w:firstLineChars="200"/>
        <w:jc w:val="both"/>
        <w:textAlignment w:val="auto"/>
        <w:outlineLvl w:val="9"/>
        <w:rPr>
          <w:rFonts w:ascii="Times New Roman" w:hAnsi="Times New Roman" w:eastAsia="仿宋" w:cs="Times New Roman"/>
          <w:spacing w:val="-3"/>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639.81万元，占基本支出的10.26%，</w:t>
      </w:r>
      <w:r>
        <w:rPr>
          <w:rFonts w:ascii="Times New Roman" w:hAnsi="Times New Roman" w:eastAsia="仿宋" w:cs="Times New Roman"/>
          <w:spacing w:val="1"/>
          <w:sz w:val="32"/>
          <w:szCs w:val="32"/>
        </w:rPr>
        <w:t>主要包括办公费</w:t>
      </w:r>
      <w:r>
        <w:rPr>
          <w:rFonts w:ascii="Times New Roman" w:hAnsi="Times New Roman" w:eastAsia="仿宋" w:cs="Times New Roman"/>
          <w:sz w:val="32"/>
          <w:szCs w:val="32"/>
        </w:rPr>
        <w:t>、印刷费、电费、邮电费</w:t>
      </w:r>
      <w:r>
        <w:rPr>
          <w:rFonts w:hint="eastAsia" w:ascii="Times New Roman" w:hAnsi="Times New Roman" w:eastAsia="仿宋" w:cs="Times New Roman"/>
          <w:sz w:val="32"/>
          <w:szCs w:val="32"/>
          <w:lang w:eastAsia="zh-CN"/>
        </w:rPr>
        <w:t>、</w:t>
      </w:r>
      <w:r>
        <w:rPr>
          <w:rFonts w:ascii="Times New Roman" w:hAnsi="Times New Roman" w:eastAsia="仿宋" w:cs="Times New Roman"/>
          <w:spacing w:val="-2"/>
          <w:sz w:val="32"/>
          <w:szCs w:val="32"/>
        </w:rPr>
        <w:t>差旅费、会议费、培训费、公务接待费、工会经费、公务用车运</w:t>
      </w:r>
      <w:r>
        <w:rPr>
          <w:rFonts w:ascii="Times New Roman" w:hAnsi="Times New Roman" w:eastAsia="仿宋" w:cs="Times New Roman"/>
          <w:spacing w:val="-3"/>
          <w:sz w:val="32"/>
          <w:szCs w:val="32"/>
        </w:rPr>
        <w:t>行维护费、其他交通费用、其他商品和服务支出等。</w:t>
      </w:r>
    </w:p>
    <w:p>
      <w:pPr>
        <w:pStyle w:val="17"/>
        <w:widowControl w:val="0"/>
        <w:wordWrap/>
        <w:spacing w:line="600" w:lineRule="exact"/>
        <w:ind w:right="0" w:firstLine="640" w:firstLineChars="200"/>
        <w:jc w:val="both"/>
        <w:textAlignment w:val="auto"/>
        <w:outlineLvl w:val="9"/>
        <w:rPr>
          <w:rFonts w:ascii="Times New Roman" w:hAnsi="Times New Roman" w:eastAsia="仿宋_GB2312"/>
          <w:b/>
          <w:sz w:val="32"/>
          <w:szCs w:val="32"/>
        </w:rPr>
      </w:pPr>
      <w:r>
        <w:rPr>
          <w:rFonts w:hint="eastAsia" w:hAnsi="黑体"/>
          <w:bCs/>
          <w:sz w:val="32"/>
          <w:szCs w:val="32"/>
        </w:rPr>
        <w:t>七、财政拨款三公经费支出决算情况说明</w:t>
      </w:r>
    </w:p>
    <w:p>
      <w:pPr>
        <w:pStyle w:val="17"/>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 xml:space="preserve"> “三公”经费财政拨款支出预算为254万元，支出决算为</w:t>
      </w:r>
      <w:r>
        <w:rPr>
          <w:rFonts w:ascii="Times New Roman" w:hAnsi="Times New Roman" w:eastAsia="仿宋_GB2312"/>
          <w:sz w:val="32"/>
        </w:rPr>
        <w:t>72.52</w:t>
      </w:r>
      <w:r>
        <w:rPr>
          <w:rFonts w:hint="eastAsia" w:ascii="Times New Roman" w:hAnsi="Times New Roman" w:eastAsia="仿宋_GB2312"/>
          <w:sz w:val="32"/>
          <w:szCs w:val="32"/>
        </w:rPr>
        <w:t>万元，完成预算的28.55%，与上年相比减少38.74万元，下降34.82%，主要原因是</w:t>
      </w:r>
      <w:r>
        <w:rPr>
          <w:rFonts w:hint="eastAsia" w:ascii="Times New Roman" w:hAnsi="Times New Roman" w:eastAsia="仿宋_GB2312"/>
          <w:sz w:val="32"/>
          <w:szCs w:val="32"/>
          <w:lang w:eastAsia="zh-CN"/>
        </w:rPr>
        <w:t>：</w:t>
      </w:r>
      <w:r>
        <w:rPr>
          <w:rFonts w:ascii="Times New Roman" w:hAnsi="Times New Roman" w:eastAsia="仿宋_GB2312"/>
          <w:sz w:val="32"/>
        </w:rPr>
        <w:t>2023年度较2022年减少购置公务用车一台</w:t>
      </w:r>
      <w:r>
        <w:rPr>
          <w:rFonts w:ascii="Times New Roman" w:hAnsi="Times New Roman" w:eastAsia="仿宋" w:cs="Times New Roman"/>
          <w:spacing w:val="-3"/>
          <w:sz w:val="32"/>
          <w:szCs w:val="32"/>
        </w:rPr>
        <w:t>。</w:t>
      </w:r>
    </w:p>
    <w:p>
      <w:pPr>
        <w:pStyle w:val="17"/>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因公出国（境）费支出预算为160万元，支出决算为0万元，完成预算的0%，主要</w:t>
      </w:r>
      <w:r>
        <w:rPr>
          <w:rFonts w:hint="eastAsia" w:ascii="Times New Roman" w:hAnsi="Times New Roman" w:eastAsia="仿宋_GB2312"/>
          <w:sz w:val="32"/>
          <w:szCs w:val="32"/>
          <w:lang w:eastAsia="zh-CN"/>
        </w:rPr>
        <w:t>原因</w:t>
      </w:r>
      <w:r>
        <w:rPr>
          <w:rFonts w:hint="eastAsia" w:ascii="Times New Roman" w:hAnsi="Times New Roman" w:eastAsia="仿宋_GB2312"/>
          <w:sz w:val="32"/>
          <w:szCs w:val="32"/>
        </w:rPr>
        <w:t>是</w:t>
      </w:r>
      <w:r>
        <w:rPr>
          <w:rFonts w:hint="eastAsia" w:ascii="Times New Roman" w:hAnsi="Times New Roman" w:eastAsia="仿宋_GB2312"/>
          <w:sz w:val="32"/>
          <w:szCs w:val="32"/>
          <w:lang w:eastAsia="zh-CN"/>
        </w:rPr>
        <w:t>：</w:t>
      </w:r>
      <w:r>
        <w:rPr>
          <w:rFonts w:ascii="Times New Roman" w:hAnsi="Times New Roman" w:eastAsia="仿宋_GB2312"/>
          <w:sz w:val="32"/>
        </w:rPr>
        <w:t>根据有关政策规定</w:t>
      </w:r>
      <w:r>
        <w:rPr>
          <w:rFonts w:hint="eastAsia" w:ascii="Times New Roman" w:hAnsi="Times New Roman" w:eastAsia="仿宋_GB2312"/>
          <w:sz w:val="32"/>
        </w:rPr>
        <w:t>本年度</w:t>
      </w:r>
      <w:r>
        <w:rPr>
          <w:rFonts w:ascii="Times New Roman" w:hAnsi="Times New Roman" w:eastAsia="仿宋_GB2312"/>
          <w:sz w:val="32"/>
        </w:rPr>
        <w:t>出国（境）培训项目</w:t>
      </w:r>
      <w:r>
        <w:rPr>
          <w:rFonts w:hint="eastAsia" w:ascii="Times New Roman" w:hAnsi="Times New Roman" w:eastAsia="仿宋_GB2312"/>
          <w:sz w:val="32"/>
        </w:rPr>
        <w:t>取消</w:t>
      </w:r>
      <w:r>
        <w:rPr>
          <w:rFonts w:ascii="Times New Roman" w:hAnsi="Times New Roman" w:eastAsia="仿宋_GB2312"/>
          <w:sz w:val="32"/>
        </w:rPr>
        <w:t>，2023年未产生因公出国（境）费</w:t>
      </w:r>
      <w:r>
        <w:rPr>
          <w:rFonts w:hint="eastAsia" w:ascii="Times New Roman" w:hAnsi="Times New Roman" w:eastAsia="仿宋_GB2312"/>
          <w:sz w:val="32"/>
          <w:szCs w:val="32"/>
        </w:rPr>
        <w:t>。</w:t>
      </w:r>
    </w:p>
    <w:p>
      <w:pPr>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公务接待费支出预算为20万元，支出决算为1.99万元，完成预算的9.95%，与上年相比减少8.19万元，降幅80.45%，决算数小于预算数、当年支出小于上年支出的主要原因是</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落实厉行节约有关要求</w:t>
      </w:r>
      <w:r>
        <w:rPr>
          <w:rFonts w:ascii="Times New Roman" w:hAnsi="Times New Roman" w:eastAsia="仿宋_GB2312" w:cs="Times New Roman"/>
          <w:spacing w:val="-13"/>
          <w:sz w:val="32"/>
          <w:szCs w:val="32"/>
        </w:rPr>
        <w:t>，不断规范</w:t>
      </w:r>
      <w:r>
        <w:rPr>
          <w:rFonts w:ascii="Times New Roman" w:hAnsi="Times New Roman" w:eastAsia="仿宋_GB2312" w:cs="Times New Roman"/>
          <w:spacing w:val="-4"/>
          <w:sz w:val="32"/>
          <w:szCs w:val="32"/>
        </w:rPr>
        <w:t>公务接待管理，有效</w:t>
      </w:r>
      <w:r>
        <w:rPr>
          <w:rFonts w:hint="eastAsia" w:ascii="Times New Roman" w:hAnsi="Times New Roman" w:eastAsia="仿宋_GB2312" w:cs="Times New Roman"/>
          <w:spacing w:val="-4"/>
          <w:sz w:val="32"/>
          <w:szCs w:val="32"/>
        </w:rPr>
        <w:t>降低</w:t>
      </w:r>
      <w:r>
        <w:rPr>
          <w:rFonts w:ascii="Times New Roman" w:hAnsi="Times New Roman" w:eastAsia="仿宋_GB2312" w:cs="Times New Roman"/>
          <w:spacing w:val="-4"/>
          <w:sz w:val="32"/>
          <w:szCs w:val="32"/>
        </w:rPr>
        <w:t>了公务接待开支</w:t>
      </w:r>
      <w:r>
        <w:rPr>
          <w:rFonts w:hint="eastAsia" w:ascii="Times New Roman" w:hAnsi="Times New Roman" w:eastAsia="仿宋_GB2312"/>
          <w:sz w:val="32"/>
          <w:szCs w:val="32"/>
        </w:rPr>
        <w:t>。</w:t>
      </w:r>
    </w:p>
    <w:p>
      <w:pPr>
        <w:pStyle w:val="17"/>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公务用车购置费支出预算为25万元，支出决算为24.98万元，完成预算的99.92%。</w:t>
      </w:r>
    </w:p>
    <w:p>
      <w:pPr>
        <w:pStyle w:val="17"/>
        <w:widowControl w:val="0"/>
        <w:wordWrap/>
        <w:spacing w:line="600" w:lineRule="exact"/>
        <w:ind w:right="0" w:firstLine="640" w:firstLineChars="200"/>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sz w:val="32"/>
          <w:szCs w:val="32"/>
        </w:rPr>
        <w:t>公务用车运行维护费支出预算为49万元，支出决算为45.55万元，完成预算的92.96%，</w:t>
      </w:r>
      <w:r>
        <w:rPr>
          <w:rFonts w:ascii="Times New Roman" w:hAnsi="Times New Roman" w:eastAsia="仿宋_GB2312"/>
          <w:sz w:val="32"/>
        </w:rPr>
        <w:t>比上年减少</w:t>
      </w:r>
      <w:r>
        <w:rPr>
          <w:rFonts w:hint="eastAsia" w:ascii="Times New Roman" w:hAnsi="Times New Roman" w:eastAsia="仿宋_GB2312"/>
          <w:sz w:val="32"/>
        </w:rPr>
        <w:t>8.43</w:t>
      </w:r>
      <w:r>
        <w:rPr>
          <w:rFonts w:ascii="Times New Roman" w:hAnsi="Times New Roman" w:eastAsia="仿宋_GB2312"/>
          <w:sz w:val="32"/>
        </w:rPr>
        <w:t>万元，</w:t>
      </w:r>
      <w:r>
        <w:rPr>
          <w:rFonts w:hint="eastAsia" w:ascii="Times New Roman" w:hAnsi="Times New Roman" w:eastAsia="仿宋_GB2312"/>
          <w:sz w:val="32"/>
          <w:lang w:eastAsia="zh-CN"/>
        </w:rPr>
        <w:t>降</w:t>
      </w:r>
      <w:r>
        <w:rPr>
          <w:rFonts w:ascii="Times New Roman" w:hAnsi="Times New Roman" w:eastAsia="仿宋_GB2312"/>
          <w:sz w:val="32"/>
        </w:rPr>
        <w:t>幅</w:t>
      </w:r>
      <w:r>
        <w:rPr>
          <w:rFonts w:hint="eastAsia" w:ascii="Times New Roman" w:hAnsi="Times New Roman" w:eastAsia="仿宋_GB2312"/>
          <w:sz w:val="32"/>
        </w:rPr>
        <w:t>15.61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主要原因</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w:t>
      </w:r>
      <w:r>
        <w:rPr>
          <w:rFonts w:hint="eastAsia" w:ascii="Times New Roman" w:hAnsi="Times New Roman" w:eastAsia="仿宋_GB2312" w:cs="Times New Roman"/>
          <w:color w:val="auto"/>
          <w:sz w:val="32"/>
          <w:szCs w:val="32"/>
        </w:rPr>
        <w:t>不断优化细化</w:t>
      </w:r>
      <w:r>
        <w:rPr>
          <w:rFonts w:hint="eastAsia" w:ascii="Times New Roman" w:hAnsi="Times New Roman" w:eastAsia="仿宋_GB2312" w:cs="Times New Roman"/>
          <w:color w:val="auto"/>
          <w:sz w:val="32"/>
          <w:szCs w:val="32"/>
          <w:lang w:eastAsia="zh-CN"/>
        </w:rPr>
        <w:t>公务用车</w:t>
      </w:r>
      <w:r>
        <w:rPr>
          <w:rFonts w:hint="eastAsia" w:ascii="Times New Roman" w:hAnsi="Times New Roman" w:eastAsia="仿宋_GB2312" w:cs="Times New Roman"/>
          <w:color w:val="auto"/>
          <w:sz w:val="32"/>
          <w:szCs w:val="32"/>
        </w:rPr>
        <w:t>和驾驶员管理，有效降低了车辆</w:t>
      </w:r>
      <w:r>
        <w:rPr>
          <w:rFonts w:hint="eastAsia" w:ascii="Times New Roman" w:hAnsi="Times New Roman" w:eastAsia="仿宋_GB2312" w:cs="Times New Roman"/>
          <w:color w:val="auto"/>
          <w:sz w:val="32"/>
          <w:szCs w:val="32"/>
          <w:lang w:eastAsia="zh-CN"/>
        </w:rPr>
        <w:t>运行维护</w:t>
      </w:r>
      <w:r>
        <w:rPr>
          <w:rFonts w:hint="eastAsia" w:ascii="Times New Roman" w:hAnsi="Times New Roman" w:eastAsia="仿宋_GB2312" w:cs="Times New Roman"/>
          <w:color w:val="auto"/>
          <w:sz w:val="32"/>
          <w:szCs w:val="32"/>
        </w:rPr>
        <w:t>开支。</w:t>
      </w:r>
    </w:p>
    <w:p>
      <w:pPr>
        <w:pStyle w:val="17"/>
        <w:widowControl w:val="0"/>
        <w:wordWrap/>
        <w:spacing w:line="600" w:lineRule="exact"/>
        <w:ind w:right="0" w:firstLine="640" w:firstLineChars="200"/>
        <w:jc w:val="both"/>
        <w:textAlignment w:val="auto"/>
        <w:outlineLvl w:val="9"/>
        <w:rPr>
          <w:rFonts w:ascii="楷体" w:hAnsi="楷体" w:eastAsia="楷体" w:cs="楷体"/>
          <w:b/>
          <w:bCs/>
          <w:i/>
          <w:color w:val="auto"/>
          <w:sz w:val="32"/>
          <w:szCs w:val="32"/>
        </w:rPr>
      </w:pPr>
      <w:r>
        <w:rPr>
          <w:rFonts w:hint="eastAsia" w:ascii="Times New Roman" w:hAnsi="Times New Roman" w:eastAsia="仿宋_GB2312"/>
          <w:color w:val="auto"/>
          <w:sz w:val="32"/>
          <w:szCs w:val="32"/>
        </w:rPr>
        <w:t>公务用车购置费及运行维护费支出决算为70.53万元，其中：公务用车购置费24.98万元，主要用于新购公务用车1辆。公务用车运行维护费45.55万元，主要是</w:t>
      </w:r>
      <w:r>
        <w:rPr>
          <w:rFonts w:ascii="Times New Roman" w:hAnsi="Times New Roman" w:eastAsia="仿宋_GB2312" w:cs="Times New Roman"/>
          <w:color w:val="auto"/>
          <w:spacing w:val="-4"/>
          <w:sz w:val="32"/>
          <w:szCs w:val="32"/>
        </w:rPr>
        <w:t>用于机要</w:t>
      </w:r>
      <w:r>
        <w:rPr>
          <w:rFonts w:ascii="Times New Roman" w:hAnsi="Times New Roman" w:eastAsia="仿宋_GB2312" w:cs="Times New Roman"/>
          <w:color w:val="auto"/>
          <w:spacing w:val="-5"/>
          <w:sz w:val="32"/>
          <w:szCs w:val="32"/>
        </w:rPr>
        <w:t>文件取送、市</w:t>
      </w:r>
      <w:r>
        <w:rPr>
          <w:rFonts w:ascii="Times New Roman" w:hAnsi="Times New Roman" w:eastAsia="仿宋_GB2312" w:cs="Times New Roman"/>
          <w:color w:val="auto"/>
          <w:spacing w:val="2"/>
          <w:sz w:val="32"/>
          <w:szCs w:val="32"/>
        </w:rPr>
        <w:t>内因公出行及省委、省委组织部派出的专项检查督查所需车辆燃</w:t>
      </w:r>
      <w:r>
        <w:rPr>
          <w:rFonts w:ascii="Times New Roman" w:hAnsi="Times New Roman" w:eastAsia="仿宋_GB2312" w:cs="Times New Roman"/>
          <w:color w:val="auto"/>
          <w:spacing w:val="14"/>
          <w:sz w:val="32"/>
          <w:szCs w:val="32"/>
        </w:rPr>
        <w:t>料费、维修费、过桥过路费、保险费等</w:t>
      </w:r>
      <w:r>
        <w:rPr>
          <w:rFonts w:ascii="Times New Roman" w:hAnsi="Times New Roman" w:eastAsia="仿宋_GB2312" w:cs="Times New Roman"/>
          <w:color w:val="auto"/>
          <w:sz w:val="32"/>
          <w:szCs w:val="32"/>
        </w:rPr>
        <w:t>支出</w:t>
      </w:r>
      <w:r>
        <w:rPr>
          <w:rFonts w:hint="eastAsia" w:ascii="Times New Roman" w:hAnsi="Times New Roman" w:eastAsia="仿宋_GB2312"/>
          <w:color w:val="auto"/>
          <w:sz w:val="32"/>
          <w:szCs w:val="32"/>
        </w:rPr>
        <w:t>。截止2023年12月31日，我单位财政拨款</w:t>
      </w:r>
      <w:r>
        <w:rPr>
          <w:rFonts w:hint="eastAsia" w:ascii="Times New Roman" w:hAnsi="Times New Roman" w:eastAsia="仿宋_GB2312"/>
          <w:color w:val="auto"/>
          <w:sz w:val="32"/>
          <w:szCs w:val="32"/>
          <w:lang w:eastAsia="zh-CN"/>
        </w:rPr>
        <w:t>保障</w:t>
      </w:r>
      <w:r>
        <w:rPr>
          <w:rFonts w:hint="eastAsia" w:ascii="Times New Roman" w:hAnsi="Times New Roman" w:eastAsia="仿宋_GB2312"/>
          <w:color w:val="auto"/>
          <w:sz w:val="32"/>
          <w:szCs w:val="32"/>
        </w:rPr>
        <w:t>的公务用车保有量为11辆。</w:t>
      </w:r>
    </w:p>
    <w:p>
      <w:pPr>
        <w:pStyle w:val="17"/>
        <w:widowControl w:val="0"/>
        <w:wordWrap/>
        <w:spacing w:line="600" w:lineRule="exact"/>
        <w:ind w:right="0" w:firstLine="640" w:firstLineChars="200"/>
        <w:jc w:val="both"/>
        <w:textAlignment w:val="auto"/>
        <w:outlineLvl w:val="9"/>
        <w:rPr>
          <w:rFonts w:hAnsi="黑体"/>
          <w:bCs/>
          <w:sz w:val="32"/>
          <w:szCs w:val="32"/>
        </w:rPr>
      </w:pPr>
      <w:r>
        <w:rPr>
          <w:rFonts w:hint="eastAsia" w:hAnsi="黑体"/>
          <w:bCs/>
          <w:sz w:val="32"/>
          <w:szCs w:val="32"/>
        </w:rPr>
        <w:t>八、政府性基金预算收入支出决算情况</w:t>
      </w:r>
    </w:p>
    <w:p>
      <w:pPr>
        <w:pStyle w:val="17"/>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2023年度政府性基金预算财政拨款收入0万元。</w:t>
      </w:r>
    </w:p>
    <w:p>
      <w:pPr>
        <w:pStyle w:val="17"/>
        <w:widowControl w:val="0"/>
        <w:wordWrap/>
        <w:spacing w:line="600" w:lineRule="exact"/>
        <w:ind w:right="0" w:firstLine="640" w:firstLineChars="200"/>
        <w:jc w:val="both"/>
        <w:textAlignment w:val="auto"/>
        <w:outlineLvl w:val="9"/>
        <w:rPr>
          <w:rFonts w:hAnsi="黑体"/>
          <w:bCs/>
          <w:sz w:val="32"/>
          <w:szCs w:val="32"/>
        </w:rPr>
      </w:pPr>
      <w:r>
        <w:rPr>
          <w:rFonts w:hint="eastAsia" w:hAnsi="黑体"/>
          <w:bCs/>
          <w:sz w:val="32"/>
          <w:szCs w:val="32"/>
        </w:rPr>
        <w:t>九、关于机关运行经费支出说明</w:t>
      </w:r>
    </w:p>
    <w:p>
      <w:pPr>
        <w:pStyle w:val="17"/>
        <w:widowControl w:val="0"/>
        <w:wordWrap/>
        <w:spacing w:line="600" w:lineRule="exact"/>
        <w:ind w:right="0" w:firstLine="640" w:firstLineChars="200"/>
        <w:jc w:val="both"/>
        <w:textAlignment w:val="auto"/>
        <w:outlineLvl w:val="9"/>
        <w:rPr>
          <w:rFonts w:ascii="Times New Roman" w:hAnsi="Times New Roman" w:eastAsia="仿宋_GB2312"/>
          <w:b/>
          <w:color w:val="auto"/>
          <w:sz w:val="32"/>
          <w:szCs w:val="32"/>
        </w:rPr>
      </w:pPr>
      <w:r>
        <w:rPr>
          <w:rFonts w:ascii="Times New Roman" w:hAnsi="Times New Roman" w:eastAsia="仿宋_GB2312" w:cs="Times New Roman"/>
          <w:color w:val="auto"/>
          <w:sz w:val="32"/>
          <w:szCs w:val="32"/>
        </w:rPr>
        <w:t>本部门202</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年度机关运行经费支出6</w:t>
      </w:r>
      <w:r>
        <w:rPr>
          <w:rFonts w:hint="eastAsia" w:ascii="Times New Roman" w:hAnsi="Times New Roman" w:eastAsia="仿宋_GB2312" w:cs="Times New Roman"/>
          <w:color w:val="auto"/>
          <w:sz w:val="32"/>
          <w:szCs w:val="32"/>
        </w:rPr>
        <w:t>39.81</w:t>
      </w:r>
      <w:r>
        <w:rPr>
          <w:rFonts w:ascii="Times New Roman" w:hAnsi="Times New Roman" w:eastAsia="仿宋_GB2312" w:cs="Times New Roman"/>
          <w:color w:val="auto"/>
          <w:sz w:val="32"/>
          <w:szCs w:val="32"/>
        </w:rPr>
        <w:t>万元</w:t>
      </w:r>
      <w:r>
        <w:rPr>
          <w:rFonts w:ascii="Times New Roman" w:hAnsi="Times New Roman" w:eastAsia="仿宋_GB2312" w:cs="Times New Roman"/>
          <w:b/>
          <w:bCs/>
          <w:i/>
          <w:color w:val="auto"/>
          <w:sz w:val="32"/>
          <w:szCs w:val="32"/>
        </w:rPr>
        <w:t>，</w:t>
      </w:r>
      <w:r>
        <w:rPr>
          <w:rFonts w:ascii="Times New Roman" w:hAnsi="Times New Roman" w:eastAsia="仿宋_GB2312" w:cs="Times New Roman"/>
          <w:color w:val="auto"/>
          <w:sz w:val="32"/>
          <w:szCs w:val="32"/>
        </w:rPr>
        <w:t>比上年决算数</w:t>
      </w:r>
      <w:r>
        <w:rPr>
          <w:rFonts w:hint="eastAsia" w:ascii="Times New Roman" w:hAnsi="Times New Roman" w:eastAsia="仿宋_GB2312" w:cs="Times New Roman"/>
          <w:color w:val="auto"/>
          <w:sz w:val="32"/>
          <w:szCs w:val="32"/>
        </w:rPr>
        <w:t>增加17.12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增涨2.75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持续规范会计科目使用，优化调整了部门支出结构。</w:t>
      </w:r>
    </w:p>
    <w:p>
      <w:pPr>
        <w:pStyle w:val="17"/>
        <w:widowControl w:val="0"/>
        <w:wordWrap/>
        <w:spacing w:line="600" w:lineRule="exact"/>
        <w:ind w:right="0" w:firstLine="640" w:firstLineChars="200"/>
        <w:jc w:val="both"/>
        <w:textAlignment w:val="auto"/>
        <w:outlineLvl w:val="9"/>
        <w:rPr>
          <w:rFonts w:hAnsi="黑体"/>
          <w:bCs/>
          <w:sz w:val="32"/>
          <w:szCs w:val="32"/>
        </w:rPr>
      </w:pPr>
      <w:r>
        <w:rPr>
          <w:rFonts w:hint="eastAsia" w:hAnsi="黑体"/>
          <w:bCs/>
          <w:sz w:val="32"/>
          <w:szCs w:val="32"/>
        </w:rPr>
        <w:t>十、一般性支出情况说明</w:t>
      </w:r>
    </w:p>
    <w:p>
      <w:pPr>
        <w:pStyle w:val="17"/>
        <w:widowControl w:val="0"/>
        <w:wordWrap/>
        <w:spacing w:line="600" w:lineRule="exact"/>
        <w:ind w:right="0" w:firstLine="640" w:firstLineChars="200"/>
        <w:jc w:val="both"/>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color w:val="auto"/>
          <w:sz w:val="32"/>
          <w:szCs w:val="32"/>
        </w:rPr>
        <w:t>2023年本部门开支会议费168.48万元，参会约3800人次，</w:t>
      </w:r>
      <w:r>
        <w:rPr>
          <w:rFonts w:ascii="Times New Roman" w:hAnsi="Times New Roman" w:eastAsia="仿宋_GB2312" w:cs="Times New Roman"/>
          <w:color w:val="auto"/>
          <w:sz w:val="32"/>
          <w:szCs w:val="32"/>
        </w:rPr>
        <w:t>主要用于召开全省组织部长会议，</w:t>
      </w:r>
      <w:r>
        <w:rPr>
          <w:rFonts w:hint="eastAsia" w:ascii="Times New Roman" w:hAnsi="Times New Roman" w:eastAsia="仿宋_GB2312" w:cs="Times New Roman"/>
          <w:color w:val="auto"/>
          <w:sz w:val="32"/>
          <w:szCs w:val="32"/>
        </w:rPr>
        <w:t>全省组织部长工作会议，</w:t>
      </w:r>
      <w:r>
        <w:rPr>
          <w:rFonts w:ascii="Times New Roman" w:hAnsi="Times New Roman" w:eastAsia="仿宋_GB2312" w:cs="Times New Roman"/>
          <w:color w:val="auto"/>
          <w:sz w:val="32"/>
          <w:szCs w:val="32"/>
        </w:rPr>
        <w:t>市州和省直行业系统党（工）委书记抓基层党建述职评议会议，全省党建工作领导小组会议，</w:t>
      </w:r>
      <w:r>
        <w:rPr>
          <w:rFonts w:hint="eastAsia" w:ascii="Times New Roman" w:hAnsi="Times New Roman" w:eastAsia="仿宋_GB2312" w:cs="Times New Roman"/>
          <w:color w:val="auto"/>
          <w:sz w:val="32"/>
          <w:szCs w:val="32"/>
        </w:rPr>
        <w:t>全省人才工作会议，</w:t>
      </w:r>
      <w:r>
        <w:rPr>
          <w:rFonts w:ascii="Times New Roman" w:hAnsi="Times New Roman" w:eastAsia="仿宋_GB2312" w:cs="Times New Roman"/>
          <w:color w:val="auto"/>
          <w:sz w:val="32"/>
          <w:szCs w:val="32"/>
        </w:rPr>
        <w:t>全省公务员信息更新采集、干部统计工作会议，全省公务员工作推进会议，</w:t>
      </w:r>
      <w:r>
        <w:rPr>
          <w:rFonts w:hint="eastAsia" w:ascii="Times New Roman" w:hAnsi="Times New Roman" w:eastAsia="仿宋_GB2312" w:cs="Times New Roman"/>
          <w:color w:val="auto"/>
          <w:sz w:val="32"/>
          <w:szCs w:val="32"/>
        </w:rPr>
        <w:t>湖南省党内统计评审会议，援疆干部人才欢送会议</w:t>
      </w:r>
      <w:r>
        <w:rPr>
          <w:rFonts w:ascii="Times New Roman" w:hAnsi="Times New Roman" w:eastAsia="仿宋_GB2312" w:cs="Times New Roman"/>
          <w:color w:val="auto"/>
          <w:sz w:val="32"/>
          <w:szCs w:val="32"/>
        </w:rPr>
        <w:t>，全省两新工委会议</w:t>
      </w:r>
      <w:r>
        <w:rPr>
          <w:rFonts w:hint="eastAsia" w:ascii="Times New Roman" w:hAnsi="Times New Roman" w:eastAsia="仿宋_GB2312" w:cs="Times New Roman"/>
          <w:color w:val="auto"/>
          <w:sz w:val="32"/>
          <w:szCs w:val="32"/>
        </w:rPr>
        <w:t>等会议</w:t>
      </w:r>
      <w:r>
        <w:rPr>
          <w:rFonts w:hint="eastAsia" w:ascii="Times New Roman" w:hAnsi="Times New Roman" w:eastAsia="仿宋_GB2312"/>
          <w:color w:val="auto"/>
          <w:sz w:val="32"/>
          <w:szCs w:val="32"/>
        </w:rPr>
        <w:t>；开支培训费553.71万元，培训约2500人次，</w:t>
      </w:r>
      <w:r>
        <w:rPr>
          <w:rFonts w:ascii="Times New Roman" w:hAnsi="Times New Roman" w:eastAsia="仿宋_GB2312" w:cs="Times New Roman"/>
          <w:color w:val="auto"/>
          <w:sz w:val="32"/>
          <w:szCs w:val="32"/>
        </w:rPr>
        <w:t>主要用于</w:t>
      </w:r>
      <w:r>
        <w:rPr>
          <w:rFonts w:hint="eastAsia" w:ascii="Times New Roman" w:hAnsi="Times New Roman" w:eastAsia="仿宋_GB2312" w:cs="Times New Roman"/>
          <w:color w:val="auto"/>
          <w:sz w:val="32"/>
          <w:szCs w:val="32"/>
        </w:rPr>
        <w:t>组织全国社区党组织书记和居委会主任培训班</w:t>
      </w:r>
      <w:r>
        <w:rPr>
          <w:rFonts w:ascii="Times New Roman" w:hAnsi="Times New Roman" w:eastAsia="仿宋_GB2312" w:cs="Times New Roman"/>
          <w:color w:val="auto"/>
          <w:sz w:val="32"/>
          <w:szCs w:val="32"/>
        </w:rPr>
        <w:t>，新任公务员培训班，全省两新</w:t>
      </w:r>
      <w:r>
        <w:rPr>
          <w:rFonts w:hint="eastAsia" w:ascii="Times New Roman" w:hAnsi="Times New Roman" w:eastAsia="仿宋_GB2312" w:cs="Times New Roman"/>
          <w:color w:val="auto"/>
          <w:sz w:val="32"/>
          <w:szCs w:val="32"/>
        </w:rPr>
        <w:t>新任</w:t>
      </w:r>
      <w:r>
        <w:rPr>
          <w:rFonts w:ascii="Times New Roman" w:hAnsi="Times New Roman" w:eastAsia="仿宋_GB2312" w:cs="Times New Roman"/>
          <w:color w:val="auto"/>
          <w:sz w:val="32"/>
          <w:szCs w:val="32"/>
        </w:rPr>
        <w:t>党组织书记</w:t>
      </w:r>
      <w:r>
        <w:rPr>
          <w:rFonts w:hint="eastAsia" w:ascii="Times New Roman" w:hAnsi="Times New Roman" w:eastAsia="仿宋_GB2312" w:cs="Times New Roman"/>
          <w:color w:val="auto"/>
          <w:sz w:val="32"/>
          <w:szCs w:val="32"/>
        </w:rPr>
        <w:t>示范</w:t>
      </w:r>
      <w:r>
        <w:rPr>
          <w:rFonts w:ascii="Times New Roman" w:hAnsi="Times New Roman" w:eastAsia="仿宋_GB2312" w:cs="Times New Roman"/>
          <w:color w:val="auto"/>
          <w:sz w:val="32"/>
          <w:szCs w:val="32"/>
        </w:rPr>
        <w:t>培训班，</w:t>
      </w:r>
      <w:r>
        <w:rPr>
          <w:rFonts w:hint="eastAsia" w:ascii="Times New Roman" w:hAnsi="Times New Roman" w:eastAsia="仿宋_GB2312" w:cs="Times New Roman"/>
          <w:color w:val="auto"/>
          <w:sz w:val="32"/>
          <w:szCs w:val="32"/>
        </w:rPr>
        <w:t>全省两新党建业务骨干示范培训班，全省西藏、新疆籍基层公务员提升治理能力专题培训班</w:t>
      </w:r>
      <w:r>
        <w:rPr>
          <w:rFonts w:ascii="Times New Roman" w:hAnsi="Times New Roman" w:eastAsia="仿宋_GB2312" w:cs="Times New Roman"/>
          <w:color w:val="auto"/>
          <w:sz w:val="32"/>
          <w:szCs w:val="32"/>
        </w:rPr>
        <w:t>，选调生岗前集中培训班，全省</w:t>
      </w:r>
      <w:r>
        <w:rPr>
          <w:rFonts w:hint="eastAsia" w:ascii="Times New Roman" w:hAnsi="Times New Roman" w:eastAsia="仿宋_GB2312" w:cs="Times New Roman"/>
          <w:color w:val="auto"/>
          <w:sz w:val="32"/>
          <w:szCs w:val="32"/>
        </w:rPr>
        <w:t>组织部门干部人事档案和信息化业务培训班</w:t>
      </w:r>
      <w:r>
        <w:rPr>
          <w:rFonts w:ascii="Times New Roman" w:hAnsi="Times New Roman" w:eastAsia="仿宋_GB2312" w:cs="Times New Roman"/>
          <w:color w:val="auto"/>
          <w:sz w:val="32"/>
          <w:szCs w:val="32"/>
        </w:rPr>
        <w:t>，全省网宣员培训班，全省公务员面试考官培训班</w:t>
      </w:r>
      <w:r>
        <w:rPr>
          <w:rFonts w:hint="eastAsia" w:ascii="Times New Roman" w:hAnsi="Times New Roman" w:eastAsia="仿宋_GB2312" w:cs="Times New Roman"/>
          <w:color w:val="auto"/>
          <w:sz w:val="32"/>
          <w:szCs w:val="32"/>
        </w:rPr>
        <w:t>，乡村振兴专题培训班，加强和改进基层公务员培训工作专题培训班</w:t>
      </w:r>
      <w:r>
        <w:rPr>
          <w:rFonts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rPr>
        <w:t>培训</w:t>
      </w:r>
      <w:r>
        <w:rPr>
          <w:rFonts w:ascii="Times New Roman" w:hAnsi="Times New Roman" w:eastAsia="仿宋_GB2312" w:cs="Times New Roman"/>
          <w:color w:val="auto"/>
          <w:sz w:val="32"/>
          <w:szCs w:val="32"/>
        </w:rPr>
        <w:t>。</w:t>
      </w:r>
    </w:p>
    <w:p>
      <w:pPr>
        <w:pStyle w:val="17"/>
        <w:widowControl w:val="0"/>
        <w:wordWrap/>
        <w:spacing w:line="600" w:lineRule="exact"/>
        <w:ind w:right="0" w:firstLine="640" w:firstLineChars="200"/>
        <w:jc w:val="both"/>
        <w:textAlignment w:val="auto"/>
        <w:outlineLvl w:val="9"/>
        <w:rPr>
          <w:rFonts w:ascii="Times New Roman" w:hAnsi="Times New Roman" w:eastAsia="仿宋_GB2312" w:cs="Times New Roman"/>
          <w:color w:val="auto"/>
          <w:sz w:val="32"/>
          <w:szCs w:val="32"/>
        </w:rPr>
      </w:pPr>
    </w:p>
    <w:p>
      <w:pPr>
        <w:pStyle w:val="17"/>
        <w:widowControl w:val="0"/>
        <w:wordWrap/>
        <w:spacing w:line="600" w:lineRule="exact"/>
        <w:ind w:right="0" w:firstLine="640" w:firstLineChars="200"/>
        <w:jc w:val="both"/>
        <w:textAlignment w:val="auto"/>
        <w:outlineLvl w:val="9"/>
        <w:rPr>
          <w:rFonts w:hAnsi="黑体"/>
          <w:bCs/>
          <w:sz w:val="32"/>
          <w:szCs w:val="32"/>
        </w:rPr>
      </w:pPr>
      <w:r>
        <w:rPr>
          <w:rFonts w:hint="eastAsia" w:hAnsi="黑体"/>
          <w:bCs/>
          <w:sz w:val="32"/>
          <w:szCs w:val="32"/>
        </w:rPr>
        <w:t>十一、关于政府采购支出说明</w:t>
      </w:r>
    </w:p>
    <w:p>
      <w:pPr>
        <w:pStyle w:val="17"/>
        <w:widowControl w:val="0"/>
        <w:wordWrap/>
        <w:spacing w:line="600" w:lineRule="exact"/>
        <w:ind w:right="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本部门2023年度政府采购支出总额2583.29万元，其中：政府采购货物支出501.22 万元、政府采购工程支出0万元、政府采购服务支出2082.07万元。</w:t>
      </w:r>
    </w:p>
    <w:p>
      <w:pPr>
        <w:pStyle w:val="17"/>
        <w:widowControl w:val="0"/>
        <w:wordWrap/>
        <w:spacing w:line="600" w:lineRule="exact"/>
        <w:ind w:right="0" w:firstLine="640" w:firstLineChars="200"/>
        <w:jc w:val="both"/>
        <w:textAlignment w:val="auto"/>
        <w:outlineLvl w:val="9"/>
        <w:rPr>
          <w:rFonts w:ascii="Times New Roman" w:hAnsi="Times New Roman" w:eastAsia="仿宋_GB2312"/>
          <w:color w:val="auto"/>
          <w:sz w:val="32"/>
          <w:szCs w:val="32"/>
        </w:rPr>
      </w:pPr>
      <w:r>
        <w:rPr>
          <w:rFonts w:hint="eastAsia" w:ascii="Times New Roman" w:hAnsi="Times New Roman" w:eastAsia="仿宋_GB2312"/>
          <w:sz w:val="32"/>
          <w:szCs w:val="32"/>
        </w:rPr>
        <w:t>授予中小企业合同金额1302.24万元，占政府采购支出总额的50.41%，其中：授予小微企业合同金额656.62万元，</w:t>
      </w:r>
      <w:r>
        <w:rPr>
          <w:rFonts w:hint="eastAsia" w:ascii="Times New Roman" w:hAnsi="Times New Roman" w:eastAsia="仿宋_GB2312"/>
          <w:color w:val="auto"/>
          <w:sz w:val="32"/>
          <w:szCs w:val="32"/>
        </w:rPr>
        <w:t>占授予中小企业合同金额的50.42%。</w:t>
      </w:r>
    </w:p>
    <w:p>
      <w:pPr>
        <w:pStyle w:val="17"/>
        <w:widowControl w:val="0"/>
        <w:wordWrap/>
        <w:spacing w:line="600" w:lineRule="exact"/>
        <w:ind w:right="0" w:firstLine="640" w:firstLineChars="200"/>
        <w:jc w:val="both"/>
        <w:textAlignment w:val="auto"/>
        <w:outlineLvl w:val="9"/>
        <w:rPr>
          <w:rFonts w:ascii="楷体" w:hAnsi="楷体" w:eastAsia="楷体" w:cs="楷体"/>
          <w:b/>
          <w:bCs/>
          <w:i/>
          <w:color w:val="FF0000"/>
          <w:sz w:val="32"/>
          <w:szCs w:val="32"/>
        </w:rPr>
      </w:pPr>
      <w:r>
        <w:rPr>
          <w:rFonts w:hint="eastAsia" w:ascii="Times New Roman" w:hAnsi="Times New Roman" w:eastAsia="仿宋_GB2312"/>
          <w:color w:val="auto"/>
          <w:sz w:val="32"/>
          <w:szCs w:val="32"/>
        </w:rPr>
        <w:t>货物采购授予中小企业合同金额占货物支出金额的68.33%，工程采购授予中小企业合同金额占工程支出金额的0%，服务采购授予中小企业合同金额占服务支出金额的46.09%。</w:t>
      </w:r>
    </w:p>
    <w:p>
      <w:pPr>
        <w:pStyle w:val="17"/>
        <w:widowControl w:val="0"/>
        <w:wordWrap/>
        <w:spacing w:line="600" w:lineRule="exact"/>
        <w:ind w:right="0" w:firstLine="640" w:firstLineChars="200"/>
        <w:jc w:val="both"/>
        <w:textAlignment w:val="auto"/>
        <w:outlineLvl w:val="9"/>
        <w:rPr>
          <w:rFonts w:hAnsi="黑体"/>
          <w:bCs/>
          <w:color w:val="auto"/>
          <w:sz w:val="32"/>
          <w:szCs w:val="32"/>
        </w:rPr>
      </w:pPr>
      <w:r>
        <w:rPr>
          <w:rFonts w:hint="eastAsia" w:hAnsi="黑体"/>
          <w:bCs/>
          <w:color w:val="auto"/>
          <w:sz w:val="32"/>
          <w:szCs w:val="32"/>
        </w:rPr>
        <w:t>十二、关于国有资产占用情况说明</w:t>
      </w:r>
    </w:p>
    <w:p>
      <w:pPr>
        <w:pStyle w:val="17"/>
        <w:widowControl w:val="0"/>
        <w:wordWrap/>
        <w:spacing w:line="600" w:lineRule="exact"/>
        <w:ind w:right="0" w:firstLine="640" w:firstLineChars="200"/>
        <w:jc w:val="both"/>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截至2023年12月31日，我部共有车辆11辆，其中，副部（省）级及以上领导用车1辆、主要负责人用车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辆、机要通信用车1辆、应急保障用车</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辆、执法执勤用车0辆、特种专业技术用车0辆、离退休干部服务用车3辆、其他用车0辆。单位价值100万元以上设备0台（套）。</w:t>
      </w:r>
    </w:p>
    <w:p>
      <w:pPr>
        <w:pStyle w:val="17"/>
        <w:widowControl w:val="0"/>
        <w:wordWrap/>
        <w:spacing w:line="600" w:lineRule="exact"/>
        <w:ind w:right="0" w:firstLine="640" w:firstLineChars="200"/>
        <w:jc w:val="both"/>
        <w:textAlignment w:val="auto"/>
        <w:outlineLvl w:val="9"/>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pPr>
        <w:pStyle w:val="17"/>
        <w:widowControl w:val="0"/>
        <w:wordWrap/>
        <w:spacing w:line="600" w:lineRule="exact"/>
        <w:ind w:right="0" w:firstLine="643" w:firstLineChars="200"/>
        <w:jc w:val="both"/>
        <w:textAlignment w:val="auto"/>
        <w:outlineLvl w:val="9"/>
        <w:rPr>
          <w:rFonts w:ascii="楷体" w:hAnsi="楷体" w:eastAsia="楷体" w:cs="楷体"/>
          <w:b/>
          <w:bCs/>
          <w:sz w:val="32"/>
          <w:szCs w:val="32"/>
        </w:rPr>
      </w:pPr>
      <w:r>
        <w:rPr>
          <w:rFonts w:hint="eastAsia" w:ascii="楷体" w:hAnsi="楷体" w:eastAsia="楷体" w:cs="楷体"/>
          <w:b/>
          <w:bCs/>
          <w:sz w:val="32"/>
          <w:szCs w:val="32"/>
        </w:rPr>
        <w:t>（一）部门（单位）整体支出绩效情况</w:t>
      </w:r>
    </w:p>
    <w:p>
      <w:pPr>
        <w:widowControl w:val="0"/>
        <w:wordWrap/>
        <w:spacing w:line="600" w:lineRule="exact"/>
        <w:ind w:right="0" w:firstLine="640" w:firstLineChars="200"/>
        <w:jc w:val="both"/>
        <w:textAlignment w:val="auto"/>
        <w:outlineLvl w:val="9"/>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2023年，我部</w:t>
      </w:r>
      <w:r>
        <w:rPr>
          <w:rFonts w:ascii="Times New Roman" w:hAnsi="Times New Roman" w:eastAsia="仿宋_GB2312" w:cs="Times New Roman"/>
          <w:kern w:val="0"/>
          <w:sz w:val="32"/>
          <w:szCs w:val="32"/>
        </w:rPr>
        <w:t>全年预算</w:t>
      </w:r>
      <w:r>
        <w:rPr>
          <w:rFonts w:hint="eastAsia" w:ascii="Times New Roman" w:hAnsi="Times New Roman" w:eastAsia="仿宋_GB2312" w:cs="Times New Roman"/>
          <w:kern w:val="0"/>
          <w:sz w:val="32"/>
          <w:szCs w:val="32"/>
        </w:rPr>
        <w:t>收入11437.27</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实际支出9568.91</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在扎实推进全省基层党建、党员管理、人才培育、干部选育等各项组织工作任务落地落实，保障部机关正常运转等方面发挥了积极作用，各项目经费的数质量指标、成本指标、社会效益指标、可持续影响指标也都达到了年初既定目标，取得了较好的成果，部门整体绩效自评99分</w:t>
      </w:r>
      <w:r>
        <w:rPr>
          <w:rFonts w:ascii="Times New Roman" w:hAnsi="Times New Roman" w:eastAsia="仿宋_GB2312" w:cs="Times New Roman"/>
          <w:kern w:val="0"/>
          <w:sz w:val="32"/>
          <w:szCs w:val="32"/>
        </w:rPr>
        <w:t>。</w:t>
      </w:r>
    </w:p>
    <w:p>
      <w:pPr>
        <w:pStyle w:val="17"/>
        <w:widowControl w:val="0"/>
        <w:wordWrap/>
        <w:spacing w:line="600" w:lineRule="exact"/>
        <w:ind w:right="0" w:firstLine="643" w:firstLineChars="200"/>
        <w:jc w:val="both"/>
        <w:textAlignment w:val="auto"/>
        <w:outlineLvl w:val="9"/>
        <w:rPr>
          <w:rFonts w:ascii="楷体" w:hAnsi="楷体" w:eastAsia="楷体" w:cs="楷体"/>
          <w:b/>
          <w:bCs/>
          <w:sz w:val="32"/>
          <w:szCs w:val="32"/>
        </w:rPr>
      </w:pPr>
      <w:r>
        <w:rPr>
          <w:rFonts w:hint="eastAsia" w:ascii="楷体" w:hAnsi="楷体" w:eastAsia="楷体" w:cs="楷体"/>
          <w:b/>
          <w:bCs/>
          <w:sz w:val="32"/>
          <w:szCs w:val="32"/>
        </w:rPr>
        <w:t>（二）存在的问题及原因分析</w:t>
      </w:r>
    </w:p>
    <w:p>
      <w:pPr>
        <w:pStyle w:val="17"/>
        <w:widowControl w:val="0"/>
        <w:wordWrap/>
        <w:spacing w:line="600" w:lineRule="exact"/>
        <w:ind w:right="0" w:firstLine="640" w:firstLineChars="200"/>
        <w:jc w:val="both"/>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rPr>
        <w:t>2023年，</w:t>
      </w:r>
      <w:r>
        <w:rPr>
          <w:rFonts w:hint="eastAsia" w:ascii="Times New Roman" w:hAnsi="Times New Roman" w:eastAsia="仿宋_GB2312"/>
          <w:color w:val="auto"/>
          <w:sz w:val="32"/>
          <w:szCs w:val="32"/>
          <w:lang w:eastAsia="zh-CN"/>
        </w:rPr>
        <w:t>我</w:t>
      </w:r>
      <w:r>
        <w:rPr>
          <w:rFonts w:hint="eastAsia" w:ascii="Times New Roman" w:hAnsi="Times New Roman" w:eastAsia="仿宋_GB2312"/>
          <w:color w:val="auto"/>
          <w:sz w:val="32"/>
          <w:szCs w:val="32"/>
        </w:rPr>
        <w:t>部整体预算执行</w:t>
      </w:r>
      <w:r>
        <w:rPr>
          <w:rFonts w:ascii="Times New Roman" w:hAnsi="Times New Roman" w:eastAsia="仿宋_GB2312" w:cs="Times New Roman"/>
          <w:sz w:val="32"/>
          <w:szCs w:val="32"/>
        </w:rPr>
        <w:t>率</w:t>
      </w:r>
      <w:r>
        <w:rPr>
          <w:rFonts w:hint="eastAsia" w:ascii="Times New Roman" w:hAnsi="Times New Roman" w:eastAsia="仿宋_GB2312" w:cs="Times New Roman"/>
          <w:sz w:val="32"/>
          <w:szCs w:val="32"/>
        </w:rPr>
        <w:t>83.66</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虽较上年度有了较大提高，但对照省财政高质量预算绩效管理的要求，仍然存在项目支出进度不平衡、个别项目支出进度不达标的问题。主要原因：个别项目受上级政策影响，全年预算执行率较低。例如本年度干部教育培训工作的国（境）外培训全部取消。</w:t>
      </w:r>
    </w:p>
    <w:p>
      <w:pPr>
        <w:pStyle w:val="17"/>
        <w:spacing w:line="600" w:lineRule="exact"/>
        <w:ind w:firstLine="640" w:firstLineChars="200"/>
        <w:jc w:val="both"/>
        <w:rPr>
          <w:rFonts w:ascii="Times New Roman" w:hAnsi="Times New Roman" w:eastAsia="仿宋_GB2312"/>
          <w:color w:val="auto"/>
          <w:sz w:val="32"/>
          <w:szCs w:val="32"/>
        </w:rPr>
      </w:pPr>
    </w:p>
    <w:p>
      <w:pPr>
        <w:pStyle w:val="17"/>
        <w:spacing w:line="600" w:lineRule="exact"/>
        <w:ind w:firstLine="1440" w:firstLineChars="200"/>
        <w:jc w:val="both"/>
        <w:rPr>
          <w:color w:val="auto"/>
          <w:sz w:val="72"/>
          <w:szCs w:val="72"/>
        </w:rPr>
      </w:pPr>
    </w:p>
    <w:p>
      <w:pPr>
        <w:pStyle w:val="17"/>
        <w:jc w:val="center"/>
        <w:rPr>
          <w:sz w:val="72"/>
          <w:szCs w:val="72"/>
        </w:rPr>
      </w:pPr>
    </w:p>
    <w:p>
      <w:pPr>
        <w:pStyle w:val="17"/>
        <w:jc w:val="center"/>
        <w:rPr>
          <w:sz w:val="72"/>
          <w:szCs w:val="72"/>
        </w:rPr>
      </w:pPr>
    </w:p>
    <w:p>
      <w:pPr>
        <w:pStyle w:val="17"/>
        <w:jc w:val="both"/>
        <w:rPr>
          <w:rFonts w:ascii="方正小标宋_GBK" w:hAnsi="方正小标宋_GBK" w:eastAsia="方正小标宋_GBK" w:cs="方正小标宋_GBK"/>
          <w:sz w:val="72"/>
          <w:szCs w:val="72"/>
        </w:rPr>
      </w:pPr>
    </w:p>
    <w:p>
      <w:pPr>
        <w:pStyle w:val="17"/>
        <w:jc w:val="center"/>
        <w:rPr>
          <w:rFonts w:ascii="方正小标宋_GBK" w:hAnsi="方正小标宋_GBK" w:eastAsia="方正小标宋_GBK" w:cs="方正小标宋_GBK"/>
          <w:sz w:val="72"/>
          <w:szCs w:val="72"/>
        </w:rPr>
      </w:pPr>
    </w:p>
    <w:p>
      <w:pPr>
        <w:pStyle w:val="17"/>
        <w:jc w:val="center"/>
        <w:rPr>
          <w:rFonts w:ascii="方正小标宋_GBK" w:hAnsi="方正小标宋_GBK" w:eastAsia="方正小标宋_GBK" w:cs="方正小标宋_GBK"/>
          <w:sz w:val="72"/>
          <w:szCs w:val="72"/>
        </w:rPr>
      </w:pPr>
    </w:p>
    <w:p>
      <w:pPr>
        <w:pStyle w:val="17"/>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一、财政拨款收入：指财政当年拨付的资金。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二、年初结转和结余：指以前年度尚未完成、结转到本年按有关规定继续使用的资金。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三、年末结转和结余：指本年度或以前年度预算安排、因客 观条件发生变化无法按计划实施，需要延迟到以后年度按有关规定继续使用的资金。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四、基本支出：指为保障机构正常运转、完成日常工作任务而发生的人员支出和公用支出。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五、项目支出：指在基本支出之外为完成特定行政任务和事业发展目标所发生的支出。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六、“三公”经费：指财政拨款安排的因公出国(境)、公务用车购置及运行费和公务接待费。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七、机关运行经费：为保障行政单位运行用于购买货物和服务的各项资金，包括办公费、印刷费、邮电费、差旅费、会议费、 福利费、日常维修费、专用材料及一般设备购置费、办公用房水电费、办公用房取暖费、办公用房物业管理费、公务用车购置运行费以及其他费用。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八、一般公共服务支出(类)组织事务(款)行政运行(项):反映组织部门用于保障机构正常运行、开展日常工作的基本支出。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九、一般公共服务支出(类)组织事务(款)一般行政管理事务(项):反映组织部门未单独设置项级科目的其他项目支出。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十、教育支出(类)进修及培训(款)培训支出(项):反映为配合组织业务工作开展，用于培训的支出。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十二、社会保障和就业支出(类)人力资源和社会保障管理事务(款)行政运行(项):反映行政单位的基本支出。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十三、社会保障和就业支出(类)行政事业单位养老支出(款)行政单位离退休(项):反映为单位开支的离退休经费。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十四、社会保障和就业支出(类)行政事业单位养老支出(款)机关事业单位基本养老保险缴费支出(项):反映为单位实施养老保险制度由单位缴纳的基本养老保险费支出。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十五、卫生健康支出(类)行政事业单位医疗(款)行政单位医疗(项):反映为按国家享受离休人员、红军老战士待遇人员的医疗经费。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十六、住房保障支出(类)住房改革支出(款)住房公积金(项):反映为单位按照国家相关规定的基本工资和津贴补贴以及规定比例为职工缴纳的住房公积金。</w:t>
      </w: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spacing w:line="580" w:lineRule="exact"/>
        <w:ind w:firstLine="1440" w:firstLineChars="200"/>
        <w:jc w:val="both"/>
        <w:rPr>
          <w:rFonts w:ascii="Times New Roman" w:hAnsi="Times New Roman" w:cs="Times New Roman"/>
          <w:color w:val="auto"/>
          <w:sz w:val="72"/>
          <w:szCs w:val="72"/>
        </w:rPr>
      </w:pPr>
    </w:p>
    <w:p>
      <w:pPr>
        <w:pStyle w:val="17"/>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7"/>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附</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lang w:eastAsia="zh-CN"/>
        </w:rPr>
        <w:t>件</w:t>
      </w:r>
    </w:p>
    <w:p>
      <w:pPr>
        <w:pStyle w:val="17"/>
        <w:jc w:val="center"/>
        <w:rPr>
          <w:rFonts w:hint="eastAsia" w:ascii="方正小标宋_GBK" w:hAnsi="方正小标宋_GBK" w:eastAsia="方正小标宋_GBK" w:cs="方正小标宋_GBK"/>
          <w:sz w:val="72"/>
          <w:szCs w:val="72"/>
          <w:lang w:eastAsia="zh-CN"/>
        </w:rPr>
      </w:pPr>
    </w:p>
    <w:p>
      <w:pPr>
        <w:pStyle w:val="17"/>
        <w:jc w:val="center"/>
        <w:rPr>
          <w:rFonts w:hint="eastAsia" w:ascii="方正小标宋_GBK" w:hAnsi="方正小标宋_GBK" w:eastAsia="方正小标宋_GBK" w:cs="方正小标宋_GBK"/>
          <w:sz w:val="72"/>
          <w:szCs w:val="72"/>
          <w:lang w:eastAsia="zh-CN"/>
        </w:rPr>
      </w:pPr>
    </w:p>
    <w:p>
      <w:pPr>
        <w:pStyle w:val="17"/>
        <w:jc w:val="center"/>
        <w:rPr>
          <w:rFonts w:hint="eastAsia" w:ascii="方正小标宋_GBK" w:hAnsi="方正小标宋_GBK" w:eastAsia="方正小标宋_GBK" w:cs="方正小标宋_GBK"/>
          <w:sz w:val="72"/>
          <w:szCs w:val="72"/>
          <w:lang w:eastAsia="zh-CN"/>
        </w:rPr>
      </w:pPr>
    </w:p>
    <w:p>
      <w:pPr>
        <w:jc w:val="left"/>
        <w:rPr>
          <w:rFonts w:ascii="宋体" w:hAnsi="宋体" w:cs="黑体"/>
          <w:color w:val="000000"/>
          <w:kern w:val="0"/>
          <w:sz w:val="32"/>
          <w:szCs w:val="32"/>
        </w:rPr>
      </w:pPr>
      <w:bookmarkStart w:id="0" w:name="_GoBack"/>
      <w:bookmarkEnd w:id="0"/>
    </w:p>
    <w:sectPr>
      <w:pgSz w:w="11906" w:h="16838"/>
      <w:pgMar w:top="1701" w:right="1701" w:bottom="1701"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auto"/>
    <w:pitch w:val="default"/>
    <w:sig w:usb0="00000000"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楷体_GBK">
    <w:altName w:val="微软雅黑"/>
    <w:panose1 w:val="00000000000000000000"/>
    <w:charset w:val="86"/>
    <w:family w:val="auto"/>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pPr>
    <w:r>
      <w:rPr>
        <w:sz w:val="22"/>
        <w:szCs w:val="22"/>
      </w:rPr>
      <w:fldChar w:fldCharType="begin"/>
    </w:r>
    <w:r>
      <w:rPr>
        <w:sz w:val="22"/>
        <w:szCs w:val="22"/>
      </w:rPr>
      <w:instrText xml:space="preserve"> PAGE   \* MERGEFORMAT </w:instrText>
    </w:r>
    <w:r>
      <w:rPr>
        <w:sz w:val="22"/>
        <w:szCs w:val="22"/>
      </w:rPr>
      <w:fldChar w:fldCharType="separate"/>
    </w:r>
    <w:r>
      <w:t>1</w:t>
    </w:r>
    <w:r>
      <w:rPr>
        <w:sz w:val="22"/>
        <w:szCs w:val="22"/>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58272522">
    <w:nsid w:val="273C710A"/>
    <w:multiLevelType w:val="multilevel"/>
    <w:tmpl w:val="273C710A"/>
    <w:lvl w:ilvl="0" w:tentative="1">
      <w:start w:val="1"/>
      <w:numFmt w:val="none"/>
      <w:lvlText w:val="一、"/>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6582725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zI5YTI0MjE5NGI0NWZkNWY5Y2E5YTI4MzVmM2ViMDMifQ=="/>
    <w:docVar w:name="KSO_WPS_MARK_KEY" w:val="64d25995-0834-4e5b-8f3b-f6ebf22c5ae4"/>
  </w:docVars>
  <w:rsids>
    <w:rsidRoot w:val="004506F9"/>
    <w:rsid w:val="00005F80"/>
    <w:rsid w:val="00013B3A"/>
    <w:rsid w:val="0002229B"/>
    <w:rsid w:val="000273BD"/>
    <w:rsid w:val="000350B1"/>
    <w:rsid w:val="00040CBC"/>
    <w:rsid w:val="000415B7"/>
    <w:rsid w:val="00041E3F"/>
    <w:rsid w:val="00055DAA"/>
    <w:rsid w:val="00061F7B"/>
    <w:rsid w:val="000658A3"/>
    <w:rsid w:val="00074155"/>
    <w:rsid w:val="000922E4"/>
    <w:rsid w:val="0009534A"/>
    <w:rsid w:val="00097FC4"/>
    <w:rsid w:val="000A3F69"/>
    <w:rsid w:val="000A64F5"/>
    <w:rsid w:val="000A742A"/>
    <w:rsid w:val="000C7271"/>
    <w:rsid w:val="000F5F3B"/>
    <w:rsid w:val="00103957"/>
    <w:rsid w:val="00120F0A"/>
    <w:rsid w:val="00152C6D"/>
    <w:rsid w:val="00162D39"/>
    <w:rsid w:val="00162EB5"/>
    <w:rsid w:val="001678BD"/>
    <w:rsid w:val="00171F64"/>
    <w:rsid w:val="00176E8C"/>
    <w:rsid w:val="00182373"/>
    <w:rsid w:val="00193955"/>
    <w:rsid w:val="001A67DB"/>
    <w:rsid w:val="001B4A1B"/>
    <w:rsid w:val="001C3C29"/>
    <w:rsid w:val="001D24E9"/>
    <w:rsid w:val="001D51E5"/>
    <w:rsid w:val="001E080D"/>
    <w:rsid w:val="001E53D0"/>
    <w:rsid w:val="001F0C3B"/>
    <w:rsid w:val="00202C82"/>
    <w:rsid w:val="00204EA7"/>
    <w:rsid w:val="00214427"/>
    <w:rsid w:val="00226CB7"/>
    <w:rsid w:val="002441C9"/>
    <w:rsid w:val="00264552"/>
    <w:rsid w:val="00264EF9"/>
    <w:rsid w:val="00265724"/>
    <w:rsid w:val="0027426B"/>
    <w:rsid w:val="00286955"/>
    <w:rsid w:val="002A7420"/>
    <w:rsid w:val="002B2E59"/>
    <w:rsid w:val="002E0A30"/>
    <w:rsid w:val="002E109A"/>
    <w:rsid w:val="002E2504"/>
    <w:rsid w:val="00310858"/>
    <w:rsid w:val="003130C4"/>
    <w:rsid w:val="00316C4B"/>
    <w:rsid w:val="0032192B"/>
    <w:rsid w:val="003479BD"/>
    <w:rsid w:val="00362039"/>
    <w:rsid w:val="00365ED0"/>
    <w:rsid w:val="0037197D"/>
    <w:rsid w:val="003768D5"/>
    <w:rsid w:val="003926B9"/>
    <w:rsid w:val="00393A1A"/>
    <w:rsid w:val="003C47E6"/>
    <w:rsid w:val="003C4FC2"/>
    <w:rsid w:val="00416E61"/>
    <w:rsid w:val="00417218"/>
    <w:rsid w:val="00421E13"/>
    <w:rsid w:val="0042521F"/>
    <w:rsid w:val="0042790C"/>
    <w:rsid w:val="004313E2"/>
    <w:rsid w:val="004506F9"/>
    <w:rsid w:val="004611AA"/>
    <w:rsid w:val="004717A2"/>
    <w:rsid w:val="00473DF3"/>
    <w:rsid w:val="00487911"/>
    <w:rsid w:val="004911CB"/>
    <w:rsid w:val="00491741"/>
    <w:rsid w:val="00494021"/>
    <w:rsid w:val="004B0CEE"/>
    <w:rsid w:val="00500E5F"/>
    <w:rsid w:val="00510CBB"/>
    <w:rsid w:val="005122EF"/>
    <w:rsid w:val="0051441A"/>
    <w:rsid w:val="00517C33"/>
    <w:rsid w:val="00517D5F"/>
    <w:rsid w:val="00523644"/>
    <w:rsid w:val="0054069E"/>
    <w:rsid w:val="00544866"/>
    <w:rsid w:val="005767CC"/>
    <w:rsid w:val="00580D5D"/>
    <w:rsid w:val="00590D9F"/>
    <w:rsid w:val="00591BF0"/>
    <w:rsid w:val="00595D26"/>
    <w:rsid w:val="005A4FFC"/>
    <w:rsid w:val="005A74E6"/>
    <w:rsid w:val="005B404E"/>
    <w:rsid w:val="005D42F7"/>
    <w:rsid w:val="005D4D55"/>
    <w:rsid w:val="005E2CFB"/>
    <w:rsid w:val="005F2103"/>
    <w:rsid w:val="005F21BB"/>
    <w:rsid w:val="005F3D1C"/>
    <w:rsid w:val="0062378F"/>
    <w:rsid w:val="006369CF"/>
    <w:rsid w:val="00641842"/>
    <w:rsid w:val="00651EEC"/>
    <w:rsid w:val="00661A5B"/>
    <w:rsid w:val="00661EDA"/>
    <w:rsid w:val="00674930"/>
    <w:rsid w:val="00686673"/>
    <w:rsid w:val="00691E8C"/>
    <w:rsid w:val="00697CE2"/>
    <w:rsid w:val="006A0249"/>
    <w:rsid w:val="006A22C4"/>
    <w:rsid w:val="006A351B"/>
    <w:rsid w:val="006B0422"/>
    <w:rsid w:val="006C1B53"/>
    <w:rsid w:val="006D7730"/>
    <w:rsid w:val="006E2A30"/>
    <w:rsid w:val="006E5284"/>
    <w:rsid w:val="006F3EB5"/>
    <w:rsid w:val="006F4581"/>
    <w:rsid w:val="00702E34"/>
    <w:rsid w:val="00704395"/>
    <w:rsid w:val="00710FE7"/>
    <w:rsid w:val="00717621"/>
    <w:rsid w:val="00720FF1"/>
    <w:rsid w:val="00725CCA"/>
    <w:rsid w:val="00727A53"/>
    <w:rsid w:val="007360CF"/>
    <w:rsid w:val="0074717F"/>
    <w:rsid w:val="00772C88"/>
    <w:rsid w:val="00787B42"/>
    <w:rsid w:val="00790A27"/>
    <w:rsid w:val="007B5EE9"/>
    <w:rsid w:val="007C4539"/>
    <w:rsid w:val="007F3657"/>
    <w:rsid w:val="007F7805"/>
    <w:rsid w:val="00812ED5"/>
    <w:rsid w:val="008277D9"/>
    <w:rsid w:val="00834DD3"/>
    <w:rsid w:val="0084478C"/>
    <w:rsid w:val="00856374"/>
    <w:rsid w:val="00862018"/>
    <w:rsid w:val="0086638C"/>
    <w:rsid w:val="00890323"/>
    <w:rsid w:val="008A3E8D"/>
    <w:rsid w:val="008C2405"/>
    <w:rsid w:val="00905937"/>
    <w:rsid w:val="00915462"/>
    <w:rsid w:val="009237C4"/>
    <w:rsid w:val="00924CAB"/>
    <w:rsid w:val="009338FD"/>
    <w:rsid w:val="00944C48"/>
    <w:rsid w:val="00950252"/>
    <w:rsid w:val="00952069"/>
    <w:rsid w:val="00967F5D"/>
    <w:rsid w:val="009A0F95"/>
    <w:rsid w:val="009B3ADF"/>
    <w:rsid w:val="009B5E96"/>
    <w:rsid w:val="009C3B52"/>
    <w:rsid w:val="009C5C58"/>
    <w:rsid w:val="009D1E9F"/>
    <w:rsid w:val="009E3149"/>
    <w:rsid w:val="009E6817"/>
    <w:rsid w:val="009E6E9A"/>
    <w:rsid w:val="00A01D2B"/>
    <w:rsid w:val="00A13057"/>
    <w:rsid w:val="00A26A7D"/>
    <w:rsid w:val="00A42218"/>
    <w:rsid w:val="00A70249"/>
    <w:rsid w:val="00A70B02"/>
    <w:rsid w:val="00A71D9F"/>
    <w:rsid w:val="00A92E9F"/>
    <w:rsid w:val="00AA11ED"/>
    <w:rsid w:val="00AA39A9"/>
    <w:rsid w:val="00AB18FF"/>
    <w:rsid w:val="00AB2757"/>
    <w:rsid w:val="00B33BEA"/>
    <w:rsid w:val="00B33CFF"/>
    <w:rsid w:val="00B57C9F"/>
    <w:rsid w:val="00B63572"/>
    <w:rsid w:val="00B77C93"/>
    <w:rsid w:val="00B845B3"/>
    <w:rsid w:val="00B85D8B"/>
    <w:rsid w:val="00B87B0C"/>
    <w:rsid w:val="00B970C2"/>
    <w:rsid w:val="00BB4A40"/>
    <w:rsid w:val="00BD2883"/>
    <w:rsid w:val="00BD6C3E"/>
    <w:rsid w:val="00BE3674"/>
    <w:rsid w:val="00BE522C"/>
    <w:rsid w:val="00C10681"/>
    <w:rsid w:val="00C21002"/>
    <w:rsid w:val="00C3049A"/>
    <w:rsid w:val="00C31B1E"/>
    <w:rsid w:val="00C77645"/>
    <w:rsid w:val="00CB7709"/>
    <w:rsid w:val="00CC0477"/>
    <w:rsid w:val="00CC49A3"/>
    <w:rsid w:val="00CD3FAC"/>
    <w:rsid w:val="00CE04C3"/>
    <w:rsid w:val="00CE7090"/>
    <w:rsid w:val="00CE76A0"/>
    <w:rsid w:val="00CF03AB"/>
    <w:rsid w:val="00D0764B"/>
    <w:rsid w:val="00D148C6"/>
    <w:rsid w:val="00D17A8A"/>
    <w:rsid w:val="00D415BA"/>
    <w:rsid w:val="00D63780"/>
    <w:rsid w:val="00D644EE"/>
    <w:rsid w:val="00D71A4B"/>
    <w:rsid w:val="00D83AA6"/>
    <w:rsid w:val="00DA3139"/>
    <w:rsid w:val="00DB5846"/>
    <w:rsid w:val="00DC2C79"/>
    <w:rsid w:val="00DD06FF"/>
    <w:rsid w:val="00DD5FE9"/>
    <w:rsid w:val="00DE4269"/>
    <w:rsid w:val="00DF3731"/>
    <w:rsid w:val="00E00C7A"/>
    <w:rsid w:val="00E17DAD"/>
    <w:rsid w:val="00E37D6C"/>
    <w:rsid w:val="00E55B68"/>
    <w:rsid w:val="00E561AE"/>
    <w:rsid w:val="00E67BE6"/>
    <w:rsid w:val="00E74BDB"/>
    <w:rsid w:val="00E75EF1"/>
    <w:rsid w:val="00E8683C"/>
    <w:rsid w:val="00EA2B72"/>
    <w:rsid w:val="00EB49A6"/>
    <w:rsid w:val="00F00126"/>
    <w:rsid w:val="00F46E4F"/>
    <w:rsid w:val="00F74360"/>
    <w:rsid w:val="00F86861"/>
    <w:rsid w:val="00F93D61"/>
    <w:rsid w:val="00FB462F"/>
    <w:rsid w:val="00FB7054"/>
    <w:rsid w:val="00FE16FA"/>
    <w:rsid w:val="00FE24E4"/>
    <w:rsid w:val="00FE328A"/>
    <w:rsid w:val="00FE6269"/>
    <w:rsid w:val="00FF5CD6"/>
    <w:rsid w:val="02BA3B5E"/>
    <w:rsid w:val="04200F02"/>
    <w:rsid w:val="05C44FFA"/>
    <w:rsid w:val="067D3A7E"/>
    <w:rsid w:val="0CA062A9"/>
    <w:rsid w:val="13227B2D"/>
    <w:rsid w:val="1717156C"/>
    <w:rsid w:val="1D97DEFF"/>
    <w:rsid w:val="1DFF72E5"/>
    <w:rsid w:val="1EFC6F07"/>
    <w:rsid w:val="223B5D0C"/>
    <w:rsid w:val="2FDF85B8"/>
    <w:rsid w:val="2FFFEE04"/>
    <w:rsid w:val="34DF85B0"/>
    <w:rsid w:val="3AF07F34"/>
    <w:rsid w:val="3B084204"/>
    <w:rsid w:val="3B8F36BC"/>
    <w:rsid w:val="4211018C"/>
    <w:rsid w:val="438A1E1D"/>
    <w:rsid w:val="44A146DC"/>
    <w:rsid w:val="491FF225"/>
    <w:rsid w:val="4EFB30EA"/>
    <w:rsid w:val="4FFD214C"/>
    <w:rsid w:val="52610CBC"/>
    <w:rsid w:val="56C310E3"/>
    <w:rsid w:val="5777D4F5"/>
    <w:rsid w:val="58861777"/>
    <w:rsid w:val="59DD8326"/>
    <w:rsid w:val="5C3A63BB"/>
    <w:rsid w:val="5DEF592A"/>
    <w:rsid w:val="5FC6BB1E"/>
    <w:rsid w:val="5FF720F1"/>
    <w:rsid w:val="60D279CD"/>
    <w:rsid w:val="64F068F8"/>
    <w:rsid w:val="67FF5C0B"/>
    <w:rsid w:val="6CD268A6"/>
    <w:rsid w:val="6EFC0924"/>
    <w:rsid w:val="6F611A97"/>
    <w:rsid w:val="6FB74722"/>
    <w:rsid w:val="6FEF8B7E"/>
    <w:rsid w:val="71A6591B"/>
    <w:rsid w:val="737D59BA"/>
    <w:rsid w:val="77C37683"/>
    <w:rsid w:val="79FF515B"/>
    <w:rsid w:val="7E9E1962"/>
    <w:rsid w:val="7E9F11B4"/>
    <w:rsid w:val="7F37EC1E"/>
    <w:rsid w:val="7F7DCD9D"/>
    <w:rsid w:val="7F970A6F"/>
    <w:rsid w:val="7FC1FFF3"/>
    <w:rsid w:val="7FC30782"/>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qFormat/>
    <w:uiPriority w:val="9"/>
    <w:pPr>
      <w:keepNext/>
      <w:keepLines/>
      <w:spacing w:line="600" w:lineRule="exact"/>
      <w:ind w:firstLine="420" w:firstLineChars="200"/>
      <w:outlineLvl w:val="0"/>
    </w:pPr>
    <w:rPr>
      <w:rFonts w:eastAsia="黑体"/>
      <w:kern w:val="44"/>
      <w:sz w:val="32"/>
    </w:rPr>
  </w:style>
  <w:style w:type="paragraph" w:styleId="5">
    <w:name w:val="heading 2"/>
    <w:basedOn w:val="1"/>
    <w:next w:val="1"/>
    <w:unhideWhenUsed/>
    <w:qFormat/>
    <w:uiPriority w:val="9"/>
    <w:pPr>
      <w:keepNext/>
      <w:keepLines/>
      <w:spacing w:line="600" w:lineRule="exact"/>
      <w:ind w:firstLine="723" w:firstLineChars="200"/>
      <w:outlineLvl w:val="1"/>
    </w:pPr>
    <w:rPr>
      <w:rFonts w:ascii="Arial" w:hAnsi="Arial" w:eastAsia="楷体"/>
      <w:sz w:val="32"/>
    </w:rPr>
  </w:style>
  <w:style w:type="character" w:default="1" w:styleId="14">
    <w:name w:val="Default Paragraph Font"/>
    <w:unhideWhenUsed/>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tcPr>
      <w:textDirection w:val="lrTb"/>
    </w:tcPr>
  </w:style>
  <w:style w:type="paragraph" w:styleId="2">
    <w:name w:val="Body Text"/>
    <w:basedOn w:val="1"/>
    <w:next w:val="3"/>
    <w:unhideWhenUsed/>
    <w:uiPriority w:val="0"/>
    <w:pPr>
      <w:spacing w:before="190"/>
    </w:pPr>
    <w:rPr>
      <w:rFonts w:ascii="宋体" w:hAnsi="宋体" w:eastAsia="宋体" w:cs="宋体"/>
      <w:sz w:val="32"/>
      <w:szCs w:val="32"/>
      <w:lang w:val="zh-CN" w:bidi="zh-CN"/>
    </w:rPr>
  </w:style>
  <w:style w:type="paragraph" w:styleId="3">
    <w:name w:val="toc 5"/>
    <w:basedOn w:val="1"/>
    <w:next w:val="1"/>
    <w:unhideWhenUsed/>
    <w:uiPriority w:val="39"/>
    <w:pPr>
      <w:ind w:left="1680" w:leftChars="800"/>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22"/>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footnote text"/>
    <w:basedOn w:val="1"/>
    <w:next w:val="7"/>
    <w:semiHidden/>
    <w:qFormat/>
    <w:uiPriority w:val="0"/>
    <w:pPr>
      <w:snapToGrid w:val="0"/>
      <w:jc w:val="left"/>
    </w:pPr>
    <w:rPr>
      <w:sz w:val="18"/>
      <w:szCs w:val="18"/>
    </w:rPr>
  </w:style>
  <w:style w:type="paragraph" w:styleId="13">
    <w:name w:val="toc 2"/>
    <w:basedOn w:val="1"/>
    <w:next w:val="1"/>
    <w:unhideWhenUsed/>
    <w:uiPriority w:val="39"/>
    <w:pPr>
      <w:ind w:left="420" w:leftChars="200"/>
    </w:pPr>
  </w:style>
  <w:style w:type="table" w:styleId="16">
    <w:name w:val="Table Grid"/>
    <w:basedOn w:val="15"/>
    <w:uiPriority w:val="59"/>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List Paragraph"/>
    <w:basedOn w:val="1"/>
    <w:qFormat/>
    <w:uiPriority w:val="34"/>
    <w:pPr>
      <w:ind w:firstLine="420" w:firstLineChars="200"/>
    </w:pPr>
  </w:style>
  <w:style w:type="paragraph" w:customStyle="1" w:styleId="19">
    <w:name w:val="无间隔1"/>
    <w:qFormat/>
    <w:uiPriority w:val="1"/>
    <w:pPr>
      <w:widowControl w:val="0"/>
      <w:jc w:val="both"/>
    </w:pPr>
    <w:rPr>
      <w:rFonts w:ascii="Calibri" w:hAnsi="Calibri" w:eastAsia="宋体" w:cs="黑体"/>
      <w:kern w:val="2"/>
      <w:sz w:val="21"/>
      <w:szCs w:val="22"/>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批注框文本 Char"/>
    <w:basedOn w:val="14"/>
    <w:link w:val="8"/>
    <w:semiHidden/>
    <w:qFormat/>
    <w:uiPriority w:val="99"/>
    <w:rPr>
      <w:sz w:val="18"/>
      <w:szCs w:val="18"/>
    </w:rPr>
  </w:style>
  <w:style w:type="character" w:customStyle="1" w:styleId="23">
    <w:name w:val="font01"/>
    <w:basedOn w:val="14"/>
    <w:qFormat/>
    <w:uiPriority w:val="0"/>
    <w:rPr>
      <w:rFonts w:hint="eastAsia" w:ascii="宋体" w:hAnsi="宋体" w:eastAsia="宋体" w:cs="宋体"/>
      <w:color w:val="000000"/>
      <w:sz w:val="22"/>
      <w:szCs w:val="22"/>
      <w:u w:val="none"/>
    </w:rPr>
  </w:style>
  <w:style w:type="character" w:customStyle="1" w:styleId="24">
    <w:name w:val="font21"/>
    <w:basedOn w:val="14"/>
    <w:qFormat/>
    <w:uiPriority w:val="0"/>
    <w:rPr>
      <w:rFonts w:hint="eastAsia" w:ascii="宋体" w:hAnsi="宋体" w:eastAsia="宋体" w:cs="宋体"/>
      <w:color w:val="000000"/>
      <w:sz w:val="24"/>
      <w:szCs w:val="24"/>
      <w:u w:val="none"/>
    </w:rPr>
  </w:style>
  <w:style w:type="character" w:customStyle="1" w:styleId="25">
    <w:name w:val="font11"/>
    <w:basedOn w:val="14"/>
    <w:qFormat/>
    <w:uiPriority w:val="0"/>
    <w:rPr>
      <w:rFonts w:hint="eastAsia" w:ascii="宋体" w:hAnsi="宋体" w:eastAsia="宋体" w:cs="宋体"/>
      <w:color w:val="000000"/>
      <w:sz w:val="24"/>
      <w:szCs w:val="24"/>
      <w:u w:val="none"/>
    </w:rPr>
  </w:style>
  <w:style w:type="paragraph" w:customStyle="1" w:styleId="26">
    <w:name w:val="p0"/>
    <w:basedOn w:val="1"/>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2304</Words>
  <Characters>13139</Characters>
  <Lines>109</Lines>
  <Paragraphs>30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2024-08-30T11:13:17Z</cp:lastPrinted>
  <dcterms:modified xsi:type="dcterms:W3CDTF">2024-08-30T11:15:49Z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F8AA70569A4C4D4F922E7CBC7D7ECAC4_12</vt:lpwstr>
  </property>
</Properties>
</file>