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overflowPunct w:val="0"/>
        <w:autoSpaceDE/>
        <w:autoSpaceDN/>
        <w:spacing w:before="0"/>
        <w:ind w:left="0" w:right="0" w:firstLine="0"/>
        <w:jc w:val="center"/>
        <w:rPr>
          <w:kern w:val="2"/>
        </w:rPr>
      </w:pP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年湖南省卫生健康委国际交流中心预算</w:t>
      </w:r>
    </w:p>
    <w:p>
      <w:pPr>
        <w:pStyle w:val="2"/>
        <w:overflowPunct w:val="0"/>
        <w:autoSpaceDE/>
        <w:autoSpaceDN/>
        <w:spacing w:before="0"/>
        <w:ind w:left="0"/>
        <w:jc w:val="center"/>
        <w:rPr>
          <w:rFonts w:ascii="黑体" w:eastAsia="黑体"/>
          <w:kern w:val="2"/>
        </w:rPr>
      </w:pPr>
    </w:p>
    <w:p>
      <w:pPr>
        <w:pStyle w:val="2"/>
        <w:overflowPunct w:val="0"/>
        <w:autoSpaceDE/>
        <w:autoSpaceDN/>
        <w:spacing w:before="0"/>
        <w:ind w:left="0"/>
        <w:jc w:val="center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目录</w:t>
      </w:r>
    </w:p>
    <w:p>
      <w:pPr>
        <w:overflowPunct w:val="0"/>
        <w:autoSpaceDE/>
        <w:autoSpaceDN/>
        <w:jc w:val="both"/>
        <w:rPr>
          <w:b/>
          <w:kern w:val="2"/>
          <w:sz w:val="32"/>
        </w:rPr>
      </w:pPr>
    </w:p>
    <w:p>
      <w:pPr>
        <w:overflowPunct w:val="0"/>
        <w:autoSpaceDE/>
        <w:autoSpaceDN/>
        <w:jc w:val="both"/>
        <w:rPr>
          <w:b/>
          <w:kern w:val="2"/>
          <w:sz w:val="32"/>
        </w:rPr>
      </w:pPr>
      <w:r>
        <w:rPr>
          <w:b/>
          <w:kern w:val="2"/>
          <w:sz w:val="32"/>
        </w:rPr>
        <w:t>第一部分</w:t>
      </w:r>
      <w:r>
        <w:rPr>
          <w:rFonts w:ascii="Times New Roman" w:eastAsia="Times New Roman"/>
          <w:b/>
          <w:kern w:val="2"/>
          <w:sz w:val="32"/>
        </w:rPr>
        <w:t>2022</w:t>
      </w:r>
      <w:r>
        <w:rPr>
          <w:b/>
          <w:kern w:val="2"/>
          <w:sz w:val="32"/>
        </w:rPr>
        <w:t>年单位预算说明</w:t>
      </w:r>
    </w:p>
    <w:p>
      <w:pPr>
        <w:overflowPunct w:val="0"/>
        <w:autoSpaceDE/>
        <w:autoSpaceDN/>
        <w:jc w:val="both"/>
        <w:rPr>
          <w:b/>
          <w:kern w:val="2"/>
          <w:sz w:val="32"/>
        </w:rPr>
      </w:pPr>
      <w:r>
        <w:rPr>
          <w:b/>
          <w:kern w:val="2"/>
          <w:sz w:val="32"/>
        </w:rPr>
        <w:t>第二部分</w:t>
      </w:r>
      <w:r>
        <w:rPr>
          <w:rFonts w:ascii="Times New Roman" w:eastAsia="Times New Roman"/>
          <w:b/>
          <w:kern w:val="2"/>
          <w:sz w:val="32"/>
        </w:rPr>
        <w:t>2022</w:t>
      </w:r>
      <w:r>
        <w:rPr>
          <w:b/>
          <w:kern w:val="2"/>
          <w:sz w:val="32"/>
        </w:rPr>
        <w:t>年单位预算表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</w:t>
      </w:r>
      <w:r>
        <w:rPr>
          <w:kern w:val="2"/>
        </w:rPr>
        <w:t>、收支总表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2</w:t>
      </w:r>
      <w:r>
        <w:rPr>
          <w:kern w:val="2"/>
        </w:rPr>
        <w:t>、收入总表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3</w:t>
      </w:r>
      <w:r>
        <w:rPr>
          <w:kern w:val="2"/>
        </w:rPr>
        <w:t>、支出总表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4</w:t>
      </w:r>
      <w:r>
        <w:rPr>
          <w:kern w:val="2"/>
        </w:rPr>
        <w:t>、支出预算分类汇总表（按政府预算经济分类）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5</w:t>
      </w:r>
      <w:r>
        <w:rPr>
          <w:kern w:val="2"/>
        </w:rPr>
        <w:t>、支出预算分类汇总表（按部门预算经济分类）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6</w:t>
      </w:r>
      <w:r>
        <w:rPr>
          <w:kern w:val="2"/>
        </w:rPr>
        <w:t>、财政拨款收支总表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7</w:t>
      </w:r>
      <w:r>
        <w:rPr>
          <w:kern w:val="2"/>
        </w:rPr>
        <w:t>、一般公共预算支出表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8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人员经费（工资福利支出）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kern w:val="2"/>
        </w:rPr>
        <w:t>（按政府预算经济分类）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9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人员经费（工资福利支出）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kern w:val="2"/>
        </w:rPr>
        <w:t>（按部门预算经济分类）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10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人员经费（对个人和家庭的补助）（按政府预算经济分类）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11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人员经费（对个人和家庭的补助）（按部门预算经济分类）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12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公用经费（商品和服务支出）（按政府预算经济分类）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13</w:t>
      </w:r>
      <w:r>
        <w:rPr>
          <w:kern w:val="2"/>
        </w:rPr>
        <w:t>、一般公共预算基本支出表</w:t>
      </w:r>
      <w:r>
        <w:rPr>
          <w:rFonts w:ascii="Times New Roman" w:eastAsia="Times New Roman"/>
          <w:kern w:val="2"/>
        </w:rPr>
        <w:t>-</w:t>
      </w:r>
      <w:r>
        <w:rPr>
          <w:kern w:val="2"/>
        </w:rPr>
        <w:t>公用经费（商品和服务支出）（按部门预算经济分类）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hAnsi="Times New Roman" w:eastAsia="Times New Roman"/>
          <w:kern w:val="2"/>
        </w:rPr>
        <w:t>14</w:t>
      </w:r>
      <w:r>
        <w:rPr>
          <w:kern w:val="2"/>
        </w:rPr>
        <w:t>、一般公共预算</w:t>
      </w:r>
      <w:r>
        <w:rPr>
          <w:rFonts w:ascii="Times New Roman" w:hAnsi="Times New Roman" w:eastAsia="Times New Roman"/>
          <w:kern w:val="2"/>
        </w:rPr>
        <w:t>“</w:t>
      </w:r>
      <w:r>
        <w:rPr>
          <w:kern w:val="2"/>
        </w:rPr>
        <w:t>三公</w:t>
      </w:r>
      <w:r>
        <w:rPr>
          <w:rFonts w:ascii="Times New Roman" w:hAnsi="Times New Roman" w:eastAsia="Times New Roman"/>
          <w:kern w:val="2"/>
        </w:rPr>
        <w:t>”</w:t>
      </w:r>
      <w:r>
        <w:rPr>
          <w:kern w:val="2"/>
        </w:rPr>
        <w:t>经费支出表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15</w:t>
      </w:r>
      <w:r>
        <w:rPr>
          <w:kern w:val="2"/>
        </w:rPr>
        <w:t>、政府性基金预算支出表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16</w:t>
      </w:r>
      <w:r>
        <w:rPr>
          <w:kern w:val="2"/>
        </w:rPr>
        <w:t>、政府性基金预算支出分类汇总表（按政府预算经济分类）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17</w:t>
      </w:r>
      <w:r>
        <w:rPr>
          <w:kern w:val="2"/>
        </w:rPr>
        <w:t>、政府性基金预算支出分类汇总表（按部门预算经济分类）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18</w:t>
      </w:r>
      <w:r>
        <w:rPr>
          <w:kern w:val="2"/>
        </w:rPr>
        <w:t>、国有资本经营预算支出表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19</w:t>
      </w:r>
      <w:r>
        <w:rPr>
          <w:kern w:val="2"/>
        </w:rPr>
        <w:t>、财政专户管理资金预算支出表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20</w:t>
      </w:r>
      <w:r>
        <w:rPr>
          <w:kern w:val="2"/>
        </w:rPr>
        <w:t>、省级专项资金预算汇总表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21</w:t>
      </w:r>
      <w:r>
        <w:rPr>
          <w:kern w:val="2"/>
        </w:rPr>
        <w:t>、省级专项资金绩效目标表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22</w:t>
      </w:r>
      <w:r>
        <w:rPr>
          <w:kern w:val="2"/>
        </w:rPr>
        <w:t>、其他项目支出绩效目标表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rFonts w:ascii="Times New Roman" w:eastAsia="Times New Roman"/>
          <w:kern w:val="2"/>
        </w:rPr>
        <w:t>23</w:t>
      </w:r>
      <w:r>
        <w:rPr>
          <w:kern w:val="2"/>
        </w:rPr>
        <w:t>、部门整体支出绩效目标表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kern w:val="2"/>
        </w:rPr>
      </w:pPr>
      <w:r>
        <w:rPr>
          <w:kern w:val="2"/>
        </w:rPr>
        <w:t>注：以上单位预算报表中，空表表示本单位无相关收支情况。</w:t>
      </w:r>
    </w:p>
    <w:p>
      <w:pPr>
        <w:overflowPunct w:val="0"/>
        <w:autoSpaceDE/>
        <w:autoSpaceDN/>
        <w:jc w:val="both"/>
        <w:rPr>
          <w:kern w:val="2"/>
        </w:rPr>
      </w:pPr>
      <w:r>
        <w:rPr>
          <w:kern w:val="2"/>
        </w:rPr>
        <w:br w:type="page"/>
      </w:r>
    </w:p>
    <w:p>
      <w:pPr>
        <w:overflowPunct w:val="0"/>
        <w:autoSpaceDE/>
        <w:autoSpaceDN/>
        <w:jc w:val="center"/>
        <w:rPr>
          <w:rFonts w:ascii="Arial Unicode MS" w:eastAsia="Arial Unicode MS"/>
          <w:kern w:val="2"/>
          <w:sz w:val="36"/>
        </w:rPr>
      </w:pPr>
      <w:r>
        <w:rPr>
          <w:rFonts w:hint="eastAsia" w:ascii="Arial Unicode MS" w:eastAsia="Arial Unicode MS"/>
          <w:kern w:val="2"/>
          <w:sz w:val="36"/>
        </w:rPr>
        <w:t>第一部分</w:t>
      </w:r>
      <w:r>
        <w:rPr>
          <w:rFonts w:ascii="Times New Roman" w:eastAsia="Times New Roman"/>
          <w:kern w:val="2"/>
          <w:sz w:val="36"/>
        </w:rPr>
        <w:t>2022</w:t>
      </w:r>
      <w:r>
        <w:rPr>
          <w:rFonts w:hint="eastAsia" w:ascii="Arial Unicode MS" w:eastAsia="Arial Unicode MS"/>
          <w:kern w:val="2"/>
          <w:sz w:val="36"/>
        </w:rPr>
        <w:t>年单位预算说明</w:t>
      </w:r>
    </w:p>
    <w:p>
      <w:pPr>
        <w:pStyle w:val="2"/>
        <w:overflowPunct w:val="0"/>
        <w:autoSpaceDE/>
        <w:autoSpaceDN/>
        <w:spacing w:before="0"/>
        <w:ind w:left="0"/>
        <w:jc w:val="both"/>
        <w:rPr>
          <w:rFonts w:ascii="宋体" w:hAnsi="宋体" w:eastAsia="宋体"/>
          <w:kern w:val="2"/>
          <w:sz w:val="41"/>
        </w:rPr>
      </w:pP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一、单位基本概况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（一）职能职责</w:t>
      </w:r>
    </w:p>
    <w:p>
      <w:pPr>
        <w:tabs>
          <w:tab w:val="left" w:pos="1003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1.</w:t>
      </w:r>
      <w:r>
        <w:rPr>
          <w:kern w:val="2"/>
          <w:sz w:val="32"/>
        </w:rPr>
        <w:t>组织、开展并管理全省卫生健康系统国际（包括港、澳、台地区）民间交流与合作。</w:t>
      </w:r>
    </w:p>
    <w:p>
      <w:pPr>
        <w:tabs>
          <w:tab w:val="left" w:pos="988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2.</w:t>
      </w:r>
      <w:r>
        <w:rPr>
          <w:kern w:val="2"/>
          <w:sz w:val="32"/>
        </w:rPr>
        <w:t>承办全省卫生健康援外项目的事务工作。</w:t>
      </w:r>
    </w:p>
    <w:p>
      <w:pPr>
        <w:tabs>
          <w:tab w:val="left" w:pos="989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3.</w:t>
      </w:r>
      <w:r>
        <w:rPr>
          <w:kern w:val="2"/>
          <w:sz w:val="32"/>
        </w:rPr>
        <w:t>承办全省卫生健康系统出入境考察和培训等服务性工作。</w:t>
      </w:r>
    </w:p>
    <w:p>
      <w:pPr>
        <w:tabs>
          <w:tab w:val="left" w:pos="989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4.</w:t>
      </w:r>
      <w:r>
        <w:rPr>
          <w:kern w:val="2"/>
          <w:sz w:val="32"/>
        </w:rPr>
        <w:t>开展卫生系统外语培训及出国人员选拔考试的技术性工作。</w:t>
      </w:r>
    </w:p>
    <w:p>
      <w:pPr>
        <w:tabs>
          <w:tab w:val="left" w:pos="988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5.</w:t>
      </w:r>
      <w:r>
        <w:rPr>
          <w:kern w:val="2"/>
          <w:sz w:val="32"/>
        </w:rPr>
        <w:t>举办卫生系统国际会展、技术及产品交流。</w:t>
      </w:r>
    </w:p>
    <w:p>
      <w:pPr>
        <w:tabs>
          <w:tab w:val="left" w:pos="988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6.</w:t>
      </w:r>
      <w:r>
        <w:rPr>
          <w:kern w:val="2"/>
          <w:sz w:val="32"/>
        </w:rPr>
        <w:t>接受境外相关组织及个人捐款。</w:t>
      </w:r>
    </w:p>
    <w:p>
      <w:pPr>
        <w:tabs>
          <w:tab w:val="left" w:pos="988"/>
        </w:tabs>
        <w:overflowPunct w:val="0"/>
        <w:autoSpaceDE/>
        <w:autoSpaceDN/>
        <w:ind w:firstLine="600" w:firstLineChars="200"/>
        <w:jc w:val="both"/>
        <w:rPr>
          <w:kern w:val="2"/>
          <w:sz w:val="32"/>
        </w:rPr>
      </w:pPr>
      <w:r>
        <w:rPr>
          <w:rFonts w:ascii="Times New Roman" w:hAnsi="Times New Roman" w:eastAsia="Times New Roman" w:cs="Times New Roman"/>
          <w:kern w:val="2"/>
          <w:sz w:val="30"/>
          <w:szCs w:val="30"/>
        </w:rPr>
        <w:t>7.</w:t>
      </w:r>
      <w:r>
        <w:rPr>
          <w:kern w:val="2"/>
          <w:sz w:val="32"/>
        </w:rPr>
        <w:t>接待民间性组织及个人来湘考察、康复等服务性工作。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（二）机构设置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rFonts w:hint="eastAsia"/>
          <w:kern w:val="2"/>
        </w:rPr>
        <w:t>2022年部门预算公开单位构成包括：湖南省卫生健康委本级，统一社会信用代码为12430000444913812P。本单位无下属预算单位。本单位是</w:t>
      </w:r>
      <w:r>
        <w:rPr>
          <w:kern w:val="2"/>
        </w:rPr>
        <w:t>湖南省卫生健康委直</w:t>
      </w:r>
      <w:r>
        <w:rPr>
          <w:rFonts w:hint="eastAsia"/>
          <w:kern w:val="2"/>
        </w:rPr>
        <w:t>属</w:t>
      </w:r>
      <w:r>
        <w:rPr>
          <w:kern w:val="2"/>
        </w:rPr>
        <w:t>二级预算单位，属于财政补助公益一类事业单位。现有编制数</w:t>
      </w:r>
      <w:r>
        <w:rPr>
          <w:rFonts w:ascii="Times New Roman" w:eastAsia="Times New Roman"/>
          <w:kern w:val="2"/>
        </w:rPr>
        <w:t>5</w:t>
      </w:r>
      <w:r>
        <w:rPr>
          <w:kern w:val="2"/>
        </w:rPr>
        <w:t>名，在职编制</w:t>
      </w:r>
      <w:r>
        <w:rPr>
          <w:rFonts w:ascii="Times New Roman" w:eastAsia="Times New Roman"/>
          <w:kern w:val="2"/>
        </w:rPr>
        <w:t>4</w:t>
      </w:r>
      <w:r>
        <w:rPr>
          <w:kern w:val="2"/>
        </w:rPr>
        <w:t>名，执行政府会计准则制度。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二、单位收支总体情况</w:t>
      </w:r>
    </w:p>
    <w:p>
      <w:pPr>
        <w:pStyle w:val="2"/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（一）收入预算：</w:t>
      </w:r>
      <w:r>
        <w:rPr>
          <w:kern w:val="2"/>
        </w:rPr>
        <w:t>包括一般公共预算、政府性基金、国有资本经营预算等财政拨款收入，以及经营收入、事业收入等单位资金。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年本单位收入预算</w:t>
      </w:r>
      <w:r>
        <w:rPr>
          <w:rFonts w:ascii="Times New Roman" w:eastAsia="Times New Roman"/>
          <w:kern w:val="2"/>
          <w:u w:val="single"/>
        </w:rPr>
        <w:t>94.26</w:t>
      </w:r>
      <w:r>
        <w:rPr>
          <w:kern w:val="2"/>
        </w:rPr>
        <w:t>万元，其中，一般公共预算拨款</w:t>
      </w:r>
      <w:r>
        <w:rPr>
          <w:rFonts w:ascii="Times New Roman" w:eastAsia="Times New Roman"/>
          <w:kern w:val="2"/>
          <w:u w:val="single"/>
        </w:rPr>
        <w:t>94.26</w:t>
      </w:r>
      <w:r>
        <w:rPr>
          <w:kern w:val="2"/>
        </w:rPr>
        <w:t>万元。收入较去年减少</w:t>
      </w:r>
      <w:r>
        <w:rPr>
          <w:rFonts w:ascii="Times New Roman" w:eastAsia="Times New Roman"/>
          <w:kern w:val="2"/>
        </w:rPr>
        <w:t>28.9</w:t>
      </w:r>
      <w:r>
        <w:rPr>
          <w:kern w:val="2"/>
        </w:rPr>
        <w:t>万元，主要是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年无中医药专项资金。</w:t>
      </w:r>
    </w:p>
    <w:p>
      <w:pPr>
        <w:pStyle w:val="2"/>
        <w:tabs>
          <w:tab w:val="left" w:pos="6904"/>
          <w:tab w:val="left" w:pos="7623"/>
        </w:tabs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（二）支出预算：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年本单位支出预算</w:t>
      </w:r>
      <w:r>
        <w:rPr>
          <w:rFonts w:ascii="Times New Roman" w:eastAsia="Times New Roman"/>
          <w:kern w:val="2"/>
          <w:u w:val="single"/>
        </w:rPr>
        <w:t>94.46</w:t>
      </w:r>
      <w:r>
        <w:rPr>
          <w:kern w:val="2"/>
        </w:rPr>
        <w:t>万元，其中，社会保障和就业支出</w:t>
      </w:r>
      <w:r>
        <w:rPr>
          <w:rFonts w:ascii="Times New Roman" w:eastAsia="Times New Roman"/>
          <w:kern w:val="2"/>
          <w:u w:val="single"/>
        </w:rPr>
        <w:t>7.16</w:t>
      </w:r>
      <w:r>
        <w:rPr>
          <w:kern w:val="2"/>
        </w:rPr>
        <w:t>万元，卫生健康支出</w:t>
      </w:r>
      <w:r>
        <w:rPr>
          <w:rFonts w:ascii="Times New Roman" w:eastAsia="Times New Roman"/>
          <w:kern w:val="2"/>
          <w:u w:val="single"/>
        </w:rPr>
        <w:t>86.2</w:t>
      </w:r>
      <w:r>
        <w:rPr>
          <w:kern w:val="2"/>
        </w:rPr>
        <w:t>万元，住房保障支出</w:t>
      </w:r>
      <w:r>
        <w:rPr>
          <w:rFonts w:ascii="Times New Roman" w:eastAsia="Times New Roman"/>
          <w:kern w:val="2"/>
          <w:u w:val="single"/>
        </w:rPr>
        <w:t>1.1</w:t>
      </w:r>
      <w:r>
        <w:rPr>
          <w:kern w:val="2"/>
        </w:rPr>
        <w:t>万元。支出较去年减少</w:t>
      </w:r>
      <w:r>
        <w:rPr>
          <w:rFonts w:ascii="Times New Roman" w:eastAsia="Times New Roman"/>
          <w:kern w:val="2"/>
          <w:u w:val="single"/>
        </w:rPr>
        <w:t>28.7</w:t>
      </w:r>
      <w:r>
        <w:rPr>
          <w:kern w:val="2"/>
        </w:rPr>
        <w:t>万元，主要是减少中医药专项资金。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三、一般公共预算拨款支出</w:t>
      </w:r>
    </w:p>
    <w:p>
      <w:pPr>
        <w:pStyle w:val="2"/>
        <w:tabs>
          <w:tab w:val="left" w:pos="6904"/>
        </w:tabs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年本单位一般公共预算拨款支出预算</w:t>
      </w:r>
      <w:r>
        <w:rPr>
          <w:rFonts w:ascii="Times New Roman" w:eastAsia="Times New Roman"/>
          <w:kern w:val="2"/>
          <w:u w:val="single"/>
        </w:rPr>
        <w:t>94.46</w:t>
      </w:r>
      <w:r>
        <w:rPr>
          <w:kern w:val="2"/>
        </w:rPr>
        <w:t>万元，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kern w:val="2"/>
        </w:rPr>
        <w:t>其中，社会保障和就业支出</w:t>
      </w:r>
      <w:r>
        <w:rPr>
          <w:rFonts w:ascii="Times New Roman" w:eastAsia="Times New Roman"/>
          <w:kern w:val="2"/>
          <w:u w:val="single"/>
        </w:rPr>
        <w:t>7.16</w:t>
      </w:r>
      <w:r>
        <w:rPr>
          <w:kern w:val="2"/>
        </w:rPr>
        <w:t>万元，占</w:t>
      </w:r>
      <w:r>
        <w:rPr>
          <w:rFonts w:ascii="Times New Roman" w:eastAsia="Times New Roman"/>
          <w:kern w:val="2"/>
          <w:u w:val="single"/>
        </w:rPr>
        <w:t>7.58%</w:t>
      </w:r>
      <w:r>
        <w:rPr>
          <w:kern w:val="2"/>
        </w:rPr>
        <w:t>；卫生健康支出</w:t>
      </w:r>
      <w:r>
        <w:rPr>
          <w:rFonts w:ascii="Times New Roman" w:eastAsia="Times New Roman"/>
          <w:kern w:val="2"/>
          <w:u w:val="single"/>
        </w:rPr>
        <w:t>86.2</w:t>
      </w:r>
      <w:r>
        <w:rPr>
          <w:kern w:val="2"/>
        </w:rPr>
        <w:t>万元，占</w:t>
      </w:r>
      <w:r>
        <w:rPr>
          <w:rFonts w:ascii="Times New Roman" w:eastAsia="Times New Roman"/>
          <w:kern w:val="2"/>
          <w:u w:val="single"/>
        </w:rPr>
        <w:t>91.26%</w:t>
      </w:r>
      <w:r>
        <w:rPr>
          <w:kern w:val="2"/>
        </w:rPr>
        <w:t>；住房保障支出</w:t>
      </w:r>
      <w:r>
        <w:rPr>
          <w:rFonts w:ascii="Times New Roman" w:eastAsia="Times New Roman"/>
          <w:kern w:val="2"/>
          <w:u w:val="single"/>
        </w:rPr>
        <w:t>1.1</w:t>
      </w:r>
      <w:r>
        <w:rPr>
          <w:kern w:val="2"/>
        </w:rPr>
        <w:t>万元，占</w:t>
      </w:r>
      <w:r>
        <w:rPr>
          <w:rFonts w:ascii="Times New Roman" w:eastAsia="Times New Roman"/>
          <w:kern w:val="2"/>
          <w:u w:val="single"/>
        </w:rPr>
        <w:t>1.16%</w:t>
      </w:r>
      <w:r>
        <w:rPr>
          <w:kern w:val="2"/>
        </w:rPr>
        <w:t>。具体安排情况如下：</w:t>
      </w:r>
    </w:p>
    <w:p>
      <w:pPr>
        <w:pStyle w:val="2"/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（一）基本支出：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年本单位基本支出预算数</w:t>
      </w:r>
      <w:r>
        <w:rPr>
          <w:rFonts w:ascii="Times New Roman" w:eastAsia="Times New Roman"/>
          <w:kern w:val="2"/>
          <w:u w:val="single"/>
        </w:rPr>
        <w:t>94.26</w:t>
      </w:r>
      <w:r>
        <w:rPr>
          <w:kern w:val="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pStyle w:val="2"/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（二）项目支出：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年本单位项目支出预算</w:t>
      </w:r>
      <w:r>
        <w:rPr>
          <w:rFonts w:ascii="Times New Roman" w:eastAsia="Times New Roman"/>
          <w:kern w:val="2"/>
          <w:u w:val="single"/>
        </w:rPr>
        <w:t>0.2</w:t>
      </w:r>
      <w:r>
        <w:rPr>
          <w:kern w:val="2"/>
        </w:rPr>
        <w:t>万元，主要是部门为完成特定行政工作任务或事业发展目标而发生的支出。项目支出为</w:t>
      </w:r>
      <w:r>
        <w:rPr>
          <w:rFonts w:ascii="Times New Roman" w:eastAsia="Times New Roman"/>
          <w:kern w:val="2"/>
        </w:rPr>
        <w:t>2021</w:t>
      </w:r>
      <w:r>
        <w:rPr>
          <w:kern w:val="2"/>
        </w:rPr>
        <w:t>年中医药专项结转资金。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四、政府性基金预算支出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kern w:val="2"/>
        </w:rPr>
        <w:t>本单位无政府性基金安排的支出。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五、其他重要事项的情况说明</w:t>
      </w:r>
    </w:p>
    <w:p>
      <w:pPr>
        <w:overflowPunct w:val="0"/>
        <w:autoSpaceDE/>
        <w:autoSpaceDN/>
        <w:ind w:firstLine="642" w:firstLineChars="200"/>
        <w:jc w:val="both"/>
        <w:rPr>
          <w:kern w:val="2"/>
          <w:sz w:val="32"/>
          <w:szCs w:val="32"/>
        </w:rPr>
      </w:pPr>
      <w:r>
        <w:rPr>
          <w:rFonts w:hint="eastAsia" w:ascii="楷体" w:eastAsia="楷体"/>
          <w:b/>
          <w:kern w:val="2"/>
          <w:sz w:val="32"/>
        </w:rPr>
        <w:t>（一）机关运行经费：</w:t>
      </w:r>
      <w:r>
        <w:rPr>
          <w:rFonts w:ascii="Times New Roman" w:eastAsia="Times New Roman"/>
          <w:kern w:val="2"/>
          <w:sz w:val="32"/>
        </w:rPr>
        <w:t>2022</w:t>
      </w:r>
      <w:r>
        <w:rPr>
          <w:kern w:val="2"/>
          <w:sz w:val="32"/>
        </w:rPr>
        <w:t>年本单位机关运行经费</w:t>
      </w:r>
      <w:r>
        <w:rPr>
          <w:rFonts w:ascii="Times New Roman" w:eastAsia="Times New Roman"/>
          <w:kern w:val="2"/>
          <w:sz w:val="32"/>
          <w:u w:val="single"/>
        </w:rPr>
        <w:t>0.00</w:t>
      </w:r>
      <w:r>
        <w:rPr>
          <w:kern w:val="2"/>
          <w:sz w:val="32"/>
        </w:rPr>
        <w:t>万</w:t>
      </w:r>
      <w:r>
        <w:rPr>
          <w:kern w:val="2"/>
          <w:sz w:val="32"/>
          <w:szCs w:val="32"/>
        </w:rPr>
        <w:t>元，与去年相比无增减变化。</w:t>
      </w:r>
    </w:p>
    <w:p>
      <w:pPr>
        <w:overflowPunct w:val="0"/>
        <w:autoSpaceDE/>
        <w:autoSpaceDN/>
        <w:ind w:firstLine="642" w:firstLineChars="200"/>
        <w:jc w:val="both"/>
        <w:rPr>
          <w:kern w:val="2"/>
          <w:sz w:val="32"/>
          <w:szCs w:val="32"/>
        </w:rPr>
      </w:pPr>
      <w:r>
        <w:rPr>
          <w:rFonts w:hint="eastAsia" w:ascii="楷体" w:hAnsi="楷体" w:eastAsia="楷体"/>
          <w:b/>
          <w:kern w:val="2"/>
          <w:sz w:val="32"/>
          <w:szCs w:val="32"/>
        </w:rPr>
        <w:t>（二）</w:t>
      </w:r>
      <w:r>
        <w:rPr>
          <w:rFonts w:ascii="Times New Roman" w:hAnsi="Times New Roman" w:eastAsia="Times New Roman"/>
          <w:b/>
          <w:kern w:val="2"/>
          <w:sz w:val="32"/>
          <w:szCs w:val="32"/>
        </w:rPr>
        <w:t>“</w:t>
      </w:r>
      <w:r>
        <w:rPr>
          <w:rFonts w:hint="eastAsia" w:ascii="楷体" w:hAnsi="楷体" w:eastAsia="楷体"/>
          <w:b/>
          <w:kern w:val="2"/>
          <w:sz w:val="32"/>
          <w:szCs w:val="32"/>
        </w:rPr>
        <w:t>三公</w:t>
      </w:r>
      <w:r>
        <w:rPr>
          <w:rFonts w:ascii="Times New Roman" w:hAnsi="Times New Roman" w:eastAsia="Times New Roman"/>
          <w:b/>
          <w:kern w:val="2"/>
          <w:sz w:val="32"/>
          <w:szCs w:val="32"/>
        </w:rPr>
        <w:t>”</w:t>
      </w:r>
      <w:r>
        <w:rPr>
          <w:rFonts w:hint="eastAsia" w:ascii="楷体" w:hAnsi="楷体" w:eastAsia="楷体"/>
          <w:b/>
          <w:kern w:val="2"/>
          <w:sz w:val="32"/>
          <w:szCs w:val="32"/>
        </w:rPr>
        <w:t>经费预算：</w:t>
      </w:r>
      <w:r>
        <w:rPr>
          <w:rFonts w:ascii="Times New Roman" w:hAnsi="Times New Roman" w:eastAsia="Times New Roman"/>
          <w:kern w:val="2"/>
          <w:sz w:val="32"/>
          <w:szCs w:val="32"/>
        </w:rPr>
        <w:t>2022</w:t>
      </w:r>
      <w:r>
        <w:rPr>
          <w:kern w:val="2"/>
          <w:sz w:val="32"/>
          <w:szCs w:val="32"/>
        </w:rPr>
        <w:t>年本单位</w:t>
      </w:r>
      <w:r>
        <w:rPr>
          <w:rFonts w:ascii="Times New Roman" w:hAnsi="Times New Roman" w:eastAsia="Times New Roman"/>
          <w:kern w:val="2"/>
          <w:sz w:val="32"/>
          <w:szCs w:val="32"/>
        </w:rPr>
        <w:t>“</w:t>
      </w:r>
      <w:r>
        <w:rPr>
          <w:kern w:val="2"/>
          <w:sz w:val="32"/>
          <w:szCs w:val="32"/>
        </w:rPr>
        <w:t>三公</w:t>
      </w:r>
      <w:r>
        <w:rPr>
          <w:rFonts w:ascii="Times New Roman" w:hAnsi="Times New Roman" w:eastAsia="Times New Roman"/>
          <w:kern w:val="2"/>
          <w:sz w:val="32"/>
          <w:szCs w:val="32"/>
        </w:rPr>
        <w:t>”</w:t>
      </w:r>
      <w:r>
        <w:rPr>
          <w:kern w:val="2"/>
          <w:sz w:val="32"/>
          <w:szCs w:val="32"/>
        </w:rPr>
        <w:t>经费预算数为</w:t>
      </w:r>
      <w:r>
        <w:rPr>
          <w:rFonts w:ascii="Times New Roman" w:hAnsi="Times New Roman" w:eastAsia="Times New Roman"/>
          <w:kern w:val="2"/>
          <w:sz w:val="32"/>
          <w:szCs w:val="32"/>
          <w:u w:val="single"/>
        </w:rPr>
        <w:t>0.00</w:t>
      </w:r>
      <w:r>
        <w:rPr>
          <w:kern w:val="2"/>
          <w:sz w:val="32"/>
          <w:szCs w:val="32"/>
        </w:rPr>
        <w:t>万元，与去年相比无增减变化。</w:t>
      </w:r>
    </w:p>
    <w:p>
      <w:pPr>
        <w:overflowPunct w:val="0"/>
        <w:autoSpaceDE/>
        <w:autoSpaceDN/>
        <w:ind w:firstLine="642" w:firstLineChars="200"/>
        <w:jc w:val="both"/>
        <w:rPr>
          <w:kern w:val="2"/>
          <w:sz w:val="32"/>
          <w:szCs w:val="32"/>
        </w:rPr>
      </w:pPr>
      <w:r>
        <w:rPr>
          <w:rFonts w:hint="eastAsia" w:ascii="楷体" w:eastAsia="楷体"/>
          <w:b/>
          <w:kern w:val="2"/>
          <w:sz w:val="32"/>
          <w:szCs w:val="32"/>
        </w:rPr>
        <w:t>（三）一般性支出情况：</w:t>
      </w:r>
      <w:r>
        <w:rPr>
          <w:rFonts w:ascii="Times New Roman" w:eastAsia="Times New Roman"/>
          <w:kern w:val="2"/>
          <w:sz w:val="32"/>
          <w:szCs w:val="32"/>
        </w:rPr>
        <w:t>2022</w:t>
      </w:r>
      <w:r>
        <w:rPr>
          <w:kern w:val="2"/>
          <w:sz w:val="32"/>
          <w:szCs w:val="32"/>
        </w:rPr>
        <w:t>年本单位会议费预算为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rFonts w:ascii="Times New Roman" w:eastAsia="Times New Roman"/>
          <w:kern w:val="2"/>
          <w:u w:val="single"/>
        </w:rPr>
        <w:t>0.00</w:t>
      </w:r>
      <w:r>
        <w:rPr>
          <w:kern w:val="2"/>
        </w:rPr>
        <w:t>万元，相比去年无增减变动。</w:t>
      </w:r>
    </w:p>
    <w:p>
      <w:pPr>
        <w:overflowPunct w:val="0"/>
        <w:autoSpaceDE/>
        <w:autoSpaceDN/>
        <w:ind w:firstLine="642" w:firstLineChars="200"/>
        <w:jc w:val="both"/>
        <w:rPr>
          <w:rFonts w:hint="eastAsia" w:eastAsia="仿宋"/>
          <w:kern w:val="2"/>
          <w:sz w:val="32"/>
          <w:szCs w:val="32"/>
          <w:lang w:val="en-US" w:eastAsia="zh-CN"/>
        </w:rPr>
      </w:pPr>
      <w:r>
        <w:rPr>
          <w:rFonts w:hint="eastAsia" w:ascii="楷体" w:eastAsia="楷体"/>
          <w:b/>
          <w:kern w:val="2"/>
          <w:sz w:val="32"/>
          <w:szCs w:val="32"/>
        </w:rPr>
        <w:t>（四）政府采购情况：</w:t>
      </w:r>
      <w:r>
        <w:rPr>
          <w:rFonts w:ascii="Times New Roman" w:eastAsia="Times New Roman"/>
          <w:kern w:val="2"/>
          <w:sz w:val="32"/>
          <w:szCs w:val="32"/>
        </w:rPr>
        <w:t>2022</w:t>
      </w:r>
      <w:r>
        <w:rPr>
          <w:kern w:val="2"/>
          <w:sz w:val="32"/>
          <w:szCs w:val="32"/>
        </w:rPr>
        <w:t>年本部门政府采购预算总额</w:t>
      </w:r>
      <w:r>
        <w:rPr>
          <w:rFonts w:ascii="Times New Roman" w:eastAsia="Times New Roman"/>
          <w:kern w:val="2"/>
          <w:sz w:val="32"/>
          <w:szCs w:val="32"/>
          <w:u w:val="single"/>
        </w:rPr>
        <w:t>4.5</w:t>
      </w:r>
      <w:r>
        <w:rPr>
          <w:kern w:val="2"/>
          <w:sz w:val="32"/>
          <w:szCs w:val="32"/>
        </w:rPr>
        <w:t>万元，其中，货物类采购预算</w:t>
      </w:r>
      <w:r>
        <w:rPr>
          <w:rFonts w:ascii="Times New Roman" w:eastAsia="Times New Roman"/>
          <w:kern w:val="2"/>
          <w:sz w:val="32"/>
          <w:szCs w:val="32"/>
          <w:u w:val="single"/>
        </w:rPr>
        <w:t>4.5</w:t>
      </w:r>
      <w:r>
        <w:rPr>
          <w:kern w:val="2"/>
          <w:sz w:val="32"/>
          <w:szCs w:val="32"/>
        </w:rPr>
        <w:t>万元</w:t>
      </w:r>
      <w:r>
        <w:rPr>
          <w:rFonts w:hint="eastAsia"/>
          <w:kern w:val="2"/>
          <w:sz w:val="32"/>
          <w:szCs w:val="32"/>
        </w:rPr>
        <w:t>，用于购置办公用电脑及打印机</w:t>
      </w:r>
      <w:r>
        <w:rPr>
          <w:rFonts w:hint="default"/>
          <w:kern w:val="2"/>
          <w:sz w:val="32"/>
          <w:szCs w:val="32"/>
          <w:lang w:val="en"/>
        </w:rPr>
        <w:t>,</w:t>
      </w:r>
      <w:r>
        <w:rPr>
          <w:rFonts w:hint="eastAsia"/>
          <w:kern w:val="2"/>
          <w:sz w:val="32"/>
          <w:szCs w:val="32"/>
          <w:lang w:val="en" w:eastAsia="zh-CN"/>
        </w:rPr>
        <w:t>服务</w:t>
      </w:r>
      <w:r>
        <w:rPr>
          <w:kern w:val="2"/>
          <w:sz w:val="32"/>
          <w:szCs w:val="32"/>
        </w:rPr>
        <w:t>类采购预算</w:t>
      </w:r>
      <w:r>
        <w:rPr>
          <w:rFonts w:hint="eastAsia" w:ascii="Times New Roman" w:eastAsia="宋体"/>
          <w:kern w:val="2"/>
          <w:sz w:val="32"/>
          <w:szCs w:val="32"/>
          <w:u w:val="single"/>
          <w:lang w:val="en-US" w:eastAsia="zh-CN"/>
        </w:rPr>
        <w:t>0</w:t>
      </w:r>
      <w:r>
        <w:rPr>
          <w:kern w:val="2"/>
          <w:sz w:val="32"/>
          <w:szCs w:val="32"/>
        </w:rPr>
        <w:t>万元</w:t>
      </w:r>
      <w:r>
        <w:rPr>
          <w:rFonts w:hint="eastAsia"/>
          <w:kern w:val="2"/>
          <w:sz w:val="32"/>
          <w:szCs w:val="32"/>
          <w:lang w:eastAsia="zh-CN"/>
        </w:rPr>
        <w:t>，工程</w:t>
      </w:r>
      <w:r>
        <w:rPr>
          <w:kern w:val="2"/>
          <w:sz w:val="32"/>
          <w:szCs w:val="32"/>
        </w:rPr>
        <w:t>类采购预算</w:t>
      </w:r>
      <w:r>
        <w:rPr>
          <w:rFonts w:hint="eastAsia" w:ascii="Times New Roman" w:eastAsia="宋体"/>
          <w:kern w:val="2"/>
          <w:sz w:val="32"/>
          <w:szCs w:val="32"/>
          <w:u w:val="single"/>
          <w:lang w:val="en-US" w:eastAsia="zh-CN"/>
        </w:rPr>
        <w:t>0</w:t>
      </w:r>
      <w:r>
        <w:rPr>
          <w:kern w:val="2"/>
          <w:sz w:val="32"/>
          <w:szCs w:val="32"/>
        </w:rPr>
        <w:t>万元</w:t>
      </w:r>
      <w:r>
        <w:rPr>
          <w:rFonts w:hint="eastAsia"/>
          <w:kern w:val="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pStyle w:val="2"/>
        <w:tabs>
          <w:tab w:val="left" w:pos="1398"/>
          <w:tab w:val="left" w:pos="3318"/>
          <w:tab w:val="left" w:pos="4278"/>
          <w:tab w:val="left" w:pos="5399"/>
          <w:tab w:val="left" w:pos="6839"/>
          <w:tab w:val="left" w:pos="7639"/>
          <w:tab w:val="left" w:pos="8505"/>
        </w:tabs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（五）国有资产占用使用及新增资产配置情况：</w:t>
      </w:r>
      <w:r>
        <w:rPr>
          <w:kern w:val="2"/>
        </w:rPr>
        <w:t>截至</w:t>
      </w:r>
      <w:r>
        <w:rPr>
          <w:rFonts w:ascii="Times New Roman" w:eastAsia="Times New Roman"/>
          <w:kern w:val="2"/>
        </w:rPr>
        <w:t>2021</w:t>
      </w:r>
      <w:r>
        <w:rPr>
          <w:kern w:val="2"/>
        </w:rPr>
        <w:t>年</w:t>
      </w:r>
      <w:r>
        <w:rPr>
          <w:rFonts w:ascii="Times New Roman" w:eastAsia="Times New Roman"/>
          <w:kern w:val="2"/>
        </w:rPr>
        <w:t>12</w:t>
      </w:r>
      <w:r>
        <w:rPr>
          <w:kern w:val="2"/>
        </w:rPr>
        <w:t>月底，本单位共有公务用车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辆，其中，机要通信用车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辆，应急保障用车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辆，执法执勤用车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辆，特种专业技术用车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辆，其他按照规定配备的公务用车</w:t>
      </w:r>
      <w:r>
        <w:rPr>
          <w:rFonts w:ascii="Times New Roman" w:eastAsia="Times New Roman"/>
          <w:kern w:val="2"/>
        </w:rPr>
        <w:t>0</w:t>
      </w:r>
      <w:r>
        <w:rPr>
          <w:kern w:val="2"/>
        </w:rPr>
        <w:t>辆；单位价值</w:t>
      </w:r>
      <w:r>
        <w:rPr>
          <w:rFonts w:ascii="Times New Roman" w:eastAsia="Times New Roman"/>
          <w:kern w:val="2"/>
        </w:rPr>
        <w:t>50</w:t>
      </w:r>
      <w:r>
        <w:rPr>
          <w:kern w:val="2"/>
        </w:rPr>
        <w:t>万元以上通用设备</w:t>
      </w:r>
      <w:r>
        <w:rPr>
          <w:rFonts w:ascii="Times New Roman" w:eastAsia="Times New Roman"/>
          <w:kern w:val="2"/>
          <w:u w:val="single"/>
        </w:rPr>
        <w:tab/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台，单位价值</w:t>
      </w:r>
      <w:r>
        <w:rPr>
          <w:rFonts w:ascii="Times New Roman" w:eastAsia="Times New Roman"/>
          <w:kern w:val="2"/>
        </w:rPr>
        <w:t>100</w:t>
      </w:r>
      <w:r>
        <w:rPr>
          <w:kern w:val="2"/>
        </w:rPr>
        <w:t>万元以上专用设备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台。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年拟新增配置公务用车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辆，其中，机要通信用车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辆，应急保障用车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辆，执法执勤用车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辆，特种专业技术用车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辆，其他按照规定配备的公务用车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辆；新增配备单位价值</w:t>
      </w:r>
      <w:r>
        <w:rPr>
          <w:rFonts w:ascii="Times New Roman" w:eastAsia="Times New Roman"/>
          <w:kern w:val="2"/>
        </w:rPr>
        <w:t>50</w:t>
      </w:r>
      <w:r>
        <w:rPr>
          <w:kern w:val="2"/>
        </w:rPr>
        <w:t>万元以上通用设备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台，单位价值</w:t>
      </w:r>
      <w:r>
        <w:rPr>
          <w:rFonts w:ascii="Times New Roman" w:eastAsia="Times New Roman"/>
          <w:kern w:val="2"/>
        </w:rPr>
        <w:t>100</w:t>
      </w:r>
      <w:r>
        <w:rPr>
          <w:kern w:val="2"/>
        </w:rPr>
        <w:t>万元以上专用设备</w:t>
      </w:r>
      <w:r>
        <w:rPr>
          <w:rFonts w:ascii="Times New Roman" w:eastAsia="Times New Roman"/>
          <w:kern w:val="2"/>
          <w:u w:val="single"/>
        </w:rPr>
        <w:t>0</w:t>
      </w:r>
      <w:r>
        <w:rPr>
          <w:kern w:val="2"/>
        </w:rPr>
        <w:t>台。</w:t>
      </w:r>
    </w:p>
    <w:p>
      <w:pPr>
        <w:pStyle w:val="2"/>
        <w:overflowPunct w:val="0"/>
        <w:autoSpaceDE/>
        <w:autoSpaceDN/>
        <w:spacing w:before="0"/>
        <w:ind w:left="0" w:firstLine="642" w:firstLineChars="200"/>
        <w:jc w:val="both"/>
        <w:rPr>
          <w:kern w:val="2"/>
        </w:rPr>
      </w:pPr>
      <w:r>
        <w:rPr>
          <w:rFonts w:hint="eastAsia" w:ascii="楷体" w:eastAsia="楷体"/>
          <w:b/>
          <w:kern w:val="2"/>
        </w:rPr>
        <w:t>（六）预算绩效目标说明：</w:t>
      </w:r>
      <w:r>
        <w:rPr>
          <w:kern w:val="2"/>
        </w:rPr>
        <w:t>本单位所有支出实行绩效目标管理。纳入</w:t>
      </w:r>
      <w:r>
        <w:rPr>
          <w:rFonts w:ascii="Times New Roman" w:eastAsia="Times New Roman"/>
          <w:kern w:val="2"/>
        </w:rPr>
        <w:t>2022</w:t>
      </w:r>
      <w:r>
        <w:rPr>
          <w:kern w:val="2"/>
        </w:rPr>
        <w:t>年单位整体支出绩效目标的金额为</w:t>
      </w:r>
      <w:r>
        <w:rPr>
          <w:rFonts w:ascii="Times New Roman" w:eastAsia="Times New Roman"/>
          <w:kern w:val="2"/>
          <w:u w:val="single"/>
        </w:rPr>
        <w:t>94.46</w:t>
      </w:r>
      <w:r>
        <w:rPr>
          <w:kern w:val="2"/>
        </w:rPr>
        <w:t>万元，其中，基本支出</w:t>
      </w:r>
      <w:r>
        <w:rPr>
          <w:rFonts w:ascii="Times New Roman" w:eastAsia="Times New Roman"/>
          <w:kern w:val="2"/>
          <w:u w:val="single"/>
        </w:rPr>
        <w:t>94.26</w:t>
      </w:r>
      <w:r>
        <w:rPr>
          <w:kern w:val="2"/>
        </w:rPr>
        <w:t>万元，项目支出</w:t>
      </w:r>
      <w:r>
        <w:rPr>
          <w:rFonts w:ascii="Times New Roman" w:eastAsia="Times New Roman"/>
          <w:kern w:val="2"/>
          <w:u w:val="single"/>
        </w:rPr>
        <w:t>0.2</w:t>
      </w:r>
      <w:r>
        <w:rPr>
          <w:kern w:val="2"/>
        </w:rPr>
        <w:t>万元。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rFonts w:ascii="黑体" w:eastAsia="黑体"/>
          <w:kern w:val="2"/>
        </w:rPr>
      </w:pPr>
      <w:r>
        <w:rPr>
          <w:rFonts w:hint="eastAsia" w:ascii="黑体" w:eastAsia="黑体"/>
          <w:kern w:val="2"/>
        </w:rPr>
        <w:t>六、名词解释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rFonts w:ascii="Times New Roman" w:eastAsia="Times New Roman"/>
          <w:kern w:val="2"/>
        </w:rPr>
        <w:t>1</w:t>
      </w:r>
      <w:r>
        <w:rPr>
          <w:kern w:val="2"/>
        </w:rPr>
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pStyle w:val="2"/>
        <w:overflowPunct w:val="0"/>
        <w:autoSpaceDE/>
        <w:autoSpaceDN/>
        <w:spacing w:before="0"/>
        <w:ind w:left="0" w:firstLine="640" w:firstLineChars="200"/>
        <w:jc w:val="both"/>
        <w:rPr>
          <w:kern w:val="2"/>
        </w:rPr>
      </w:pPr>
      <w:r>
        <w:rPr>
          <w:rFonts w:ascii="Times New Roman" w:hAnsi="Times New Roman" w:eastAsia="Times New Roman"/>
          <w:kern w:val="2"/>
        </w:rPr>
        <w:t>2</w:t>
      </w:r>
      <w:r>
        <w:rPr>
          <w:kern w:val="2"/>
        </w:rPr>
        <w:t>、</w:t>
      </w:r>
      <w:r>
        <w:rPr>
          <w:rFonts w:ascii="Times New Roman" w:hAnsi="Times New Roman" w:eastAsia="Times New Roman"/>
          <w:kern w:val="2"/>
        </w:rPr>
        <w:t>“</w:t>
      </w:r>
      <w:r>
        <w:rPr>
          <w:kern w:val="2"/>
        </w:rPr>
        <w:t>三公</w:t>
      </w:r>
      <w:r>
        <w:rPr>
          <w:rFonts w:ascii="Times New Roman" w:hAnsi="Times New Roman" w:eastAsia="Times New Roman"/>
          <w:kern w:val="2"/>
        </w:rPr>
        <w:t>”</w:t>
      </w:r>
      <w:r>
        <w:rPr>
          <w:kern w:val="2"/>
        </w:rPr>
        <w:t>经费：纳入省（市</w:t>
      </w:r>
      <w:r>
        <w:rPr>
          <w:rFonts w:ascii="Times New Roman" w:hAnsi="Times New Roman" w:eastAsia="Times New Roman"/>
          <w:kern w:val="2"/>
        </w:rPr>
        <w:t>/</w:t>
      </w:r>
      <w:r>
        <w:rPr>
          <w:kern w:val="2"/>
        </w:rPr>
        <w:t>县）财政预算管理的</w:t>
      </w:r>
      <w:r>
        <w:rPr>
          <w:rFonts w:ascii="Times New Roman" w:hAnsi="Times New Roman" w:eastAsia="Times New Roman"/>
          <w:kern w:val="2"/>
        </w:rPr>
        <w:t>“</w:t>
      </w:r>
      <w:r>
        <w:rPr>
          <w:kern w:val="2"/>
        </w:rPr>
        <w:t>三公</w:t>
      </w:r>
      <w:r>
        <w:rPr>
          <w:rFonts w:ascii="Times New Roman" w:hAnsi="Times New Roman" w:eastAsia="Times New Roman"/>
          <w:kern w:val="2"/>
        </w:rPr>
        <w:t>“</w:t>
      </w:r>
      <w:r>
        <w:rPr>
          <w:kern w:val="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sectPr>
      <w:pgSz w:w="11910" w:h="16840"/>
      <w:pgMar w:top="1440" w:right="1797" w:bottom="1440" w:left="1797" w:header="720" w:footer="720" w:gutter="0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Nimbus Roman No9 L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drawingGridHorizontalSpacing w:val="110"/>
  <w:drawingGridVerticalSpacing w:val="317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DA7D84"/>
    <w:rsid w:val="0086382D"/>
    <w:rsid w:val="009B360F"/>
    <w:rsid w:val="00BD4211"/>
    <w:rsid w:val="00D31AB0"/>
    <w:rsid w:val="00D41363"/>
    <w:rsid w:val="00DA7D84"/>
    <w:rsid w:val="2BB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90"/>
      <w:ind w:left="120"/>
    </w:pPr>
    <w:rPr>
      <w:sz w:val="32"/>
      <w:szCs w:val="32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before="188"/>
      <w:ind w:left="3792" w:right="433" w:hanging="3660"/>
    </w:pPr>
    <w:rPr>
      <w:rFonts w:ascii="Arial Unicode MS" w:hAnsi="Arial Unicode MS" w:eastAsia="Arial Unicode MS" w:cs="Arial Unicode MS"/>
      <w:sz w:val="48"/>
      <w:szCs w:val="4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231"/>
      <w:ind w:left="987" w:hanging="242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7"/>
    <w:link w:val="4"/>
    <w:qFormat/>
    <w:uiPriority w:val="99"/>
    <w:rPr>
      <w:rFonts w:ascii="仿宋" w:hAnsi="仿宋" w:eastAsia="仿宋" w:cs="仿宋"/>
      <w:sz w:val="18"/>
      <w:szCs w:val="18"/>
      <w:lang w:eastAsia="zh-CN"/>
    </w:rPr>
  </w:style>
  <w:style w:type="character" w:customStyle="1" w:styleId="12">
    <w:name w:val="页脚 Char"/>
    <w:basedOn w:val="7"/>
    <w:link w:val="3"/>
    <w:qFormat/>
    <w:uiPriority w:val="99"/>
    <w:rPr>
      <w:rFonts w:ascii="仿宋" w:hAnsi="仿宋" w:eastAsia="仿宋" w:cs="仿宋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357</Words>
  <Characters>2041</Characters>
  <Lines>17</Lines>
  <Paragraphs>4</Paragraphs>
  <TotalTime>0</TotalTime>
  <ScaleCrop>false</ScaleCrop>
  <LinksUpToDate>false</LinksUpToDate>
  <CharactersWithSpaces>2394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2023-09-26T19:32:00Z</dcterms:created>
  <dc:creator>薛谦谦</dc:creator>
  <cp:lastModifiedBy>Pure Sophia</cp:lastModifiedBy>
  <dcterms:modified xsi:type="dcterms:W3CDTF">2023-09-26T21:51:32Z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2023-09-26T00:00:00Z</vt:filetime>
  </property>
  <property fmtid="{D5CDD505-2E9C-101B-9397-08002B2CF9AE}" pid="5" name="KSOProductBuildVer">
    <vt:lpwstr>2052-11.8.2.10251</vt:lpwstr>
  </property>
</Properties>
</file>