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77" w:line="277" w:lineRule="auto"/>
        <w:ind w:left="4170" w:right="624" w:hanging="380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Tahoma" w:hAnsi="Tahoma" w:eastAsia="Tahoma" w:cs="Tahoma"/>
          <w:spacing w:val="7"/>
          <w:sz w:val="43"/>
          <w:szCs w:val="43"/>
        </w:rPr>
        <w:t>2022</w:t>
      </w:r>
      <w:r>
        <w:rPr>
          <w:rFonts w:ascii="Tahoma" w:hAnsi="Tahoma" w:eastAsia="Tahoma" w:cs="Tahoma"/>
          <w:spacing w:val="-25"/>
          <w:sz w:val="43"/>
          <w:szCs w:val="43"/>
        </w:rPr>
        <w:t xml:space="preserve"> </w:t>
      </w:r>
      <w:r>
        <w:rPr>
          <w:rFonts w:ascii="Microsoft YaHei UI" w:hAnsi="Microsoft YaHei UI" w:eastAsia="Microsoft YaHei UI" w:cs="Microsoft YaHei UI"/>
          <w:spacing w:val="7"/>
          <w:sz w:val="43"/>
          <w:szCs w:val="43"/>
        </w:rPr>
        <w:t>年南华大学附属第二医院单位预算</w:t>
      </w:r>
      <w:r>
        <w:rPr>
          <w:rFonts w:ascii="Microsoft YaHei UI" w:hAnsi="Microsoft YaHei UI" w:eastAsia="Microsoft YaHei UI" w:cs="Microsoft YaHei UI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22"/>
          <w:sz w:val="31"/>
          <w:szCs w:val="31"/>
        </w:rPr>
        <w:t>目</w:t>
      </w:r>
      <w:r>
        <w:rPr>
          <w:rFonts w:ascii="黑体" w:hAnsi="黑体" w:eastAsia="黑体" w:cs="黑体"/>
          <w:spacing w:val="-4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2"/>
          <w:sz w:val="31"/>
          <w:szCs w:val="31"/>
        </w:rPr>
        <w:t>录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01" w:line="761" w:lineRule="exact"/>
        <w:ind w:left="683"/>
      </w:pPr>
      <w:r>
        <w:rPr>
          <w:spacing w:val="5"/>
          <w:position w:val="3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spacing w:val="-37"/>
          <w:position w:val="34"/>
        </w:rPr>
        <w:t xml:space="preserve"> </w:t>
      </w:r>
      <w:r>
        <w:rPr>
          <w:rFonts w:ascii="Tahoma" w:hAnsi="Tahoma" w:eastAsia="Tahoma" w:cs="Tahoma"/>
          <w:b/>
          <w:bCs/>
          <w:spacing w:val="5"/>
          <w:position w:val="34"/>
        </w:rPr>
        <w:t xml:space="preserve">2022 </w:t>
      </w:r>
      <w:r>
        <w:rPr>
          <w:spacing w:val="5"/>
          <w:position w:val="3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pStyle w:val="2"/>
        <w:spacing w:line="221" w:lineRule="auto"/>
        <w:ind w:left="683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spacing w:val="-28"/>
        </w:rPr>
        <w:t xml:space="preserve"> </w:t>
      </w:r>
      <w:r>
        <w:rPr>
          <w:rFonts w:ascii="Tahoma" w:hAnsi="Tahoma" w:eastAsia="Tahoma" w:cs="Tahoma"/>
          <w:b/>
          <w:bCs/>
          <w:spacing w:val="4"/>
        </w:rPr>
        <w:t xml:space="preserve">2022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spacing w:line="284" w:lineRule="auto"/>
        <w:rPr>
          <w:rFonts w:ascii="Arial"/>
          <w:sz w:val="21"/>
        </w:rPr>
      </w:pPr>
    </w:p>
    <w:p>
      <w:pPr>
        <w:pStyle w:val="2"/>
        <w:spacing w:before="101" w:line="761" w:lineRule="exact"/>
        <w:ind w:left="689"/>
      </w:pPr>
      <w:r>
        <w:rPr>
          <w:rFonts w:ascii="Tahoma" w:hAnsi="Tahoma" w:eastAsia="Tahoma" w:cs="Tahoma"/>
          <w:spacing w:val="2"/>
          <w:position w:val="34"/>
        </w:rPr>
        <w:t>1</w:t>
      </w:r>
      <w:r>
        <w:rPr>
          <w:spacing w:val="2"/>
          <w:position w:val="34"/>
        </w:rPr>
        <w:t>、收支总表</w:t>
      </w:r>
    </w:p>
    <w:p>
      <w:pPr>
        <w:pStyle w:val="2"/>
        <w:spacing w:line="223" w:lineRule="auto"/>
        <w:ind w:left="671"/>
      </w:pPr>
      <w:r>
        <w:rPr>
          <w:rFonts w:ascii="Tahoma" w:hAnsi="Tahoma" w:eastAsia="Tahoma" w:cs="Tahoma"/>
          <w:spacing w:val="5"/>
        </w:rPr>
        <w:t>2</w:t>
      </w:r>
      <w:r>
        <w:rPr>
          <w:spacing w:val="5"/>
        </w:rPr>
        <w:t>、收入总表</w:t>
      </w:r>
    </w:p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101" w:line="224" w:lineRule="auto"/>
        <w:ind w:left="669"/>
      </w:pPr>
      <w:r>
        <w:rPr>
          <w:rFonts w:ascii="Tahoma" w:hAnsi="Tahoma" w:eastAsia="Tahoma" w:cs="Tahoma"/>
          <w:spacing w:val="6"/>
        </w:rPr>
        <w:t>3</w:t>
      </w:r>
      <w:r>
        <w:rPr>
          <w:spacing w:val="6"/>
        </w:rPr>
        <w:t>、支出总表</w:t>
      </w:r>
    </w:p>
    <w:p>
      <w:pPr>
        <w:spacing w:line="279" w:lineRule="auto"/>
        <w:rPr>
          <w:rFonts w:ascii="Arial"/>
          <w:sz w:val="21"/>
        </w:rPr>
      </w:pPr>
    </w:p>
    <w:p>
      <w:pPr>
        <w:pStyle w:val="2"/>
        <w:spacing w:before="101" w:line="761" w:lineRule="exact"/>
        <w:ind w:left="661"/>
      </w:pPr>
      <w:r>
        <w:rPr>
          <w:rFonts w:ascii="Tahoma" w:hAnsi="Tahoma" w:eastAsia="Tahoma" w:cs="Tahoma"/>
          <w:spacing w:val="9"/>
          <w:position w:val="34"/>
        </w:rPr>
        <w:t>4</w:t>
      </w:r>
      <w:r>
        <w:rPr>
          <w:spacing w:val="9"/>
          <w:position w:val="34"/>
        </w:rPr>
        <w:t>、支出预算分类汇总表（按政府预算经济分类）</w:t>
      </w:r>
    </w:p>
    <w:p>
      <w:pPr>
        <w:pStyle w:val="2"/>
        <w:spacing w:line="221" w:lineRule="auto"/>
        <w:ind w:left="674"/>
      </w:pPr>
      <w:r>
        <w:rPr>
          <w:rFonts w:ascii="Tahoma" w:hAnsi="Tahoma" w:eastAsia="Tahoma" w:cs="Tahoma"/>
          <w:spacing w:val="8"/>
        </w:rPr>
        <w:t>5</w:t>
      </w:r>
      <w:r>
        <w:rPr>
          <w:spacing w:val="8"/>
        </w:rPr>
        <w:t>、支出预算分类汇总表（按部门预算经济分类）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68"/>
      </w:pPr>
      <w:r>
        <w:rPr>
          <w:rFonts w:ascii="Tahoma" w:hAnsi="Tahoma" w:eastAsia="Tahoma" w:cs="Tahoma"/>
          <w:spacing w:val="7"/>
        </w:rPr>
        <w:t>6</w:t>
      </w:r>
      <w:r>
        <w:rPr>
          <w:spacing w:val="7"/>
        </w:rPr>
        <w:t>、财政拨款收支总表</w:t>
      </w:r>
    </w:p>
    <w:p>
      <w:pPr>
        <w:spacing w:line="280" w:lineRule="auto"/>
        <w:rPr>
          <w:rFonts w:ascii="Arial"/>
          <w:sz w:val="21"/>
        </w:rPr>
      </w:pPr>
    </w:p>
    <w:p>
      <w:pPr>
        <w:pStyle w:val="2"/>
        <w:spacing w:before="102" w:line="222" w:lineRule="auto"/>
        <w:ind w:left="670"/>
      </w:pPr>
      <w:r>
        <w:rPr>
          <w:rFonts w:ascii="Tahoma" w:hAnsi="Tahoma" w:eastAsia="Tahoma" w:cs="Tahoma"/>
          <w:spacing w:val="7"/>
        </w:rPr>
        <w:t>7</w:t>
      </w:r>
      <w:r>
        <w:rPr>
          <w:spacing w:val="7"/>
        </w:rPr>
        <w:t>、一般公共预算支出表</w:t>
      </w:r>
    </w:p>
    <w:p>
      <w:pPr>
        <w:spacing w:line="285" w:lineRule="auto"/>
        <w:rPr>
          <w:rFonts w:ascii="Arial"/>
          <w:sz w:val="21"/>
        </w:rPr>
      </w:pPr>
    </w:p>
    <w:p>
      <w:pPr>
        <w:pStyle w:val="2"/>
        <w:spacing w:before="101" w:line="560" w:lineRule="exact"/>
        <w:jc w:val="right"/>
      </w:pPr>
      <w:r>
        <w:rPr>
          <w:rFonts w:ascii="Tahoma" w:hAnsi="Tahoma" w:eastAsia="Tahoma" w:cs="Tahoma"/>
          <w:spacing w:val="9"/>
          <w:position w:val="18"/>
        </w:rPr>
        <w:t>8</w:t>
      </w:r>
      <w:r>
        <w:rPr>
          <w:spacing w:val="9"/>
          <w:position w:val="18"/>
        </w:rPr>
        <w:t>、一般公共预算基本支出表</w:t>
      </w:r>
      <w:r>
        <w:rPr>
          <w:rFonts w:ascii="Tahoma" w:hAnsi="Tahoma" w:eastAsia="Tahoma" w:cs="Tahoma"/>
          <w:spacing w:val="9"/>
          <w:position w:val="18"/>
        </w:rPr>
        <w:t>-</w:t>
      </w:r>
      <w:r>
        <w:rPr>
          <w:spacing w:val="9"/>
          <w:position w:val="18"/>
        </w:rPr>
        <w:t>人员经费（工</w:t>
      </w:r>
      <w:r>
        <w:rPr>
          <w:spacing w:val="8"/>
          <w:position w:val="18"/>
        </w:rPr>
        <w:t>资福利支出）</w:t>
      </w:r>
    </w:p>
    <w:p>
      <w:pPr>
        <w:pStyle w:val="2"/>
        <w:spacing w:line="221" w:lineRule="auto"/>
        <w:ind w:left="18"/>
      </w:pPr>
      <w:r>
        <w:rPr>
          <w:spacing w:val="9"/>
        </w:rPr>
        <w:t>（按政府预算经济分类）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1" w:line="559" w:lineRule="exact"/>
        <w:jc w:val="right"/>
      </w:pPr>
      <w:r>
        <w:rPr>
          <w:rFonts w:ascii="Tahoma" w:hAnsi="Tahoma" w:eastAsia="Tahoma" w:cs="Tahoma"/>
          <w:spacing w:val="9"/>
          <w:position w:val="18"/>
        </w:rPr>
        <w:t>9</w:t>
      </w:r>
      <w:r>
        <w:rPr>
          <w:spacing w:val="9"/>
          <w:position w:val="18"/>
        </w:rPr>
        <w:t>、一般公共预算基本支出表</w:t>
      </w:r>
      <w:r>
        <w:rPr>
          <w:rFonts w:ascii="Tahoma" w:hAnsi="Tahoma" w:eastAsia="Tahoma" w:cs="Tahoma"/>
          <w:spacing w:val="9"/>
          <w:position w:val="18"/>
        </w:rPr>
        <w:t>-</w:t>
      </w:r>
      <w:r>
        <w:rPr>
          <w:spacing w:val="9"/>
          <w:position w:val="18"/>
        </w:rPr>
        <w:t>人员经费（工资</w:t>
      </w:r>
      <w:r>
        <w:rPr>
          <w:spacing w:val="8"/>
          <w:position w:val="18"/>
        </w:rPr>
        <w:t>福利支出）</w:t>
      </w:r>
    </w:p>
    <w:p>
      <w:pPr>
        <w:pStyle w:val="2"/>
        <w:spacing w:line="221" w:lineRule="auto"/>
        <w:ind w:left="18"/>
      </w:pPr>
      <w:r>
        <w:rPr>
          <w:spacing w:val="9"/>
        </w:rPr>
        <w:t>（按部门预算经济分类）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1" w:line="559" w:lineRule="exact"/>
        <w:ind w:left="689"/>
      </w:pPr>
      <w:r>
        <w:rPr>
          <w:rFonts w:ascii="Tahoma" w:hAnsi="Tahoma" w:eastAsia="Tahoma" w:cs="Tahoma"/>
          <w:spacing w:val="8"/>
          <w:position w:val="18"/>
        </w:rPr>
        <w:t>10</w:t>
      </w:r>
      <w:r>
        <w:rPr>
          <w:spacing w:val="8"/>
          <w:position w:val="18"/>
        </w:rPr>
        <w:t>、一般公共预算基本支出表</w:t>
      </w:r>
      <w:r>
        <w:rPr>
          <w:rFonts w:ascii="Tahoma" w:hAnsi="Tahoma" w:eastAsia="Tahoma" w:cs="Tahoma"/>
          <w:spacing w:val="8"/>
          <w:position w:val="18"/>
        </w:rPr>
        <w:t>-</w:t>
      </w:r>
      <w:r>
        <w:rPr>
          <w:spacing w:val="8"/>
          <w:position w:val="18"/>
        </w:rPr>
        <w:t>人员经费</w:t>
      </w:r>
      <w:r>
        <w:rPr>
          <w:spacing w:val="7"/>
          <w:position w:val="18"/>
        </w:rPr>
        <w:t>（对个人和家</w:t>
      </w:r>
    </w:p>
    <w:p>
      <w:pPr>
        <w:pStyle w:val="2"/>
        <w:spacing w:line="221" w:lineRule="auto"/>
        <w:ind w:left="26"/>
      </w:pPr>
      <w:r>
        <w:rPr>
          <w:spacing w:val="14"/>
        </w:rPr>
        <w:t>庭的补助</w:t>
      </w:r>
      <w:r>
        <w:rPr>
          <w:spacing w:val="-28"/>
        </w:rPr>
        <w:t>）（</w:t>
      </w:r>
      <w:r>
        <w:rPr>
          <w:spacing w:val="14"/>
        </w:rPr>
        <w:t>按政府预算经济分类）</w:t>
      </w:r>
    </w:p>
    <w:p>
      <w:pPr>
        <w:spacing w:line="221" w:lineRule="auto"/>
        <w:sectPr>
          <w:pgSz w:w="11906" w:h="16839"/>
          <w:pgMar w:top="1431" w:right="1502" w:bottom="0" w:left="1785" w:header="0" w:footer="0" w:gutter="0"/>
          <w:cols w:space="720" w:num="1"/>
        </w:sectPr>
      </w:pPr>
    </w:p>
    <w:p>
      <w:pPr>
        <w:pStyle w:val="2"/>
        <w:spacing w:before="185" w:line="560" w:lineRule="exact"/>
        <w:ind w:left="689"/>
      </w:pPr>
      <w:r>
        <w:rPr>
          <w:rFonts w:ascii="Tahoma" w:hAnsi="Tahoma" w:eastAsia="Tahoma" w:cs="Tahoma"/>
          <w:spacing w:val="8"/>
          <w:position w:val="18"/>
        </w:rPr>
        <w:t>11</w:t>
      </w:r>
      <w:r>
        <w:rPr>
          <w:spacing w:val="8"/>
          <w:position w:val="18"/>
        </w:rPr>
        <w:t>、一般公共预算基本支出表</w:t>
      </w:r>
      <w:r>
        <w:rPr>
          <w:rFonts w:ascii="Tahoma" w:hAnsi="Tahoma" w:eastAsia="Tahoma" w:cs="Tahoma"/>
          <w:spacing w:val="8"/>
          <w:position w:val="18"/>
        </w:rPr>
        <w:t>-</w:t>
      </w:r>
      <w:r>
        <w:rPr>
          <w:spacing w:val="8"/>
          <w:position w:val="18"/>
        </w:rPr>
        <w:t>人员经费</w:t>
      </w:r>
      <w:r>
        <w:rPr>
          <w:spacing w:val="7"/>
          <w:position w:val="18"/>
        </w:rPr>
        <w:t>（对个人和家</w:t>
      </w:r>
    </w:p>
    <w:p>
      <w:pPr>
        <w:pStyle w:val="2"/>
        <w:spacing w:line="221" w:lineRule="auto"/>
        <w:ind w:left="26"/>
      </w:pPr>
      <w:r>
        <w:rPr>
          <w:spacing w:val="14"/>
        </w:rPr>
        <w:t>庭的补助</w:t>
      </w:r>
      <w:r>
        <w:rPr>
          <w:spacing w:val="-28"/>
        </w:rPr>
        <w:t>）（</w:t>
      </w:r>
      <w:r>
        <w:rPr>
          <w:spacing w:val="14"/>
        </w:rPr>
        <w:t>按部门预算经济分类）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0" w:line="560" w:lineRule="exact"/>
        <w:ind w:left="689"/>
      </w:pPr>
      <w:r>
        <w:rPr>
          <w:rFonts w:ascii="Tahoma" w:hAnsi="Tahoma" w:eastAsia="Tahoma" w:cs="Tahoma"/>
          <w:spacing w:val="8"/>
          <w:position w:val="18"/>
        </w:rPr>
        <w:t>12</w:t>
      </w:r>
      <w:r>
        <w:rPr>
          <w:spacing w:val="8"/>
          <w:position w:val="18"/>
        </w:rPr>
        <w:t>、一般公共预算基本支出表</w:t>
      </w:r>
      <w:r>
        <w:rPr>
          <w:rFonts w:ascii="Tahoma" w:hAnsi="Tahoma" w:eastAsia="Tahoma" w:cs="Tahoma"/>
          <w:spacing w:val="8"/>
          <w:position w:val="18"/>
        </w:rPr>
        <w:t>-</w:t>
      </w:r>
      <w:r>
        <w:rPr>
          <w:spacing w:val="8"/>
          <w:position w:val="18"/>
        </w:rPr>
        <w:t>公用经费</w:t>
      </w:r>
      <w:r>
        <w:rPr>
          <w:spacing w:val="7"/>
          <w:position w:val="18"/>
        </w:rPr>
        <w:t>（商品和服务</w:t>
      </w:r>
    </w:p>
    <w:p>
      <w:pPr>
        <w:pStyle w:val="2"/>
        <w:spacing w:line="221" w:lineRule="auto"/>
        <w:ind w:left="34"/>
      </w:pPr>
      <w:r>
        <w:rPr>
          <w:spacing w:val="15"/>
        </w:rPr>
        <w:t>支出</w:t>
      </w:r>
      <w:r>
        <w:rPr>
          <w:spacing w:val="-34"/>
        </w:rPr>
        <w:t>）（</w:t>
      </w:r>
      <w:r>
        <w:rPr>
          <w:spacing w:val="15"/>
        </w:rPr>
        <w:t>按政府预算经济分类）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0" w:line="560" w:lineRule="exact"/>
        <w:ind w:left="689"/>
      </w:pPr>
      <w:r>
        <w:rPr>
          <w:rFonts w:ascii="Tahoma" w:hAnsi="Tahoma" w:eastAsia="Tahoma" w:cs="Tahoma"/>
          <w:spacing w:val="8"/>
          <w:position w:val="18"/>
        </w:rPr>
        <w:t>13</w:t>
      </w:r>
      <w:r>
        <w:rPr>
          <w:spacing w:val="8"/>
          <w:position w:val="18"/>
        </w:rPr>
        <w:t>、一般公共预算基本支出表</w:t>
      </w:r>
      <w:r>
        <w:rPr>
          <w:rFonts w:ascii="Tahoma" w:hAnsi="Tahoma" w:eastAsia="Tahoma" w:cs="Tahoma"/>
          <w:spacing w:val="8"/>
          <w:position w:val="18"/>
        </w:rPr>
        <w:t>-</w:t>
      </w:r>
      <w:r>
        <w:rPr>
          <w:spacing w:val="8"/>
          <w:position w:val="18"/>
        </w:rPr>
        <w:t>公用经费</w:t>
      </w:r>
      <w:r>
        <w:rPr>
          <w:spacing w:val="7"/>
          <w:position w:val="18"/>
        </w:rPr>
        <w:t>（商品和服务</w:t>
      </w:r>
    </w:p>
    <w:p>
      <w:pPr>
        <w:pStyle w:val="2"/>
        <w:spacing w:line="221" w:lineRule="auto"/>
        <w:ind w:left="34"/>
      </w:pPr>
      <w:r>
        <w:rPr>
          <w:spacing w:val="15"/>
        </w:rPr>
        <w:t>支出</w:t>
      </w:r>
      <w:r>
        <w:rPr>
          <w:spacing w:val="-34"/>
        </w:rPr>
        <w:t>）（</w:t>
      </w:r>
      <w:r>
        <w:rPr>
          <w:spacing w:val="15"/>
        </w:rPr>
        <w:t>按部门预算经济分类）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0" w:line="759" w:lineRule="exact"/>
        <w:ind w:left="689"/>
      </w:pPr>
      <w:r>
        <w:rPr>
          <w:rFonts w:ascii="Tahoma" w:hAnsi="Tahoma" w:eastAsia="Tahoma" w:cs="Tahoma"/>
          <w:spacing w:val="4"/>
          <w:position w:val="34"/>
        </w:rPr>
        <w:t>14</w:t>
      </w:r>
      <w:r>
        <w:rPr>
          <w:spacing w:val="4"/>
          <w:position w:val="34"/>
        </w:rPr>
        <w:t>、一般公共预算</w:t>
      </w:r>
      <w:r>
        <w:rPr>
          <w:rFonts w:ascii="Tahoma" w:hAnsi="Tahoma" w:eastAsia="Tahoma" w:cs="Tahoma"/>
          <w:spacing w:val="4"/>
          <w:position w:val="34"/>
        </w:rPr>
        <w:t>“</w:t>
      </w:r>
      <w:r>
        <w:rPr>
          <w:rFonts w:ascii="Tahoma" w:hAnsi="Tahoma" w:eastAsia="Tahoma" w:cs="Tahoma"/>
          <w:spacing w:val="-50"/>
          <w:position w:val="34"/>
        </w:rPr>
        <w:t xml:space="preserve"> </w:t>
      </w:r>
      <w:r>
        <w:rPr>
          <w:spacing w:val="4"/>
          <w:position w:val="34"/>
        </w:rPr>
        <w:t>三公</w:t>
      </w:r>
      <w:r>
        <w:rPr>
          <w:rFonts w:ascii="Tahoma" w:hAnsi="Tahoma" w:eastAsia="Tahoma" w:cs="Tahoma"/>
          <w:spacing w:val="4"/>
          <w:position w:val="34"/>
        </w:rPr>
        <w:t>”</w:t>
      </w:r>
      <w:r>
        <w:rPr>
          <w:spacing w:val="4"/>
          <w:position w:val="34"/>
        </w:rPr>
        <w:t>经费支出表</w:t>
      </w:r>
    </w:p>
    <w:p>
      <w:pPr>
        <w:pStyle w:val="2"/>
        <w:spacing w:line="220" w:lineRule="auto"/>
        <w:ind w:left="689"/>
      </w:pPr>
      <w:r>
        <w:rPr>
          <w:rFonts w:ascii="Tahoma" w:hAnsi="Tahoma" w:eastAsia="Tahoma" w:cs="Tahoma"/>
          <w:spacing w:val="6"/>
        </w:rPr>
        <w:t>15</w:t>
      </w:r>
      <w:r>
        <w:rPr>
          <w:spacing w:val="6"/>
        </w:rPr>
        <w:t>、政府性基金预算支出表</w:t>
      </w:r>
    </w:p>
    <w:p>
      <w:pPr>
        <w:spacing w:line="288" w:lineRule="auto"/>
        <w:rPr>
          <w:rFonts w:ascii="Arial"/>
          <w:sz w:val="21"/>
        </w:rPr>
      </w:pPr>
    </w:p>
    <w:p>
      <w:pPr>
        <w:pStyle w:val="2"/>
        <w:spacing w:before="101" w:line="559" w:lineRule="exact"/>
        <w:ind w:left="689"/>
      </w:pPr>
      <w:r>
        <w:rPr>
          <w:rFonts w:ascii="Tahoma" w:hAnsi="Tahoma" w:eastAsia="Tahoma" w:cs="Tahoma"/>
          <w:spacing w:val="8"/>
          <w:position w:val="18"/>
        </w:rPr>
        <w:t>16</w:t>
      </w:r>
      <w:r>
        <w:rPr>
          <w:spacing w:val="8"/>
          <w:position w:val="18"/>
        </w:rPr>
        <w:t>、政府性基金预算支出分类汇总表（按政府预算经</w:t>
      </w:r>
    </w:p>
    <w:p>
      <w:pPr>
        <w:pStyle w:val="2"/>
        <w:spacing w:line="221" w:lineRule="auto"/>
        <w:ind w:left="40"/>
      </w:pPr>
      <w:r>
        <w:rPr>
          <w:spacing w:val="2"/>
        </w:rPr>
        <w:t>济分类）</w:t>
      </w:r>
    </w:p>
    <w:p>
      <w:pPr>
        <w:spacing w:line="287" w:lineRule="auto"/>
        <w:rPr>
          <w:rFonts w:ascii="Arial"/>
          <w:sz w:val="21"/>
        </w:rPr>
      </w:pPr>
    </w:p>
    <w:p>
      <w:pPr>
        <w:pStyle w:val="2"/>
        <w:spacing w:before="101" w:line="220" w:lineRule="auto"/>
        <w:ind w:left="689"/>
      </w:pPr>
      <w:r>
        <w:rPr>
          <w:rFonts w:ascii="Tahoma" w:hAnsi="Tahoma" w:eastAsia="Tahoma" w:cs="Tahoma"/>
          <w:spacing w:val="8"/>
        </w:rPr>
        <w:t>17</w:t>
      </w:r>
      <w:r>
        <w:rPr>
          <w:spacing w:val="8"/>
        </w:rPr>
        <w:t>、政府性基金预算支出分类汇总表（按部门预算经</w:t>
      </w:r>
    </w:p>
    <w:p>
      <w:pPr>
        <w:pStyle w:val="2"/>
        <w:spacing w:before="189" w:line="221" w:lineRule="auto"/>
        <w:ind w:left="40"/>
      </w:pPr>
      <w:r>
        <w:rPr>
          <w:spacing w:val="2"/>
        </w:rPr>
        <w:t>济分类）</w:t>
      </w:r>
    </w:p>
    <w:p>
      <w:pPr>
        <w:spacing w:line="286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689"/>
      </w:pPr>
      <w:r>
        <w:rPr>
          <w:rFonts w:ascii="Tahoma" w:hAnsi="Tahoma" w:eastAsia="Tahoma" w:cs="Tahoma"/>
          <w:spacing w:val="6"/>
        </w:rPr>
        <w:t>18</w:t>
      </w:r>
      <w:r>
        <w:rPr>
          <w:spacing w:val="6"/>
        </w:rPr>
        <w:t>、国有资本经营预算支出表</w:t>
      </w:r>
    </w:p>
    <w:p>
      <w:pPr>
        <w:spacing w:line="285" w:lineRule="auto"/>
        <w:rPr>
          <w:rFonts w:ascii="Arial"/>
          <w:sz w:val="21"/>
        </w:rPr>
      </w:pPr>
    </w:p>
    <w:p>
      <w:pPr>
        <w:pStyle w:val="2"/>
        <w:spacing w:before="102" w:line="758" w:lineRule="exact"/>
        <w:ind w:left="689"/>
      </w:pPr>
      <w:r>
        <w:rPr>
          <w:rFonts w:ascii="Tahoma" w:hAnsi="Tahoma" w:eastAsia="Tahoma" w:cs="Tahoma"/>
          <w:spacing w:val="7"/>
          <w:position w:val="34"/>
        </w:rPr>
        <w:t>19</w:t>
      </w:r>
      <w:r>
        <w:rPr>
          <w:spacing w:val="7"/>
          <w:position w:val="34"/>
        </w:rPr>
        <w:t>、财政专户管理资金预算支出表</w:t>
      </w:r>
    </w:p>
    <w:p>
      <w:pPr>
        <w:pStyle w:val="2"/>
        <w:spacing w:before="2" w:line="221" w:lineRule="auto"/>
        <w:ind w:left="671"/>
      </w:pPr>
      <w:r>
        <w:rPr>
          <w:rFonts w:ascii="Tahoma" w:hAnsi="Tahoma" w:eastAsia="Tahoma" w:cs="Tahoma"/>
          <w:spacing w:val="8"/>
        </w:rPr>
        <w:t>20</w:t>
      </w:r>
      <w:r>
        <w:rPr>
          <w:spacing w:val="8"/>
        </w:rPr>
        <w:t>、省级专项资金预算汇总表</w:t>
      </w:r>
    </w:p>
    <w:p>
      <w:pPr>
        <w:spacing w:line="285" w:lineRule="auto"/>
        <w:rPr>
          <w:rFonts w:ascii="Arial"/>
          <w:sz w:val="21"/>
        </w:rPr>
      </w:pPr>
    </w:p>
    <w:p>
      <w:pPr>
        <w:pStyle w:val="2"/>
        <w:spacing w:before="101" w:line="761" w:lineRule="exact"/>
        <w:ind w:left="671"/>
      </w:pPr>
      <w:r>
        <w:rPr>
          <w:rFonts w:ascii="Tahoma" w:hAnsi="Tahoma" w:eastAsia="Tahoma" w:cs="Tahoma"/>
          <w:spacing w:val="8"/>
          <w:position w:val="34"/>
        </w:rPr>
        <w:t>21</w:t>
      </w:r>
      <w:r>
        <w:rPr>
          <w:spacing w:val="8"/>
          <w:position w:val="34"/>
        </w:rPr>
        <w:t>、省级专项资金绩效目标表</w:t>
      </w:r>
    </w:p>
    <w:p>
      <w:pPr>
        <w:pStyle w:val="2"/>
        <w:spacing w:before="1" w:line="221" w:lineRule="auto"/>
        <w:ind w:left="671"/>
      </w:pPr>
      <w:r>
        <w:rPr>
          <w:rFonts w:ascii="Tahoma" w:hAnsi="Tahoma" w:eastAsia="Tahoma" w:cs="Tahoma"/>
          <w:spacing w:val="8"/>
        </w:rPr>
        <w:t>22</w:t>
      </w:r>
      <w:r>
        <w:rPr>
          <w:spacing w:val="8"/>
        </w:rPr>
        <w:t>、其他项目支出绩效目标表</w:t>
      </w:r>
    </w:p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671"/>
      </w:pPr>
      <w:r>
        <w:rPr>
          <w:rFonts w:ascii="Tahoma" w:hAnsi="Tahoma" w:eastAsia="Tahoma" w:cs="Tahoma"/>
          <w:spacing w:val="8"/>
        </w:rPr>
        <w:t>23</w:t>
      </w:r>
      <w:r>
        <w:rPr>
          <w:spacing w:val="8"/>
        </w:rPr>
        <w:t>、部门整体支出绩效目标表</w:t>
      </w:r>
    </w:p>
    <w:p>
      <w:pPr>
        <w:spacing w:line="285" w:lineRule="auto"/>
        <w:rPr>
          <w:rFonts w:ascii="Arial"/>
          <w:sz w:val="21"/>
        </w:rPr>
      </w:pPr>
    </w:p>
    <w:p>
      <w:pPr>
        <w:pStyle w:val="2"/>
        <w:spacing w:before="102" w:line="559" w:lineRule="exact"/>
        <w:ind w:left="674"/>
      </w:pPr>
      <w:r>
        <w:rPr>
          <w:spacing w:val="5"/>
          <w:position w:val="18"/>
        </w:rPr>
        <w:t>注：</w:t>
      </w:r>
      <w:r>
        <w:rPr>
          <w:spacing w:val="-64"/>
          <w:position w:val="18"/>
        </w:rPr>
        <w:t xml:space="preserve"> </w:t>
      </w:r>
      <w:r>
        <w:rPr>
          <w:spacing w:val="5"/>
          <w:position w:val="18"/>
        </w:rPr>
        <w:t>以上单位预算报表中，空表表示本单位无相关收</w:t>
      </w:r>
    </w:p>
    <w:p>
      <w:pPr>
        <w:pStyle w:val="2"/>
        <w:spacing w:before="1" w:line="222" w:lineRule="auto"/>
        <w:ind w:left="34"/>
      </w:pPr>
      <w:r>
        <w:rPr>
          <w:spacing w:val="2"/>
        </w:rPr>
        <w:t>支情况。</w:t>
      </w:r>
    </w:p>
    <w:p>
      <w:pPr>
        <w:spacing w:line="222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before="184" w:line="192" w:lineRule="auto"/>
        <w:ind w:left="1699"/>
        <w:rPr>
          <w:rFonts w:ascii="Microsoft YaHei UI" w:hAnsi="Microsoft YaHei UI" w:eastAsia="Microsoft YaHei UI" w:cs="Microsoft YaHei UI"/>
          <w:sz w:val="35"/>
          <w:szCs w:val="35"/>
        </w:rPr>
      </w:pPr>
      <w:r>
        <w:rPr>
          <w:rFonts w:ascii="Microsoft YaHei UI" w:hAnsi="Microsoft YaHei UI" w:eastAsia="Microsoft YaHei UI" w:cs="Microsoft YaHei UI"/>
          <w:spacing w:val="8"/>
          <w:sz w:val="35"/>
          <w:szCs w:val="35"/>
        </w:rPr>
        <w:t xml:space="preserve">第一部分 </w:t>
      </w:r>
      <w:r>
        <w:rPr>
          <w:rFonts w:ascii="Tahoma" w:hAnsi="Tahoma" w:eastAsia="Tahoma" w:cs="Tahoma"/>
          <w:spacing w:val="8"/>
          <w:sz w:val="35"/>
          <w:szCs w:val="35"/>
        </w:rPr>
        <w:t>2022</w:t>
      </w:r>
      <w:r>
        <w:rPr>
          <w:rFonts w:ascii="Tahoma" w:hAnsi="Tahoma" w:eastAsia="Tahoma" w:cs="Tahoma"/>
          <w:spacing w:val="-20"/>
          <w:sz w:val="35"/>
          <w:szCs w:val="35"/>
        </w:rPr>
        <w:t xml:space="preserve"> </w:t>
      </w:r>
      <w:r>
        <w:rPr>
          <w:rFonts w:ascii="Microsoft YaHei UI" w:hAnsi="Microsoft YaHei UI" w:eastAsia="Microsoft YaHei UI" w:cs="Microsoft YaHei UI"/>
          <w:spacing w:val="8"/>
          <w:sz w:val="35"/>
          <w:szCs w:val="35"/>
        </w:rPr>
        <w:t>年单位预算说明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226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一、单位基本概况</w:t>
      </w:r>
    </w:p>
    <w:p>
      <w:pPr>
        <w:spacing w:line="320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29" w:right="99" w:firstLine="641"/>
      </w:pPr>
      <w:r>
        <w:rPr>
          <w:spacing w:val="5"/>
        </w:rPr>
        <w:t xml:space="preserve">南华大学附属第二医院始建于 </w:t>
      </w:r>
      <w:r>
        <w:rPr>
          <w:rFonts w:ascii="Tahoma" w:hAnsi="Tahoma" w:eastAsia="Tahoma" w:cs="Tahoma"/>
          <w:spacing w:val="5"/>
        </w:rPr>
        <w:t xml:space="preserve">1949 </w:t>
      </w:r>
      <w:r>
        <w:rPr>
          <w:spacing w:val="5"/>
        </w:rPr>
        <w:t>年，原名衡阳市立</w:t>
      </w:r>
      <w:r>
        <w:rPr>
          <w:spacing w:val="12"/>
        </w:rPr>
        <w:t xml:space="preserve"> </w:t>
      </w:r>
      <w:r>
        <w:rPr>
          <w:spacing w:val="7"/>
        </w:rPr>
        <w:t>人 民医院，其后曾改名为衡阳市立第一人民医院</w:t>
      </w:r>
      <w:r>
        <w:rPr>
          <w:spacing w:val="6"/>
        </w:rPr>
        <w:t>、衡阳医</w:t>
      </w:r>
      <w:r>
        <w:t xml:space="preserve">  </w:t>
      </w:r>
      <w:r>
        <w:rPr>
          <w:spacing w:val="8"/>
        </w:rPr>
        <w:t>专附</w:t>
      </w:r>
      <w:r>
        <w:rPr>
          <w:spacing w:val="-44"/>
        </w:rPr>
        <w:t xml:space="preserve"> </w:t>
      </w:r>
      <w:r>
        <w:rPr>
          <w:spacing w:val="8"/>
        </w:rPr>
        <w:t>属医院、衡阳医学院附属医院、</w:t>
      </w:r>
      <w:r>
        <w:rPr>
          <w:rFonts w:ascii="Tahoma" w:hAnsi="Tahoma" w:eastAsia="Tahoma" w:cs="Tahoma"/>
          <w:spacing w:val="8"/>
        </w:rPr>
        <w:t xml:space="preserve">2000 </w:t>
      </w:r>
      <w:r>
        <w:rPr>
          <w:spacing w:val="8"/>
        </w:rPr>
        <w:t>年更名为南华大</w:t>
      </w:r>
      <w:r>
        <w:t xml:space="preserve"> </w:t>
      </w:r>
      <w:r>
        <w:rPr>
          <w:spacing w:val="8"/>
        </w:rPr>
        <w:t>学附属</w:t>
      </w:r>
      <w:r>
        <w:rPr>
          <w:spacing w:val="-22"/>
        </w:rPr>
        <w:t xml:space="preserve"> </w:t>
      </w:r>
      <w:r>
        <w:rPr>
          <w:spacing w:val="8"/>
        </w:rPr>
        <w:t>第二医院，是湖南省继湘雅附一、附二医院之后的</w:t>
      </w:r>
      <w:r>
        <w:t xml:space="preserve">  </w:t>
      </w:r>
      <w:r>
        <w:rPr>
          <w:spacing w:val="7"/>
        </w:rPr>
        <w:t>第三家教 学医院，是一所集医疗、教学、科研为</w:t>
      </w:r>
      <w:r>
        <w:rPr>
          <w:spacing w:val="6"/>
        </w:rPr>
        <w:t>一体的大</w:t>
      </w:r>
    </w:p>
    <w:p>
      <w:pPr>
        <w:pStyle w:val="2"/>
        <w:spacing w:line="220" w:lineRule="auto"/>
        <w:ind w:left="40"/>
      </w:pPr>
      <w:r>
        <w:rPr>
          <w:spacing w:val="7"/>
        </w:rPr>
        <w:t>型综合性三</w:t>
      </w:r>
      <w:r>
        <w:rPr>
          <w:spacing w:val="-20"/>
        </w:rPr>
        <w:t xml:space="preserve"> </w:t>
      </w:r>
      <w:r>
        <w:rPr>
          <w:spacing w:val="7"/>
        </w:rPr>
        <w:t>级甲等医院，是省、市、县职工及居民医保、</w:t>
      </w:r>
    </w:p>
    <w:p>
      <w:pPr>
        <w:pStyle w:val="2"/>
        <w:spacing w:before="230" w:line="600" w:lineRule="exact"/>
        <w:ind w:left="34"/>
      </w:pPr>
      <w:r>
        <w:rPr>
          <w:spacing w:val="8"/>
          <w:position w:val="21"/>
        </w:rPr>
        <w:t>工伤保险、铁</w:t>
      </w:r>
      <w:r>
        <w:rPr>
          <w:spacing w:val="-27"/>
          <w:position w:val="21"/>
        </w:rPr>
        <w:t xml:space="preserve"> </w:t>
      </w:r>
      <w:r>
        <w:rPr>
          <w:spacing w:val="8"/>
          <w:position w:val="21"/>
        </w:rPr>
        <w:t>路医保、新型农村合作医疗定点医院，是全</w:t>
      </w:r>
    </w:p>
    <w:p>
      <w:pPr>
        <w:pStyle w:val="2"/>
        <w:spacing w:line="220" w:lineRule="auto"/>
        <w:ind w:left="53"/>
      </w:pPr>
      <w:r>
        <w:rPr>
          <w:spacing w:val="3"/>
        </w:rPr>
        <w:t>国百姓放心医院。 经过</w:t>
      </w:r>
      <w:r>
        <w:rPr>
          <w:spacing w:val="-27"/>
        </w:rPr>
        <w:t xml:space="preserve"> </w:t>
      </w:r>
      <w:r>
        <w:rPr>
          <w:rFonts w:ascii="Tahoma" w:hAnsi="Tahoma" w:eastAsia="Tahoma" w:cs="Tahoma"/>
          <w:spacing w:val="3"/>
        </w:rPr>
        <w:t>70</w:t>
      </w:r>
      <w:r>
        <w:rPr>
          <w:rFonts w:ascii="Tahoma" w:hAnsi="Tahoma" w:eastAsia="Tahoma" w:cs="Tahoma"/>
          <w:spacing w:val="32"/>
        </w:rPr>
        <w:t xml:space="preserve"> </w:t>
      </w:r>
      <w:r>
        <w:rPr>
          <w:spacing w:val="3"/>
        </w:rPr>
        <w:t>多年的发展，现已形成新院、</w:t>
      </w:r>
    </w:p>
    <w:p>
      <w:pPr>
        <w:pStyle w:val="2"/>
        <w:spacing w:before="231" w:line="357" w:lineRule="auto"/>
        <w:ind w:left="23" w:right="152" w:firstLine="12"/>
      </w:pPr>
      <w:r>
        <w:rPr>
          <w:spacing w:val="3"/>
        </w:rPr>
        <w:t>东院（胸心医学中心）</w:t>
      </w:r>
      <w:r>
        <w:rPr>
          <w:spacing w:val="-80"/>
        </w:rPr>
        <w:t xml:space="preserve"> </w:t>
      </w:r>
      <w:r>
        <w:rPr>
          <w:spacing w:val="3"/>
        </w:rPr>
        <w:t>“</w:t>
      </w:r>
      <w:r>
        <w:rPr>
          <w:spacing w:val="-120"/>
        </w:rPr>
        <w:t xml:space="preserve"> </w:t>
      </w:r>
      <w:r>
        <w:rPr>
          <w:spacing w:val="3"/>
        </w:rPr>
        <w:t>一院两址”</w:t>
      </w:r>
      <w:r>
        <w:rPr>
          <w:spacing w:val="-115"/>
        </w:rPr>
        <w:t xml:space="preserve"> </w:t>
      </w:r>
      <w:r>
        <w:rPr>
          <w:spacing w:val="3"/>
        </w:rPr>
        <w:t>的格局。两院区总占</w:t>
      </w:r>
      <w:r>
        <w:t xml:space="preserve">  </w:t>
      </w:r>
      <w:r>
        <w:rPr>
          <w:spacing w:val="2"/>
        </w:rPr>
        <w:t xml:space="preserve">地约 </w:t>
      </w:r>
      <w:r>
        <w:rPr>
          <w:rFonts w:ascii="Tahoma" w:hAnsi="Tahoma" w:eastAsia="Tahoma" w:cs="Tahoma"/>
          <w:spacing w:val="2"/>
        </w:rPr>
        <w:t xml:space="preserve">110 </w:t>
      </w:r>
      <w:r>
        <w:rPr>
          <w:spacing w:val="2"/>
        </w:rPr>
        <w:t>亩，总</w:t>
      </w:r>
      <w:r>
        <w:rPr>
          <w:spacing w:val="-44"/>
        </w:rPr>
        <w:t xml:space="preserve"> </w:t>
      </w:r>
      <w:r>
        <w:rPr>
          <w:spacing w:val="2"/>
        </w:rPr>
        <w:t xml:space="preserve">建筑面积达 </w:t>
      </w:r>
      <w:r>
        <w:rPr>
          <w:rFonts w:ascii="Tahoma" w:hAnsi="Tahoma" w:eastAsia="Tahoma" w:cs="Tahoma"/>
          <w:spacing w:val="2"/>
        </w:rPr>
        <w:t xml:space="preserve">15 </w:t>
      </w:r>
      <w:r>
        <w:rPr>
          <w:spacing w:val="2"/>
        </w:rPr>
        <w:t>万</w:t>
      </w:r>
      <w:r>
        <w:rPr>
          <w:spacing w:val="1"/>
        </w:rPr>
        <w:t>平方米，合计编制床位</w:t>
      </w:r>
      <w:r>
        <w:t xml:space="preserve">  </w:t>
      </w:r>
      <w:r>
        <w:rPr>
          <w:rFonts w:ascii="Tahoma" w:hAnsi="Tahoma" w:eastAsia="Tahoma" w:cs="Tahoma"/>
        </w:rPr>
        <w:t>1850</w:t>
      </w:r>
      <w:r>
        <w:rPr>
          <w:rFonts w:ascii="Tahoma" w:hAnsi="Tahoma" w:eastAsia="Tahoma" w:cs="Tahoma"/>
          <w:spacing w:val="33"/>
        </w:rPr>
        <w:t xml:space="preserve"> </w:t>
      </w:r>
      <w:r>
        <w:t>张。</w:t>
      </w:r>
      <w:r>
        <w:rPr>
          <w:spacing w:val="-75"/>
        </w:rPr>
        <w:t xml:space="preserve"> </w:t>
      </w:r>
      <w:r>
        <w:t>医院拥有</w:t>
      </w:r>
      <w:r>
        <w:rPr>
          <w:spacing w:val="-38"/>
        </w:rPr>
        <w:t xml:space="preserve"> </w:t>
      </w:r>
      <w:r>
        <w:t>在职职工</w:t>
      </w:r>
      <w:r>
        <w:rPr>
          <w:spacing w:val="-37"/>
        </w:rPr>
        <w:t xml:space="preserve"> </w:t>
      </w:r>
      <w:r>
        <w:rPr>
          <w:rFonts w:ascii="Tahoma" w:hAnsi="Tahoma" w:eastAsia="Tahoma" w:cs="Tahoma"/>
        </w:rPr>
        <w:t xml:space="preserve">2202 </w:t>
      </w:r>
      <w:r>
        <w:t>人，退休职工</w:t>
      </w:r>
      <w:r>
        <w:rPr>
          <w:spacing w:val="-39"/>
        </w:rPr>
        <w:t xml:space="preserve"> </w:t>
      </w:r>
      <w:r>
        <w:rPr>
          <w:rFonts w:ascii="Tahoma" w:hAnsi="Tahoma" w:eastAsia="Tahoma" w:cs="Tahoma"/>
        </w:rPr>
        <w:t>3</w:t>
      </w:r>
      <w:r>
        <w:rPr>
          <w:rFonts w:ascii="Tahoma" w:hAnsi="Tahoma" w:eastAsia="Tahoma" w:cs="Tahoma"/>
          <w:spacing w:val="-1"/>
        </w:rPr>
        <w:t xml:space="preserve">61 </w:t>
      </w:r>
      <w:r>
        <w:rPr>
          <w:spacing w:val="-1"/>
        </w:rPr>
        <w:t>人，</w:t>
      </w:r>
    </w:p>
    <w:p>
      <w:pPr>
        <w:pStyle w:val="2"/>
        <w:spacing w:before="1" w:line="222" w:lineRule="auto"/>
        <w:ind w:left="30"/>
      </w:pPr>
      <w:r>
        <w:rPr>
          <w:spacing w:val="-2"/>
        </w:rPr>
        <w:t>共计</w:t>
      </w:r>
      <w:r>
        <w:rPr>
          <w:spacing w:val="-30"/>
        </w:rPr>
        <w:t xml:space="preserve"> </w:t>
      </w:r>
      <w:r>
        <w:rPr>
          <w:rFonts w:ascii="Tahoma" w:hAnsi="Tahoma" w:eastAsia="Tahoma" w:cs="Tahoma"/>
          <w:spacing w:val="-2"/>
        </w:rPr>
        <w:t xml:space="preserve">2563 </w:t>
      </w:r>
      <w:r>
        <w:rPr>
          <w:spacing w:val="-2"/>
        </w:rPr>
        <w:t>人。</w:t>
      </w:r>
    </w:p>
    <w:p>
      <w:pPr>
        <w:spacing w:line="325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27" w:firstLine="743"/>
      </w:pPr>
      <w:r>
        <w:rPr>
          <w:spacing w:val="1"/>
        </w:rPr>
        <w:t>南华附二人始终秉承</w:t>
      </w:r>
      <w:r>
        <w:rPr>
          <w:spacing w:val="-96"/>
        </w:rPr>
        <w:t xml:space="preserve"> </w:t>
      </w:r>
      <w:r>
        <w:rPr>
          <w:spacing w:val="1"/>
        </w:rPr>
        <w:t>“</w:t>
      </w:r>
      <w:r>
        <w:rPr>
          <w:spacing w:val="-105"/>
        </w:rPr>
        <w:t xml:space="preserve"> </w:t>
      </w:r>
      <w:r>
        <w:rPr>
          <w:spacing w:val="1"/>
        </w:rPr>
        <w:t>医诚术精，行方智圆”</w:t>
      </w:r>
      <w:r>
        <w:rPr>
          <w:spacing w:val="-112"/>
        </w:rPr>
        <w:t xml:space="preserve"> </w:t>
      </w:r>
      <w:r>
        <w:rPr>
          <w:spacing w:val="1"/>
        </w:rPr>
        <w:t xml:space="preserve">的办院  </w:t>
      </w:r>
      <w:r>
        <w:rPr>
          <w:spacing w:val="3"/>
        </w:rPr>
        <w:t>理</w:t>
      </w:r>
      <w:r>
        <w:rPr>
          <w:spacing w:val="-28"/>
        </w:rPr>
        <w:t xml:space="preserve"> </w:t>
      </w:r>
      <w:r>
        <w:rPr>
          <w:spacing w:val="3"/>
        </w:rPr>
        <w:t>念，坚持</w:t>
      </w:r>
      <w:r>
        <w:rPr>
          <w:spacing w:val="-105"/>
        </w:rPr>
        <w:t xml:space="preserve"> </w:t>
      </w:r>
      <w:r>
        <w:rPr>
          <w:spacing w:val="3"/>
        </w:rPr>
        <w:t>“病人为尊、质量为先、安全为重”</w:t>
      </w:r>
      <w:r>
        <w:rPr>
          <w:spacing w:val="-113"/>
        </w:rPr>
        <w:t xml:space="preserve"> </w:t>
      </w:r>
      <w:r>
        <w:rPr>
          <w:spacing w:val="3"/>
        </w:rPr>
        <w:t xml:space="preserve">的服务理  </w:t>
      </w:r>
      <w:r>
        <w:rPr>
          <w:spacing w:val="2"/>
        </w:rPr>
        <w:t>念， 坚持以人为本、</w:t>
      </w:r>
      <w:r>
        <w:rPr>
          <w:spacing w:val="-84"/>
        </w:rPr>
        <w:t xml:space="preserve"> </w:t>
      </w:r>
      <w:r>
        <w:rPr>
          <w:spacing w:val="2"/>
        </w:rPr>
        <w:t>以病人为中心，团结拼搏、艰苦奋斗、</w:t>
      </w:r>
      <w:r>
        <w:t xml:space="preserve"> </w:t>
      </w:r>
      <w:r>
        <w:rPr>
          <w:spacing w:val="4"/>
        </w:rPr>
        <w:t>锐意</w:t>
      </w:r>
      <w:r>
        <w:rPr>
          <w:spacing w:val="-32"/>
        </w:rPr>
        <w:t xml:space="preserve"> </w:t>
      </w:r>
      <w:r>
        <w:rPr>
          <w:spacing w:val="4"/>
        </w:rPr>
        <w:t>进取、不断创新的办院精神，</w:t>
      </w:r>
      <w:r>
        <w:rPr>
          <w:spacing w:val="-86"/>
        </w:rPr>
        <w:t xml:space="preserve"> </w:t>
      </w:r>
      <w:r>
        <w:rPr>
          <w:spacing w:val="4"/>
        </w:rPr>
        <w:t xml:space="preserve">以真诚的微笑，精湛的  </w:t>
      </w:r>
      <w:r>
        <w:rPr>
          <w:spacing w:val="5"/>
        </w:rPr>
        <w:t>医术，力争把医院建设成</w:t>
      </w:r>
      <w:r>
        <w:rPr>
          <w:spacing w:val="-86"/>
        </w:rPr>
        <w:t xml:space="preserve"> </w:t>
      </w:r>
      <w:r>
        <w:rPr>
          <w:spacing w:val="5"/>
        </w:rPr>
        <w:t>“</w:t>
      </w:r>
      <w:r>
        <w:rPr>
          <w:spacing w:val="-115"/>
        </w:rPr>
        <w:t xml:space="preserve"> </w:t>
      </w:r>
      <w:r>
        <w:rPr>
          <w:spacing w:val="5"/>
        </w:rPr>
        <w:t>国内知名、省内先进、特色鲜</w:t>
      </w:r>
    </w:p>
    <w:p>
      <w:pPr>
        <w:pStyle w:val="2"/>
        <w:spacing w:line="220" w:lineRule="auto"/>
        <w:ind w:left="56"/>
      </w:pPr>
      <w:r>
        <w:rPr>
          <w:spacing w:val="6"/>
        </w:rPr>
        <w:t>明的医教研三位一体的综合性医院”。</w:t>
      </w:r>
    </w:p>
    <w:p>
      <w:pPr>
        <w:spacing w:line="220" w:lineRule="auto"/>
        <w:sectPr>
          <w:pgSz w:w="11906" w:h="16839"/>
          <w:pgMar w:top="1431" w:right="1750" w:bottom="0" w:left="1785" w:header="0" w:footer="0" w:gutter="0"/>
          <w:cols w:space="720" w:num="1"/>
        </w:sectPr>
      </w:pPr>
    </w:p>
    <w:p>
      <w:pPr>
        <w:spacing w:before="217" w:line="799" w:lineRule="exact"/>
        <w:ind w:left="65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position w:val="3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二、机构设置及预算单位构成</w:t>
      </w:r>
    </w:p>
    <w:p>
      <w:pPr>
        <w:spacing w:line="221" w:lineRule="auto"/>
        <w:ind w:left="64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一）内部机构设置</w:t>
      </w:r>
    </w:p>
    <w:p>
      <w:pPr>
        <w:spacing w:line="329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48" w:right="560" w:firstLine="621"/>
      </w:pPr>
      <w:r>
        <w:rPr>
          <w:spacing w:val="5"/>
        </w:rPr>
        <w:t>南华大学附属第二医院是差额拨款事业单位。</w:t>
      </w:r>
      <w:r>
        <w:rPr>
          <w:spacing w:val="-74"/>
        </w:rPr>
        <w:t xml:space="preserve"> </w:t>
      </w:r>
      <w:r>
        <w:rPr>
          <w:spacing w:val="5"/>
        </w:rPr>
        <w:t>医院职</w:t>
      </w:r>
      <w:r>
        <w:t xml:space="preserve"> </w:t>
      </w:r>
      <w:r>
        <w:rPr>
          <w:spacing w:val="3"/>
        </w:rPr>
        <w:t>能部门设置：党政办公室、人力资源部、</w:t>
      </w:r>
      <w:r>
        <w:rPr>
          <w:spacing w:val="-81"/>
        </w:rPr>
        <w:t xml:space="preserve"> </w:t>
      </w:r>
      <w:r>
        <w:rPr>
          <w:spacing w:val="3"/>
        </w:rPr>
        <w:t>医务工作部、</w:t>
      </w:r>
      <w:r>
        <w:rPr>
          <w:spacing w:val="-91"/>
        </w:rPr>
        <w:t xml:space="preserve"> </w:t>
      </w:r>
      <w:r>
        <w:rPr>
          <w:spacing w:val="3"/>
        </w:rPr>
        <w:t>医</w:t>
      </w:r>
      <w:r>
        <w:t xml:space="preserve"> </w:t>
      </w:r>
      <w:r>
        <w:rPr>
          <w:spacing w:val="8"/>
        </w:rPr>
        <w:t>院感染控制与公共卫生管理部、护理部、教学及学生工作</w:t>
      </w:r>
    </w:p>
    <w:p>
      <w:pPr>
        <w:pStyle w:val="2"/>
        <w:spacing w:line="222" w:lineRule="auto"/>
        <w:ind w:left="26"/>
      </w:pPr>
      <w:r>
        <w:rPr>
          <w:spacing w:val="9"/>
        </w:rPr>
        <w:t>部、科研及学科建设部、财务部、运营管理部、审计室、</w:t>
      </w:r>
    </w:p>
    <w:p>
      <w:pPr>
        <w:pStyle w:val="2"/>
        <w:spacing w:before="227" w:line="357" w:lineRule="auto"/>
        <w:ind w:left="27" w:right="462" w:firstLine="36"/>
      </w:pPr>
      <w:r>
        <w:rPr>
          <w:spacing w:val="7"/>
        </w:rPr>
        <w:t>医学</w:t>
      </w:r>
      <w:r>
        <w:rPr>
          <w:spacing w:val="-34"/>
        </w:rPr>
        <w:t xml:space="preserve"> </w:t>
      </w:r>
      <w:r>
        <w:rPr>
          <w:spacing w:val="7"/>
        </w:rPr>
        <w:t>装备部、后勤保障部、安全生产与法律事务部、全面</w:t>
      </w:r>
      <w:r>
        <w:t xml:space="preserve"> </w:t>
      </w:r>
      <w:r>
        <w:rPr>
          <w:spacing w:val="7"/>
        </w:rPr>
        <w:t>质量管理与信息统计科、离退休办公室、</w:t>
      </w:r>
      <w:r>
        <w:rPr>
          <w:spacing w:val="-83"/>
        </w:rPr>
        <w:t xml:space="preserve"> </w:t>
      </w:r>
      <w:r>
        <w:rPr>
          <w:spacing w:val="7"/>
        </w:rPr>
        <w:t>医疗保险部、监</w:t>
      </w:r>
    </w:p>
    <w:p>
      <w:pPr>
        <w:pStyle w:val="2"/>
        <w:spacing w:before="1" w:line="221" w:lineRule="auto"/>
        <w:ind w:left="23"/>
      </w:pPr>
      <w:r>
        <w:rPr>
          <w:spacing w:val="8"/>
        </w:rPr>
        <w:t>察室、信息网络中心、招投标中心。</w:t>
      </w:r>
    </w:p>
    <w:p>
      <w:pPr>
        <w:spacing w:line="324" w:lineRule="auto"/>
        <w:rPr>
          <w:rFonts w:ascii="Arial"/>
          <w:sz w:val="21"/>
        </w:rPr>
      </w:pPr>
    </w:p>
    <w:p>
      <w:pPr>
        <w:pStyle w:val="2"/>
        <w:spacing w:before="100" w:line="600" w:lineRule="exact"/>
        <w:ind w:left="767"/>
      </w:pPr>
      <w:r>
        <w:rPr>
          <w:spacing w:val="3"/>
          <w:position w:val="21"/>
        </w:rPr>
        <w:t>业务科室设置：消化 内科、神经内科、</w:t>
      </w:r>
      <w:r>
        <w:rPr>
          <w:spacing w:val="-81"/>
          <w:position w:val="21"/>
        </w:rPr>
        <w:t xml:space="preserve"> </w:t>
      </w:r>
      <w:r>
        <w:rPr>
          <w:spacing w:val="3"/>
          <w:position w:val="21"/>
        </w:rPr>
        <w:t>内分泌与营养</w:t>
      </w:r>
    </w:p>
    <w:p>
      <w:pPr>
        <w:pStyle w:val="2"/>
        <w:spacing w:before="1" w:line="222" w:lineRule="auto"/>
        <w:ind w:left="25"/>
      </w:pPr>
      <w:r>
        <w:rPr>
          <w:spacing w:val="7"/>
        </w:rPr>
        <w:t>科、肿瘤血液内科、</w:t>
      </w:r>
      <w:r>
        <w:rPr>
          <w:spacing w:val="-77"/>
        </w:rPr>
        <w:t xml:space="preserve"> </w:t>
      </w:r>
      <w:r>
        <w:rPr>
          <w:spacing w:val="7"/>
        </w:rPr>
        <w:t>肾病风湿科、放射治疗科、儿科、普</w:t>
      </w:r>
    </w:p>
    <w:p>
      <w:pPr>
        <w:pStyle w:val="2"/>
        <w:spacing w:before="227" w:line="222" w:lineRule="auto"/>
        <w:ind w:left="34"/>
      </w:pPr>
      <w:r>
        <w:rPr>
          <w:spacing w:val="6"/>
        </w:rPr>
        <w:t>通外科（肝胆胰脾外科、</w:t>
      </w:r>
      <w:r>
        <w:rPr>
          <w:spacing w:val="-78"/>
        </w:rPr>
        <w:t xml:space="preserve"> </w:t>
      </w:r>
      <w:r>
        <w:rPr>
          <w:spacing w:val="6"/>
        </w:rPr>
        <w:t>胃肠肿瘤与胃肠外科、乳腺甲状</w:t>
      </w:r>
    </w:p>
    <w:p>
      <w:pPr>
        <w:pStyle w:val="2"/>
        <w:spacing w:before="223" w:line="604" w:lineRule="exact"/>
        <w:jc w:val="right"/>
      </w:pPr>
      <w:r>
        <w:rPr>
          <w:spacing w:val="16"/>
          <w:position w:val="21"/>
        </w:rPr>
        <w:t>腺外科、血管疝及儿童普外科）</w:t>
      </w:r>
      <w:r>
        <w:rPr>
          <w:spacing w:val="-78"/>
          <w:position w:val="21"/>
        </w:rPr>
        <w:t xml:space="preserve"> </w:t>
      </w:r>
      <w:r>
        <w:rPr>
          <w:spacing w:val="16"/>
          <w:position w:val="21"/>
        </w:rPr>
        <w:t>、骨科（创</w:t>
      </w:r>
      <w:r>
        <w:rPr>
          <w:spacing w:val="15"/>
          <w:position w:val="21"/>
        </w:rPr>
        <w:t>伤及儿童骨科、</w:t>
      </w:r>
    </w:p>
    <w:p>
      <w:pPr>
        <w:pStyle w:val="2"/>
        <w:spacing w:before="1" w:line="221" w:lineRule="auto"/>
        <w:ind w:left="40"/>
      </w:pPr>
      <w:r>
        <w:rPr>
          <w:spacing w:val="8"/>
        </w:rPr>
        <w:t>关节外科、手足外科）、脊柱外科、泌尿外科、神经外科、</w:t>
      </w:r>
    </w:p>
    <w:p>
      <w:pPr>
        <w:pStyle w:val="2"/>
        <w:spacing w:before="229" w:line="357" w:lineRule="auto"/>
        <w:ind w:left="17" w:right="304" w:firstLine="16"/>
      </w:pPr>
      <w:r>
        <w:rPr>
          <w:spacing w:val="9"/>
        </w:rPr>
        <w:t>烧伤整形科、疼痛及康复科、眼科、耳鼻咽喉头颈外</w:t>
      </w:r>
      <w:r>
        <w:rPr>
          <w:spacing w:val="-41"/>
        </w:rPr>
        <w:t xml:space="preserve"> </w:t>
      </w:r>
      <w:r>
        <w:rPr>
          <w:spacing w:val="9"/>
        </w:rPr>
        <w:t xml:space="preserve">科、 </w:t>
      </w:r>
      <w:r>
        <w:rPr>
          <w:spacing w:val="7"/>
        </w:rPr>
        <w:t>麻醉科、皮肤性病科、妇产科、重症医学科、急诊医学科、</w:t>
      </w:r>
    </w:p>
    <w:p>
      <w:pPr>
        <w:pStyle w:val="2"/>
        <w:spacing w:line="220" w:lineRule="auto"/>
        <w:ind w:left="21"/>
      </w:pPr>
      <w:r>
        <w:rPr>
          <w:spacing w:val="9"/>
        </w:rPr>
        <w:t>健康管理（体检）中心、检验科、输血科、放射影像科、</w:t>
      </w:r>
    </w:p>
    <w:p>
      <w:pPr>
        <w:pStyle w:val="2"/>
        <w:spacing w:before="232" w:line="357" w:lineRule="auto"/>
        <w:ind w:left="33" w:right="459" w:hanging="13"/>
      </w:pPr>
      <w:r>
        <w:rPr>
          <w:spacing w:val="4"/>
        </w:rPr>
        <w:t>超声医学</w:t>
      </w:r>
      <w:r>
        <w:rPr>
          <w:spacing w:val="-43"/>
        </w:rPr>
        <w:t xml:space="preserve"> </w:t>
      </w:r>
      <w:r>
        <w:rPr>
          <w:spacing w:val="4"/>
        </w:rPr>
        <w:t>科、功能检查科、病理科、</w:t>
      </w:r>
      <w:r>
        <w:rPr>
          <w:spacing w:val="-25"/>
        </w:rPr>
        <w:t xml:space="preserve"> </w:t>
      </w:r>
      <w:r>
        <w:rPr>
          <w:spacing w:val="4"/>
        </w:rPr>
        <w:t>Ⅰ期药物临床试验病</w:t>
      </w:r>
      <w:r>
        <w:t xml:space="preserve"> </w:t>
      </w:r>
      <w:r>
        <w:rPr>
          <w:spacing w:val="9"/>
        </w:rPr>
        <w:t>房、药学部、心血管内科、呼吸与危重症医学科、心血管</w:t>
      </w:r>
      <w:r>
        <w:rPr>
          <w:spacing w:val="2"/>
        </w:rPr>
        <w:t xml:space="preserve"> </w:t>
      </w:r>
      <w:r>
        <w:rPr>
          <w:spacing w:val="4"/>
        </w:rPr>
        <w:t>外科、胸外科、肛肠</w:t>
      </w:r>
      <w:r>
        <w:rPr>
          <w:spacing w:val="-22"/>
        </w:rPr>
        <w:t xml:space="preserve"> </w:t>
      </w:r>
      <w:r>
        <w:rPr>
          <w:spacing w:val="4"/>
        </w:rPr>
        <w:t>科、普外科、全科医学科、</w:t>
      </w:r>
      <w:r>
        <w:rPr>
          <w:spacing w:val="-69"/>
        </w:rPr>
        <w:t xml:space="preserve"> </w:t>
      </w:r>
      <w:r>
        <w:rPr>
          <w:spacing w:val="4"/>
        </w:rPr>
        <w:t>口腔科、</w:t>
      </w:r>
    </w:p>
    <w:p>
      <w:pPr>
        <w:pStyle w:val="2"/>
        <w:spacing w:before="1" w:line="222" w:lineRule="auto"/>
        <w:ind w:left="34"/>
      </w:pPr>
      <w:r>
        <w:rPr>
          <w:spacing w:val="-1"/>
        </w:rPr>
        <w:t>颌面外科、</w:t>
      </w:r>
      <w:r>
        <w:rPr>
          <w:spacing w:val="-87"/>
        </w:rPr>
        <w:t xml:space="preserve"> </w:t>
      </w:r>
      <w:r>
        <w:rPr>
          <w:spacing w:val="-1"/>
        </w:rPr>
        <w:t>中医科。</w:t>
      </w:r>
    </w:p>
    <w:p>
      <w:pPr>
        <w:spacing w:line="222" w:lineRule="auto"/>
        <w:sectPr>
          <w:pgSz w:w="11906" w:h="16839"/>
          <w:pgMar w:top="1431" w:right="1546" w:bottom="0" w:left="1785" w:header="0" w:footer="0" w:gutter="0"/>
          <w:cols w:space="720" w:num="1"/>
        </w:sectPr>
      </w:pPr>
    </w:p>
    <w:p>
      <w:pPr>
        <w:spacing w:before="216" w:line="222" w:lineRule="auto"/>
        <w:ind w:left="64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二）预算单位构成</w:t>
      </w:r>
    </w:p>
    <w:p>
      <w:pPr>
        <w:spacing w:line="324" w:lineRule="auto"/>
        <w:rPr>
          <w:rFonts w:ascii="Arial"/>
          <w:sz w:val="21"/>
        </w:rPr>
      </w:pPr>
    </w:p>
    <w:p>
      <w:pPr>
        <w:pStyle w:val="2"/>
        <w:spacing w:before="100" w:line="600" w:lineRule="exact"/>
        <w:ind w:left="657"/>
      </w:pPr>
      <w:r>
        <w:rPr>
          <w:rFonts w:ascii="Tahoma" w:hAnsi="Tahoma" w:eastAsia="Tahoma" w:cs="Tahoma"/>
          <w:spacing w:val="7"/>
          <w:position w:val="21"/>
        </w:rPr>
        <w:t xml:space="preserve">2022 </w:t>
      </w:r>
      <w:r>
        <w:rPr>
          <w:spacing w:val="7"/>
          <w:position w:val="21"/>
        </w:rPr>
        <w:t>年部门预算汇总公开单位构成包括：南华大学附</w:t>
      </w:r>
    </w:p>
    <w:p>
      <w:pPr>
        <w:pStyle w:val="2"/>
        <w:spacing w:line="221" w:lineRule="auto"/>
        <w:ind w:left="23"/>
      </w:pPr>
      <w:r>
        <w:rPr>
          <w:spacing w:val="7"/>
        </w:rPr>
        <w:t>属第二医院单位本级。</w:t>
      </w:r>
    </w:p>
    <w:p>
      <w:pPr>
        <w:spacing w:line="325" w:lineRule="auto"/>
        <w:rPr>
          <w:rFonts w:ascii="Arial"/>
          <w:sz w:val="21"/>
        </w:rPr>
      </w:pPr>
    </w:p>
    <w:p>
      <w:pPr>
        <w:spacing w:before="101" w:line="228" w:lineRule="auto"/>
        <w:ind w:left="19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三、单位收支总体情况</w:t>
      </w:r>
    </w:p>
    <w:p>
      <w:pPr>
        <w:spacing w:line="315" w:lineRule="auto"/>
        <w:rPr>
          <w:rFonts w:ascii="Arial"/>
          <w:sz w:val="21"/>
        </w:rPr>
      </w:pPr>
    </w:p>
    <w:p>
      <w:pPr>
        <w:pStyle w:val="2"/>
        <w:spacing w:before="101" w:line="220" w:lineRule="auto"/>
        <w:ind w:left="645"/>
      </w:pP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1"/>
        </w:rPr>
        <w:t xml:space="preserve"> </w:t>
      </w: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一）收入预算：</w:t>
      </w:r>
      <w:r>
        <w:rPr>
          <w:spacing w:val="6"/>
        </w:rPr>
        <w:t>包括一般公共预算、政府性基金、</w:t>
      </w:r>
    </w:p>
    <w:p>
      <w:pPr>
        <w:pStyle w:val="2"/>
        <w:spacing w:before="232" w:line="357" w:lineRule="auto"/>
        <w:ind w:left="26" w:firstLine="27"/>
      </w:pPr>
      <w:r>
        <w:rPr>
          <w:spacing w:val="4"/>
        </w:rPr>
        <w:t>国有资本经营预算等财政拨款收入，</w:t>
      </w:r>
      <w:r>
        <w:rPr>
          <w:spacing w:val="-85"/>
        </w:rPr>
        <w:t xml:space="preserve"> </w:t>
      </w:r>
      <w:r>
        <w:rPr>
          <w:spacing w:val="4"/>
        </w:rPr>
        <w:t xml:space="preserve">以及经营收入、事业   </w:t>
      </w:r>
      <w:r>
        <w:rPr>
          <w:spacing w:val="2"/>
        </w:rPr>
        <w:t>收入等单位资金。</w:t>
      </w:r>
      <w:r>
        <w:rPr>
          <w:rFonts w:ascii="Tahoma" w:hAnsi="Tahoma" w:eastAsia="Tahoma" w:cs="Tahoma"/>
          <w:spacing w:val="2"/>
        </w:rPr>
        <w:t xml:space="preserve">2022 </w:t>
      </w:r>
      <w:r>
        <w:rPr>
          <w:spacing w:val="2"/>
        </w:rPr>
        <w:t>年本单位收入预算</w:t>
      </w:r>
      <w:r>
        <w:rPr>
          <w:spacing w:val="-26"/>
        </w:rPr>
        <w:t xml:space="preserve"> </w:t>
      </w:r>
      <w:r>
        <w:rPr>
          <w:rFonts w:ascii="Tahoma" w:hAnsi="Tahoma" w:eastAsia="Tahoma" w:cs="Tahoma"/>
          <w:spacing w:val="2"/>
        </w:rPr>
        <w:t xml:space="preserve">163664.78 </w:t>
      </w:r>
      <w:r>
        <w:rPr>
          <w:spacing w:val="2"/>
        </w:rPr>
        <w:t>万元，</w:t>
      </w:r>
      <w:r>
        <w:t xml:space="preserve"> </w:t>
      </w:r>
      <w:r>
        <w:rPr>
          <w:spacing w:val="4"/>
        </w:rPr>
        <w:t>其中，财政拨款总收入</w:t>
      </w:r>
      <w:r>
        <w:rPr>
          <w:spacing w:val="-57"/>
        </w:rPr>
        <w:t xml:space="preserve"> </w:t>
      </w:r>
      <w:r>
        <w:rPr>
          <w:rFonts w:ascii="Tahoma" w:hAnsi="Tahoma" w:eastAsia="Tahoma" w:cs="Tahoma"/>
          <w:spacing w:val="4"/>
        </w:rPr>
        <w:t xml:space="preserve">2734.78 </w:t>
      </w:r>
      <w:r>
        <w:rPr>
          <w:spacing w:val="4"/>
        </w:rPr>
        <w:t>万元（</w:t>
      </w:r>
      <w:r>
        <w:rPr>
          <w:spacing w:val="-78"/>
        </w:rPr>
        <w:t xml:space="preserve"> </w:t>
      </w:r>
      <w:r>
        <w:rPr>
          <w:spacing w:val="4"/>
        </w:rPr>
        <w:t>一般公</w:t>
      </w:r>
      <w:r>
        <w:rPr>
          <w:spacing w:val="3"/>
        </w:rPr>
        <w:t>共预算拨款</w:t>
      </w:r>
    </w:p>
    <w:p>
      <w:pPr>
        <w:pStyle w:val="2"/>
        <w:spacing w:before="2" w:line="218" w:lineRule="auto"/>
        <w:ind w:left="31"/>
      </w:pPr>
      <w:r>
        <w:rPr>
          <w:rFonts w:ascii="Tahoma" w:hAnsi="Tahoma" w:eastAsia="Tahoma" w:cs="Tahoma"/>
          <w:spacing w:val="3"/>
        </w:rPr>
        <w:t xml:space="preserve">2372.79 </w:t>
      </w:r>
      <w:r>
        <w:rPr>
          <w:spacing w:val="3"/>
        </w:rPr>
        <w:t>万元，上年结余结转</w:t>
      </w:r>
      <w:r>
        <w:rPr>
          <w:spacing w:val="-59"/>
        </w:rPr>
        <w:t xml:space="preserve"> </w:t>
      </w:r>
      <w:r>
        <w:rPr>
          <w:rFonts w:ascii="Tahoma" w:hAnsi="Tahoma" w:eastAsia="Tahoma" w:cs="Tahoma"/>
          <w:spacing w:val="3"/>
        </w:rPr>
        <w:t xml:space="preserve">361.99 </w:t>
      </w:r>
      <w:r>
        <w:rPr>
          <w:spacing w:val="3"/>
        </w:rPr>
        <w:t>万元</w:t>
      </w:r>
      <w:r>
        <w:rPr>
          <w:spacing w:val="29"/>
        </w:rPr>
        <w:t>），</w:t>
      </w:r>
      <w:r>
        <w:rPr>
          <w:spacing w:val="3"/>
        </w:rPr>
        <w:t>事业收入</w:t>
      </w:r>
    </w:p>
    <w:p>
      <w:pPr>
        <w:pStyle w:val="2"/>
        <w:spacing w:before="232" w:line="600" w:lineRule="exact"/>
        <w:ind w:left="49"/>
      </w:pPr>
      <w:r>
        <w:rPr>
          <w:rFonts w:ascii="Tahoma" w:hAnsi="Tahoma" w:eastAsia="Tahoma" w:cs="Tahoma"/>
          <w:spacing w:val="1"/>
          <w:position w:val="21"/>
        </w:rPr>
        <w:t xml:space="preserve">159100 </w:t>
      </w:r>
      <w:r>
        <w:rPr>
          <w:spacing w:val="1"/>
          <w:position w:val="21"/>
        </w:rPr>
        <w:t>万元，其他收入</w:t>
      </w:r>
      <w:r>
        <w:rPr>
          <w:spacing w:val="-35"/>
          <w:position w:val="21"/>
        </w:rPr>
        <w:t xml:space="preserve"> </w:t>
      </w:r>
      <w:r>
        <w:rPr>
          <w:rFonts w:ascii="Tahoma" w:hAnsi="Tahoma" w:eastAsia="Tahoma" w:cs="Tahoma"/>
          <w:spacing w:val="1"/>
          <w:position w:val="21"/>
        </w:rPr>
        <w:t xml:space="preserve">1830 </w:t>
      </w:r>
      <w:r>
        <w:rPr>
          <w:spacing w:val="1"/>
          <w:position w:val="21"/>
        </w:rPr>
        <w:t>万元。</w:t>
      </w:r>
      <w:r>
        <w:rPr>
          <w:spacing w:val="-88"/>
          <w:position w:val="21"/>
        </w:rPr>
        <w:t xml:space="preserve"> </w:t>
      </w:r>
      <w:r>
        <w:rPr>
          <w:spacing w:val="1"/>
          <w:position w:val="21"/>
        </w:rPr>
        <w:t>收入较去年增加</w:t>
      </w:r>
    </w:p>
    <w:p>
      <w:pPr>
        <w:pStyle w:val="2"/>
        <w:spacing w:before="1" w:line="221" w:lineRule="auto"/>
        <w:ind w:left="49"/>
      </w:pPr>
      <w:r>
        <w:rPr>
          <w:rFonts w:ascii="Tahoma" w:hAnsi="Tahoma" w:eastAsia="Tahoma" w:cs="Tahoma"/>
          <w:spacing w:val="3"/>
        </w:rPr>
        <w:t xml:space="preserve">15770.99 </w:t>
      </w:r>
      <w:r>
        <w:rPr>
          <w:spacing w:val="3"/>
        </w:rPr>
        <w:t>万元，主要是事业收入较去年增加</w:t>
      </w:r>
      <w:r>
        <w:rPr>
          <w:spacing w:val="-33"/>
        </w:rPr>
        <w:t xml:space="preserve"> </w:t>
      </w:r>
      <w:r>
        <w:rPr>
          <w:rFonts w:ascii="Tahoma" w:hAnsi="Tahoma" w:eastAsia="Tahoma" w:cs="Tahoma"/>
          <w:spacing w:val="3"/>
        </w:rPr>
        <w:t xml:space="preserve">16000 </w:t>
      </w:r>
      <w:r>
        <w:rPr>
          <w:spacing w:val="3"/>
        </w:rPr>
        <w:t>万。</w:t>
      </w:r>
    </w:p>
    <w:p>
      <w:pPr>
        <w:spacing w:line="326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34" w:right="165" w:firstLine="610"/>
      </w:pPr>
      <w:r>
        <w:rPr>
          <w:rFonts w:ascii="楷体" w:hAnsi="楷体" w:eastAsia="楷体" w:cs="楷体"/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0"/>
        </w:rPr>
        <w:t xml:space="preserve"> </w:t>
      </w:r>
      <w:r>
        <w:rPr>
          <w:rFonts w:ascii="楷体" w:hAnsi="楷体" w:eastAsia="楷体" w:cs="楷体"/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二）支出预算：</w:t>
      </w:r>
      <w:r>
        <w:rPr>
          <w:rFonts w:ascii="Tahoma" w:hAnsi="Tahoma" w:eastAsia="Tahoma" w:cs="Tahoma"/>
          <w:spacing w:val="2"/>
        </w:rPr>
        <w:t xml:space="preserve">2022 </w:t>
      </w:r>
      <w:r>
        <w:rPr>
          <w:spacing w:val="2"/>
        </w:rPr>
        <w:t>年本单位支出预算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2"/>
        </w:rPr>
        <w:t xml:space="preserve">163664.78  </w:t>
      </w:r>
      <w:r>
        <w:rPr>
          <w:spacing w:val="6"/>
        </w:rPr>
        <w:t>万元，其中，科学技术支出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6"/>
        </w:rPr>
        <w:t xml:space="preserve">196.94 </w:t>
      </w:r>
      <w:r>
        <w:rPr>
          <w:spacing w:val="5"/>
        </w:rPr>
        <w:t>万元，社会保障和就业</w:t>
      </w:r>
      <w:r>
        <w:t xml:space="preserve"> </w:t>
      </w:r>
      <w:r>
        <w:rPr>
          <w:spacing w:val="4"/>
        </w:rPr>
        <w:t>支出</w:t>
      </w:r>
      <w:r>
        <w:rPr>
          <w:spacing w:val="-59"/>
        </w:rPr>
        <w:t xml:space="preserve"> </w:t>
      </w:r>
      <w:r>
        <w:rPr>
          <w:rFonts w:ascii="Tahoma" w:hAnsi="Tahoma" w:eastAsia="Tahoma" w:cs="Tahoma"/>
          <w:spacing w:val="4"/>
        </w:rPr>
        <w:t xml:space="preserve">3220 </w:t>
      </w:r>
      <w:r>
        <w:rPr>
          <w:spacing w:val="4"/>
        </w:rPr>
        <w:t>万元，卫生健康支出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4"/>
        </w:rPr>
        <w:t>15614</w:t>
      </w:r>
      <w:r>
        <w:rPr>
          <w:rFonts w:ascii="Tahoma" w:hAnsi="Tahoma" w:eastAsia="Tahoma" w:cs="Tahoma"/>
          <w:spacing w:val="3"/>
        </w:rPr>
        <w:t xml:space="preserve">7.84 </w:t>
      </w:r>
      <w:r>
        <w:rPr>
          <w:spacing w:val="3"/>
        </w:rPr>
        <w:t>万元，住房保障</w:t>
      </w:r>
      <w:r>
        <w:t xml:space="preserve"> </w:t>
      </w:r>
      <w:r>
        <w:rPr>
          <w:spacing w:val="4"/>
        </w:rPr>
        <w:t>支出</w:t>
      </w:r>
      <w:r>
        <w:rPr>
          <w:spacing w:val="-67"/>
        </w:rPr>
        <w:t xml:space="preserve"> </w:t>
      </w:r>
      <w:r>
        <w:rPr>
          <w:rFonts w:ascii="Tahoma" w:hAnsi="Tahoma" w:eastAsia="Tahoma" w:cs="Tahoma"/>
          <w:spacing w:val="4"/>
        </w:rPr>
        <w:t xml:space="preserve">4100 </w:t>
      </w:r>
      <w:r>
        <w:rPr>
          <w:spacing w:val="4"/>
        </w:rPr>
        <w:t>万元。支出较去年增加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4"/>
        </w:rPr>
        <w:t xml:space="preserve">15770.99 </w:t>
      </w:r>
      <w:r>
        <w:rPr>
          <w:spacing w:val="3"/>
        </w:rPr>
        <w:t>万元，主要是</w:t>
      </w:r>
    </w:p>
    <w:p>
      <w:pPr>
        <w:pStyle w:val="2"/>
        <w:spacing w:before="2" w:line="221" w:lineRule="auto"/>
        <w:ind w:left="35"/>
      </w:pPr>
      <w:r>
        <w:rPr>
          <w:spacing w:val="3"/>
        </w:rPr>
        <w:t>卫生健康支出较去年增加</w:t>
      </w:r>
      <w:r>
        <w:rPr>
          <w:spacing w:val="-24"/>
        </w:rPr>
        <w:t xml:space="preserve"> </w:t>
      </w:r>
      <w:r>
        <w:rPr>
          <w:rFonts w:ascii="Tahoma" w:hAnsi="Tahoma" w:eastAsia="Tahoma" w:cs="Tahoma"/>
          <w:spacing w:val="3"/>
        </w:rPr>
        <w:t xml:space="preserve">14679.05 </w:t>
      </w:r>
      <w:r>
        <w:rPr>
          <w:spacing w:val="3"/>
        </w:rPr>
        <w:t>万元。</w:t>
      </w:r>
    </w:p>
    <w:p>
      <w:pPr>
        <w:spacing w:line="325" w:lineRule="auto"/>
        <w:rPr>
          <w:rFonts w:ascii="Arial"/>
          <w:sz w:val="21"/>
        </w:rPr>
      </w:pPr>
    </w:p>
    <w:p>
      <w:pPr>
        <w:spacing w:before="101" w:line="226" w:lineRule="auto"/>
        <w:ind w:left="7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四、一般公共预算拨款支出</w:t>
      </w: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101" w:line="543" w:lineRule="exact"/>
        <w:ind w:left="691"/>
      </w:pPr>
      <w:r>
        <w:rPr>
          <w:rFonts w:ascii="Tahoma" w:hAnsi="Tahoma" w:eastAsia="Tahoma" w:cs="Tahoma"/>
          <w:spacing w:val="5"/>
          <w:position w:val="17"/>
        </w:rPr>
        <w:t xml:space="preserve">2022 </w:t>
      </w:r>
      <w:r>
        <w:rPr>
          <w:spacing w:val="5"/>
          <w:position w:val="17"/>
        </w:rPr>
        <w:t>年本单位一般公共预算拨款支出预算</w:t>
      </w:r>
      <w:r>
        <w:rPr>
          <w:spacing w:val="-48"/>
          <w:position w:val="17"/>
        </w:rPr>
        <w:t xml:space="preserve"> </w:t>
      </w:r>
      <w:r>
        <w:rPr>
          <w:rFonts w:ascii="Tahoma" w:hAnsi="Tahoma" w:eastAsia="Tahoma" w:cs="Tahoma"/>
          <w:spacing w:val="5"/>
          <w:position w:val="17"/>
        </w:rPr>
        <w:t xml:space="preserve">2734.78 </w:t>
      </w:r>
      <w:r>
        <w:rPr>
          <w:spacing w:val="5"/>
          <w:position w:val="17"/>
        </w:rPr>
        <w:t>万</w:t>
      </w:r>
    </w:p>
    <w:p>
      <w:pPr>
        <w:pStyle w:val="2"/>
        <w:spacing w:line="453" w:lineRule="exact"/>
        <w:ind w:left="37"/>
      </w:pPr>
      <w:r>
        <w:rPr>
          <w:spacing w:val="2"/>
          <w:position w:val="3"/>
        </w:rPr>
        <w:t>元，其中，科学技术支出</w:t>
      </w:r>
      <w:r>
        <w:rPr>
          <w:spacing w:val="-32"/>
          <w:position w:val="3"/>
        </w:rPr>
        <w:t xml:space="preserve"> </w:t>
      </w:r>
      <w:r>
        <w:rPr>
          <w:rFonts w:ascii="Tahoma" w:hAnsi="Tahoma" w:eastAsia="Tahoma" w:cs="Tahoma"/>
          <w:spacing w:val="2"/>
          <w:position w:val="3"/>
        </w:rPr>
        <w:t xml:space="preserve">196.94 </w:t>
      </w:r>
      <w:r>
        <w:rPr>
          <w:spacing w:val="2"/>
          <w:position w:val="3"/>
        </w:rPr>
        <w:t>万元，</w:t>
      </w:r>
      <w:r>
        <w:rPr>
          <w:spacing w:val="-78"/>
          <w:position w:val="3"/>
        </w:rPr>
        <w:t xml:space="preserve"> </w:t>
      </w:r>
      <w:r>
        <w:rPr>
          <w:spacing w:val="2"/>
          <w:position w:val="3"/>
        </w:rPr>
        <w:t>占</w:t>
      </w:r>
      <w:r>
        <w:rPr>
          <w:spacing w:val="-61"/>
          <w:position w:val="3"/>
        </w:rPr>
        <w:t xml:space="preserve"> </w:t>
      </w:r>
      <w:r>
        <w:rPr>
          <w:rFonts w:ascii="Tahoma" w:hAnsi="Tahoma" w:eastAsia="Tahoma" w:cs="Tahoma"/>
          <w:spacing w:val="2"/>
          <w:position w:val="3"/>
        </w:rPr>
        <w:t>7.20%</w:t>
      </w:r>
      <w:r>
        <w:rPr>
          <w:spacing w:val="2"/>
          <w:position w:val="3"/>
        </w:rPr>
        <w:t>；社会保</w:t>
      </w:r>
    </w:p>
    <w:p>
      <w:pPr>
        <w:pStyle w:val="2"/>
        <w:spacing w:before="147" w:line="600" w:lineRule="exact"/>
        <w:ind w:left="44"/>
      </w:pPr>
      <w:r>
        <w:rPr>
          <w:spacing w:val="2"/>
          <w:position w:val="17"/>
        </w:rPr>
        <w:t>障和就业支出</w:t>
      </w:r>
      <w:r>
        <w:rPr>
          <w:spacing w:val="-60"/>
          <w:position w:val="17"/>
        </w:rPr>
        <w:t xml:space="preserve"> </w:t>
      </w:r>
      <w:r>
        <w:rPr>
          <w:rFonts w:ascii="Tahoma" w:hAnsi="Tahoma" w:eastAsia="Tahoma" w:cs="Tahoma"/>
          <w:spacing w:val="2"/>
          <w:position w:val="17"/>
        </w:rPr>
        <w:t xml:space="preserve">600 </w:t>
      </w:r>
      <w:r>
        <w:rPr>
          <w:spacing w:val="2"/>
          <w:position w:val="17"/>
        </w:rPr>
        <w:t>万元，</w:t>
      </w:r>
      <w:r>
        <w:rPr>
          <w:spacing w:val="-79"/>
          <w:position w:val="17"/>
        </w:rPr>
        <w:t xml:space="preserve"> </w:t>
      </w:r>
      <w:r>
        <w:rPr>
          <w:spacing w:val="2"/>
          <w:position w:val="17"/>
        </w:rPr>
        <w:t>占</w:t>
      </w:r>
      <w:r>
        <w:rPr>
          <w:spacing w:val="-57"/>
          <w:position w:val="17"/>
        </w:rPr>
        <w:t xml:space="preserve"> </w:t>
      </w:r>
      <w:r>
        <w:rPr>
          <w:rFonts w:ascii="Tahoma" w:hAnsi="Tahoma" w:eastAsia="Tahoma" w:cs="Tahoma"/>
          <w:spacing w:val="2"/>
          <w:position w:val="17"/>
        </w:rPr>
        <w:t>21.94%</w:t>
      </w:r>
      <w:r>
        <w:rPr>
          <w:spacing w:val="2"/>
          <w:position w:val="17"/>
        </w:rPr>
        <w:t>；卫生健康支出</w:t>
      </w:r>
    </w:p>
    <w:p>
      <w:pPr>
        <w:pStyle w:val="2"/>
        <w:spacing w:line="455" w:lineRule="exact"/>
        <w:ind w:left="49"/>
      </w:pPr>
      <w:r>
        <w:rPr>
          <w:rFonts w:ascii="Tahoma" w:hAnsi="Tahoma" w:eastAsia="Tahoma" w:cs="Tahoma"/>
          <w:spacing w:val="1"/>
          <w:position w:val="3"/>
        </w:rPr>
        <w:t xml:space="preserve">1937.84 </w:t>
      </w:r>
      <w:r>
        <w:rPr>
          <w:spacing w:val="1"/>
          <w:position w:val="3"/>
        </w:rPr>
        <w:t>万元，</w:t>
      </w:r>
      <w:r>
        <w:rPr>
          <w:spacing w:val="-60"/>
          <w:position w:val="3"/>
        </w:rPr>
        <w:t xml:space="preserve"> </w:t>
      </w:r>
      <w:r>
        <w:rPr>
          <w:spacing w:val="1"/>
          <w:position w:val="3"/>
        </w:rPr>
        <w:t>占</w:t>
      </w:r>
      <w:r>
        <w:rPr>
          <w:spacing w:val="-60"/>
          <w:position w:val="3"/>
        </w:rPr>
        <w:t xml:space="preserve"> </w:t>
      </w:r>
      <w:r>
        <w:rPr>
          <w:rFonts w:ascii="Tahoma" w:hAnsi="Tahoma" w:eastAsia="Tahoma" w:cs="Tahoma"/>
          <w:spacing w:val="1"/>
          <w:position w:val="3"/>
        </w:rPr>
        <w:t>70.86%</w:t>
      </w:r>
      <w:r>
        <w:rPr>
          <w:spacing w:val="1"/>
          <w:position w:val="3"/>
        </w:rPr>
        <w:t>。具体安排情况如下：</w:t>
      </w:r>
    </w:p>
    <w:p>
      <w:pPr>
        <w:spacing w:line="455" w:lineRule="exact"/>
        <w:sectPr>
          <w:pgSz w:w="11906" w:h="16839"/>
          <w:pgMar w:top="1431" w:right="1687" w:bottom="0" w:left="1785" w:header="0" w:footer="0" w:gutter="0"/>
          <w:cols w:space="720" w:num="1"/>
        </w:sectPr>
      </w:pPr>
    </w:p>
    <w:p>
      <w:pPr>
        <w:pStyle w:val="2"/>
        <w:spacing w:before="217" w:line="221" w:lineRule="auto"/>
        <w:ind w:left="678"/>
      </w:pPr>
      <w:r>
        <w:rPr>
          <w:rFonts w:ascii="楷体" w:hAnsi="楷体" w:eastAsia="楷体" w:cs="楷体"/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2"/>
        </w:rPr>
        <w:t xml:space="preserve"> </w:t>
      </w:r>
      <w:r>
        <w:rPr>
          <w:rFonts w:ascii="楷体" w:hAnsi="楷体" w:eastAsia="楷体" w:cs="楷体"/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一）基本支出：</w:t>
      </w:r>
      <w:r>
        <w:rPr>
          <w:rFonts w:ascii="Tahoma" w:hAnsi="Tahoma" w:eastAsia="Tahoma" w:cs="Tahoma"/>
          <w:spacing w:val="5"/>
        </w:rPr>
        <w:t xml:space="preserve">2022 </w:t>
      </w:r>
      <w:r>
        <w:rPr>
          <w:spacing w:val="5"/>
        </w:rPr>
        <w:t>年本单位基本支</w:t>
      </w:r>
      <w:r>
        <w:rPr>
          <w:spacing w:val="4"/>
        </w:rPr>
        <w:t>出预算数</w:t>
      </w:r>
    </w:p>
    <w:p>
      <w:pPr>
        <w:pStyle w:val="2"/>
        <w:spacing w:before="229" w:line="357" w:lineRule="auto"/>
        <w:ind w:left="34" w:right="64" w:hanging="3"/>
      </w:pPr>
      <w:r>
        <w:rPr>
          <w:rFonts w:ascii="Tahoma" w:hAnsi="Tahoma" w:eastAsia="Tahoma" w:cs="Tahoma"/>
          <w:spacing w:val="7"/>
        </w:rPr>
        <w:t xml:space="preserve">2195.79 </w:t>
      </w:r>
      <w:r>
        <w:rPr>
          <w:spacing w:val="7"/>
        </w:rPr>
        <w:t>万元，主要是为保障单位机构正常运转、完成日常</w:t>
      </w:r>
      <w:r>
        <w:rPr>
          <w:spacing w:val="1"/>
        </w:rPr>
        <w:t xml:space="preserve"> </w:t>
      </w:r>
      <w:r>
        <w:rPr>
          <w:spacing w:val="9"/>
        </w:rPr>
        <w:t>工作任务而发生的各项支出，包括用于基本工资、津贴补</w:t>
      </w:r>
    </w:p>
    <w:p>
      <w:pPr>
        <w:pStyle w:val="2"/>
        <w:spacing w:before="1" w:line="223" w:lineRule="auto"/>
        <w:ind w:left="25"/>
      </w:pPr>
      <w:r>
        <w:rPr>
          <w:spacing w:val="6"/>
        </w:rPr>
        <w:t>贴等人员经费。</w:t>
      </w: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44" w:right="70" w:firstLine="634"/>
      </w:pPr>
      <w:r>
        <w:rPr>
          <w:rFonts w:ascii="楷体" w:hAnsi="楷体" w:eastAsia="楷体" w:cs="楷体"/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82"/>
        </w:rPr>
        <w:t xml:space="preserve"> </w:t>
      </w:r>
      <w:r>
        <w:rPr>
          <w:rFonts w:ascii="楷体" w:hAnsi="楷体" w:eastAsia="楷体" w:cs="楷体"/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二）项目支出：</w:t>
      </w:r>
      <w:r>
        <w:rPr>
          <w:rFonts w:ascii="Tahoma" w:hAnsi="Tahoma" w:eastAsia="Tahoma" w:cs="Tahoma"/>
          <w:spacing w:val="4"/>
        </w:rPr>
        <w:t xml:space="preserve">2022 </w:t>
      </w:r>
      <w:r>
        <w:rPr>
          <w:spacing w:val="4"/>
        </w:rPr>
        <w:t>年本单位项目支出预算</w:t>
      </w:r>
      <w:r>
        <w:rPr>
          <w:spacing w:val="-54"/>
        </w:rPr>
        <w:t xml:space="preserve"> </w:t>
      </w:r>
      <w:r>
        <w:rPr>
          <w:rFonts w:ascii="Tahoma" w:hAnsi="Tahoma" w:eastAsia="Tahoma" w:cs="Tahoma"/>
          <w:spacing w:val="4"/>
        </w:rPr>
        <w:t>538.99</w:t>
      </w:r>
      <w:r>
        <w:rPr>
          <w:rFonts w:ascii="Tahoma" w:hAnsi="Tahoma" w:eastAsia="Tahoma" w:cs="Tahoma"/>
        </w:rPr>
        <w:t xml:space="preserve"> </w:t>
      </w:r>
      <w:r>
        <w:rPr>
          <w:spacing w:val="8"/>
        </w:rPr>
        <w:t>万元，主要是部门为完成特定行政工作任务或事业发展目</w:t>
      </w:r>
    </w:p>
    <w:p>
      <w:pPr>
        <w:pStyle w:val="2"/>
        <w:spacing w:line="222" w:lineRule="auto"/>
        <w:ind w:left="23"/>
      </w:pPr>
      <w:r>
        <w:rPr>
          <w:spacing w:val="9"/>
        </w:rPr>
        <w:t>标而发生的支出，包括有关事业发展专项、专项业务费、</w:t>
      </w:r>
    </w:p>
    <w:p>
      <w:pPr>
        <w:pStyle w:val="2"/>
        <w:spacing w:before="229" w:line="357" w:lineRule="auto"/>
        <w:ind w:left="26" w:right="160" w:hanging="5"/>
      </w:pPr>
      <w:r>
        <w:rPr>
          <w:spacing w:val="6"/>
        </w:rPr>
        <w:t>基本建设支出等，其中：科学技术支出</w:t>
      </w:r>
      <w:r>
        <w:rPr>
          <w:spacing w:val="-35"/>
        </w:rPr>
        <w:t xml:space="preserve"> </w:t>
      </w:r>
      <w:r>
        <w:rPr>
          <w:rFonts w:ascii="Tahoma" w:hAnsi="Tahoma" w:eastAsia="Tahoma" w:cs="Tahoma"/>
          <w:spacing w:val="6"/>
        </w:rPr>
        <w:t xml:space="preserve">196.94 </w:t>
      </w:r>
      <w:r>
        <w:rPr>
          <w:spacing w:val="6"/>
        </w:rPr>
        <w:t>万元，主要</w:t>
      </w:r>
      <w:r>
        <w:t xml:space="preserve"> </w:t>
      </w:r>
      <w:r>
        <w:rPr>
          <w:spacing w:val="9"/>
        </w:rPr>
        <w:t>用于创新型省份建设专项资金和中央引领地方科技发展资</w:t>
      </w:r>
      <w:r>
        <w:rPr>
          <w:spacing w:val="5"/>
        </w:rPr>
        <w:t xml:space="preserve">  </w:t>
      </w:r>
      <w:r>
        <w:rPr>
          <w:spacing w:val="6"/>
        </w:rPr>
        <w:t>金等方面；卫生建康支出</w:t>
      </w:r>
      <w:r>
        <w:rPr>
          <w:spacing w:val="-40"/>
        </w:rPr>
        <w:t xml:space="preserve"> </w:t>
      </w:r>
      <w:r>
        <w:rPr>
          <w:rFonts w:ascii="Tahoma" w:hAnsi="Tahoma" w:eastAsia="Tahoma" w:cs="Tahoma"/>
          <w:spacing w:val="6"/>
        </w:rPr>
        <w:t xml:space="preserve">342.05 </w:t>
      </w:r>
      <w:r>
        <w:rPr>
          <w:spacing w:val="6"/>
        </w:rPr>
        <w:t>万元，主要用于省属公立</w:t>
      </w:r>
      <w:r>
        <w:t xml:space="preserve"> </w:t>
      </w:r>
      <w:r>
        <w:rPr>
          <w:spacing w:val="6"/>
        </w:rPr>
        <w:t>医院改革补助、</w:t>
      </w:r>
      <w:r>
        <w:rPr>
          <w:spacing w:val="-80"/>
        </w:rPr>
        <w:t xml:space="preserve"> </w:t>
      </w:r>
      <w:r>
        <w:rPr>
          <w:spacing w:val="6"/>
        </w:rPr>
        <w:t>医疗服务与保障能力提升、万</w:t>
      </w:r>
      <w:r>
        <w:rPr>
          <w:spacing w:val="-47"/>
        </w:rPr>
        <w:t xml:space="preserve"> </w:t>
      </w:r>
      <w:r>
        <w:rPr>
          <w:spacing w:val="6"/>
        </w:rPr>
        <w:t>名医师支援</w:t>
      </w:r>
      <w:r>
        <w:t xml:space="preserve"> </w:t>
      </w:r>
      <w:r>
        <w:rPr>
          <w:spacing w:val="9"/>
        </w:rPr>
        <w:t>农村、急性心脑血管疾病救治、病人欠费、卫生科研等公</w:t>
      </w:r>
    </w:p>
    <w:p>
      <w:pPr>
        <w:pStyle w:val="2"/>
        <w:spacing w:before="1" w:line="222" w:lineRule="auto"/>
        <w:ind w:left="40"/>
      </w:pPr>
      <w:r>
        <w:rPr>
          <w:spacing w:val="3"/>
        </w:rPr>
        <w:t>立医院和公共卫 生方面的支出。</w:t>
      </w:r>
    </w:p>
    <w:p>
      <w:pPr>
        <w:spacing w:line="324" w:lineRule="auto"/>
        <w:rPr>
          <w:rFonts w:ascii="Arial"/>
          <w:sz w:val="21"/>
        </w:rPr>
      </w:pPr>
    </w:p>
    <w:p>
      <w:pPr>
        <w:spacing w:before="101" w:line="227" w:lineRule="auto"/>
        <w:ind w:left="69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五、政府性基金预算支出</w:t>
      </w:r>
    </w:p>
    <w:p>
      <w:pPr>
        <w:spacing w:line="316" w:lineRule="auto"/>
        <w:rPr>
          <w:rFonts w:ascii="Arial"/>
          <w:sz w:val="21"/>
        </w:rPr>
      </w:pPr>
    </w:p>
    <w:p>
      <w:pPr>
        <w:pStyle w:val="2"/>
        <w:spacing w:before="101" w:line="798" w:lineRule="exact"/>
        <w:ind w:left="691"/>
      </w:pPr>
      <w:r>
        <w:rPr>
          <w:rFonts w:ascii="Tahoma" w:hAnsi="Tahoma" w:eastAsia="Tahoma" w:cs="Tahoma"/>
          <w:spacing w:val="6"/>
          <w:position w:val="37"/>
        </w:rPr>
        <w:t xml:space="preserve">2022 </w:t>
      </w:r>
      <w:r>
        <w:rPr>
          <w:spacing w:val="6"/>
          <w:position w:val="37"/>
        </w:rPr>
        <w:t>年本部门无政府性基金安排的支出。</w:t>
      </w:r>
    </w:p>
    <w:p>
      <w:pPr>
        <w:spacing w:before="1" w:line="226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78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5"/>
          <w:position w:val="21"/>
        </w:rPr>
        <w:t xml:space="preserve"> </w:t>
      </w: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一）机关运行经费：</w:t>
      </w:r>
      <w:r>
        <w:rPr>
          <w:rFonts w:hint="eastAsia" w:ascii="仿宋_GB2312" w:hAnsi="仿宋_GB2312" w:eastAsia="仿宋_GB2312" w:cs="仿宋_GB2312"/>
          <w:spacing w:val="5"/>
          <w:position w:val="21"/>
        </w:rPr>
        <w:t>2022 年本单位没有使用一般公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baseline"/>
      </w:pPr>
      <w:r>
        <w:rPr>
          <w:rFonts w:hint="eastAsia" w:ascii="仿宋_GB2312" w:hAnsi="仿宋_GB2312" w:eastAsia="仿宋_GB2312" w:cs="仿宋_GB2312"/>
          <w:spacing w:val="8"/>
        </w:rPr>
        <w:t>共预算财政拨款安排基本支出中的机关运行经费。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2022年“机关运行经费”预算较2021年持平。</w:t>
      </w:r>
    </w:p>
    <w:p>
      <w:pPr>
        <w:spacing w:line="325" w:lineRule="auto"/>
        <w:rPr>
          <w:rFonts w:ascii="Arial"/>
          <w:sz w:val="21"/>
        </w:rPr>
      </w:pPr>
    </w:p>
    <w:p>
      <w:pPr>
        <w:pStyle w:val="2"/>
        <w:spacing w:before="101" w:line="600" w:lineRule="exact"/>
        <w:ind w:left="678"/>
      </w:pP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楷体" w:hAnsi="楷体" w:eastAsia="楷体" w:cs="楷体"/>
          <w:spacing w:val="-71"/>
          <w:position w:val="21"/>
        </w:rPr>
        <w:t xml:space="preserve"> </w:t>
      </w: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二）</w:t>
      </w:r>
      <w:r>
        <w:rPr>
          <w:rFonts w:ascii="Tahoma" w:hAnsi="Tahoma" w:eastAsia="Tahoma" w:cs="Tahoma"/>
          <w:b/>
          <w:bCs/>
          <w:spacing w:val="5"/>
          <w:position w:val="21"/>
        </w:rPr>
        <w:t>“</w:t>
      </w: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</w:t>
      </w:r>
      <w:r>
        <w:rPr>
          <w:rFonts w:ascii="Tahoma" w:hAnsi="Tahoma" w:eastAsia="Tahoma" w:cs="Tahoma"/>
          <w:b/>
          <w:bCs/>
          <w:spacing w:val="5"/>
          <w:position w:val="21"/>
        </w:rPr>
        <w:t>”</w:t>
      </w:r>
      <w:r>
        <w:rPr>
          <w:rFonts w:ascii="楷体" w:hAnsi="楷体" w:eastAsia="楷体" w:cs="楷体"/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经费预算：</w:t>
      </w:r>
      <w:r>
        <w:rPr>
          <w:rFonts w:ascii="Tahoma" w:hAnsi="Tahoma" w:eastAsia="Tahoma" w:cs="Tahoma"/>
          <w:spacing w:val="5"/>
          <w:position w:val="21"/>
        </w:rPr>
        <w:t xml:space="preserve">2022 </w:t>
      </w:r>
      <w:r>
        <w:rPr>
          <w:spacing w:val="5"/>
          <w:position w:val="21"/>
        </w:rPr>
        <w:t>年本单位没有使用一般</w:t>
      </w:r>
    </w:p>
    <w:p>
      <w:pPr>
        <w:pStyle w:val="2"/>
        <w:spacing w:before="1" w:line="221" w:lineRule="auto"/>
        <w:ind w:left="25"/>
        <w:rPr>
          <w:rFonts w:hint="default"/>
          <w:spacing w:val="5"/>
          <w:lang w:val="en-US"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spacing w:val="5"/>
        </w:rPr>
        <w:t>公共预算财政拨款安排“ 三公”经费</w:t>
      </w:r>
      <w:r>
        <w:rPr>
          <w:rFonts w:hint="eastAsia"/>
          <w:spacing w:val="5"/>
          <w:lang w:eastAsia="zh-CN"/>
        </w:rPr>
        <w:t>，其中公务接待费</w:t>
      </w:r>
      <w:r>
        <w:rPr>
          <w:rFonts w:hint="eastAsia"/>
          <w:spacing w:val="5"/>
          <w:lang w:val="en-US" w:eastAsia="zh-CN"/>
        </w:rPr>
        <w:t>0万元，公务用车购置及运行费0万元（公务用车购置费0万元，公务用车运行费0万元），因公出国（境）费0万元。2022年</w:t>
      </w:r>
    </w:p>
    <w:p>
      <w:pPr>
        <w:pStyle w:val="2"/>
        <w:spacing w:before="1" w:line="221" w:lineRule="auto"/>
        <w:rPr>
          <w:rFonts w:hint="eastAsia"/>
          <w:spacing w:val="5"/>
          <w:lang w:val="en-US" w:eastAsia="zh-CN"/>
        </w:rPr>
      </w:pPr>
      <w:r>
        <w:rPr>
          <w:rFonts w:hint="eastAsia"/>
          <w:spacing w:val="5"/>
          <w:lang w:val="en-US" w:eastAsia="zh-CN"/>
        </w:rPr>
        <w:t>“三公”经费同比无增减变化。</w:t>
      </w:r>
    </w:p>
    <w:p>
      <w:pPr>
        <w:pStyle w:val="2"/>
        <w:spacing w:before="1" w:line="221" w:lineRule="auto"/>
        <w:ind w:left="25"/>
        <w:rPr>
          <w:rFonts w:hint="eastAsia"/>
          <w:spacing w:val="5"/>
          <w:lang w:val="en-US" w:eastAsia="zh-CN"/>
        </w:rPr>
      </w:pPr>
    </w:p>
    <w:p>
      <w:pPr>
        <w:pStyle w:val="2"/>
        <w:spacing w:before="217" w:line="600" w:lineRule="exact"/>
        <w:ind w:firstLine="652" w:firstLineChars="200"/>
      </w:pPr>
      <w:r>
        <w:rPr>
          <w:rFonts w:ascii="楷体" w:hAnsi="楷体" w:eastAsia="楷体" w:cs="楷体"/>
          <w:spacing w:val="8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（三）政府采购情况：</w:t>
      </w:r>
      <w:r>
        <w:rPr>
          <w:rFonts w:ascii="Tahoma" w:hAnsi="Tahoma" w:eastAsia="Tahoma" w:cs="Tahoma"/>
          <w:spacing w:val="8"/>
          <w:position w:val="21"/>
        </w:rPr>
        <w:t xml:space="preserve">2022 </w:t>
      </w:r>
      <w:r>
        <w:rPr>
          <w:spacing w:val="8"/>
          <w:position w:val="21"/>
        </w:rPr>
        <w:t>年本单位没有使用一般公</w:t>
      </w:r>
    </w:p>
    <w:p>
      <w:pPr>
        <w:pStyle w:val="2"/>
        <w:spacing w:before="1" w:line="221" w:lineRule="auto"/>
        <w:ind w:left="30"/>
      </w:pPr>
      <w:r>
        <w:rPr>
          <w:spacing w:val="8"/>
        </w:rPr>
        <w:t>共预算财政拨款安排政府采购经费。</w:t>
      </w:r>
      <w:r>
        <w:rPr>
          <w:rFonts w:hint="eastAsia"/>
          <w:spacing w:val="8"/>
        </w:rPr>
        <w:t>2022年本部门政府采购预算总额 0 万元，其中，货物类采购预算0万元；工程类采购预算0万元；服务类采购预算0万元。2022年“政府采购情况”预算较2021年持平。</w:t>
      </w:r>
    </w:p>
    <w:p>
      <w:pPr>
        <w:spacing w:line="327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22" w:right="33" w:firstLine="655"/>
      </w:pPr>
      <w:r>
        <w:rPr>
          <w:rFonts w:ascii="楷体" w:hAnsi="楷体" w:eastAsia="楷体" w:cs="楷体"/>
          <w:spacing w:val="1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（四）国有资产占用使用及新增资产配置情</w:t>
      </w:r>
      <w:r>
        <w:rPr>
          <w:rFonts w:ascii="楷体" w:hAnsi="楷体" w:eastAsia="楷体" w:cs="楷体"/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况：</w:t>
      </w:r>
      <w:r>
        <w:rPr>
          <w:spacing w:val="10"/>
        </w:rPr>
        <w:t>截至</w:t>
      </w:r>
      <w:r>
        <w:t xml:space="preserve">  </w:t>
      </w:r>
      <w:r>
        <w:rPr>
          <w:rFonts w:ascii="Tahoma" w:hAnsi="Tahoma" w:eastAsia="Tahoma" w:cs="Tahoma"/>
          <w:spacing w:val="2"/>
        </w:rPr>
        <w:t xml:space="preserve">2021 </w:t>
      </w:r>
      <w:r>
        <w:rPr>
          <w:spacing w:val="2"/>
        </w:rPr>
        <w:t>年</w:t>
      </w:r>
      <w:r>
        <w:rPr>
          <w:spacing w:val="-39"/>
        </w:rPr>
        <w:t xml:space="preserve"> </w:t>
      </w:r>
      <w:r>
        <w:rPr>
          <w:rFonts w:ascii="Tahoma" w:hAnsi="Tahoma" w:eastAsia="Tahoma" w:cs="Tahoma"/>
          <w:spacing w:val="2"/>
        </w:rPr>
        <w:t xml:space="preserve">12 </w:t>
      </w:r>
      <w:r>
        <w:rPr>
          <w:spacing w:val="2"/>
        </w:rPr>
        <w:t>月底，本单位共有公务用车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2"/>
        </w:rPr>
        <w:t xml:space="preserve">14 </w:t>
      </w:r>
      <w:r>
        <w:rPr>
          <w:spacing w:val="2"/>
        </w:rPr>
        <w:t xml:space="preserve">辆，其中，应急 </w:t>
      </w:r>
      <w:r>
        <w:rPr>
          <w:spacing w:val="5"/>
        </w:rPr>
        <w:t>保障用车</w:t>
      </w:r>
      <w:r>
        <w:rPr>
          <w:spacing w:val="-56"/>
        </w:rPr>
        <w:t xml:space="preserve"> </w:t>
      </w:r>
      <w:r>
        <w:rPr>
          <w:rFonts w:ascii="Tahoma" w:hAnsi="Tahoma" w:eastAsia="Tahoma" w:cs="Tahoma"/>
          <w:spacing w:val="5"/>
        </w:rPr>
        <w:t xml:space="preserve">2 </w:t>
      </w:r>
      <w:r>
        <w:rPr>
          <w:spacing w:val="5"/>
        </w:rPr>
        <w:t>辆，特种专业技术用车</w:t>
      </w:r>
      <w:r>
        <w:rPr>
          <w:spacing w:val="-65"/>
        </w:rPr>
        <w:t xml:space="preserve"> </w:t>
      </w:r>
      <w:r>
        <w:rPr>
          <w:rFonts w:ascii="Tahoma" w:hAnsi="Tahoma" w:eastAsia="Tahoma" w:cs="Tahoma"/>
          <w:spacing w:val="5"/>
        </w:rPr>
        <w:t xml:space="preserve">9 </w:t>
      </w:r>
      <w:r>
        <w:rPr>
          <w:spacing w:val="5"/>
        </w:rPr>
        <w:t>辆，</w:t>
      </w:r>
      <w:r>
        <w:rPr>
          <w:spacing w:val="4"/>
        </w:rPr>
        <w:t xml:space="preserve">其他按照规定配  </w:t>
      </w:r>
      <w:r>
        <w:rPr>
          <w:spacing w:val="1"/>
        </w:rPr>
        <w:t>备的公务用车</w:t>
      </w:r>
      <w:r>
        <w:rPr>
          <w:spacing w:val="-60"/>
        </w:rPr>
        <w:t xml:space="preserve"> </w:t>
      </w:r>
      <w:r>
        <w:rPr>
          <w:rFonts w:ascii="Tahoma" w:hAnsi="Tahoma" w:eastAsia="Tahoma" w:cs="Tahoma"/>
          <w:spacing w:val="1"/>
        </w:rPr>
        <w:t xml:space="preserve">3 </w:t>
      </w:r>
      <w:r>
        <w:rPr>
          <w:spacing w:val="1"/>
        </w:rPr>
        <w:t>辆</w:t>
      </w:r>
      <w:bookmarkStart w:id="0" w:name="_GoBack"/>
      <w:bookmarkEnd w:id="0"/>
      <w:r>
        <w:rPr>
          <w:spacing w:val="1"/>
        </w:rPr>
        <w:t>；单位价值</w:t>
      </w:r>
      <w:r>
        <w:rPr>
          <w:spacing w:val="-54"/>
        </w:rPr>
        <w:t xml:space="preserve"> </w:t>
      </w:r>
      <w:r>
        <w:rPr>
          <w:rFonts w:ascii="Tahoma" w:hAnsi="Tahoma" w:eastAsia="Tahoma" w:cs="Tahoma"/>
          <w:spacing w:val="1"/>
        </w:rPr>
        <w:t xml:space="preserve">50 </w:t>
      </w:r>
      <w:r>
        <w:rPr>
          <w:spacing w:val="1"/>
        </w:rPr>
        <w:t>万元以上通用设备</w:t>
      </w:r>
      <w:r>
        <w:rPr>
          <w:spacing w:val="-56"/>
        </w:rPr>
        <w:t xml:space="preserve"> </w:t>
      </w:r>
      <w:r>
        <w:rPr>
          <w:rFonts w:ascii="Tahoma" w:hAnsi="Tahoma" w:eastAsia="Tahoma" w:cs="Tahoma"/>
        </w:rPr>
        <w:t xml:space="preserve">26 </w:t>
      </w:r>
      <w:r>
        <w:t xml:space="preserve">台， </w:t>
      </w:r>
      <w:r>
        <w:rPr>
          <w:spacing w:val="2"/>
        </w:rPr>
        <w:t>单位价值</w:t>
      </w:r>
      <w:r>
        <w:rPr>
          <w:spacing w:val="-21"/>
        </w:rPr>
        <w:t xml:space="preserve"> </w:t>
      </w:r>
      <w:r>
        <w:rPr>
          <w:rFonts w:ascii="Tahoma" w:hAnsi="Tahoma" w:eastAsia="Tahoma" w:cs="Tahoma"/>
          <w:spacing w:val="2"/>
        </w:rPr>
        <w:t xml:space="preserve">100 </w:t>
      </w:r>
      <w:r>
        <w:rPr>
          <w:spacing w:val="2"/>
        </w:rPr>
        <w:t>万元以上专用设备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2"/>
        </w:rPr>
        <w:t xml:space="preserve">110 </w:t>
      </w:r>
      <w:r>
        <w:rPr>
          <w:spacing w:val="2"/>
        </w:rPr>
        <w:t>台。</w:t>
      </w:r>
      <w:r>
        <w:rPr>
          <w:rFonts w:ascii="Tahoma" w:hAnsi="Tahoma" w:eastAsia="Tahoma" w:cs="Tahoma"/>
          <w:spacing w:val="2"/>
        </w:rPr>
        <w:t xml:space="preserve">2022 </w:t>
      </w:r>
      <w:r>
        <w:rPr>
          <w:spacing w:val="2"/>
        </w:rPr>
        <w:t>年拟新增配</w:t>
      </w:r>
      <w:r>
        <w:t xml:space="preserve"> </w:t>
      </w:r>
      <w:r>
        <w:rPr>
          <w:spacing w:val="6"/>
        </w:rPr>
        <w:t>置公务用车</w:t>
      </w:r>
      <w:r>
        <w:rPr>
          <w:spacing w:val="-38"/>
        </w:rPr>
        <w:t xml:space="preserve"> </w:t>
      </w:r>
      <w:r>
        <w:rPr>
          <w:rFonts w:ascii="Tahoma" w:hAnsi="Tahoma" w:eastAsia="Tahoma" w:cs="Tahoma"/>
          <w:spacing w:val="6"/>
        </w:rPr>
        <w:t xml:space="preserve">1 </w:t>
      </w:r>
      <w:r>
        <w:rPr>
          <w:spacing w:val="6"/>
        </w:rPr>
        <w:t>辆，为特种专业技术用车；新增配备单</w:t>
      </w:r>
      <w:r>
        <w:rPr>
          <w:spacing w:val="5"/>
        </w:rPr>
        <w:t xml:space="preserve">位价  </w:t>
      </w:r>
      <w:r>
        <w:rPr>
          <w:spacing w:val="3"/>
        </w:rPr>
        <w:t>值</w:t>
      </w:r>
      <w:r>
        <w:rPr>
          <w:spacing w:val="-54"/>
        </w:rPr>
        <w:t xml:space="preserve"> </w:t>
      </w:r>
      <w:r>
        <w:rPr>
          <w:rFonts w:ascii="Tahoma" w:hAnsi="Tahoma" w:eastAsia="Tahoma" w:cs="Tahoma"/>
          <w:spacing w:val="3"/>
        </w:rPr>
        <w:t xml:space="preserve">50 </w:t>
      </w:r>
      <w:r>
        <w:rPr>
          <w:spacing w:val="3"/>
        </w:rPr>
        <w:t>万元以上通用设备</w:t>
      </w:r>
      <w:r>
        <w:rPr>
          <w:spacing w:val="-56"/>
        </w:rPr>
        <w:t xml:space="preserve"> </w:t>
      </w:r>
      <w:r>
        <w:rPr>
          <w:rFonts w:ascii="Tahoma" w:hAnsi="Tahoma" w:eastAsia="Tahoma" w:cs="Tahoma"/>
          <w:spacing w:val="3"/>
        </w:rPr>
        <w:t xml:space="preserve">2 </w:t>
      </w:r>
      <w:r>
        <w:rPr>
          <w:spacing w:val="3"/>
        </w:rPr>
        <w:t>台，单位价</w:t>
      </w:r>
      <w:r>
        <w:rPr>
          <w:spacing w:val="2"/>
        </w:rPr>
        <w:t>值</w:t>
      </w:r>
      <w:r>
        <w:rPr>
          <w:spacing w:val="-40"/>
        </w:rPr>
        <w:t xml:space="preserve"> </w:t>
      </w:r>
      <w:r>
        <w:rPr>
          <w:rFonts w:ascii="Tahoma" w:hAnsi="Tahoma" w:eastAsia="Tahoma" w:cs="Tahoma"/>
          <w:spacing w:val="2"/>
        </w:rPr>
        <w:t xml:space="preserve">100 </w:t>
      </w:r>
      <w:r>
        <w:rPr>
          <w:spacing w:val="2"/>
        </w:rPr>
        <w:t>万元以上专用</w:t>
      </w:r>
    </w:p>
    <w:p>
      <w:pPr>
        <w:pStyle w:val="2"/>
        <w:spacing w:line="221" w:lineRule="auto"/>
        <w:ind w:left="26"/>
      </w:pPr>
      <w:r>
        <w:rPr>
          <w:spacing w:val="-11"/>
        </w:rPr>
        <w:t>设备</w:t>
      </w:r>
      <w:r>
        <w:rPr>
          <w:spacing w:val="-36"/>
        </w:rPr>
        <w:t xml:space="preserve"> </w:t>
      </w:r>
      <w:r>
        <w:rPr>
          <w:rFonts w:ascii="Tahoma" w:hAnsi="Tahoma" w:eastAsia="Tahoma" w:cs="Tahoma"/>
          <w:spacing w:val="-11"/>
        </w:rPr>
        <w:t>18</w:t>
      </w:r>
      <w:r>
        <w:rPr>
          <w:rFonts w:ascii="Tahoma" w:hAnsi="Tahoma" w:eastAsia="Tahoma" w:cs="Tahoma"/>
          <w:spacing w:val="27"/>
        </w:rPr>
        <w:t xml:space="preserve"> </w:t>
      </w:r>
      <w:r>
        <w:rPr>
          <w:spacing w:val="-11"/>
        </w:rPr>
        <w:t>台。</w:t>
      </w:r>
    </w:p>
    <w:p>
      <w:pPr>
        <w:spacing w:line="329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49" w:right="165" w:firstLine="629"/>
      </w:pPr>
      <w:r>
        <w:rPr>
          <w:rFonts w:ascii="楷体" w:hAnsi="楷体" w:eastAsia="楷体" w:cs="楷体"/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（五）预算绩效目标说明：</w:t>
      </w:r>
      <w:r>
        <w:rPr>
          <w:spacing w:val="9"/>
        </w:rPr>
        <w:t xml:space="preserve">本单位所有支出实行绩效 </w:t>
      </w:r>
      <w:r>
        <w:rPr>
          <w:spacing w:val="5"/>
        </w:rPr>
        <w:t>目标管理。纳入</w:t>
      </w:r>
      <w:r>
        <w:rPr>
          <w:spacing w:val="-56"/>
        </w:rPr>
        <w:t xml:space="preserve"> </w:t>
      </w:r>
      <w:r>
        <w:rPr>
          <w:rFonts w:ascii="Tahoma" w:hAnsi="Tahoma" w:eastAsia="Tahoma" w:cs="Tahoma"/>
          <w:spacing w:val="5"/>
        </w:rPr>
        <w:t xml:space="preserve">2022 </w:t>
      </w:r>
      <w:r>
        <w:rPr>
          <w:spacing w:val="5"/>
        </w:rPr>
        <w:t>年单位整体支出绩</w:t>
      </w:r>
      <w:r>
        <w:rPr>
          <w:spacing w:val="4"/>
        </w:rPr>
        <w:t xml:space="preserve">效目标的金额为  </w:t>
      </w:r>
      <w:r>
        <w:rPr>
          <w:rFonts w:ascii="Tahoma" w:hAnsi="Tahoma" w:eastAsia="Tahoma" w:cs="Tahoma"/>
          <w:spacing w:val="4"/>
        </w:rPr>
        <w:t xml:space="preserve">163664.78 </w:t>
      </w:r>
      <w:r>
        <w:rPr>
          <w:spacing w:val="4"/>
        </w:rPr>
        <w:t>万元，其中，基本支出</w:t>
      </w:r>
      <w:r>
        <w:rPr>
          <w:spacing w:val="-57"/>
        </w:rPr>
        <w:t xml:space="preserve"> </w:t>
      </w:r>
      <w:r>
        <w:rPr>
          <w:rFonts w:ascii="Tahoma" w:hAnsi="Tahoma" w:eastAsia="Tahoma" w:cs="Tahoma"/>
          <w:spacing w:val="4"/>
        </w:rPr>
        <w:t xml:space="preserve">79770.79 </w:t>
      </w:r>
      <w:r>
        <w:rPr>
          <w:spacing w:val="4"/>
        </w:rPr>
        <w:t>万元，项目支</w:t>
      </w:r>
    </w:p>
    <w:p>
      <w:pPr>
        <w:pStyle w:val="2"/>
        <w:spacing w:line="222" w:lineRule="auto"/>
        <w:ind w:left="67"/>
      </w:pPr>
      <w:r>
        <w:rPr>
          <w:spacing w:val="3"/>
        </w:rPr>
        <w:t>出</w:t>
      </w:r>
      <w:r>
        <w:rPr>
          <w:spacing w:val="-62"/>
        </w:rPr>
        <w:t xml:space="preserve"> </w:t>
      </w:r>
      <w:r>
        <w:rPr>
          <w:rFonts w:ascii="Tahoma" w:hAnsi="Tahoma" w:eastAsia="Tahoma" w:cs="Tahoma"/>
          <w:spacing w:val="3"/>
        </w:rPr>
        <w:t xml:space="preserve">83893.99 </w:t>
      </w:r>
      <w:r>
        <w:rPr>
          <w:spacing w:val="3"/>
        </w:rPr>
        <w:t>万元，具体绩效目标如下：</w:t>
      </w:r>
    </w:p>
    <w:p>
      <w:pPr>
        <w:pStyle w:val="2"/>
        <w:spacing w:before="1" w:line="221" w:lineRule="auto"/>
        <w:ind w:left="25"/>
        <w:rPr>
          <w:rFonts w:hint="default"/>
          <w:spacing w:val="5"/>
          <w:lang w:val="en-US"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101" w:line="600" w:lineRule="exact"/>
        <w:ind w:left="689"/>
      </w:pPr>
      <w:r>
        <w:rPr>
          <w:rFonts w:ascii="Tahoma" w:hAnsi="Tahoma" w:eastAsia="Tahoma" w:cs="Tahoma"/>
          <w:spacing w:val="8"/>
          <w:position w:val="21"/>
        </w:rPr>
        <w:t>1</w:t>
      </w:r>
      <w:r>
        <w:rPr>
          <w:spacing w:val="8"/>
          <w:position w:val="21"/>
        </w:rPr>
        <w:t>、住院医师规范化培训。住院医师规范培训是医学生</w:t>
      </w:r>
    </w:p>
    <w:p>
      <w:pPr>
        <w:pStyle w:val="2"/>
        <w:spacing w:line="221" w:lineRule="auto"/>
        <w:ind w:left="36"/>
      </w:pPr>
      <w:r>
        <w:rPr>
          <w:spacing w:val="8"/>
        </w:rPr>
        <w:t>毕业后教育的重要组成部分，对于培训临床高层次医师，</w:t>
      </w:r>
    </w:p>
    <w:p>
      <w:pPr>
        <w:pStyle w:val="2"/>
        <w:spacing w:before="230" w:line="222" w:lineRule="auto"/>
        <w:ind w:left="23"/>
      </w:pPr>
      <w:r>
        <w:rPr>
          <w:spacing w:val="9"/>
        </w:rPr>
        <w:t>提高医疗质量极为重要。是医学临床专家形成过程的关键</w:t>
      </w:r>
    </w:p>
    <w:p>
      <w:pPr>
        <w:pStyle w:val="2"/>
        <w:spacing w:before="228" w:line="357" w:lineRule="auto"/>
        <w:ind w:left="18" w:right="6" w:firstLine="9"/>
      </w:pPr>
      <w:r>
        <w:rPr>
          <w:spacing w:val="7"/>
        </w:rPr>
        <w:t>所在。南华大学附属第二医院是</w:t>
      </w:r>
      <w:r>
        <w:rPr>
          <w:spacing w:val="-56"/>
        </w:rPr>
        <w:t xml:space="preserve"> </w:t>
      </w:r>
      <w:r>
        <w:rPr>
          <w:rFonts w:ascii="Tahoma" w:hAnsi="Tahoma" w:eastAsia="Tahoma" w:cs="Tahoma"/>
          <w:spacing w:val="7"/>
        </w:rPr>
        <w:t xml:space="preserve">2014 </w:t>
      </w:r>
      <w:r>
        <w:rPr>
          <w:spacing w:val="7"/>
        </w:rPr>
        <w:t>年获批</w:t>
      </w:r>
      <w:r>
        <w:rPr>
          <w:spacing w:val="6"/>
        </w:rPr>
        <w:t>国家住院医师</w:t>
      </w:r>
      <w:r>
        <w:t xml:space="preserve"> </w:t>
      </w:r>
      <w:r>
        <w:rPr>
          <w:spacing w:val="6"/>
        </w:rPr>
        <w:t>规范化培训基地资格，现有</w:t>
      </w:r>
      <w:r>
        <w:rPr>
          <w:spacing w:val="-26"/>
        </w:rPr>
        <w:t xml:space="preserve"> </w:t>
      </w:r>
      <w:r>
        <w:rPr>
          <w:rFonts w:ascii="Tahoma" w:hAnsi="Tahoma" w:eastAsia="Tahoma" w:cs="Tahoma"/>
          <w:spacing w:val="6"/>
        </w:rPr>
        <w:t xml:space="preserve">19 </w:t>
      </w:r>
      <w:r>
        <w:rPr>
          <w:spacing w:val="6"/>
        </w:rPr>
        <w:t xml:space="preserve">个专业基地。为落实《国务 </w:t>
      </w:r>
      <w:r>
        <w:rPr>
          <w:spacing w:val="7"/>
        </w:rPr>
        <w:t>院关于印发</w:t>
      </w:r>
      <w:r>
        <w:rPr>
          <w:spacing w:val="-89"/>
        </w:rPr>
        <w:t xml:space="preserve"> </w:t>
      </w:r>
      <w:r>
        <w:rPr>
          <w:spacing w:val="7"/>
        </w:rPr>
        <w:t>“十三五”深化医药卫生体制改革规划的通知》</w:t>
      </w:r>
      <w:r>
        <w:t xml:space="preserve"> </w:t>
      </w:r>
      <w:r>
        <w:rPr>
          <w:spacing w:val="5"/>
        </w:rPr>
        <w:t>（国发〔</w:t>
      </w:r>
      <w:r>
        <w:rPr>
          <w:rFonts w:ascii="Tahoma" w:hAnsi="Tahoma" w:eastAsia="Tahoma" w:cs="Tahoma"/>
          <w:spacing w:val="5"/>
        </w:rPr>
        <w:t>2016</w:t>
      </w:r>
      <w:r>
        <w:rPr>
          <w:spacing w:val="5"/>
        </w:rPr>
        <w:t>〕</w:t>
      </w:r>
      <w:r>
        <w:rPr>
          <w:rFonts w:ascii="Tahoma" w:hAnsi="Tahoma" w:eastAsia="Tahoma" w:cs="Tahoma"/>
          <w:spacing w:val="5"/>
        </w:rPr>
        <w:t xml:space="preserve">78 </w:t>
      </w:r>
      <w:r>
        <w:rPr>
          <w:spacing w:val="5"/>
        </w:rPr>
        <w:t>号）、《</w:t>
      </w:r>
      <w:r>
        <w:rPr>
          <w:spacing w:val="-80"/>
        </w:rPr>
        <w:t xml:space="preserve"> </w:t>
      </w:r>
      <w:r>
        <w:rPr>
          <w:spacing w:val="5"/>
        </w:rPr>
        <w:t>“十三五”全国卫生计生人才</w:t>
      </w:r>
      <w:r>
        <w:rPr>
          <w:spacing w:val="7"/>
        </w:rPr>
        <w:t>发展规划》（国卫科教发〔</w:t>
      </w:r>
      <w:r>
        <w:rPr>
          <w:rFonts w:ascii="Tahoma" w:hAnsi="Tahoma" w:eastAsia="Tahoma" w:cs="Tahoma"/>
          <w:spacing w:val="7"/>
        </w:rPr>
        <w:t>2017</w:t>
      </w:r>
      <w:r>
        <w:rPr>
          <w:spacing w:val="7"/>
        </w:rPr>
        <w:t>〕</w:t>
      </w:r>
      <w:r>
        <w:rPr>
          <w:rFonts w:ascii="Tahoma" w:hAnsi="Tahoma" w:eastAsia="Tahoma" w:cs="Tahoma"/>
          <w:spacing w:val="7"/>
        </w:rPr>
        <w:t xml:space="preserve">8 </w:t>
      </w:r>
      <w:r>
        <w:rPr>
          <w:spacing w:val="7"/>
        </w:rPr>
        <w:t>号）、《国务院办公厅</w:t>
      </w:r>
      <w:r>
        <w:rPr>
          <w:spacing w:val="8"/>
        </w:rPr>
        <w:t>关于深化医教协同进一步推进医学教育改革与发展的意见》</w:t>
      </w:r>
      <w:r>
        <w:rPr>
          <w:spacing w:val="18"/>
        </w:rPr>
        <w:t xml:space="preserve"> </w:t>
      </w:r>
      <w:r>
        <w:rPr>
          <w:spacing w:val="7"/>
        </w:rPr>
        <w:t>（国办发〔</w:t>
      </w:r>
      <w:r>
        <w:rPr>
          <w:rFonts w:ascii="Tahoma" w:hAnsi="Tahoma" w:eastAsia="Tahoma" w:cs="Tahoma"/>
          <w:spacing w:val="7"/>
        </w:rPr>
        <w:t>2017</w:t>
      </w:r>
      <w:r>
        <w:rPr>
          <w:spacing w:val="7"/>
        </w:rPr>
        <w:t>〕</w:t>
      </w:r>
      <w:r>
        <w:rPr>
          <w:rFonts w:ascii="Tahoma" w:hAnsi="Tahoma" w:eastAsia="Tahoma" w:cs="Tahoma"/>
          <w:spacing w:val="7"/>
        </w:rPr>
        <w:t xml:space="preserve">63 </w:t>
      </w:r>
      <w:r>
        <w:rPr>
          <w:spacing w:val="7"/>
        </w:rPr>
        <w:t>号）、《国务院办公厅关于改革完善</w:t>
      </w:r>
      <w:r>
        <w:rPr>
          <w:spacing w:val="8"/>
        </w:rPr>
        <w:t xml:space="preserve">  </w:t>
      </w:r>
      <w:r>
        <w:rPr>
          <w:spacing w:val="9"/>
        </w:rPr>
        <w:t>全科医生培养与使用激励机制的意见》（国办发〔</w:t>
      </w:r>
      <w:r>
        <w:rPr>
          <w:rFonts w:ascii="Tahoma" w:hAnsi="Tahoma" w:eastAsia="Tahoma" w:cs="Tahoma"/>
          <w:spacing w:val="9"/>
        </w:rPr>
        <w:t>201</w:t>
      </w:r>
      <w:r>
        <w:rPr>
          <w:rFonts w:ascii="Tahoma" w:hAnsi="Tahoma" w:eastAsia="Tahoma" w:cs="Tahoma"/>
          <w:spacing w:val="8"/>
        </w:rPr>
        <w:t>8</w:t>
      </w:r>
      <w:r>
        <w:rPr>
          <w:spacing w:val="8"/>
        </w:rPr>
        <w:t>〕</w:t>
      </w:r>
      <w:r>
        <w:rPr>
          <w:rFonts w:ascii="Tahoma" w:hAnsi="Tahoma" w:eastAsia="Tahoma" w:cs="Tahoma"/>
          <w:spacing w:val="8"/>
        </w:rPr>
        <w:t>3</w:t>
      </w:r>
      <w:r>
        <w:rPr>
          <w:rFonts w:ascii="Tahoma" w:hAnsi="Tahoma" w:eastAsia="Tahoma" w:cs="Tahoma"/>
        </w:rPr>
        <w:t xml:space="preserve">  </w:t>
      </w:r>
      <w:r>
        <w:rPr>
          <w:spacing w:val="9"/>
        </w:rPr>
        <w:t>号）等文件提出的工作任务，进一步推进医院住院医师规</w:t>
      </w:r>
      <w:r>
        <w:rPr>
          <w:spacing w:val="6"/>
        </w:rPr>
        <w:t xml:space="preserve">   </w:t>
      </w:r>
      <w:r>
        <w:rPr>
          <w:spacing w:val="9"/>
        </w:rPr>
        <w:t>范化培训工作，保证医院住院医师规范化培训经费使用合</w:t>
      </w:r>
      <w:r>
        <w:rPr>
          <w:spacing w:val="6"/>
        </w:rPr>
        <w:t xml:space="preserve">   </w:t>
      </w:r>
      <w:r>
        <w:rPr>
          <w:spacing w:val="9"/>
        </w:rPr>
        <w:t>法、合理，结合医院实际情况，对住院医师专项资金进行</w:t>
      </w:r>
      <w:r>
        <w:rPr>
          <w:spacing w:val="6"/>
        </w:rPr>
        <w:t xml:space="preserve">   </w:t>
      </w:r>
      <w:r>
        <w:rPr>
          <w:spacing w:val="9"/>
        </w:rPr>
        <w:t>立项，专项资金主要用于学员人员经费、课程建设、师资</w:t>
      </w:r>
    </w:p>
    <w:p>
      <w:pPr>
        <w:pStyle w:val="2"/>
        <w:spacing w:line="223" w:lineRule="auto"/>
        <w:ind w:left="30"/>
      </w:pPr>
      <w:r>
        <w:rPr>
          <w:spacing w:val="5"/>
        </w:rPr>
        <w:t>培训等方面。</w:t>
      </w:r>
    </w:p>
    <w:p>
      <w:pPr>
        <w:spacing w:line="324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17" w:right="141" w:firstLine="662"/>
      </w:pPr>
      <w:r>
        <w:rPr>
          <w:rFonts w:ascii="Times New Roman" w:hAnsi="Times New Roman" w:eastAsia="Times New Roman" w:cs="Times New Roman"/>
          <w:spacing w:val="7"/>
        </w:rPr>
        <w:t>2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7"/>
        </w:rPr>
        <w:t>、其他项目：公立医院综合改革补助项目的实施，对</w:t>
      </w:r>
      <w:r>
        <w:t xml:space="preserve"> </w:t>
      </w:r>
      <w:r>
        <w:rPr>
          <w:spacing w:val="1"/>
        </w:rPr>
        <w:t>推动医改提供了资金支持。</w:t>
      </w:r>
      <w:r>
        <w:rPr>
          <w:spacing w:val="-67"/>
        </w:rPr>
        <w:t xml:space="preserve"> </w:t>
      </w:r>
      <w:r>
        <w:rPr>
          <w:spacing w:val="1"/>
        </w:rPr>
        <w:t>医院牢记服务</w:t>
      </w:r>
      <w:r>
        <w:rPr>
          <w:spacing w:val="-104"/>
        </w:rPr>
        <w:t xml:space="preserve"> </w:t>
      </w:r>
      <w:r>
        <w:rPr>
          <w:spacing w:val="1"/>
        </w:rPr>
        <w:t>“</w:t>
      </w:r>
      <w:r>
        <w:rPr>
          <w:spacing w:val="-115"/>
        </w:rPr>
        <w:t xml:space="preserve"> </w:t>
      </w:r>
      <w:r>
        <w:rPr>
          <w:spacing w:val="1"/>
        </w:rPr>
        <w:t>国计民生”</w:t>
      </w:r>
      <w:r>
        <w:rPr>
          <w:spacing w:val="-115"/>
        </w:rPr>
        <w:t xml:space="preserve"> </w:t>
      </w:r>
      <w:r>
        <w:rPr>
          <w:spacing w:val="1"/>
        </w:rPr>
        <w:t>的</w:t>
      </w:r>
      <w:r>
        <w:t xml:space="preserve">  </w:t>
      </w:r>
      <w:r>
        <w:rPr>
          <w:spacing w:val="9"/>
        </w:rPr>
        <w:t>初心使命，勇担服务人民健康的时代重任，积极作为，保  障人民群众身体健康，维护人民群众的切身利益。卫生科  研项目的开展，为医院培养一批科研型人才，提高了医院</w:t>
      </w:r>
    </w:p>
    <w:p>
      <w:pPr>
        <w:pStyle w:val="2"/>
        <w:spacing w:before="1" w:line="221" w:lineRule="auto"/>
        <w:ind w:left="53"/>
      </w:pPr>
      <w:r>
        <w:rPr>
          <w:spacing w:val="8"/>
        </w:rPr>
        <w:t>的科研能力，真正使医院成为医教研结合的</w:t>
      </w:r>
      <w:r>
        <w:rPr>
          <w:spacing w:val="7"/>
        </w:rPr>
        <w:t>综合医院。</w:t>
      </w:r>
    </w:p>
    <w:p>
      <w:pPr>
        <w:spacing w:line="279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before="100" w:line="228" w:lineRule="auto"/>
        <w:ind w:left="685"/>
        <w:rPr>
          <w:rFonts w:ascii="黑体" w:hAnsi="黑体" w:eastAsia="黑体" w:cs="黑体"/>
          <w:spacing w:val="7"/>
          <w:sz w:val="31"/>
          <w:szCs w:val="31"/>
        </w:rPr>
      </w:pPr>
    </w:p>
    <w:p>
      <w:pPr>
        <w:spacing w:before="100" w:line="228" w:lineRule="auto"/>
        <w:ind w:left="68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七、名词解释</w:t>
      </w: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101" w:line="357" w:lineRule="auto"/>
        <w:ind w:left="22" w:right="126" w:firstLine="686"/>
      </w:pPr>
      <w:r>
        <w:rPr>
          <w:rFonts w:ascii="Tahoma" w:hAnsi="Tahoma" w:eastAsia="Tahoma" w:cs="Tahoma"/>
          <w:spacing w:val="8"/>
        </w:rPr>
        <w:t>1</w:t>
      </w:r>
      <w:r>
        <w:rPr>
          <w:spacing w:val="8"/>
        </w:rPr>
        <w:t>、机关运行经费：是指各单位的公用经费，包括办公</w:t>
      </w:r>
      <w:r>
        <w:rPr>
          <w:spacing w:val="5"/>
        </w:rPr>
        <w:t xml:space="preserve"> </w:t>
      </w:r>
      <w:r>
        <w:rPr>
          <w:spacing w:val="6"/>
        </w:rPr>
        <w:t>及印刷费、邮电费、差旅费、会议费、福利费、</w:t>
      </w:r>
      <w:r>
        <w:rPr>
          <w:spacing w:val="-66"/>
        </w:rPr>
        <w:t xml:space="preserve"> </w:t>
      </w:r>
      <w:r>
        <w:rPr>
          <w:spacing w:val="6"/>
        </w:rPr>
        <w:t>日常维修</w:t>
      </w:r>
      <w:r>
        <w:t xml:space="preserve">  </w:t>
      </w:r>
      <w:r>
        <w:rPr>
          <w:spacing w:val="9"/>
        </w:rPr>
        <w:t>费、专用资料及一般设备购置费、办公用房水电费、办公</w:t>
      </w:r>
      <w:r>
        <w:rPr>
          <w:spacing w:val="7"/>
        </w:rPr>
        <w:t xml:space="preserve">  </w:t>
      </w:r>
      <w:r>
        <w:rPr>
          <w:spacing w:val="9"/>
        </w:rPr>
        <w:t>用房取暖费、办公用房物业管理费、公务用车运行维护费</w:t>
      </w:r>
    </w:p>
    <w:p>
      <w:pPr>
        <w:pStyle w:val="2"/>
        <w:spacing w:before="1" w:line="221" w:lineRule="auto"/>
        <w:ind w:left="70"/>
      </w:pPr>
      <w:r>
        <w:t>以及其他费用。</w:t>
      </w:r>
    </w:p>
    <w:p>
      <w:pPr>
        <w:spacing w:line="221" w:lineRule="auto"/>
      </w:pPr>
    </w:p>
    <w:p>
      <w:pPr>
        <w:pStyle w:val="2"/>
        <w:spacing w:before="154" w:line="362" w:lineRule="auto"/>
        <w:ind w:left="23" w:right="191" w:firstLine="667"/>
        <w:jc w:val="both"/>
      </w:pPr>
      <w:r>
        <w:rPr>
          <w:rFonts w:ascii="Tahoma" w:hAnsi="Tahoma" w:eastAsia="Tahoma" w:cs="Tahoma"/>
          <w:spacing w:val="5"/>
        </w:rPr>
        <w:t>2</w:t>
      </w:r>
      <w:r>
        <w:rPr>
          <w:spacing w:val="5"/>
        </w:rPr>
        <w:t>、</w:t>
      </w:r>
      <w:r>
        <w:rPr>
          <w:rFonts w:ascii="Tahoma" w:hAnsi="Tahoma" w:eastAsia="Tahoma" w:cs="Tahoma"/>
          <w:spacing w:val="5"/>
        </w:rPr>
        <w:t>“</w:t>
      </w:r>
      <w:r>
        <w:rPr>
          <w:rFonts w:ascii="Tahoma" w:hAnsi="Tahoma" w:eastAsia="Tahoma" w:cs="Tahoma"/>
          <w:spacing w:val="-53"/>
        </w:rPr>
        <w:t xml:space="preserve"> </w:t>
      </w:r>
      <w:r>
        <w:rPr>
          <w:spacing w:val="5"/>
        </w:rPr>
        <w:t>三公</w:t>
      </w:r>
      <w:r>
        <w:rPr>
          <w:rFonts w:ascii="Tahoma" w:hAnsi="Tahoma" w:eastAsia="Tahoma" w:cs="Tahoma"/>
          <w:spacing w:val="5"/>
        </w:rPr>
        <w:t>”</w:t>
      </w:r>
      <w:r>
        <w:rPr>
          <w:spacing w:val="5"/>
        </w:rPr>
        <w:t>经费：纳入省（市</w:t>
      </w:r>
      <w:r>
        <w:rPr>
          <w:rFonts w:ascii="Tahoma" w:hAnsi="Tahoma" w:eastAsia="Tahoma" w:cs="Tahoma"/>
          <w:spacing w:val="5"/>
        </w:rPr>
        <w:t>/</w:t>
      </w:r>
      <w:r>
        <w:rPr>
          <w:spacing w:val="5"/>
        </w:rPr>
        <w:t>县）财政预算管理的</w:t>
      </w:r>
      <w:r>
        <w:rPr>
          <w:rFonts w:ascii="Tahoma" w:hAnsi="Tahoma" w:eastAsia="Tahoma" w:cs="Tahoma"/>
          <w:spacing w:val="5"/>
        </w:rPr>
        <w:t>“</w:t>
      </w:r>
      <w:r>
        <w:rPr>
          <w:rFonts w:ascii="Tahoma" w:hAnsi="Tahoma" w:eastAsia="Tahoma" w:cs="Tahoma"/>
          <w:spacing w:val="-59"/>
        </w:rPr>
        <w:t xml:space="preserve"> </w:t>
      </w:r>
      <w:r>
        <w:rPr>
          <w:spacing w:val="5"/>
        </w:rPr>
        <w:t>三</w:t>
      </w:r>
      <w:r>
        <w:t xml:space="preserve"> </w:t>
      </w:r>
      <w:r>
        <w:rPr>
          <w:spacing w:val="9"/>
        </w:rPr>
        <w:t>公</w:t>
      </w:r>
      <w:r>
        <w:rPr>
          <w:rFonts w:ascii="Tahoma" w:hAnsi="Tahoma" w:eastAsia="Tahoma" w:cs="Tahoma"/>
          <w:spacing w:val="9"/>
        </w:rPr>
        <w:t>“</w:t>
      </w:r>
      <w:r>
        <w:rPr>
          <w:spacing w:val="9"/>
        </w:rPr>
        <w:t>经费，是指用一般公共预算拨款安排的公务接待费、公 务用车购置及运行维护费和因公出国（境）费。其中，</w:t>
      </w:r>
      <w:r>
        <w:rPr>
          <w:spacing w:val="8"/>
        </w:rPr>
        <w:t xml:space="preserve">公 </w:t>
      </w:r>
      <w:r>
        <w:rPr>
          <w:spacing w:val="9"/>
        </w:rPr>
        <w:t>务接待费反映单位按规定开支的各类公务接待支出；公</w:t>
      </w:r>
      <w:r>
        <w:rPr>
          <w:spacing w:val="8"/>
        </w:rPr>
        <w:t xml:space="preserve">务 </w:t>
      </w:r>
      <w:r>
        <w:rPr>
          <w:spacing w:val="9"/>
        </w:rPr>
        <w:t>用车购置及运行费反映单位公务用车车辆购置支出（含</w:t>
      </w:r>
      <w:r>
        <w:rPr>
          <w:spacing w:val="8"/>
        </w:rPr>
        <w:t xml:space="preserve">车 </w:t>
      </w:r>
      <w:r>
        <w:rPr>
          <w:spacing w:val="3"/>
        </w:rPr>
        <w:t>辆购置税</w:t>
      </w:r>
      <w:r>
        <w:rPr>
          <w:spacing w:val="8"/>
        </w:rPr>
        <w:t>），</w:t>
      </w:r>
      <w:r>
        <w:rPr>
          <w:spacing w:val="-85"/>
        </w:rPr>
        <w:t xml:space="preserve"> </w:t>
      </w:r>
      <w:r>
        <w:rPr>
          <w:spacing w:val="3"/>
        </w:rPr>
        <w:t>以及燃料费、维修费、保险费等支出；</w:t>
      </w:r>
      <w:r>
        <w:rPr>
          <w:spacing w:val="-81"/>
        </w:rPr>
        <w:t xml:space="preserve"> </w:t>
      </w:r>
      <w:r>
        <w:rPr>
          <w:spacing w:val="3"/>
        </w:rPr>
        <w:t xml:space="preserve">因公 </w:t>
      </w:r>
      <w:r>
        <w:rPr>
          <w:spacing w:val="9"/>
        </w:rPr>
        <w:t>出国（境）费反映单位公务出国（境）的国际旅费、国</w:t>
      </w:r>
      <w:r>
        <w:rPr>
          <w:spacing w:val="8"/>
        </w:rPr>
        <w:t xml:space="preserve">外 </w:t>
      </w:r>
      <w:r>
        <w:rPr>
          <w:spacing w:val="9"/>
        </w:rPr>
        <w:t>城市间交通费、住宿费、伙食费、培训费、公杂费等等支</w:t>
      </w:r>
    </w:p>
    <w:p>
      <w:pPr>
        <w:pStyle w:val="2"/>
        <w:spacing w:line="227" w:lineRule="auto"/>
        <w:ind w:left="67"/>
        <w:rPr>
          <w:rFonts w:hint="eastAsia" w:eastAsia="仿宋"/>
          <w:lang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spacing w:val="-23"/>
        </w:rPr>
        <w:t>出</w:t>
      </w:r>
      <w:r>
        <w:rPr>
          <w:rFonts w:hint="eastAsia"/>
          <w:spacing w:val="-23"/>
          <w:lang w:eastAsia="zh-CN"/>
        </w:rPr>
        <w:t>。</w:t>
      </w:r>
    </w:p>
    <w:p>
      <w:pPr>
        <w:pStyle w:val="2"/>
        <w:spacing w:line="227" w:lineRule="auto"/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altName w:val="Droid Sans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Microsoft YaHei UI">
    <w:altName w:val="Droid Sans Fallbac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c0Y2I2ODk3NGI0ZDdmNjk0NGFhNmE3NGU0ZjBhMWYifQ=="/>
  </w:docVars>
  <w:rsids>
    <w:rsidRoot w:val="00000000"/>
    <w:rsid w:val="20B74955"/>
    <w:rsid w:val="5CC735CD"/>
    <w:rsid w:val="64DA5326"/>
    <w:rsid w:val="6FDC04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Office_11.8.2.10251_F1E327BC-269C-435d-A152-05C5408002CA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2023-01-17T23:48:00Z</dcterms:created>
  <dc:creator>Administrator</dc:creator>
  <cp:lastModifiedBy>greatwall</cp:lastModifiedBy>
  <dcterms:modified xsi:type="dcterms:W3CDTF">2023-10-26T16:40:44Z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2023-09-26T10:36:03Z</vt:filetime>
  </property>
  <property fmtid="{D5CDD505-2E9C-101B-9397-08002B2CF9AE}" pid="4" name="KSOProductBuildVer">
    <vt:lpwstr>2052-11.8.2.10251</vt:lpwstr>
  </property>
  <property fmtid="{D5CDD505-2E9C-101B-9397-08002B2CF9AE}" pid="5" name="ICV">
    <vt:lpwstr>791312F5869A4B078CFA17AEDCA24DB0_12</vt:lpwstr>
  </property>
</Properties>
</file>