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2022年南华大学附属南华医院单位预算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目 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第一部分2022年单位预算说明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第二部分2022年单位预算表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1、收支总表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2、收入总表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3、支出总表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4、支出预算分类汇总表（按政府预算经济分类）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5、支出预算分类汇总表（按部门预算经济分类）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6、财政拨款收支总表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7、一般公共预算支出表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8、一般公共预算基本支出表-人员经费（工资福利支出）（按政府预算经济分类）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9、一般公共预算基本支出表-人员经费（工资福利支出）（按部门预算经济分类）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10、一般公共预算基本支出表-人员经费（对个人和家庭的补助）（按政府预算经济分类）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11、一般公共预算基本支出表-人员经费（对个人和家庭的补助）（按部门预算经济分类）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12、一般公共预算基本支出表-公用经费（商品和服务支出）（按政府预算经济分类）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13、一般公共预算基本支出表-公用经费（商品和服务支出）（按部门预算经济分类）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14、一般公共预算“三公”经费支出表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15、政府性基金预算支出表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16、政府性基金预算支出分类汇总表（按政府预算经济分类）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17、政府性基金预算支出分类汇总表（按部门预算经济分类）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18、国有资本经营预算支出表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19、财政专户管理资金预算支出表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20、省级专项资金预算汇总表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21、省级专项资金绩效目标表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22、其他项目支出绩效目标表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23、部门整体支出绩效目标表</w:t>
      </w:r>
    </w:p>
    <w:p>
      <w:pPr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注：以上单位预算报表中，空表表示本单位无相关收支情况。</w:t>
      </w:r>
    </w:p>
    <w:p>
      <w:pPr>
        <w:rPr>
          <w:rFonts w:hint="eastAsia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第一部分2022年单位预算说明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一、单位基本概况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（一）职能职责。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华大学附属南华医院是湘南地区久享盛誉的集医疗、教学、科研、预防和康复于一体的大型三级甲等综合医院。医院挂牌为国家首批核应急医学救援分队、国家药物临床试验基地、国家级住院医师规范化培训基地、中国胸痛中心及中国基层胸痛中心认证、中国房颤中心、全国老年健康急救一体化示范基地、国家级健康管理学科建设与科技创新中心、湖南省神经退行性疾病临床研究中心等，医院学科优势明显，特色突出，专业分科日益精细，学科集群效应明显。医院近年来，承担了国家级、省部级重点及一般项目50项；市厅级项目106余项。在国内外核心刊物上发表学术论文183篇，获教学、科研成果10余项。在政府的主导下，医院牵头与衡阳市七县五区一、二级医院组建100余家医联体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（二）机构设置。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院开放床位1700张。现有37个临床科室，11个医技科室，18个教研室，1个临床医学研究所，1个健康管理中心，全科医疗科设置独立单元，行政管理部门20个。拥有4个国家基地，4个省级重点建设专科，1个省级临床研究中心，2个质控中心（基地），5个南华大学创新团队，5个国专业委员会副主委单位，34个省级专业委员会主委或副主委单位，19个市级专业委员会主委单位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二、预算单位构成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年部门预算汇总公开单位构成包括南华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</w:t>
      </w:r>
      <w:r>
        <w:rPr>
          <w:rFonts w:hint="eastAsia" w:ascii="仿宋" w:hAnsi="仿宋" w:eastAsia="仿宋" w:cs="仿宋"/>
          <w:sz w:val="32"/>
          <w:szCs w:val="32"/>
        </w:rPr>
        <w:t>学附属南华医院本级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无下级预算单位。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三、单位收支总体情况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（一）收入预算</w:t>
      </w:r>
      <w:r>
        <w:rPr>
          <w:rFonts w:hint="eastAsia" w:ascii="仿宋" w:hAnsi="仿宋" w:eastAsia="仿宋" w:cs="仿宋"/>
          <w:sz w:val="32"/>
          <w:szCs w:val="32"/>
        </w:rPr>
        <w:t>：2022年本单位收入预算113362.53万元，其中，一般公共预算拨款2,827.03万元，事业收入110,000万元，其他收入420万元，上年结转结余115.50万元。较去年增加10371万元，主要是目前就诊人次增长较快，预期事业收入会随之增长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（二）支出预算</w:t>
      </w:r>
      <w:r>
        <w:rPr>
          <w:rFonts w:hint="eastAsia" w:ascii="仿宋" w:hAnsi="仿宋" w:eastAsia="仿宋" w:cs="仿宋"/>
          <w:sz w:val="32"/>
          <w:szCs w:val="32"/>
        </w:rPr>
        <w:t>：2022年本单位支出预算113362.53万元，其中，科学技术72.5万元，社会保障和就业1719万元，卫生健康110436.03万元，住房保障支出1135万元。支出较去年增加10371万元，主要是随业务量的增长，人员经费与医疗业务费用会相应增长。从部门预算经济分类角度，基本支出共46232.03万元，其中：工资福利支出40898.12万元，商品和服务支出2823.91万元，对个人和家庭的补助2510.00万元；项目支出共67130.5万元，其中：按项目管理的商品和服务支出49923.5万元，资本性支出17207.00万元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四、一般公共预算拨款支出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2022年本单位一般公共预算拨款支出预算2942.53万元，上年均为一般公共服务支出。其中包括科学技术支出72.5万元，占2.46%，卫生健康支出2870.03万元，占97.53%。具体安排情况如下：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（一）基本支出</w:t>
      </w:r>
      <w:r>
        <w:rPr>
          <w:rFonts w:hint="eastAsia" w:ascii="仿宋" w:hAnsi="仿宋" w:eastAsia="仿宋" w:cs="仿宋"/>
          <w:sz w:val="32"/>
          <w:szCs w:val="32"/>
        </w:rPr>
        <w:t>：2022年本单位基本支出预算数2700.03万元，主要是为保障单位机构正常运转、完成日常工作任务而发生的基本工资、津贴补贴、离休费、退休费等人员经费。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（二）项目支出</w:t>
      </w:r>
      <w:r>
        <w:rPr>
          <w:rFonts w:hint="eastAsia" w:ascii="仿宋" w:hAnsi="仿宋" w:eastAsia="仿宋" w:cs="仿宋"/>
          <w:sz w:val="32"/>
          <w:szCs w:val="32"/>
        </w:rPr>
        <w:t>：2022年本单位项目支出预算242.5万元，包括科学技术支出72.5万元，主要用于创新型省份建设专项方面，卫生健康支出170万元。主要用于卫生健康人才培养、卫生科研课题以及公立医院改革补助等方面。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五、政府性基金预算支出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2022年本单位无政府性基金支出预算。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六、其他重要事项的情况说明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机关运行经费</w:t>
      </w:r>
      <w:r>
        <w:rPr>
          <w:rFonts w:hint="eastAsia" w:ascii="仿宋" w:hAnsi="仿宋" w:eastAsia="仿宋" w:cs="仿宋"/>
          <w:sz w:val="32"/>
          <w:szCs w:val="32"/>
        </w:rPr>
        <w:t>:2023年本单位无一般公共预算拨款机关运行经费。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“三公”经费预算：</w:t>
      </w:r>
      <w:r>
        <w:rPr>
          <w:rFonts w:hint="eastAsia" w:ascii="仿宋" w:hAnsi="仿宋" w:eastAsia="仿宋" w:cs="仿宋"/>
          <w:sz w:val="32"/>
          <w:szCs w:val="32"/>
        </w:rPr>
        <w:t>2022年本单位“三公”经费预算数为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万元，其中，公务接待费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万元，公务用车购置及运行费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万元（其中，公务用车购置费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万元，公务用车运行费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万元），因公出国（境）费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万元。2022年“三公”经费预算较上年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无增减变化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left="0" w:leftChars="0"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（三）一般性支出情况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：2022年本部门会议费预算0万元，拟召开0会议，人数0人；培训费预算0万元，拟开展0培训，人数0人，内容为0；拟举办0场节庆、晚会、论坛、赛事活动，经费预算0万元。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）政府采购情况</w:t>
      </w:r>
      <w:r>
        <w:rPr>
          <w:rFonts w:hint="eastAsia" w:ascii="仿宋" w:hAnsi="仿宋" w:eastAsia="仿宋" w:cs="仿宋"/>
          <w:sz w:val="32"/>
          <w:szCs w:val="32"/>
        </w:rPr>
        <w:t>：2022年本部门政府采购预算总额66888万元，均使用自有资金，其中，货物类采购预算57007万元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工程类采购预算7700万元；服务类采购预算2181万元。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）国有资产占用使用及新增资产配置情况</w:t>
      </w:r>
      <w:r>
        <w:rPr>
          <w:rFonts w:hint="eastAsia" w:ascii="仿宋" w:hAnsi="仿宋" w:eastAsia="仿宋" w:cs="仿宋"/>
          <w:sz w:val="32"/>
          <w:szCs w:val="32"/>
        </w:rPr>
        <w:t>：截至2021年12月底，本单位共有公务用车16辆，其中，特种专业技术用车12辆，其他按照规定配备的公务用车4辆；单位价值50万元以上通用设备7台，单位价值100万元以上专用设备51台。2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022</w:t>
      </w:r>
      <w:r>
        <w:rPr>
          <w:rFonts w:hint="eastAsia" w:ascii="仿宋" w:hAnsi="仿宋" w:eastAsia="仿宋" w:cs="仿宋"/>
          <w:sz w:val="32"/>
          <w:szCs w:val="32"/>
        </w:rPr>
        <w:t>年拟新增配备单位价值100万元以上专用设备21台。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）预算绩效目标说明</w:t>
      </w:r>
      <w:r>
        <w:rPr>
          <w:rFonts w:hint="eastAsia" w:ascii="仿宋" w:hAnsi="仿宋" w:eastAsia="仿宋" w:cs="仿宋"/>
          <w:sz w:val="32"/>
          <w:szCs w:val="32"/>
        </w:rPr>
        <w:t>：本单位所有支出实行绩效目标管理。纳入2022年单位整体支出绩效目标的金额为2942.53万元，其中，基本支出2700.03万元，项目支出242.5万元，具体绩效目标详见报表。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七、名词解释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1、机关运行经费：是指各单位的公用经费，包括办公及 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2、“三公”经费：纳入省（市/县）财政预算管理的“三公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（注：各单位对本单位预算中其他专有名词作出说明，便于公众理解）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第二部分2022年单位预算表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3520" w:firstLineChars="11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详情见附件</w: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公开内容上传公开平台有关要求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1、部门预算公开。</w:t>
      </w:r>
      <w:r>
        <w:rPr>
          <w:rFonts w:hint="eastAsia" w:ascii="仿宋" w:hAnsi="仿宋" w:eastAsia="仿宋" w:cs="仿宋"/>
          <w:sz w:val="32"/>
          <w:szCs w:val="32"/>
        </w:rPr>
        <w:t>请各处室于2月15日前收齐部门预算公开说明及表格，并督促部门统一公开说明及附表名称，文档命名为“xx部门2022年部门预算公开说明”及“xx部门2022年部门预算表”，放入命名为“提交日期+xx部门2022年部门预算公开”的文件夹中，交厅办公室统一上传至省预决算公开平台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2、单位预算公开。</w:t>
      </w:r>
      <w:r>
        <w:rPr>
          <w:rFonts w:hint="eastAsia" w:ascii="仿宋" w:hAnsi="仿宋" w:eastAsia="仿宋" w:cs="仿宋"/>
          <w:sz w:val="32"/>
          <w:szCs w:val="32"/>
        </w:rPr>
        <w:t>请各处室于3月1日前收齐单位预算公开说明及表格，并督促部门要求单位统一公开说明及附表名称，文档命名为“xx单位2022年预算公开说明”及“xx单位2022年预算表”，放入命名为“xx单位2022年预算公开”的文件夹中。各部门将其所属单位预算公开文件夹归集在命名为“提交日期+xx部门所属单位2022年预算公开”的文件夹中提交，务必做到一个部门一个文件夹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为提高公开内容的准确性和完整性，建议部门和单位将公开说明及附表转换为PDF格式。请各处室按期收齐部门和单位公开资料，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通过内网邮件发送至预决算公开专用邮箱（邮 箱名：财政预决算公开 czyjsgk@hnczt.com）</w:t>
      </w:r>
      <w:r>
        <w:rPr>
          <w:rFonts w:hint="eastAsia" w:ascii="仿宋" w:hAnsi="仿宋" w:eastAsia="仿宋" w:cs="仿宋"/>
          <w:sz w:val="32"/>
          <w:szCs w:val="32"/>
        </w:rPr>
        <w:t>，由厅办公室上传至省预决算公开平台上集中公开。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联系人：罗雨晴，85165856，1813室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OWRlNjVlMGIzNDgzNWIxZDM0MGM4MmUxZDMyOWYifQ=="/>
  </w:docVars>
  <w:rsids>
    <w:rsidRoot w:val="43581F81"/>
    <w:rsid w:val="0980684D"/>
    <w:rsid w:val="1FF2227A"/>
    <w:rsid w:val="26B66697"/>
    <w:rsid w:val="36844301"/>
    <w:rsid w:val="3ED46173"/>
    <w:rsid w:val="3F447FB7"/>
    <w:rsid w:val="43581F81"/>
    <w:rsid w:val="444D0E6C"/>
    <w:rsid w:val="4D64246C"/>
    <w:rsid w:val="4E745DED"/>
    <w:rsid w:val="5E55416B"/>
    <w:rsid w:val="615B4889"/>
    <w:rsid w:val="66CB5FF5"/>
    <w:rsid w:val="761E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2023-09-22T01:36:00Z</dcterms:created>
  <dc:creator>钱慧泉</dc:creator>
  <cp:lastModifiedBy>钱慧泉</cp:lastModifiedBy>
  <dcterms:modified xsi:type="dcterms:W3CDTF">2023-09-26T09:59:48Z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1B7AE425348E470D99802BF3CC0DFA14_11</vt:lpwstr>
  </property>
</Properties>
</file>