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true"/>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湖南省统计局</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rFonts w:hint="eastAsia"/>
          <w:b/>
          <w:sz w:val="36"/>
          <w:szCs w:val="28"/>
        </w:rPr>
        <w:sectPr>
          <w:pgSz w:w="11906" w:h="16838"/>
          <w:pgMar w:top="720" w:right="720" w:bottom="720" w:left="720" w:header="851" w:footer="992" w:gutter="0"/>
          <w:cols w:space="425" w:num="1"/>
          <w:docGrid w:type="lines" w:linePitch="312" w:charSpace="0"/>
        </w:sectPr>
      </w:pPr>
    </w:p>
    <w:p>
      <w:pPr>
        <w:pStyle w:val="13"/>
        <w:spacing w:line="500" w:lineRule="exact"/>
        <w:jc w:val="center"/>
        <w:rPr>
          <w:rFonts w:hint="eastAsia"/>
          <w:b/>
          <w:sz w:val="36"/>
          <w:szCs w:val="28"/>
        </w:rPr>
        <w:sectPr>
          <w:pgSz w:w="11906" w:h="16838"/>
          <w:pgMar w:top="720" w:right="720" w:bottom="720" w:left="720" w:header="851" w:footer="992" w:gutter="0"/>
          <w:cols w:space="425" w:num="1"/>
          <w:docGrid w:type="lines" w:linePitch="312" w:charSpace="0"/>
        </w:sect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湖南省统计局</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jc w:val="center"/>
        <w:rPr>
          <w:sz w:val="72"/>
          <w:szCs w:val="72"/>
        </w:rPr>
        <w:sectPr>
          <w:pgSz w:w="11906" w:h="16838"/>
          <w:pgMar w:top="720" w:right="720" w:bottom="720" w:left="720" w:header="851" w:footer="992" w:gutter="0"/>
          <w:cols w:space="425" w:num="1"/>
          <w:docGrid w:type="lines" w:linePitch="312" w:charSpace="0"/>
        </w:sectPr>
      </w:pPr>
    </w:p>
    <w:p>
      <w:pPr>
        <w:pStyle w:val="2"/>
        <w:sectPr>
          <w:pgSz w:w="11906" w:h="16838"/>
          <w:pgMar w:top="720" w:right="720" w:bottom="720" w:left="720" w:header="851" w:footer="992" w:gutter="0"/>
          <w:cols w:space="425" w:num="1"/>
          <w:docGrid w:type="lines" w:linePitch="312" w:charSpace="0"/>
        </w:sectPr>
      </w:pPr>
    </w:p>
    <w:p>
      <w:pPr>
        <w:pStyle w:val="3"/>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湖南省统计局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2"/>
        <w:rPr>
          <w:sz w:val="72"/>
          <w:szCs w:val="72"/>
        </w:rPr>
      </w:pPr>
    </w:p>
    <w:p>
      <w:pPr>
        <w:pStyle w:val="3"/>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湖南省统计局是主管全省统计和国民经济核算工作的省人民政府直属机构。主要职责是：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贯彻执行国家统计工作的方针、政策和统计法律法规，研究统计制度和统计方法的改革，完成国家和地方统计调查任务；承担组织领导和协调全省统计工作，确保统计数据真实、准确、及时；监督检查统计法律法规的实施情况，查处各类统计违法行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制定并组织实施全省统计改革和统计现代化建设规划及统计调查计划，建立健全国民经济核算体系和统计指标体系，拟订国民经济核算制度，组织实施全省及各市州、县市区国民经济核算制度和全省投入产出调查，核算全省及市州国内生产总值，汇编提供国民经济核算资料，监督管理全省各地国民经济核算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（三）会同有关部门拟订重大省情省力普查计划与方案，组织实施全省人口、经济、农业等重大省情省力普查，汇总、整理和提供有关省情省力方面的统计数据。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组织实施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全省性基本统计数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组织实施能源、投资、消费、价格、收入、科技、人口、劳动力、社会发展基本情况、环境基本状况等统计调查，收集、汇总、整理和提供有关调查的统计数据，综合整理和提供资源、房屋、对外贸易、对外经济等全省性基本统计数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组织各地区、各部门的经济、社会、科技和资源环境统计调查。统一核定、管理、公布全省性基本统计资料，定期发布全省国民经济和社会发展情况的统计信息。组织建立服务业统计信息管理制度、共享制度和发布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（七）对国民经济、社会发展、科技进步和资源环境等情况进行统计分析、统计预测和统计监督，向省委、省政府及有关部门提供统计信息和咨询建议。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依法审批或者备案地方统计调查项目和省直各部门统计调查项目，指导专业统计基础工作、统计基层业务基础建设，建立健全统计数据质量审核、监控和评估制度，开展对重要统计数据的审核、监控和评估，依法监督管理涉外调查活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协助地方管理市州统计局局长和副局长，指导全省统计专业技术队伍建设，会同有关部门组织管理全省统计专业资格考试、职务评聘和从业资格认定工作，监督管理中央和省财政安排的统计专项经费以及中央财政安排的基本建设投资。指导全省统计科研、统计教育、统计宣传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（十）建立并管理全省统计信息自动化系统和统计数据库系统，组织制定各地区、省直各部门统计数据库和网络的基本标准和运行规则，指导全省统计信息化系统建设。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（十一）承办省人民政府交办的其他事项。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湖南省统计局内设15个职能处室及5个地方直属事业单位。职能处室包括：办公室、统计执法监督局、统计设管处、综合统计与经济研究室、国民经济核算与农村社会经济调查处、工业统计处、能源统计处、固定资产投资统计处、贸易外经统计处、人口和就业统计处（社会和科技统计处）、服务业统计调查处、财务基建处、人事处、机关党委、离退休人员管理服务处；直属事业单位包括：湖南省统计局普查中心、湖南省统计局民意调查中心、湖南省统计局宣传中心（中国信息报驻湖南记者站、湖南统计信息网编委会）、湖南省农村经济调查队（湖南省统计局地方调查队管理办公室）、湖南省统计局数据中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（二）决算单位构成。湖南省统计局202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湖南省统计局本级以及5个地方直属事业单位，即湖南省统计局普查中心、湖南省统计局民意调查中心、湖南省统计局宣传中心、湖南省农村经济调查队、湖南省统计局数据中心。此5家地方事业单位财务由省统计局统一管理，均未设独立账户、无独立预算，因此5家地方直属事业单位决算并入湖南省统计局统一编制。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年部门决算公开单位为湖南省统计局。</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15428"/>
      </w:tblGrid>
      <w:tr>
        <w:tblPrEx>
          <w:tblCellMar>
            <w:top w:w="0" w:type="dxa"/>
            <w:left w:w="0" w:type="dxa"/>
            <w:bottom w:w="0" w:type="dxa"/>
            <w:right w:w="0" w:type="dxa"/>
          </w:tblCellMar>
        </w:tblPrEx>
        <w:trPr>
          <w:trHeight w:val="435"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4994" w:type="pct"/>
              <w:tblInd w:w="15" w:type="dxa"/>
              <w:tblLayout w:type="fixed"/>
              <w:tblCellMar>
                <w:top w:w="0" w:type="dxa"/>
                <w:left w:w="108" w:type="dxa"/>
                <w:bottom w:w="0" w:type="dxa"/>
                <w:right w:w="108" w:type="dxa"/>
              </w:tblCellMar>
            </w:tblPr>
            <w:tblGrid>
              <w:gridCol w:w="4036"/>
              <w:gridCol w:w="677"/>
              <w:gridCol w:w="729"/>
              <w:gridCol w:w="674"/>
              <w:gridCol w:w="92"/>
              <w:gridCol w:w="240"/>
              <w:gridCol w:w="4033"/>
              <w:gridCol w:w="950"/>
              <w:gridCol w:w="1670"/>
              <w:gridCol w:w="744"/>
              <w:gridCol w:w="1535"/>
            </w:tblGrid>
            <w:tr>
              <w:tblPrEx>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403" w:hRule="exact"/>
              </w:trPr>
              <w:tc>
                <w:tcPr>
                  <w:tcW w:w="1769" w:type="pct"/>
                  <w:gridSpan w:val="3"/>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249" w:type="pct"/>
                  <w:gridSpan w:val="2"/>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8" w:type="pct"/>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2163" w:type="pct"/>
                  <w:gridSpan w:val="3"/>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242" w:type="pct"/>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97" w:type="pct"/>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公开01表</w:t>
                  </w:r>
                </w:p>
              </w:tc>
            </w:tr>
            <w:tr>
              <w:trPr>
                <w:trHeight w:val="403" w:hRule="exact"/>
              </w:trPr>
              <w:tc>
                <w:tcPr>
                  <w:tcW w:w="1769" w:type="pct"/>
                  <w:gridSpan w:val="3"/>
                  <w:tcBorders>
                    <w:top w:val="nil"/>
                    <w:left w:val="nil"/>
                    <w:bottom w:val="nil"/>
                    <w:right w:val="nil"/>
                  </w:tcBorders>
                  <w:shd w:val="clear" w:color="000000" w:fill="FFFFFF"/>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部门：湖南省统计局</w:t>
                  </w:r>
                </w:p>
              </w:tc>
              <w:tc>
                <w:tcPr>
                  <w:tcW w:w="249" w:type="pct"/>
                  <w:gridSpan w:val="2"/>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8" w:type="pct"/>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2163" w:type="pct"/>
                  <w:gridSpan w:val="3"/>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242" w:type="pct"/>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97" w:type="pct"/>
                  <w:tcBorders>
                    <w:top w:val="nil"/>
                    <w:left w:val="nil"/>
                    <w:bottom w:val="nil"/>
                    <w:right w:val="nil"/>
                  </w:tcBorders>
                  <w:shd w:val="clear" w:color="000000" w:fill="FFFFFF"/>
                  <w:noWrap/>
                  <w:vAlign w:val="center"/>
                </w:tcPr>
                <w:p>
                  <w:pPr>
                    <w:widowControl/>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单位：万元</w:t>
                  </w:r>
                </w:p>
              </w:tc>
            </w:tr>
            <w:tr>
              <w:trPr>
                <w:trHeight w:val="403" w:hRule="exact"/>
              </w:trPr>
              <w:tc>
                <w:tcPr>
                  <w:tcW w:w="1988"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收入</w:t>
                  </w:r>
                </w:p>
              </w:tc>
              <w:tc>
                <w:tcPr>
                  <w:tcW w:w="3011" w:type="pct"/>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支出</w:t>
                  </w: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项    目</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行次</w:t>
                  </w:r>
                </w:p>
              </w:tc>
              <w:tc>
                <w:tcPr>
                  <w:tcW w:w="456"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决算数</w:t>
                  </w:r>
                </w:p>
              </w:tc>
              <w:tc>
                <w:tcPr>
                  <w:tcW w:w="1419" w:type="pct"/>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项    目</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行次</w:t>
                  </w:r>
                </w:p>
              </w:tc>
              <w:tc>
                <w:tcPr>
                  <w:tcW w:w="1282" w:type="pct"/>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决算数</w:t>
                  </w: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栏    次</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6"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419" w:type="pct"/>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栏    次</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282" w:type="pct"/>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r>
            <w:tr>
              <w:trPr>
                <w:trHeight w:val="403" w:hRule="exact"/>
              </w:trPr>
              <w:tc>
                <w:tcPr>
                  <w:tcW w:w="131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一、一般公共预算财政拨款收入</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14925.75　</w:t>
                  </w:r>
                </w:p>
              </w:tc>
              <w:tc>
                <w:tcPr>
                  <w:tcW w:w="1419" w:type="pct"/>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一、一般公共服务支出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US" w:eastAsia="zh-CN"/>
                    </w:rPr>
                    <w:t>8866.56</w:t>
                  </w: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二、政府性基金预算财政拨款收入</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419" w:type="pct"/>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二、外交支出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三、国有资本经营预算财政拨款收入</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419" w:type="pct"/>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三、国防支出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28</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四、上级补助收入</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419" w:type="pct"/>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四、公共安全支出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29</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0"/>
                      <w:szCs w:val="20"/>
                      <w:lang w:val="en-US"/>
                    </w:rPr>
                  </w:pPr>
                  <w:r>
                    <w:rPr>
                      <w:rFonts w:hint="eastAsia" w:asciiTheme="minorEastAsia" w:hAnsiTheme="minorEastAsia" w:eastAsiaTheme="minorEastAsia" w:cstheme="minorEastAsia"/>
                      <w:kern w:val="0"/>
                      <w:sz w:val="20"/>
                      <w:szCs w:val="20"/>
                      <w:lang w:val="en-US" w:eastAsia="zh-CN"/>
                    </w:rPr>
                    <w:t>44.06</w:t>
                  </w: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五、事业收入</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419" w:type="pct"/>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五、教育支出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US" w:eastAsia="zh-CN"/>
                    </w:rPr>
                    <w:t>58.4</w:t>
                  </w: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六、经营收入</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419" w:type="pct"/>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六、科学技术支出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31</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七、附属单位上缴收入</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七、文化旅游体育与传媒支出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32</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八、其他收入</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八、社会保障和就业支出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33</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0"/>
                      <w:szCs w:val="20"/>
                      <w:lang w:val="en-US"/>
                    </w:rPr>
                  </w:pPr>
                  <w:r>
                    <w:rPr>
                      <w:rFonts w:hint="eastAsia" w:asciiTheme="minorEastAsia" w:hAnsiTheme="minorEastAsia" w:eastAsiaTheme="minorEastAsia" w:cstheme="minorEastAsia"/>
                      <w:kern w:val="0"/>
                      <w:sz w:val="20"/>
                      <w:szCs w:val="20"/>
                      <w:lang w:val="en-US" w:eastAsia="zh-CN"/>
                    </w:rPr>
                    <w:t>1506.55</w:t>
                  </w: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九、卫生健康支出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US" w:eastAsia="zh-CN"/>
                    </w:rPr>
                    <w:t>512.58</w:t>
                  </w: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十、节能环保支出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US" w:eastAsia="zh-CN"/>
                    </w:rPr>
                    <w:t>10.56</w:t>
                  </w: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十一、城乡社区支出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36</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十二、农林水支出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十三、交通运输支出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38</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十四、资源勘探信息等支出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39</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十五、商业服务业等支出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十六、金融支出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41</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十七、援助其他地区支出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42</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十八、自然资源海洋气象等支出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43</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十九、住房保障支出</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44</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0"/>
                      <w:szCs w:val="20"/>
                      <w:lang w:val="en-US"/>
                    </w:rPr>
                  </w:pPr>
                  <w:r>
                    <w:rPr>
                      <w:rFonts w:hint="eastAsia" w:asciiTheme="minorEastAsia" w:hAnsiTheme="minorEastAsia" w:eastAsiaTheme="minorEastAsia" w:cstheme="minorEastAsia"/>
                      <w:kern w:val="0"/>
                      <w:sz w:val="20"/>
                      <w:szCs w:val="20"/>
                      <w:lang w:val="en-US" w:eastAsia="zh-CN"/>
                    </w:rPr>
                    <w:t>394.22</w:t>
                  </w: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419" w:type="pct"/>
                  <w:gridSpan w:val="3"/>
                  <w:tcBorders>
                    <w:top w:val="nil"/>
                    <w:left w:val="nil"/>
                    <w:bottom w:val="single" w:color="auto" w:sz="4" w:space="0"/>
                    <w:right w:val="single" w:color="auto" w:sz="4" w:space="0"/>
                  </w:tcBorders>
                  <w:shd w:val="clear" w:color="auto" w:fill="auto"/>
                  <w:noWrap/>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r>
            <w:tr>
              <w:trPr>
                <w:trHeight w:val="403" w:hRule="exact"/>
              </w:trPr>
              <w:tc>
                <w:tcPr>
                  <w:tcW w:w="131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419"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
                    </w:rPr>
                    <w:t>　</w:t>
                  </w:r>
                </w:p>
              </w:tc>
            </w:tr>
            <w:tr>
              <w:trPr>
                <w:trHeight w:val="403" w:hRule="exact"/>
              </w:trPr>
              <w:tc>
                <w:tcPr>
                  <w:tcW w:w="131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本年收入合计</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
                    </w:rPr>
                    <w:t>14925.75</w:t>
                  </w:r>
                </w:p>
              </w:tc>
              <w:tc>
                <w:tcPr>
                  <w:tcW w:w="1419"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本年支出合计</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47</w:t>
                  </w:r>
                </w:p>
              </w:tc>
              <w:tc>
                <w:tcPr>
                  <w:tcW w:w="1282" w:type="pct"/>
                  <w:gridSpan w:val="3"/>
                  <w:tcBorders>
                    <w:top w:val="nil"/>
                    <w:left w:val="nil"/>
                    <w:bottom w:val="single" w:color="auto" w:sz="4" w:space="0"/>
                    <w:right w:val="single" w:color="auto" w:sz="4" w:space="0"/>
                  </w:tcBorders>
                  <w:shd w:val="clear" w:color="auto" w:fill="auto"/>
                  <w:noWrap/>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
                    </w:rPr>
                    <w:t>11392.93</w:t>
                  </w: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         使用非财政拨款结余</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p>
              </w:tc>
              <w:tc>
                <w:tcPr>
                  <w:tcW w:w="1419"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
                    </w:rPr>
                    <w:t xml:space="preserve">                结余分配</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48</w:t>
                  </w:r>
                </w:p>
              </w:tc>
              <w:tc>
                <w:tcPr>
                  <w:tcW w:w="1282" w:type="pct"/>
                  <w:gridSpan w:val="3"/>
                  <w:tcBorders>
                    <w:top w:val="nil"/>
                    <w:left w:val="nil"/>
                    <w:bottom w:val="single" w:color="auto" w:sz="4" w:space="0"/>
                    <w:right w:val="single" w:color="auto" w:sz="4" w:space="0"/>
                  </w:tcBorders>
                  <w:shd w:val="clear" w:color="auto" w:fill="auto"/>
                  <w:noWrap/>
                </w:tcPr>
                <w:p>
                  <w:pPr>
                    <w:widowControl/>
                    <w:jc w:val="right"/>
                    <w:rPr>
                      <w:rFonts w:hint="eastAsia" w:asciiTheme="minorEastAsia" w:hAnsiTheme="minorEastAsia" w:eastAsiaTheme="minorEastAsia" w:cstheme="minorEastAsia"/>
                      <w:kern w:val="0"/>
                      <w:sz w:val="20"/>
                      <w:szCs w:val="20"/>
                      <w:lang w:val="en"/>
                    </w:rPr>
                  </w:pPr>
                </w:p>
              </w:tc>
            </w:tr>
            <w:tr>
              <w:tblPrEx>
                <w:tblCellMar>
                  <w:top w:w="0" w:type="dxa"/>
                  <w:left w:w="108" w:type="dxa"/>
                  <w:bottom w:w="0" w:type="dxa"/>
                  <w:right w:w="108" w:type="dxa"/>
                </w:tblCellMar>
              </w:tblPrEx>
              <w:trPr>
                <w:trHeight w:val="403" w:hRule="exact"/>
              </w:trPr>
              <w:tc>
                <w:tcPr>
                  <w:tcW w:w="131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         年初结转和结余</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
                    </w:rPr>
                    <w:t>633.1</w:t>
                  </w:r>
                </w:p>
              </w:tc>
              <w:tc>
                <w:tcPr>
                  <w:tcW w:w="1419"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
                    </w:rPr>
                    <w:t xml:space="preserve">                年末结转和结余</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49</w:t>
                  </w:r>
                </w:p>
              </w:tc>
              <w:tc>
                <w:tcPr>
                  <w:tcW w:w="1282" w:type="pct"/>
                  <w:gridSpan w:val="3"/>
                  <w:tcBorders>
                    <w:top w:val="nil"/>
                    <w:left w:val="nil"/>
                    <w:bottom w:val="single" w:color="auto" w:sz="4" w:space="0"/>
                    <w:right w:val="single" w:color="auto" w:sz="4" w:space="0"/>
                  </w:tcBorders>
                  <w:shd w:val="clear" w:color="auto" w:fill="auto"/>
                  <w:noWrap/>
                </w:tcPr>
                <w:p>
                  <w:pPr>
                    <w:widowControl/>
                    <w:jc w:val="righ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
                    </w:rPr>
                    <w:t>4165.92</w:t>
                  </w:r>
                </w:p>
              </w:tc>
            </w:tr>
            <w:tr>
              <w:trPr>
                <w:trHeight w:val="403" w:hRule="exact"/>
              </w:trPr>
              <w:tc>
                <w:tcPr>
                  <w:tcW w:w="131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总计</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w:t>
                  </w:r>
                </w:p>
              </w:tc>
              <w:tc>
                <w:tcPr>
                  <w:tcW w:w="456" w:type="pct"/>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
                    </w:rPr>
                    <w:t>15558.85</w:t>
                  </w:r>
                </w:p>
              </w:tc>
              <w:tc>
                <w:tcPr>
                  <w:tcW w:w="1419" w:type="pct"/>
                  <w:gridSpan w:val="3"/>
                  <w:tcBorders>
                    <w:top w:val="nil"/>
                    <w:left w:val="nil"/>
                    <w:bottom w:val="single" w:color="auto" w:sz="4" w:space="0"/>
                    <w:right w:val="single" w:color="auto" w:sz="4" w:space="0"/>
                  </w:tcBorders>
                  <w:shd w:val="clear" w:color="000000" w:fill="FFFFFF"/>
                  <w:noWrap/>
                  <w:vAlign w:val="center"/>
                </w:tcPr>
                <w:p>
                  <w:pPr>
                    <w:widowControl/>
                    <w:jc w:val="right"/>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kern w:val="0"/>
                      <w:sz w:val="20"/>
                      <w:szCs w:val="20"/>
                      <w:lang w:val="en"/>
                    </w:rPr>
                    <w:t>总计</w:t>
                  </w:r>
                </w:p>
              </w:tc>
              <w:tc>
                <w:tcPr>
                  <w:tcW w:w="3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w:t>
                  </w:r>
                </w:p>
              </w:tc>
              <w:tc>
                <w:tcPr>
                  <w:tcW w:w="1282"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
                    </w:rPr>
                    <w:t>15558.85</w:t>
                  </w:r>
                  <w:r>
                    <w:rPr>
                      <w:rFonts w:hint="eastAsia" w:asciiTheme="minorEastAsia" w:hAnsiTheme="minorEastAsia" w:eastAsiaTheme="minorEastAsia" w:cstheme="minorEastAsia"/>
                      <w:kern w:val="0"/>
                      <w:sz w:val="20"/>
                      <w:szCs w:val="20"/>
                    </w:rPr>
                    <w:t>　</w:t>
                  </w:r>
                </w:p>
              </w:tc>
            </w:tr>
            <w:tr>
              <w:trPr>
                <w:trHeight w:val="1020" w:hRule="atLeast"/>
              </w:trPr>
              <w:tc>
                <w:tcPr>
                  <w:tcW w:w="5000" w:type="pct"/>
                  <w:gridSpan w:val="11"/>
                  <w:tcBorders>
                    <w:top w:val="nil"/>
                    <w:left w:val="nil"/>
                    <w:bottom w:val="nil"/>
                    <w:right w:val="nil"/>
                  </w:tcBorders>
                  <w:shd w:val="clear" w:color="auto" w:fill="auto"/>
                  <w:vAlign w:val="center"/>
                </w:tcPr>
                <w:p>
                  <w:pPr>
                    <w:widowControl/>
                    <w:ind w:left="360" w:hanging="300" w:hangingChars="15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注：1.本表反映部门本年度的总收支和年末结转结余情况。</w:t>
                  </w:r>
                  <w:r>
                    <w:rPr>
                      <w:rFonts w:hint="eastAsia" w:asciiTheme="minorEastAsia" w:hAnsiTheme="minorEastAsia" w:eastAsiaTheme="minorEastAsia" w:cstheme="minorEastAsia"/>
                      <w:kern w:val="0"/>
                      <w:sz w:val="20"/>
                      <w:szCs w:val="20"/>
                    </w:rPr>
                    <w:br w:type="textWrapping"/>
                  </w:r>
                  <w:r>
                    <w:rPr>
                      <w:rFonts w:hint="eastAsia" w:asciiTheme="minorEastAsia" w:hAnsiTheme="minorEastAsia" w:eastAsiaTheme="minorEastAsia" w:cstheme="minorEastAsia"/>
                      <w:kern w:val="0"/>
                      <w:sz w:val="20"/>
                      <w:szCs w:val="20"/>
                    </w:rPr>
                    <w:t xml:space="preserve"> 2.本套报表金额单位转换时可能存在尾数误差。</w:t>
                  </w:r>
                </w:p>
              </w:tc>
            </w:tr>
          </w:tbl>
          <w:p>
            <w:pPr>
              <w:jc w:val="center"/>
              <w:rPr>
                <w:rFonts w:ascii="华文中宋" w:hAnsi="华文中宋" w:eastAsia="华文中宋" w:cs="宋体"/>
                <w:color w:val="000000"/>
                <w:sz w:val="32"/>
                <w:szCs w:val="32"/>
              </w:rPr>
            </w:pPr>
          </w:p>
        </w:tc>
      </w:tr>
    </w:tbl>
    <w:tbl>
      <w:tblPr>
        <w:tblStyle w:val="9"/>
        <w:tblpPr w:leftFromText="180" w:rightFromText="180" w:vertAnchor="text" w:horzAnchor="page" w:tblpX="726" w:tblpY="1133"/>
        <w:tblOverlap w:val="never"/>
        <w:tblW w:w="5000" w:type="pct"/>
        <w:jc w:val="center"/>
        <w:tblLayout w:type="autofit"/>
        <w:tblCellMar>
          <w:top w:w="0" w:type="dxa"/>
          <w:left w:w="108" w:type="dxa"/>
          <w:bottom w:w="0" w:type="dxa"/>
          <w:right w:w="108" w:type="dxa"/>
        </w:tblCellMar>
      </w:tblPr>
      <w:tblGrid>
        <w:gridCol w:w="1165"/>
        <w:gridCol w:w="1660"/>
        <w:gridCol w:w="1395"/>
        <w:gridCol w:w="1108"/>
        <w:gridCol w:w="235"/>
        <w:gridCol w:w="1203"/>
        <w:gridCol w:w="238"/>
        <w:gridCol w:w="1234"/>
        <w:gridCol w:w="207"/>
        <w:gridCol w:w="1262"/>
        <w:gridCol w:w="1441"/>
        <w:gridCol w:w="1395"/>
        <w:gridCol w:w="1392"/>
        <w:gridCol w:w="1493"/>
      </w:tblGrid>
      <w:tr>
        <w:tblPrEx>
          <w:tblCellMar>
            <w:top w:w="0" w:type="dxa"/>
            <w:left w:w="108" w:type="dxa"/>
            <w:bottom w:w="0" w:type="dxa"/>
            <w:right w:w="108" w:type="dxa"/>
          </w:tblCellMar>
        </w:tblPrEx>
        <w:trPr>
          <w:trHeight w:val="435" w:hRule="atLeast"/>
          <w:jc w:val="center"/>
        </w:trPr>
        <w:tc>
          <w:tcPr>
            <w:tcW w:w="5000" w:type="pct"/>
            <w:gridSpan w:val="14"/>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108" w:type="dxa"/>
            <w:bottom w:w="0" w:type="dxa"/>
            <w:right w:w="108" w:type="dxa"/>
          </w:tblCellMar>
        </w:tblPrEx>
        <w:trPr>
          <w:trHeight w:val="403" w:hRule="exact"/>
          <w:jc w:val="center"/>
        </w:trPr>
        <w:tc>
          <w:tcPr>
            <w:tcW w:w="916"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52"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35"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67"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67"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876"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52"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5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82"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公开02表</w:t>
            </w:r>
          </w:p>
        </w:tc>
      </w:tr>
      <w:tr>
        <w:tblPrEx>
          <w:tblCellMar>
            <w:top w:w="0" w:type="dxa"/>
            <w:left w:w="108" w:type="dxa"/>
            <w:bottom w:w="0" w:type="dxa"/>
            <w:right w:w="108" w:type="dxa"/>
          </w:tblCellMar>
        </w:tblPrEx>
        <w:trPr>
          <w:trHeight w:val="403" w:hRule="exact"/>
          <w:jc w:val="center"/>
        </w:trPr>
        <w:tc>
          <w:tcPr>
            <w:tcW w:w="1727" w:type="pct"/>
            <w:gridSpan w:val="4"/>
            <w:tcBorders>
              <w:top w:val="nil"/>
              <w:left w:val="nil"/>
              <w:bottom w:val="nil"/>
              <w:right w:val="nil"/>
            </w:tcBorders>
            <w:shd w:val="clear" w:color="000000" w:fill="FFFFFF"/>
            <w:noWrap/>
            <w:tcMar>
              <w:top w:w="15" w:type="dxa"/>
              <w:left w:w="15" w:type="dxa"/>
              <w:bottom w:w="0" w:type="dxa"/>
              <w:right w:w="15" w:type="dxa"/>
            </w:tcMar>
            <w:vAlign w:val="center"/>
          </w:tcPr>
          <w:p>
            <w:pPr>
              <w:ind w:right="159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sz w:val="20"/>
                <w:szCs w:val="20"/>
              </w:rPr>
              <w:t>部门：湖南省统计局</w:t>
            </w:r>
          </w:p>
        </w:tc>
        <w:tc>
          <w:tcPr>
            <w:tcW w:w="466"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ind w:right="960"/>
              <w:rPr>
                <w:rFonts w:hint="eastAsia" w:asciiTheme="majorEastAsia" w:hAnsiTheme="majorEastAsia" w:eastAsiaTheme="majorEastAsia" w:cstheme="majorEastAsia"/>
                <w:sz w:val="20"/>
                <w:szCs w:val="20"/>
              </w:rPr>
            </w:pPr>
          </w:p>
        </w:tc>
        <w:tc>
          <w:tcPr>
            <w:tcW w:w="477"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76"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　</w:t>
            </w:r>
          </w:p>
        </w:tc>
        <w:tc>
          <w:tcPr>
            <w:tcW w:w="467"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52"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5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82"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单位：万元</w:t>
            </w:r>
          </w:p>
        </w:tc>
      </w:tr>
      <w:tr>
        <w:tblPrEx>
          <w:tblCellMar>
            <w:top w:w="0" w:type="dxa"/>
            <w:left w:w="108" w:type="dxa"/>
            <w:bottom w:w="0" w:type="dxa"/>
            <w:right w:w="108" w:type="dxa"/>
          </w:tblCellMar>
        </w:tblPrEx>
        <w:trPr>
          <w:trHeight w:val="403" w:hRule="exact"/>
          <w:jc w:val="center"/>
        </w:trPr>
        <w:tc>
          <w:tcPr>
            <w:tcW w:w="1727" w:type="pct"/>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项    目</w:t>
            </w:r>
          </w:p>
        </w:tc>
        <w:tc>
          <w:tcPr>
            <w:tcW w:w="466" w:type="pct"/>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本年收入</w:t>
            </w:r>
          </w:p>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合计</w:t>
            </w:r>
          </w:p>
        </w:tc>
        <w:tc>
          <w:tcPr>
            <w:tcW w:w="47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财政拨款</w:t>
            </w:r>
          </w:p>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收入</w:t>
            </w:r>
          </w:p>
        </w:tc>
        <w:tc>
          <w:tcPr>
            <w:tcW w:w="476" w:type="pct"/>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上级补助</w:t>
            </w:r>
          </w:p>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收入</w:t>
            </w:r>
          </w:p>
        </w:tc>
        <w:tc>
          <w:tcPr>
            <w:tcW w:w="467"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事业收入</w:t>
            </w:r>
          </w:p>
        </w:tc>
        <w:tc>
          <w:tcPr>
            <w:tcW w:w="45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经营收入</w:t>
            </w:r>
          </w:p>
        </w:tc>
        <w:tc>
          <w:tcPr>
            <w:tcW w:w="45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附属单位</w:t>
            </w:r>
          </w:p>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上缴收入</w:t>
            </w:r>
          </w:p>
        </w:tc>
        <w:tc>
          <w:tcPr>
            <w:tcW w:w="48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其他收入</w:t>
            </w:r>
          </w:p>
        </w:tc>
      </w:tr>
      <w:tr>
        <w:tblPrEx>
          <w:tblCellMar>
            <w:top w:w="0" w:type="dxa"/>
            <w:left w:w="108" w:type="dxa"/>
            <w:bottom w:w="0" w:type="dxa"/>
            <w:right w:w="108" w:type="dxa"/>
          </w:tblCellMar>
        </w:tblPrEx>
        <w:trPr>
          <w:trHeight w:val="403" w:hRule="exact"/>
          <w:jc w:val="center"/>
        </w:trPr>
        <w:tc>
          <w:tcPr>
            <w:tcW w:w="378"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功能分类科目编码</w:t>
            </w:r>
          </w:p>
        </w:tc>
        <w:tc>
          <w:tcPr>
            <w:tcW w:w="1349" w:type="pct"/>
            <w:gridSpan w:val="3"/>
            <w:vMerge w:val="restart"/>
            <w:tcBorders>
              <w:top w:val="nil"/>
              <w:left w:val="single" w:color="auto" w:sz="4" w:space="0"/>
              <w:bottom w:val="single" w:color="auto" w:sz="4" w:space="0"/>
              <w:right w:val="single" w:color="auto" w:sz="4" w:space="0"/>
            </w:tcBorders>
            <w:shd w:val="clear" w:color="000000" w:fill="FFFFFF"/>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科目名称</w:t>
            </w:r>
          </w:p>
        </w:tc>
        <w:tc>
          <w:tcPr>
            <w:tcW w:w="466" w:type="pct"/>
            <w:gridSpan w:val="2"/>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77" w:type="pct"/>
            <w:gridSpan w:val="2"/>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67" w:type="pct"/>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52" w:type="pct"/>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82" w:type="pct"/>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1349" w:type="pct"/>
            <w:gridSpan w:val="3"/>
            <w:vMerge w:val="continue"/>
            <w:tcBorders>
              <w:top w:val="nil"/>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66" w:type="pct"/>
            <w:gridSpan w:val="2"/>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77" w:type="pct"/>
            <w:gridSpan w:val="2"/>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67" w:type="pct"/>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52" w:type="pct"/>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c>
          <w:tcPr>
            <w:tcW w:w="482" w:type="pct"/>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1727" w:type="pct"/>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栏次</w:t>
            </w:r>
          </w:p>
        </w:tc>
        <w:tc>
          <w:tcPr>
            <w:tcW w:w="466" w:type="pct"/>
            <w:gridSpan w:val="2"/>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c>
          <w:tcPr>
            <w:tcW w:w="477" w:type="pct"/>
            <w:gridSpan w:val="2"/>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w:t>
            </w:r>
          </w:p>
        </w:tc>
        <w:tc>
          <w:tcPr>
            <w:tcW w:w="476" w:type="pct"/>
            <w:gridSpan w:val="2"/>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w:t>
            </w:r>
          </w:p>
        </w:tc>
        <w:tc>
          <w:tcPr>
            <w:tcW w:w="467" w:type="pct"/>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w:t>
            </w:r>
          </w:p>
        </w:tc>
        <w:tc>
          <w:tcPr>
            <w:tcW w:w="452" w:type="pct"/>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w:t>
            </w:r>
          </w:p>
        </w:tc>
        <w:tc>
          <w:tcPr>
            <w:tcW w:w="451" w:type="pct"/>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6</w:t>
            </w:r>
          </w:p>
        </w:tc>
        <w:tc>
          <w:tcPr>
            <w:tcW w:w="482" w:type="pct"/>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7</w:t>
            </w:r>
          </w:p>
        </w:tc>
      </w:tr>
      <w:tr>
        <w:tblPrEx>
          <w:tblCellMar>
            <w:top w:w="0" w:type="dxa"/>
            <w:left w:w="108" w:type="dxa"/>
            <w:bottom w:w="0" w:type="dxa"/>
            <w:right w:w="108" w:type="dxa"/>
          </w:tblCellMar>
        </w:tblPrEx>
        <w:trPr>
          <w:trHeight w:val="403" w:hRule="exact"/>
          <w:jc w:val="center"/>
        </w:trPr>
        <w:tc>
          <w:tcPr>
            <w:tcW w:w="1727" w:type="pct"/>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合计</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rPr>
            </w:pPr>
            <w:r>
              <w:rPr>
                <w:rFonts w:hint="eastAsia" w:ascii="宋体" w:hAnsi="宋体" w:eastAsia="宋体" w:cs="宋体"/>
                <w:b/>
                <w:i w:val="0"/>
                <w:color w:val="000000"/>
                <w:kern w:val="0"/>
                <w:sz w:val="21"/>
                <w:szCs w:val="21"/>
                <w:u w:val="none"/>
                <w:lang w:val="en-US" w:eastAsia="zh-CN" w:bidi="ar"/>
              </w:rPr>
              <w:t>14,925.75</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rPr>
            </w:pPr>
            <w:r>
              <w:rPr>
                <w:rFonts w:hint="eastAsia" w:ascii="宋体" w:hAnsi="宋体" w:eastAsia="宋体" w:cs="宋体"/>
                <w:b/>
                <w:i w:val="0"/>
                <w:color w:val="000000"/>
                <w:kern w:val="0"/>
                <w:sz w:val="21"/>
                <w:szCs w:val="21"/>
                <w:u w:val="none"/>
                <w:lang w:val="en-US" w:eastAsia="zh-CN" w:bidi="ar"/>
              </w:rPr>
              <w:t>14,925.75</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2050803</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培训支出</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lang w:val="en-US" w:eastAsia="zh-CN"/>
              </w:rPr>
            </w:pPr>
            <w:r>
              <w:rPr>
                <w:rFonts w:hint="eastAsia" w:ascii="宋体" w:hAnsi="宋体" w:eastAsia="宋体" w:cs="宋体"/>
                <w:i w:val="0"/>
                <w:color w:val="000000"/>
                <w:kern w:val="0"/>
                <w:sz w:val="21"/>
                <w:szCs w:val="21"/>
                <w:u w:val="none"/>
                <w:lang w:val="en-US" w:eastAsia="zh-CN" w:bidi="ar"/>
              </w:rPr>
              <w:t>58.33</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rPr>
            </w:pPr>
            <w:r>
              <w:rPr>
                <w:rFonts w:hint="eastAsia" w:ascii="宋体" w:hAnsi="宋体" w:eastAsia="宋体" w:cs="宋体"/>
                <w:i w:val="0"/>
                <w:color w:val="000000"/>
                <w:kern w:val="0"/>
                <w:sz w:val="21"/>
                <w:szCs w:val="21"/>
                <w:u w:val="none"/>
                <w:lang w:val="en-US" w:eastAsia="zh-CN" w:bidi="ar"/>
              </w:rPr>
              <w:t>58.33</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2080801</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死亡抚恤</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lang w:val="en-US" w:eastAsia="zh-CN"/>
              </w:rPr>
            </w:pPr>
            <w:r>
              <w:rPr>
                <w:rFonts w:hint="eastAsia" w:ascii="宋体" w:hAnsi="宋体" w:eastAsia="宋体" w:cs="宋体"/>
                <w:i w:val="0"/>
                <w:color w:val="000000"/>
                <w:kern w:val="0"/>
                <w:sz w:val="21"/>
                <w:szCs w:val="21"/>
                <w:u w:val="none"/>
                <w:lang w:val="en-US" w:eastAsia="zh-CN" w:bidi="ar"/>
              </w:rPr>
              <w:t>58.45</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rPr>
            </w:pPr>
            <w:r>
              <w:rPr>
                <w:rFonts w:hint="eastAsia" w:ascii="宋体" w:hAnsi="宋体" w:eastAsia="宋体" w:cs="宋体"/>
                <w:i w:val="0"/>
                <w:color w:val="000000"/>
                <w:kern w:val="0"/>
                <w:sz w:val="21"/>
                <w:szCs w:val="21"/>
                <w:u w:val="none"/>
                <w:lang w:val="en-US" w:eastAsia="zh-CN" w:bidi="ar"/>
              </w:rPr>
              <w:t>58.45</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2040202</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一般行政管理事务</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lang w:val="en"/>
              </w:rPr>
            </w:pPr>
            <w:r>
              <w:rPr>
                <w:rFonts w:hint="eastAsia" w:ascii="宋体" w:hAnsi="宋体" w:eastAsia="宋体" w:cs="宋体"/>
                <w:i w:val="0"/>
                <w:color w:val="000000"/>
                <w:kern w:val="0"/>
                <w:sz w:val="21"/>
                <w:szCs w:val="21"/>
                <w:u w:val="none"/>
                <w:lang w:val="en-US" w:eastAsia="zh-CN" w:bidi="ar"/>
              </w:rPr>
              <w:t>50.00</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rPr>
            </w:pPr>
            <w:r>
              <w:rPr>
                <w:rFonts w:hint="eastAsia" w:ascii="宋体" w:hAnsi="宋体" w:eastAsia="宋体" w:cs="宋体"/>
                <w:i w:val="0"/>
                <w:color w:val="000000"/>
                <w:kern w:val="0"/>
                <w:sz w:val="21"/>
                <w:szCs w:val="21"/>
                <w:u w:val="none"/>
                <w:lang w:val="en-US" w:eastAsia="zh-CN" w:bidi="ar"/>
              </w:rPr>
              <w:t>50.00</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2010501</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行政运行</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lang w:val="en"/>
              </w:rPr>
            </w:pPr>
            <w:r>
              <w:rPr>
                <w:rFonts w:hint="eastAsia" w:ascii="宋体" w:hAnsi="宋体" w:eastAsia="宋体" w:cs="宋体"/>
                <w:i w:val="0"/>
                <w:color w:val="000000"/>
                <w:kern w:val="0"/>
                <w:sz w:val="21"/>
                <w:szCs w:val="21"/>
                <w:u w:val="none"/>
                <w:lang w:val="en-US" w:eastAsia="zh-CN" w:bidi="ar"/>
              </w:rPr>
              <w:t>4,283.54</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lang w:val="en"/>
              </w:rPr>
            </w:pPr>
            <w:r>
              <w:rPr>
                <w:rFonts w:hint="eastAsia" w:ascii="宋体" w:hAnsi="宋体" w:eastAsia="宋体" w:cs="宋体"/>
                <w:i w:val="0"/>
                <w:color w:val="000000"/>
                <w:kern w:val="0"/>
                <w:sz w:val="21"/>
                <w:szCs w:val="21"/>
                <w:u w:val="none"/>
                <w:lang w:val="en-US" w:eastAsia="zh-CN" w:bidi="ar"/>
              </w:rPr>
              <w:t>4,283.54</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2119999</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其他节能环保支出</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lang w:val="en"/>
              </w:rPr>
            </w:pPr>
            <w:r>
              <w:rPr>
                <w:rFonts w:hint="eastAsia" w:ascii="宋体" w:hAnsi="宋体" w:eastAsia="宋体" w:cs="宋体"/>
                <w:i w:val="0"/>
                <w:color w:val="000000"/>
                <w:kern w:val="0"/>
                <w:sz w:val="21"/>
                <w:szCs w:val="21"/>
                <w:u w:val="none"/>
                <w:lang w:val="en-US" w:eastAsia="zh-CN" w:bidi="ar"/>
              </w:rPr>
              <w:t>110.00</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rPr>
            </w:pPr>
            <w:r>
              <w:rPr>
                <w:rFonts w:hint="eastAsia" w:ascii="宋体" w:hAnsi="宋体" w:eastAsia="宋体" w:cs="宋体"/>
                <w:i w:val="0"/>
                <w:color w:val="000000"/>
                <w:kern w:val="0"/>
                <w:sz w:val="21"/>
                <w:szCs w:val="21"/>
                <w:u w:val="none"/>
                <w:lang w:val="en-US" w:eastAsia="zh-CN" w:bidi="ar"/>
              </w:rPr>
              <w:t>110.00</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2010502</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一般行政管理事务</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lang w:val="en-US"/>
              </w:rPr>
            </w:pPr>
            <w:r>
              <w:rPr>
                <w:rFonts w:hint="eastAsia" w:ascii="宋体" w:hAnsi="宋体" w:eastAsia="宋体" w:cs="宋体"/>
                <w:i w:val="0"/>
                <w:color w:val="000000"/>
                <w:kern w:val="0"/>
                <w:sz w:val="21"/>
                <w:szCs w:val="21"/>
                <w:u w:val="none"/>
                <w:lang w:val="en-US" w:eastAsia="zh-CN" w:bidi="ar"/>
              </w:rPr>
              <w:t>146.00</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rPr>
            </w:pPr>
            <w:r>
              <w:rPr>
                <w:rFonts w:hint="eastAsia" w:ascii="宋体" w:hAnsi="宋体" w:eastAsia="宋体" w:cs="宋体"/>
                <w:i w:val="0"/>
                <w:color w:val="000000"/>
                <w:kern w:val="0"/>
                <w:sz w:val="21"/>
                <w:szCs w:val="21"/>
                <w:u w:val="none"/>
                <w:lang w:val="en-US" w:eastAsia="zh-CN" w:bidi="ar"/>
              </w:rPr>
              <w:t>146.00</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 w:eastAsia="zh-CN"/>
              </w:rPr>
            </w:pPr>
            <w:r>
              <w:rPr>
                <w:rFonts w:hint="eastAsia" w:asciiTheme="minorEastAsia" w:hAnsiTheme="minorEastAsia" w:eastAsiaTheme="minorEastAsia" w:cstheme="minorEastAsia"/>
                <w:kern w:val="0"/>
                <w:sz w:val="20"/>
                <w:szCs w:val="20"/>
                <w:lang w:val="en-US" w:eastAsia="zh-CN"/>
              </w:rPr>
              <w:t>2080505</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 w:eastAsia="zh-CN"/>
              </w:rPr>
            </w:pPr>
            <w:r>
              <w:rPr>
                <w:rFonts w:hint="eastAsia" w:asciiTheme="minorEastAsia" w:hAnsiTheme="minorEastAsia" w:eastAsiaTheme="minorEastAsia" w:cstheme="minorEastAsia"/>
                <w:kern w:val="0"/>
                <w:sz w:val="20"/>
                <w:szCs w:val="20"/>
                <w:lang w:val="en-US" w:eastAsia="zh-CN"/>
              </w:rPr>
              <w:t>机关事业单位基本养老保险缴费支出</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auto"/>
                <w:sz w:val="18"/>
                <w:szCs w:val="18"/>
                <w:lang w:val="en-US" w:eastAsia="zh-CN"/>
              </w:rPr>
            </w:pPr>
            <w:r>
              <w:rPr>
                <w:rFonts w:hint="eastAsia" w:ascii="宋体" w:hAnsi="宋体" w:eastAsia="宋体" w:cs="宋体"/>
                <w:i w:val="0"/>
                <w:color w:val="000000"/>
                <w:kern w:val="0"/>
                <w:sz w:val="21"/>
                <w:szCs w:val="21"/>
                <w:u w:val="none"/>
                <w:lang w:val="en-US" w:eastAsia="zh-CN" w:bidi="ar"/>
              </w:rPr>
              <w:t>381.48</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FF0000"/>
                <w:sz w:val="18"/>
                <w:szCs w:val="18"/>
              </w:rPr>
            </w:pPr>
            <w:r>
              <w:rPr>
                <w:rFonts w:hint="eastAsia" w:ascii="宋体" w:hAnsi="宋体" w:eastAsia="宋体" w:cs="宋体"/>
                <w:i w:val="0"/>
                <w:color w:val="000000"/>
                <w:kern w:val="0"/>
                <w:sz w:val="21"/>
                <w:szCs w:val="21"/>
                <w:u w:val="none"/>
                <w:lang w:val="en-US" w:eastAsia="zh-CN" w:bidi="ar"/>
              </w:rPr>
              <w:t>381.48</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2010507</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专项普查活动</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lang w:val="en-US" w:eastAsia="zh-CN"/>
              </w:rPr>
            </w:pPr>
            <w:r>
              <w:rPr>
                <w:rFonts w:hint="eastAsia" w:ascii="宋体" w:hAnsi="宋体" w:eastAsia="宋体" w:cs="宋体"/>
                <w:i w:val="0"/>
                <w:color w:val="000000"/>
                <w:kern w:val="0"/>
                <w:sz w:val="21"/>
                <w:szCs w:val="21"/>
                <w:u w:val="none"/>
                <w:lang w:val="en-US" w:eastAsia="zh-CN" w:bidi="ar"/>
              </w:rPr>
              <w:t>6,540.00</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rPr>
            </w:pPr>
            <w:r>
              <w:rPr>
                <w:rFonts w:hint="eastAsia" w:ascii="宋体" w:hAnsi="宋体" w:eastAsia="宋体" w:cs="宋体"/>
                <w:i w:val="0"/>
                <w:color w:val="000000"/>
                <w:kern w:val="0"/>
                <w:sz w:val="21"/>
                <w:szCs w:val="21"/>
                <w:u w:val="none"/>
                <w:lang w:val="en-US" w:eastAsia="zh-CN" w:bidi="ar"/>
              </w:rPr>
              <w:t>6,540.00</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2010505</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专项统计业务</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auto"/>
                <w:sz w:val="18"/>
                <w:szCs w:val="18"/>
                <w:lang w:val="en" w:eastAsia="zh-CN"/>
              </w:rPr>
            </w:pPr>
            <w:r>
              <w:rPr>
                <w:rFonts w:hint="eastAsia" w:ascii="宋体" w:hAnsi="宋体" w:eastAsia="宋体" w:cs="宋体"/>
                <w:i w:val="0"/>
                <w:color w:val="000000"/>
                <w:kern w:val="0"/>
                <w:sz w:val="21"/>
                <w:szCs w:val="21"/>
                <w:u w:val="none"/>
                <w:lang w:val="en-US" w:eastAsia="zh-CN" w:bidi="ar"/>
              </w:rPr>
              <w:t>1,112.53</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FF0000"/>
                <w:sz w:val="18"/>
                <w:szCs w:val="18"/>
                <w:lang w:val="en"/>
              </w:rPr>
            </w:pPr>
            <w:r>
              <w:rPr>
                <w:rFonts w:hint="eastAsia" w:ascii="宋体" w:hAnsi="宋体" w:eastAsia="宋体" w:cs="宋体"/>
                <w:i w:val="0"/>
                <w:color w:val="000000"/>
                <w:kern w:val="0"/>
                <w:sz w:val="21"/>
                <w:szCs w:val="21"/>
                <w:u w:val="none"/>
                <w:lang w:val="en-US" w:eastAsia="zh-CN" w:bidi="ar"/>
              </w:rPr>
              <w:t>1,112.53</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2010506</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统计管理</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auto"/>
                <w:sz w:val="18"/>
                <w:szCs w:val="18"/>
                <w:lang w:val="en" w:eastAsia="zh-CN"/>
              </w:rPr>
            </w:pPr>
            <w:r>
              <w:rPr>
                <w:rFonts w:hint="eastAsia" w:ascii="宋体" w:hAnsi="宋体" w:eastAsia="宋体" w:cs="宋体"/>
                <w:i w:val="0"/>
                <w:color w:val="000000"/>
                <w:kern w:val="0"/>
                <w:sz w:val="21"/>
                <w:szCs w:val="21"/>
                <w:u w:val="none"/>
                <w:lang w:val="en-US" w:eastAsia="zh-CN" w:bidi="ar"/>
              </w:rPr>
              <w:t>134.03</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FF0000"/>
                <w:sz w:val="18"/>
                <w:szCs w:val="18"/>
                <w:lang w:val="en"/>
              </w:rPr>
            </w:pPr>
            <w:r>
              <w:rPr>
                <w:rFonts w:hint="eastAsia" w:ascii="宋体" w:hAnsi="宋体" w:eastAsia="宋体" w:cs="宋体"/>
                <w:i w:val="0"/>
                <w:color w:val="000000"/>
                <w:kern w:val="0"/>
                <w:sz w:val="21"/>
                <w:szCs w:val="21"/>
                <w:u w:val="none"/>
                <w:lang w:val="en-US" w:eastAsia="zh-CN" w:bidi="ar"/>
              </w:rPr>
              <w:t>134.03</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bCs/>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2210201</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住房公积金</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val="0"/>
                <w:bCs w:val="0"/>
                <w:color w:val="auto"/>
                <w:sz w:val="18"/>
                <w:szCs w:val="18"/>
                <w:lang w:val="en" w:eastAsia="zh-CN"/>
              </w:rPr>
            </w:pPr>
            <w:r>
              <w:rPr>
                <w:rFonts w:hint="eastAsia" w:ascii="宋体" w:hAnsi="宋体" w:eastAsia="宋体" w:cs="宋体"/>
                <w:i w:val="0"/>
                <w:color w:val="000000"/>
                <w:kern w:val="0"/>
                <w:sz w:val="21"/>
                <w:szCs w:val="21"/>
                <w:u w:val="none"/>
                <w:lang w:val="en-US" w:eastAsia="zh-CN" w:bidi="ar"/>
              </w:rPr>
              <w:t>391.85</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val="0"/>
                <w:bCs w:val="0"/>
                <w:color w:val="FF0000"/>
                <w:sz w:val="18"/>
                <w:szCs w:val="18"/>
                <w:lang w:val="en"/>
              </w:rPr>
            </w:pPr>
            <w:r>
              <w:rPr>
                <w:rFonts w:hint="eastAsia" w:ascii="宋体" w:hAnsi="宋体" w:eastAsia="宋体" w:cs="宋体"/>
                <w:i w:val="0"/>
                <w:color w:val="000000"/>
                <w:kern w:val="0"/>
                <w:sz w:val="21"/>
                <w:szCs w:val="21"/>
                <w:u w:val="none"/>
                <w:lang w:val="en-US" w:eastAsia="zh-CN" w:bidi="ar"/>
              </w:rPr>
              <w:t>391.85</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val="0"/>
                <w:bCs w:val="0"/>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val="0"/>
                <w:bCs w:val="0"/>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val="0"/>
                <w:bCs w:val="0"/>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val="0"/>
                <w:bCs w:val="0"/>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b w:val="0"/>
                <w:bCs w:val="0"/>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2101101</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行政单位医疗</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auto"/>
                <w:sz w:val="18"/>
                <w:szCs w:val="18"/>
                <w:lang w:val="en" w:eastAsia="zh-CN"/>
              </w:rPr>
            </w:pPr>
            <w:r>
              <w:rPr>
                <w:rFonts w:hint="eastAsia" w:ascii="宋体" w:hAnsi="宋体" w:eastAsia="宋体" w:cs="宋体"/>
                <w:i w:val="0"/>
                <w:color w:val="000000"/>
                <w:kern w:val="0"/>
                <w:sz w:val="21"/>
                <w:szCs w:val="21"/>
                <w:u w:val="none"/>
                <w:lang w:val="en-US" w:eastAsia="zh-CN" w:bidi="ar"/>
              </w:rPr>
              <w:t>554.69</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FF0000"/>
                <w:sz w:val="18"/>
                <w:szCs w:val="18"/>
                <w:lang w:val="en"/>
              </w:rPr>
            </w:pPr>
            <w:r>
              <w:rPr>
                <w:rFonts w:hint="eastAsia" w:ascii="宋体" w:hAnsi="宋体" w:eastAsia="宋体" w:cs="宋体"/>
                <w:i w:val="0"/>
                <w:color w:val="000000"/>
                <w:kern w:val="0"/>
                <w:sz w:val="21"/>
                <w:szCs w:val="21"/>
                <w:u w:val="none"/>
                <w:lang w:val="en-US" w:eastAsia="zh-CN" w:bidi="ar"/>
              </w:rPr>
              <w:t>554.69</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2210203</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购房补贴</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auto"/>
                <w:sz w:val="18"/>
                <w:szCs w:val="18"/>
                <w:lang w:val="en" w:eastAsia="zh-CN"/>
              </w:rPr>
            </w:pPr>
            <w:r>
              <w:rPr>
                <w:rFonts w:hint="eastAsia" w:ascii="宋体" w:hAnsi="宋体" w:eastAsia="宋体" w:cs="宋体"/>
                <w:i w:val="0"/>
                <w:color w:val="000000"/>
                <w:kern w:val="0"/>
                <w:sz w:val="21"/>
                <w:szCs w:val="21"/>
                <w:u w:val="none"/>
                <w:lang w:val="en-US" w:eastAsia="zh-CN" w:bidi="ar"/>
              </w:rPr>
              <w:t>2.37</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b/>
                <w:bCs/>
                <w:color w:val="FF0000"/>
                <w:sz w:val="18"/>
                <w:szCs w:val="18"/>
                <w:lang w:val="en"/>
              </w:rPr>
            </w:pPr>
            <w:r>
              <w:rPr>
                <w:rFonts w:hint="eastAsia" w:ascii="宋体" w:hAnsi="宋体" w:eastAsia="宋体" w:cs="宋体"/>
                <w:i w:val="0"/>
                <w:color w:val="000000"/>
                <w:kern w:val="0"/>
                <w:sz w:val="21"/>
                <w:szCs w:val="21"/>
                <w:u w:val="none"/>
                <w:lang w:val="en-US" w:eastAsia="zh-CN" w:bidi="ar"/>
              </w:rPr>
              <w:t>2.37</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2110399</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其他污染防治支出</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lang w:val="en-US" w:eastAsia="zh-CN"/>
              </w:rPr>
            </w:pPr>
            <w:r>
              <w:rPr>
                <w:rFonts w:hint="eastAsia" w:ascii="宋体" w:hAnsi="宋体" w:eastAsia="宋体" w:cs="宋体"/>
                <w:i w:val="0"/>
                <w:color w:val="000000"/>
                <w:kern w:val="0"/>
                <w:sz w:val="21"/>
                <w:szCs w:val="21"/>
                <w:u w:val="none"/>
                <w:lang w:val="en-US" w:eastAsia="zh-CN" w:bidi="ar"/>
              </w:rPr>
              <w:t>20.00</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lang w:val="en-US"/>
              </w:rPr>
            </w:pPr>
            <w:r>
              <w:rPr>
                <w:rFonts w:hint="eastAsia" w:ascii="宋体" w:hAnsi="宋体" w:eastAsia="宋体" w:cs="宋体"/>
                <w:i w:val="0"/>
                <w:color w:val="000000"/>
                <w:kern w:val="0"/>
                <w:sz w:val="21"/>
                <w:szCs w:val="21"/>
                <w:u w:val="none"/>
                <w:lang w:val="en-US" w:eastAsia="zh-CN" w:bidi="ar"/>
              </w:rPr>
              <w:t>20.00</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403" w:hRule="exac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2080501</w:t>
            </w:r>
          </w:p>
        </w:tc>
        <w:tc>
          <w:tcPr>
            <w:tcW w:w="1349" w:type="pct"/>
            <w:gridSpan w:val="3"/>
            <w:tcBorders>
              <w:top w:val="nil"/>
              <w:left w:val="nil"/>
              <w:bottom w:val="single" w:color="auto" w:sz="4" w:space="0"/>
              <w:right w:val="single" w:color="auto" w:sz="4" w:space="0"/>
            </w:tcBorders>
            <w:shd w:val="clear" w:color="000000" w:fill="FFFFFF"/>
            <w:noWrap/>
            <w:tcMar>
              <w:top w:w="15" w:type="dxa"/>
              <w:left w:w="108" w:type="dxa"/>
              <w:bottom w:w="0" w:type="dxa"/>
              <w:right w:w="108" w:type="dxa"/>
            </w:tcMar>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行政单位离退休</w:t>
            </w:r>
          </w:p>
        </w:tc>
        <w:tc>
          <w:tcPr>
            <w:tcW w:w="46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auto"/>
                <w:sz w:val="18"/>
                <w:szCs w:val="18"/>
                <w:lang w:val="en-US" w:eastAsia="zh-CN"/>
              </w:rPr>
            </w:pPr>
            <w:r>
              <w:rPr>
                <w:rFonts w:hint="eastAsia" w:ascii="宋体" w:hAnsi="宋体" w:eastAsia="宋体" w:cs="宋体"/>
                <w:i w:val="0"/>
                <w:color w:val="000000"/>
                <w:kern w:val="0"/>
                <w:sz w:val="21"/>
                <w:szCs w:val="21"/>
                <w:u w:val="none"/>
                <w:lang w:val="en-US" w:eastAsia="zh-CN" w:bidi="ar"/>
              </w:rPr>
              <w:t>1,082.47</w:t>
            </w:r>
          </w:p>
        </w:tc>
        <w:tc>
          <w:tcPr>
            <w:tcW w:w="477"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FF0000"/>
                <w:sz w:val="18"/>
                <w:szCs w:val="18"/>
              </w:rPr>
            </w:pPr>
            <w:r>
              <w:rPr>
                <w:rFonts w:hint="eastAsia" w:ascii="宋体" w:hAnsi="宋体" w:eastAsia="宋体" w:cs="宋体"/>
                <w:i w:val="0"/>
                <w:color w:val="000000"/>
                <w:kern w:val="0"/>
                <w:sz w:val="21"/>
                <w:szCs w:val="21"/>
                <w:u w:val="none"/>
                <w:lang w:val="en-US" w:eastAsia="zh-CN" w:bidi="ar"/>
              </w:rPr>
              <w:t>1,082.47</w:t>
            </w:r>
          </w:p>
        </w:tc>
        <w:tc>
          <w:tcPr>
            <w:tcW w:w="476" w:type="pct"/>
            <w:gridSpan w:val="2"/>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67"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51"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c>
          <w:tcPr>
            <w:tcW w:w="482" w:type="pct"/>
            <w:tcBorders>
              <w:top w:val="nil"/>
              <w:left w:val="nil"/>
              <w:bottom w:val="single" w:color="auto" w:sz="4" w:space="0"/>
              <w:right w:val="single" w:color="auto" w:sz="4" w:space="0"/>
            </w:tcBorders>
            <w:shd w:val="clear" w:color="auto" w:fill="auto"/>
            <w:noWrap/>
            <w:tcMar>
              <w:top w:w="15" w:type="dxa"/>
              <w:left w:w="108" w:type="dxa"/>
              <w:bottom w:w="0" w:type="dxa"/>
              <w:right w:w="108" w:type="dxa"/>
            </w:tcMar>
            <w:vAlign w:val="center"/>
          </w:tcPr>
          <w:p>
            <w:pPr>
              <w:jc w:val="right"/>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615" w:hRule="atLeast"/>
          <w:jc w:val="center"/>
        </w:trPr>
        <w:tc>
          <w:tcPr>
            <w:tcW w:w="5000" w:type="pct"/>
            <w:gridSpan w:val="14"/>
            <w:tcBorders>
              <w:top w:val="nil"/>
              <w:left w:val="nil"/>
              <w:bottom w:val="nil"/>
              <w:right w:val="nil"/>
            </w:tcBorders>
            <w:shd w:val="clear" w:color="auto" w:fill="auto"/>
            <w:tcMar>
              <w:top w:w="15" w:type="dxa"/>
              <w:left w:w="108" w:type="dxa"/>
              <w:bottom w:w="0" w:type="dxa"/>
              <w:right w:w="108" w:type="dxa"/>
            </w:tcMar>
            <w:vAlign w:val="center"/>
          </w:tcPr>
          <w:p>
            <w:pPr>
              <w:rPr>
                <w:rFonts w:hint="eastAsia" w:asciiTheme="majorEastAsia" w:hAnsiTheme="majorEastAsia" w:eastAsiaTheme="majorEastAsia" w:cstheme="majorEastAsia"/>
                <w:sz w:val="20"/>
                <w:szCs w:val="20"/>
              </w:rPr>
            </w:pPr>
          </w:p>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9"/>
        <w:tblpPr w:leftFromText="180" w:rightFromText="180" w:vertAnchor="text" w:horzAnchor="page" w:tblpX="803" w:tblpY="609"/>
        <w:tblOverlap w:val="never"/>
        <w:tblW w:w="5000" w:type="pct"/>
        <w:tblInd w:w="0" w:type="dxa"/>
        <w:tblLayout w:type="autofit"/>
        <w:tblCellMar>
          <w:top w:w="0" w:type="dxa"/>
          <w:left w:w="108" w:type="dxa"/>
          <w:bottom w:w="0" w:type="dxa"/>
          <w:right w:w="108" w:type="dxa"/>
        </w:tblCellMar>
      </w:tblPr>
      <w:tblGrid>
        <w:gridCol w:w="2110"/>
        <w:gridCol w:w="234"/>
        <w:gridCol w:w="3585"/>
        <w:gridCol w:w="1733"/>
        <w:gridCol w:w="1234"/>
        <w:gridCol w:w="1234"/>
        <w:gridCol w:w="1733"/>
        <w:gridCol w:w="1234"/>
        <w:gridCol w:w="2517"/>
      </w:tblGrid>
      <w:tr>
        <w:tblPrEx>
          <w:tblCellMar>
            <w:top w:w="0" w:type="dxa"/>
            <w:left w:w="108" w:type="dxa"/>
            <w:bottom w:w="0" w:type="dxa"/>
            <w:right w:w="108" w:type="dxa"/>
          </w:tblCellMar>
        </w:tblPrEx>
        <w:trPr>
          <w:trHeight w:val="807" w:hRule="atLeast"/>
        </w:trPr>
        <w:tc>
          <w:tcPr>
            <w:tcW w:w="5000" w:type="pct"/>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676"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4"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48"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03" w:type="pct"/>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676"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heme="minorEastAsia" w:hAnsiTheme="minorEastAsia" w:eastAsiaTheme="minorEastAsia" w:cstheme="minorEastAsia"/>
                <w:color w:val="000000"/>
                <w:kern w:val="0"/>
                <w:sz w:val="20"/>
                <w:szCs w:val="20"/>
              </w:rPr>
              <w:t>湖南省统计局</w:t>
            </w:r>
          </w:p>
        </w:tc>
        <w:tc>
          <w:tcPr>
            <w:tcW w:w="74"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48"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5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03" w:type="pct"/>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1899"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项    目</w:t>
            </w:r>
          </w:p>
        </w:tc>
        <w:tc>
          <w:tcPr>
            <w:tcW w:w="55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本年支出合计</w:t>
            </w:r>
          </w:p>
        </w:tc>
        <w:tc>
          <w:tcPr>
            <w:tcW w:w="3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基本支出</w:t>
            </w:r>
          </w:p>
        </w:tc>
        <w:tc>
          <w:tcPr>
            <w:tcW w:w="3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项目支出</w:t>
            </w:r>
          </w:p>
        </w:tc>
        <w:tc>
          <w:tcPr>
            <w:tcW w:w="55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上缴上级支出</w:t>
            </w:r>
          </w:p>
        </w:tc>
        <w:tc>
          <w:tcPr>
            <w:tcW w:w="3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经营支出</w:t>
            </w:r>
          </w:p>
        </w:tc>
        <w:tc>
          <w:tcPr>
            <w:tcW w:w="80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对附属单位补助支出</w:t>
            </w:r>
          </w:p>
        </w:tc>
      </w:tr>
      <w:tr>
        <w:tblPrEx>
          <w:tblCellMar>
            <w:top w:w="0" w:type="dxa"/>
            <w:left w:w="108" w:type="dxa"/>
            <w:bottom w:w="0" w:type="dxa"/>
            <w:right w:w="108" w:type="dxa"/>
          </w:tblCellMar>
        </w:tblPrEx>
        <w:trPr>
          <w:trHeight w:val="595" w:hRule="atLeast"/>
        </w:trPr>
        <w:tc>
          <w:tcPr>
            <w:tcW w:w="751"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功能分类科目编码</w:t>
            </w:r>
          </w:p>
        </w:tc>
        <w:tc>
          <w:tcPr>
            <w:tcW w:w="1148"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科目名称</w:t>
            </w:r>
          </w:p>
        </w:tc>
        <w:tc>
          <w:tcPr>
            <w:tcW w:w="5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8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r>
      <w:tr>
        <w:tblPrEx>
          <w:tblCellMar>
            <w:top w:w="0" w:type="dxa"/>
            <w:left w:w="108" w:type="dxa"/>
            <w:bottom w:w="0" w:type="dxa"/>
            <w:right w:w="108" w:type="dxa"/>
          </w:tblCellMar>
        </w:tblPrEx>
        <w:trPr>
          <w:trHeight w:val="312" w:hRule="atLeast"/>
        </w:trPr>
        <w:tc>
          <w:tcPr>
            <w:tcW w:w="75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114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8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r>
      <w:tr>
        <w:tblPrEx>
          <w:tblCellMar>
            <w:top w:w="0" w:type="dxa"/>
            <w:left w:w="108" w:type="dxa"/>
            <w:bottom w:w="0" w:type="dxa"/>
            <w:right w:w="108" w:type="dxa"/>
          </w:tblCellMar>
        </w:tblPrEx>
        <w:trPr>
          <w:trHeight w:val="595" w:hRule="atLeast"/>
        </w:trPr>
        <w:tc>
          <w:tcPr>
            <w:tcW w:w="189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栏次</w:t>
            </w:r>
          </w:p>
        </w:tc>
        <w:tc>
          <w:tcPr>
            <w:tcW w:w="55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p>
        </w:tc>
        <w:tc>
          <w:tcPr>
            <w:tcW w:w="39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p>
        </w:tc>
        <w:tc>
          <w:tcPr>
            <w:tcW w:w="39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p>
        </w:tc>
        <w:tc>
          <w:tcPr>
            <w:tcW w:w="55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4</w:t>
            </w:r>
          </w:p>
        </w:tc>
        <w:tc>
          <w:tcPr>
            <w:tcW w:w="39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5</w:t>
            </w:r>
          </w:p>
        </w:tc>
        <w:tc>
          <w:tcPr>
            <w:tcW w:w="803"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6</w:t>
            </w:r>
          </w:p>
        </w:tc>
      </w:tr>
      <w:tr>
        <w:tblPrEx>
          <w:tblCellMar>
            <w:top w:w="0" w:type="dxa"/>
            <w:left w:w="108" w:type="dxa"/>
            <w:bottom w:w="0" w:type="dxa"/>
            <w:right w:w="108" w:type="dxa"/>
          </w:tblCellMar>
        </w:tblPrEx>
        <w:trPr>
          <w:trHeight w:val="595" w:hRule="atLeast"/>
        </w:trPr>
        <w:tc>
          <w:tcPr>
            <w:tcW w:w="189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合计</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11,392.93</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6,315.93</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5,077.00</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2050803</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培训支出</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58.40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58.40</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2080801</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死亡抚恤</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58.41</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58.41</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2040202</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一般行政管理事务</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44.06</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44.06</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2010501</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行政运行</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3,904.95</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3,904.95</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2010502</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一般行政管理事务</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115.54</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115.54</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2019999</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其他一般公共服务支出</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122.04</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122.04</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2080505</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机关事业单位基本养老保险缴费支出</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381.48</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381.48</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2010507</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专项普查活动</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3,461.22</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3,461.22</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2111001</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能源节约利用</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10.56</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10.56</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2010505</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专项统计业务</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1,212.09</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1,212.09</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2010506</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统计管理</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50.72</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50.72</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2210201</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住房公积金</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391.85</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391.85</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2101101</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行政单位医疗</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512.58</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512.58</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2210203</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购房补贴</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2.37</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2.37</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2080501</w:t>
            </w:r>
          </w:p>
        </w:tc>
        <w:tc>
          <w:tcPr>
            <w:tcW w:w="1148"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行政单位离退休</w:t>
            </w:r>
          </w:p>
        </w:tc>
        <w:tc>
          <w:tcPr>
            <w:tcW w:w="5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1,066.66</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1,066.66</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55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0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5000" w:type="pct"/>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注：本表反映部门本年度各项支出情况。</w:t>
            </w:r>
          </w:p>
        </w:tc>
      </w:tr>
    </w:tbl>
    <w:p>
      <w:pPr>
        <w:widowControl/>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3"/>
        <w:rPr>
          <w:rFonts w:ascii="Times New Roman" w:hAnsi="Times New Roman" w:eastAsia="方正小标宋_GBK" w:cs="Times New Roman"/>
          <w:color w:val="000000"/>
          <w:kern w:val="0"/>
          <w:sz w:val="36"/>
          <w:szCs w:val="36"/>
        </w:rPr>
      </w:pPr>
    </w:p>
    <w:p>
      <w:pPr>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3"/>
      </w:pPr>
    </w:p>
    <w:tbl>
      <w:tblPr>
        <w:tblStyle w:val="9"/>
        <w:tblpPr w:leftFromText="180" w:rightFromText="180" w:vertAnchor="text" w:horzAnchor="page" w:tblpX="759" w:tblpY="93"/>
        <w:tblOverlap w:val="never"/>
        <w:tblW w:w="5000" w:type="pct"/>
        <w:tblInd w:w="0" w:type="dxa"/>
        <w:tblLayout w:type="autofit"/>
        <w:tblCellMar>
          <w:top w:w="0" w:type="dxa"/>
          <w:left w:w="108" w:type="dxa"/>
          <w:bottom w:w="0" w:type="dxa"/>
          <w:right w:w="108" w:type="dxa"/>
        </w:tblCellMar>
      </w:tblPr>
      <w:tblGrid>
        <w:gridCol w:w="3509"/>
        <w:gridCol w:w="616"/>
        <w:gridCol w:w="1098"/>
        <w:gridCol w:w="3295"/>
        <w:gridCol w:w="616"/>
        <w:gridCol w:w="1093"/>
        <w:gridCol w:w="1777"/>
        <w:gridCol w:w="1527"/>
        <w:gridCol w:w="2083"/>
      </w:tblGrid>
      <w:tr>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1124"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1"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5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0"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69"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9"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65" w:type="pct"/>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1124"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heme="minorEastAsia" w:hAnsiTheme="minorEastAsia" w:eastAsiaTheme="minorEastAsia" w:cstheme="minorEastAsia"/>
                <w:color w:val="000000"/>
                <w:kern w:val="0"/>
                <w:sz w:val="20"/>
                <w:szCs w:val="20"/>
              </w:rPr>
              <w:t>湖南省统计局</w:t>
            </w:r>
          </w:p>
        </w:tc>
        <w:tc>
          <w:tcPr>
            <w:tcW w:w="197"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1"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55"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0"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69"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9" w:type="pct"/>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65" w:type="pct"/>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1673"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收入</w:t>
            </w:r>
          </w:p>
        </w:tc>
        <w:tc>
          <w:tcPr>
            <w:tcW w:w="3326" w:type="pct"/>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支出</w:t>
            </w:r>
          </w:p>
        </w:tc>
      </w:tr>
      <w:tr>
        <w:tblPrEx>
          <w:tblCellMar>
            <w:top w:w="0" w:type="dxa"/>
            <w:left w:w="108" w:type="dxa"/>
            <w:bottom w:w="0" w:type="dxa"/>
            <w:right w:w="108" w:type="dxa"/>
          </w:tblCellMar>
        </w:tblPrEx>
        <w:trPr>
          <w:trHeight w:val="630"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项    目</w:t>
            </w:r>
          </w:p>
        </w:tc>
        <w:tc>
          <w:tcPr>
            <w:tcW w:w="19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行次</w:t>
            </w:r>
          </w:p>
        </w:tc>
        <w:tc>
          <w:tcPr>
            <w:tcW w:w="35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金额</w:t>
            </w:r>
          </w:p>
        </w:tc>
        <w:tc>
          <w:tcPr>
            <w:tcW w:w="105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项    目</w:t>
            </w:r>
          </w:p>
        </w:tc>
        <w:tc>
          <w:tcPr>
            <w:tcW w:w="19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行次</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合计</w:t>
            </w:r>
          </w:p>
        </w:tc>
        <w:tc>
          <w:tcPr>
            <w:tcW w:w="569"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一般公共预算财政拨款</w:t>
            </w:r>
          </w:p>
        </w:tc>
        <w:tc>
          <w:tcPr>
            <w:tcW w:w="489"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政府性基金预算财政拨款</w:t>
            </w:r>
          </w:p>
        </w:tc>
        <w:tc>
          <w:tcPr>
            <w:tcW w:w="665"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国有资本经营预算财政拨款</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栏    次</w:t>
            </w:r>
          </w:p>
        </w:tc>
        <w:tc>
          <w:tcPr>
            <w:tcW w:w="19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　</w:t>
            </w:r>
          </w:p>
        </w:tc>
        <w:tc>
          <w:tcPr>
            <w:tcW w:w="35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p>
        </w:tc>
        <w:tc>
          <w:tcPr>
            <w:tcW w:w="105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栏    次</w:t>
            </w:r>
          </w:p>
        </w:tc>
        <w:tc>
          <w:tcPr>
            <w:tcW w:w="19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　</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p>
        </w:tc>
        <w:tc>
          <w:tcPr>
            <w:tcW w:w="56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4</w:t>
            </w:r>
          </w:p>
        </w:tc>
        <w:tc>
          <w:tcPr>
            <w:tcW w:w="66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5</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一、一般公共预算财政拨款</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14,925.75</w:t>
            </w: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一、一般公共服务支出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8,866.56</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8,866.56</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二、政府性基金预算财政拨款</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二、外交支出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三、国有资本经营预算财政拨款</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三、国防支出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四、公共安全支出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44.06</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44.06</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五、教育支出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58.40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58.40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六、科学技术支出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七、文化旅游体育与传媒支出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八、社会保障和就业支出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1,506.55</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1,506.55</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九、卫生健康支出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512.58</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512.58</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十、节能环保支出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10.56</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10.56</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十一、城乡社区支出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十二、农林水支出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十三、交通运输支出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十四、资源勘探工业信息等支出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十五、商业服务业等支出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十六、金融支出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十七、援助其他地区支出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十八、自然资源海洋气象等支出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351"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05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十九、住房保障支出</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394.22</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394.22</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66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本年收入合计</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20</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14,925.75</w:t>
            </w:r>
          </w:p>
        </w:tc>
        <w:tc>
          <w:tcPr>
            <w:tcW w:w="105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本年支出合计</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20</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11,392.93</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11,392.93</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年初财政拨款结转和结余</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633.10</w:t>
            </w:r>
          </w:p>
        </w:tc>
        <w:tc>
          <w:tcPr>
            <w:tcW w:w="105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年末财政拨款结转和结余</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21</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4,165.92</w:t>
            </w:r>
          </w:p>
        </w:tc>
        <w:tc>
          <w:tcPr>
            <w:tcW w:w="5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4,165.92</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一般公共预算财政拨款</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22</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633.10</w:t>
            </w:r>
          </w:p>
        </w:tc>
        <w:tc>
          <w:tcPr>
            <w:tcW w:w="105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22</w:t>
            </w:r>
          </w:p>
        </w:tc>
        <w:tc>
          <w:tcPr>
            <w:tcW w:w="350"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0"/>
                <w:sz w:val="21"/>
                <w:szCs w:val="21"/>
              </w:rPr>
            </w:pPr>
          </w:p>
        </w:tc>
        <w:tc>
          <w:tcPr>
            <w:tcW w:w="569"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0"/>
                <w:sz w:val="21"/>
                <w:szCs w:val="21"/>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政府性基金预算财政拨款</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23</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105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23</w:t>
            </w:r>
          </w:p>
        </w:tc>
        <w:tc>
          <w:tcPr>
            <w:tcW w:w="350"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0"/>
                <w:sz w:val="21"/>
                <w:szCs w:val="21"/>
              </w:rPr>
            </w:pPr>
          </w:p>
        </w:tc>
        <w:tc>
          <w:tcPr>
            <w:tcW w:w="569"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0"/>
                <w:sz w:val="21"/>
                <w:szCs w:val="21"/>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国有资本经营预算财政拨款</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24</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0.00</w:t>
            </w:r>
          </w:p>
        </w:tc>
        <w:tc>
          <w:tcPr>
            <w:tcW w:w="105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24</w:t>
            </w:r>
          </w:p>
        </w:tc>
        <w:tc>
          <w:tcPr>
            <w:tcW w:w="350"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0"/>
                <w:sz w:val="21"/>
                <w:szCs w:val="21"/>
              </w:rPr>
            </w:pPr>
          </w:p>
        </w:tc>
        <w:tc>
          <w:tcPr>
            <w:tcW w:w="569"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0"/>
                <w:sz w:val="21"/>
                <w:szCs w:val="21"/>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1124"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19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25</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15,558.85</w:t>
            </w:r>
          </w:p>
        </w:tc>
        <w:tc>
          <w:tcPr>
            <w:tcW w:w="105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19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25</w:t>
            </w:r>
          </w:p>
        </w:tc>
        <w:tc>
          <w:tcPr>
            <w:tcW w:w="35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15,558.85</w:t>
            </w:r>
          </w:p>
        </w:tc>
        <w:tc>
          <w:tcPr>
            <w:tcW w:w="56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15,558.85</w:t>
            </w:r>
          </w:p>
        </w:tc>
        <w:tc>
          <w:tcPr>
            <w:tcW w:w="48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c>
          <w:tcPr>
            <w:tcW w:w="66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注：本表反映部门本年度一般公共预算财政拨款、政府性基金预算财政拨款和国有资本经营预算财政拨款的总收支和年末结转结余情况。</w:t>
            </w:r>
          </w:p>
        </w:tc>
      </w:tr>
    </w:tbl>
    <w:p>
      <w:pPr>
        <w:pStyle w:val="2"/>
      </w:pPr>
    </w:p>
    <w:p>
      <w:pPr>
        <w:widowControl/>
        <w:jc w:val="both"/>
        <w:rPr>
          <w:rFonts w:ascii="Times New Roman" w:hAnsi="Times New Roman" w:eastAsia="方正小标宋_GBK" w:cs="Times New Roman"/>
          <w:color w:val="000000"/>
          <w:kern w:val="0"/>
          <w:sz w:val="36"/>
          <w:szCs w:val="21"/>
        </w:rPr>
      </w:pPr>
    </w:p>
    <w:p>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pPr>
        <w:widowControl/>
        <w:jc w:val="cente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3"/>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3"/>
      </w:pPr>
    </w:p>
    <w:p/>
    <w:p>
      <w:pPr>
        <w:pStyle w:val="3"/>
      </w:pPr>
    </w:p>
    <w:p>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heme="minorEastAsia" w:hAnsiTheme="minorEastAsia" w:eastAsiaTheme="minorEastAsia" w:cstheme="minorEastAsia"/>
          <w:color w:val="000000"/>
          <w:kern w:val="0"/>
          <w:sz w:val="20"/>
          <w:szCs w:val="20"/>
        </w:rPr>
        <w:t>湖南省统计局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kern w:val="0"/>
                <w:sz w:val="20"/>
                <w:szCs w:val="20"/>
              </w:rPr>
            </w:pPr>
            <w:r>
              <w:rPr>
                <w:rFonts w:hint="eastAsia" w:asciiTheme="majorEastAsia" w:hAnsiTheme="majorEastAsia" w:eastAsiaTheme="majorEastAsia" w:cstheme="majorEastAsia"/>
                <w:b/>
                <w:kern w:val="0"/>
                <w:sz w:val="20"/>
                <w:szCs w:val="20"/>
              </w:rPr>
              <w:t xml:space="preserve">项 </w:t>
            </w:r>
            <w:r>
              <w:rPr>
                <w:rFonts w:hint="eastAsia" w:asciiTheme="majorEastAsia" w:hAnsiTheme="majorEastAsia" w:eastAsiaTheme="majorEastAsia" w:cstheme="majorEastAsia"/>
                <w:b/>
                <w:color w:val="000000"/>
                <w:kern w:val="0"/>
                <w:sz w:val="20"/>
                <w:szCs w:val="20"/>
              </w:rPr>
              <w:t xml:space="preserve">   </w:t>
            </w:r>
            <w:r>
              <w:rPr>
                <w:rFonts w:hint="eastAsia" w:asciiTheme="majorEastAsia" w:hAnsiTheme="majorEastAsia" w:eastAsiaTheme="majorEastAsia" w:cstheme="majorEastAsia"/>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b/>
                <w:kern w:val="0"/>
                <w:sz w:val="20"/>
                <w:szCs w:val="20"/>
              </w:rPr>
            </w:pPr>
            <w:r>
              <w:rPr>
                <w:rFonts w:hint="eastAsia" w:asciiTheme="majorEastAsia" w:hAnsiTheme="majorEastAsia" w:eastAsiaTheme="majorEastAsia" w:cstheme="majorEastAsia"/>
                <w:b/>
                <w:kern w:val="0"/>
                <w:sz w:val="20"/>
                <w:szCs w:val="20"/>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kern w:val="0"/>
                <w:sz w:val="20"/>
                <w:szCs w:val="20"/>
              </w:rPr>
            </w:pPr>
            <w:r>
              <w:rPr>
                <w:rFonts w:hint="eastAsia" w:asciiTheme="majorEastAsia" w:hAnsiTheme="majorEastAsia" w:eastAsiaTheme="majorEastAsia" w:cstheme="majorEastAsia"/>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kern w:val="0"/>
                <w:sz w:val="20"/>
                <w:szCs w:val="20"/>
              </w:rPr>
            </w:pPr>
            <w:r>
              <w:rPr>
                <w:rFonts w:hint="eastAsia" w:asciiTheme="majorEastAsia" w:hAnsiTheme="majorEastAsia" w:eastAsiaTheme="majorEastAsia" w:cstheme="majorEastAsia"/>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kern w:val="0"/>
                <w:sz w:val="20"/>
                <w:szCs w:val="20"/>
              </w:rPr>
            </w:pPr>
            <w:r>
              <w:rPr>
                <w:rFonts w:hint="eastAsia" w:asciiTheme="majorEastAsia" w:hAnsiTheme="majorEastAsia" w:eastAsiaTheme="majorEastAsia" w:cstheme="majorEastAsia"/>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kern w:val="0"/>
                <w:sz w:val="20"/>
                <w:szCs w:val="20"/>
              </w:rPr>
            </w:pPr>
            <w:r>
              <w:rPr>
                <w:rFonts w:hint="eastAsia" w:asciiTheme="majorEastAsia" w:hAnsiTheme="majorEastAsia" w:eastAsiaTheme="majorEastAsia" w:cstheme="majorEastAsia"/>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Theme="majorEastAsia" w:hAnsiTheme="majorEastAsia" w:eastAsiaTheme="majorEastAsia" w:cstheme="majorEastAsia"/>
                <w:b/>
                <w:kern w:val="0"/>
                <w:sz w:val="20"/>
                <w:szCs w:val="20"/>
              </w:rPr>
            </w:pPr>
            <w:r>
              <w:rPr>
                <w:rFonts w:hint="eastAsia" w:asciiTheme="majorEastAsia" w:hAnsiTheme="majorEastAsia" w:eastAsiaTheme="majorEastAsia" w:cstheme="majorEastAsia"/>
                <w:b/>
                <w:kern w:val="0"/>
                <w:sz w:val="20"/>
                <w:szCs w:val="20"/>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Theme="majorEastAsia" w:hAnsiTheme="majorEastAsia" w:eastAsiaTheme="majorEastAsia" w:cstheme="majorEastAsia"/>
                <w:kern w:val="0"/>
                <w:sz w:val="20"/>
                <w:szCs w:val="20"/>
              </w:rPr>
            </w:pPr>
          </w:p>
        </w:tc>
      </w:tr>
      <w:tr>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ajorEastAsia" w:hAnsiTheme="majorEastAsia" w:eastAsiaTheme="majorEastAsia" w:cstheme="majorEastAsia"/>
                <w:kern w:val="0"/>
                <w:sz w:val="20"/>
                <w:szCs w:val="20"/>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Theme="majorEastAsia" w:hAnsiTheme="majorEastAsia" w:eastAsiaTheme="majorEastAsia" w:cstheme="majorEastAsia"/>
                <w:kern w:val="0"/>
                <w:sz w:val="20"/>
                <w:szCs w:val="20"/>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heme="majorEastAsia" w:hAnsiTheme="majorEastAsia" w:eastAsiaTheme="majorEastAsia" w:cstheme="majorEastAsia"/>
                <w:kern w:val="0"/>
                <w:sz w:val="20"/>
                <w:szCs w:val="20"/>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b/>
                <w:i w:val="0"/>
                <w:color w:val="000000"/>
                <w:kern w:val="0"/>
                <w:sz w:val="20"/>
                <w:szCs w:val="20"/>
                <w:u w:val="none"/>
                <w:lang w:val="en-US" w:eastAsia="zh-CN" w:bidi="ar"/>
              </w:rPr>
              <w:t>11,392.93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b/>
                <w:i w:val="0"/>
                <w:color w:val="000000"/>
                <w:kern w:val="0"/>
                <w:sz w:val="20"/>
                <w:szCs w:val="20"/>
                <w:u w:val="none"/>
                <w:lang w:val="en-US" w:eastAsia="zh-CN" w:bidi="ar"/>
              </w:rPr>
              <w:t>6,315.93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b/>
                <w:i w:val="0"/>
                <w:color w:val="000000"/>
                <w:kern w:val="0"/>
                <w:sz w:val="20"/>
                <w:szCs w:val="20"/>
                <w:u w:val="none"/>
                <w:lang w:val="en-US" w:eastAsia="zh-CN" w:bidi="ar"/>
              </w:rPr>
              <w:t>5,077.00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2050803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培训支出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58.40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58.40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58.41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58.41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44.06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44.06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2010501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3,904.95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3,904.95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2119999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其他节能环保支出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2010502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115.54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115.54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122.04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122.04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381.48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381.48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2010507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专项普查活动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3,461.22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3,461.22</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2111001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能源节约利用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10.56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10.56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专项统计业务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1,212.09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1,212.09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2010506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统计管理</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50.72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50.72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391.85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391.85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512.58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512.58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2210203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购房补贴</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2.37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其他污染防治支出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2080501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行政单位离退休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1,066.66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1,066.66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6188" w:type="dxa"/>
        <w:tblInd w:w="0" w:type="dxa"/>
        <w:tblLayout w:type="fixed"/>
        <w:tblCellMar>
          <w:top w:w="0" w:type="dxa"/>
          <w:left w:w="108" w:type="dxa"/>
          <w:bottom w:w="0" w:type="dxa"/>
          <w:right w:w="108" w:type="dxa"/>
        </w:tblCellMar>
      </w:tblPr>
      <w:tblGrid>
        <w:gridCol w:w="714"/>
        <w:gridCol w:w="118"/>
        <w:gridCol w:w="118"/>
        <w:gridCol w:w="3392"/>
        <w:gridCol w:w="298"/>
        <w:gridCol w:w="797"/>
        <w:gridCol w:w="313"/>
        <w:gridCol w:w="632"/>
        <w:gridCol w:w="1286"/>
        <w:gridCol w:w="148"/>
        <w:gridCol w:w="619"/>
        <w:gridCol w:w="377"/>
        <w:gridCol w:w="990"/>
        <w:gridCol w:w="885"/>
        <w:gridCol w:w="361"/>
        <w:gridCol w:w="3224"/>
        <w:gridCol w:w="305"/>
        <w:gridCol w:w="955"/>
        <w:gridCol w:w="656"/>
      </w:tblGrid>
      <w:tr>
        <w:tblPrEx>
          <w:tblCellMar>
            <w:top w:w="0" w:type="dxa"/>
            <w:left w:w="108" w:type="dxa"/>
            <w:bottom w:w="0" w:type="dxa"/>
            <w:right w:w="108" w:type="dxa"/>
          </w:tblCellMar>
        </w:tblPrEx>
        <w:trPr>
          <w:gridAfter w:val="1"/>
          <w:wAfter w:w="656" w:type="dxa"/>
          <w:trHeight w:val="113" w:hRule="atLeast"/>
        </w:trPr>
        <w:tc>
          <w:tcPr>
            <w:tcW w:w="15532" w:type="dxa"/>
            <w:gridSpan w:val="18"/>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32"/>
                <w:szCs w:val="32"/>
              </w:rPr>
            </w:pP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湖南省统计局</w:t>
            </w:r>
            <w:r>
              <w:rPr>
                <w:rFonts w:hint="eastAsia" w:ascii="Times New Roman" w:hAnsi="Times New Roman" w:eastAsia="仿宋_GB2312" w:cs="Times New Roman"/>
                <w:color w:val="000000"/>
                <w:kern w:val="0"/>
                <w:szCs w:val="21"/>
              </w:rPr>
              <w:t xml:space="preserve">                                                                                                                     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gridAfter w:val="1"/>
          <w:wAfter w:w="656" w:type="dxa"/>
          <w:trHeight w:val="113" w:hRule="atLeast"/>
        </w:trPr>
        <w:tc>
          <w:tcPr>
            <w:tcW w:w="8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经济分类科目编码</w:t>
            </w:r>
          </w:p>
        </w:tc>
        <w:tc>
          <w:tcPr>
            <w:tcW w:w="351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科目名称</w:t>
            </w:r>
          </w:p>
        </w:tc>
        <w:tc>
          <w:tcPr>
            <w:tcW w:w="10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决算数</w:t>
            </w:r>
          </w:p>
        </w:tc>
        <w:tc>
          <w:tcPr>
            <w:tcW w:w="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经济分类科目编码</w:t>
            </w:r>
          </w:p>
        </w:tc>
        <w:tc>
          <w:tcPr>
            <w:tcW w:w="243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科目名称</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决算数</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经济分类科目编码</w:t>
            </w:r>
          </w:p>
        </w:tc>
        <w:tc>
          <w:tcPr>
            <w:tcW w:w="35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科目名称</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决算数</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工资福利支出</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4,286.42</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商品和服务支出</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868.59</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307</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债务利息及费用支出</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30101</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基本工资</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875.47</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30201</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办公费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73.06</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30701</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国内债务付息</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30102</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津贴补贴</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868.21</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30202</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印刷费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21.39</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30702</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国外债务付息</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30103</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奖金</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989.67</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30203</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咨询费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资本性支出</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57.22</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30106</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伙食补助费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271.32</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30204</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手续费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31001</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房屋建筑物购建</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30107</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绩效工资</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30205</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水费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31002</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办公设备购置</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57.22</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30108</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机关事业单位基本养老保险缴费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381.48</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30206</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电费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31003</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专用设备购置</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30109</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职业年金缴费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30207</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邮电费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10.62</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31005</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基础设施建设</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30110</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职工基本医疗保险缴费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263.62</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30208</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取暖费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23.55</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31006</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大型修缮</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30111</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公务员医疗补助缴费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211.07</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30209</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物业管理费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22.60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31007</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信息网络及软件购置更新</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30112</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其他社会保障缴费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33.73</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30211</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差旅费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17.18</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31008</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物资储备</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30113</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住房公积金</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391.85</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30212</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因公出国（境）费用</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31009</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土地补偿</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30114</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医疗费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30213</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维修（护）费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16.84</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31010</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安置补助</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30199</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其他工资福利支出</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30214</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租赁费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10.89</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31011</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地上附着物和青苗补偿</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对个人和家庭的补助</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1,103.70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30215</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会议费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31012</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拆迁补偿</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30301</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离休费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107.40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30216</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培训费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0.06</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31013</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公务用车购置</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30302</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退休费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626.83</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30217</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公务接待费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3.43</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31019</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其他交通工具购置</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30303</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退职（役）费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30218</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专用材料费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31021</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文物和陈列品购置</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30304</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抚恤金</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176.75</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30224</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被装购置费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31022</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无形资产购置</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30305</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生活补助</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0.90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30225</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专用燃料费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31099</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其他资本性支出</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30306</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救济费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30226</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劳务费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110.21</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399</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其他支出</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30307</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医疗费补助</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150.14</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30227</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委托业务费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13.68</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39907</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  国家赔偿费用支出</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30308</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助学金</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30228</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工会经费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99.50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39908</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  对民间非营利组织和群众性自治组织补贴</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30309</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奖励金</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30.15</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30229</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福利费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21.62</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3990</w:t>
            </w:r>
            <w:r>
              <w:rPr>
                <w:rFonts w:hint="eastAsia" w:asciiTheme="minorEastAsia" w:hAnsiTheme="minorEastAsia" w:eastAsiaTheme="minorEastAsia" w:cstheme="minorEastAsia"/>
                <w:color w:val="000000"/>
                <w:kern w:val="0"/>
                <w:sz w:val="20"/>
                <w:szCs w:val="20"/>
                <w:lang w:val="en-US" w:eastAsia="zh-CN"/>
              </w:rPr>
              <w:t>9</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经常性赠与</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30310</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个人农业生产补贴</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30231</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公务用车运行维护费</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27.25</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399</w:t>
            </w:r>
            <w:r>
              <w:rPr>
                <w:rFonts w:hint="eastAsia" w:asciiTheme="minorEastAsia" w:hAnsiTheme="minorEastAsia" w:eastAsiaTheme="minorEastAsia" w:cstheme="minorEastAsia"/>
                <w:color w:val="000000"/>
                <w:kern w:val="0"/>
                <w:sz w:val="20"/>
                <w:szCs w:val="20"/>
                <w:lang w:val="en-US" w:eastAsia="zh-CN"/>
              </w:rPr>
              <w:t>10</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 xml:space="preserve">  资本性赠与</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30311</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代缴社会保险费</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30239</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其他交通费用</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196.97</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39999</w:t>
            </w:r>
          </w:p>
        </w:tc>
        <w:tc>
          <w:tcPr>
            <w:tcW w:w="35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其他支出</w:t>
            </w:r>
          </w:p>
        </w:tc>
        <w:tc>
          <w:tcPr>
            <w:tcW w:w="12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30399</w:t>
            </w:r>
          </w:p>
        </w:tc>
        <w:tc>
          <w:tcPr>
            <w:tcW w:w="351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其他对个人和家庭的补助</w:t>
            </w:r>
          </w:p>
        </w:tc>
        <w:tc>
          <w:tcPr>
            <w:tcW w:w="109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11.53</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30240</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税金及附加费用</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5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gridAfter w:val="1"/>
          <w:wAfter w:w="656" w:type="dxa"/>
          <w:trHeight w:val="284" w:hRule="exact"/>
        </w:trPr>
        <w:tc>
          <w:tcPr>
            <w:tcW w:w="83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5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0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30299</w:t>
            </w:r>
          </w:p>
        </w:tc>
        <w:tc>
          <w:tcPr>
            <w:tcW w:w="243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其他商品和服务支出</w:t>
            </w:r>
          </w:p>
        </w:tc>
        <w:tc>
          <w:tcPr>
            <w:tcW w:w="9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154.74</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5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gridAfter w:val="1"/>
          <w:wAfter w:w="656" w:type="dxa"/>
          <w:trHeight w:val="284" w:hRule="exact"/>
        </w:trPr>
        <w:tc>
          <w:tcPr>
            <w:tcW w:w="434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人员经费合计</w:t>
            </w:r>
          </w:p>
        </w:tc>
        <w:tc>
          <w:tcPr>
            <w:tcW w:w="10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5390.12</w:t>
            </w:r>
          </w:p>
        </w:tc>
        <w:tc>
          <w:tcPr>
            <w:tcW w:w="8835"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公用经费合计</w:t>
            </w:r>
          </w:p>
        </w:tc>
        <w:tc>
          <w:tcPr>
            <w:tcW w:w="12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925.81</w:t>
            </w:r>
          </w:p>
        </w:tc>
      </w:tr>
      <w:tr>
        <w:tblPrEx>
          <w:tblCellMar>
            <w:top w:w="0" w:type="dxa"/>
            <w:left w:w="108" w:type="dxa"/>
            <w:bottom w:w="0" w:type="dxa"/>
            <w:right w:w="108" w:type="dxa"/>
          </w:tblCellMar>
        </w:tblPrEx>
        <w:trPr>
          <w:gridAfter w:val="1"/>
          <w:wAfter w:w="656" w:type="dxa"/>
          <w:trHeight w:val="284" w:hRule="exact"/>
        </w:trPr>
        <w:tc>
          <w:tcPr>
            <w:tcW w:w="15532"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690" w:hRule="atLeast"/>
        </w:trPr>
        <w:tc>
          <w:tcPr>
            <w:tcW w:w="15532" w:type="dxa"/>
            <w:gridSpan w:val="18"/>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宋体"/>
                <w:color w:val="000000"/>
                <w:kern w:val="0"/>
                <w:sz w:val="32"/>
                <w:szCs w:val="32"/>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14"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69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11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6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613"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52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61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640" w:type="dxa"/>
            <w:gridSpan w:val="5"/>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部门：湖南省统计局</w:t>
            </w:r>
          </w:p>
        </w:tc>
        <w:tc>
          <w:tcPr>
            <w:tcW w:w="111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6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613"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52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61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459" w:hRule="atLeast"/>
        </w:trPr>
        <w:tc>
          <w:tcPr>
            <w:tcW w:w="4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项 </w:t>
            </w:r>
            <w:r>
              <w:rPr>
                <w:rStyle w:val="16"/>
                <w:rFonts w:hint="eastAsia" w:asciiTheme="majorEastAsia" w:hAnsiTheme="majorEastAsia" w:eastAsiaTheme="majorEastAsia" w:cstheme="majorEastAsia"/>
                <w:sz w:val="20"/>
                <w:szCs w:val="20"/>
                <w:lang w:val="en-US" w:eastAsia="zh-CN" w:bidi="ar"/>
              </w:rPr>
              <w:t xml:space="preserve">   </w:t>
            </w:r>
            <w:r>
              <w:rPr>
                <w:rStyle w:val="17"/>
                <w:rFonts w:hint="eastAsia" w:asciiTheme="majorEastAsia" w:hAnsiTheme="majorEastAsia" w:eastAsiaTheme="majorEastAsia" w:cstheme="majorEastAsia"/>
                <w:sz w:val="20"/>
                <w:szCs w:val="20"/>
                <w:lang w:val="en-US" w:eastAsia="zh-CN" w:bidi="ar"/>
              </w:rPr>
              <w:t>目</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年初结转和结余</w:t>
            </w:r>
          </w:p>
        </w:tc>
        <w:tc>
          <w:tcPr>
            <w:tcW w:w="2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本年收入</w:t>
            </w:r>
          </w:p>
        </w:tc>
        <w:tc>
          <w:tcPr>
            <w:tcW w:w="66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本年支出</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609" w:hRule="atLeast"/>
        </w:trPr>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科目代码</w:t>
            </w:r>
          </w:p>
        </w:tc>
        <w:tc>
          <w:tcPr>
            <w:tcW w:w="35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科目名称</w:t>
            </w: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2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1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小计</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基本支出  </w:t>
            </w:r>
          </w:p>
        </w:tc>
        <w:tc>
          <w:tcPr>
            <w:tcW w:w="35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项目支出</w:t>
            </w: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409" w:hRule="atLeast"/>
        </w:trPr>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5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2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509" w:hRule="atLeast"/>
        </w:trPr>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5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2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509" w:hRule="atLeast"/>
        </w:trPr>
        <w:tc>
          <w:tcPr>
            <w:tcW w:w="4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栏次</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w:t>
            </w: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w:t>
            </w:r>
          </w:p>
        </w:tc>
        <w:tc>
          <w:tcPr>
            <w:tcW w:w="1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w:t>
            </w: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509" w:hRule="atLeast"/>
        </w:trPr>
        <w:tc>
          <w:tcPr>
            <w:tcW w:w="4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合计</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509" w:hRule="atLeast"/>
        </w:trPr>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509" w:hRule="atLeast"/>
        </w:trPr>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509" w:hRule="atLeast"/>
        </w:trPr>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509" w:hRule="atLeast"/>
        </w:trPr>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6" w:type="dxa"/>
          <w:trHeight w:val="725" w:hRule="atLeast"/>
        </w:trPr>
        <w:tc>
          <w:tcPr>
            <w:tcW w:w="15532"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auto"/>
                <w:kern w:val="0"/>
                <w:sz w:val="20"/>
                <w:szCs w:val="20"/>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671"/>
        <w:gridCol w:w="2177"/>
        <w:gridCol w:w="3135"/>
        <w:gridCol w:w="3135"/>
        <w:gridCol w:w="3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01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67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7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13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13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864"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部门：湖南省统计局</w:t>
            </w:r>
          </w:p>
        </w:tc>
        <w:tc>
          <w:tcPr>
            <w:tcW w:w="313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13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项    </w:t>
            </w:r>
            <w:r>
              <w:rPr>
                <w:rStyle w:val="18"/>
                <w:rFonts w:hint="eastAsia" w:asciiTheme="majorEastAsia" w:hAnsiTheme="majorEastAsia" w:eastAsiaTheme="majorEastAsia" w:cstheme="majorEastAsia"/>
                <w:sz w:val="20"/>
                <w:szCs w:val="20"/>
                <w:lang w:val="en-US" w:eastAsia="zh-CN" w:bidi="ar"/>
              </w:rPr>
              <w:t>目</w:t>
            </w:r>
          </w:p>
        </w:tc>
        <w:tc>
          <w:tcPr>
            <w:tcW w:w="10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科目代码</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科目名称</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合计</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基本支出  </w:t>
            </w:r>
          </w:p>
        </w:tc>
        <w:tc>
          <w:tcPr>
            <w:tcW w:w="3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栏次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合计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auto"/>
                <w:kern w:val="0"/>
                <w:sz w:val="20"/>
                <w:szCs w:val="20"/>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3"/>
        <w:rPr>
          <w:rFonts w:hint="eastAsia"/>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221"/>
        <w:gridCol w:w="1177"/>
        <w:gridCol w:w="1177"/>
        <w:gridCol w:w="1177"/>
        <w:gridCol w:w="1177"/>
        <w:gridCol w:w="1177"/>
        <w:gridCol w:w="1222"/>
        <w:gridCol w:w="1177"/>
        <w:gridCol w:w="1177"/>
        <w:gridCol w:w="1177"/>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1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2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2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37"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部门：湖南省统计局</w:t>
            </w: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2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9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预算数</w:t>
            </w:r>
          </w:p>
        </w:tc>
        <w:tc>
          <w:tcPr>
            <w:tcW w:w="7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合计</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因公出国（境）费</w:t>
            </w:r>
          </w:p>
        </w:tc>
        <w:tc>
          <w:tcPr>
            <w:tcW w:w="35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公务用车购置及运行维护费</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公务接待费</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合计</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因公出国（境）费</w:t>
            </w:r>
          </w:p>
        </w:tc>
        <w:tc>
          <w:tcPr>
            <w:tcW w:w="35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公务用车购置及运行维护费</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小计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公务用车</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购置费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公务用车</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运行维护费</w:t>
            </w: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小计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公务用车</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购置费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公务用车</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运行维护费</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8</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9</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30.68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27.25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27.25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年度收、支总计</w:t>
      </w:r>
      <w:r>
        <w:rPr>
          <w:rFonts w:hint="default" w:ascii="Times New Roman" w:hAnsi="Times New Roman" w:eastAsia="仿宋_GB2312"/>
          <w:color w:val="auto"/>
          <w:sz w:val="32"/>
          <w:szCs w:val="32"/>
          <w:lang w:val="en"/>
        </w:rPr>
        <w:t>15558.85</w:t>
      </w:r>
      <w:r>
        <w:rPr>
          <w:rFonts w:hint="eastAsia" w:ascii="Times New Roman" w:hAnsi="Times New Roman" w:eastAsia="仿宋_GB2312"/>
          <w:color w:val="auto"/>
          <w:sz w:val="32"/>
          <w:szCs w:val="32"/>
        </w:rPr>
        <w:t>万元。与上年相比，增加</w:t>
      </w:r>
      <w:r>
        <w:rPr>
          <w:rFonts w:hint="default" w:ascii="Times New Roman" w:hAnsi="Times New Roman" w:eastAsia="仿宋_GB2312"/>
          <w:color w:val="auto"/>
          <w:sz w:val="32"/>
          <w:szCs w:val="32"/>
          <w:lang w:val="en"/>
        </w:rPr>
        <w:t>4914.22</w:t>
      </w:r>
      <w:r>
        <w:rPr>
          <w:rFonts w:hint="eastAsia" w:ascii="Times New Roman" w:hAnsi="Times New Roman" w:eastAsia="仿宋_GB2312"/>
          <w:color w:val="auto"/>
          <w:sz w:val="32"/>
          <w:szCs w:val="32"/>
        </w:rPr>
        <w:t>万元，增长</w:t>
      </w:r>
      <w:r>
        <w:rPr>
          <w:rFonts w:hint="default" w:ascii="Times New Roman" w:hAnsi="Times New Roman" w:eastAsia="仿宋_GB2312"/>
          <w:color w:val="auto"/>
          <w:sz w:val="32"/>
          <w:szCs w:val="32"/>
          <w:lang w:val="en"/>
        </w:rPr>
        <w:t>46.17</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新增第五次经济普查经费。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14925.75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14925.75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11392.93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6315.93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55.44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5077.00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44.56</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15558.85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4914.22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46.17</w:t>
      </w:r>
      <w:r>
        <w:rPr>
          <w:rFonts w:hint="eastAsia" w:ascii="Times New Roman" w:hAnsi="Times New Roman" w:eastAsia="仿宋_GB2312"/>
          <w:sz w:val="32"/>
          <w:szCs w:val="32"/>
        </w:rPr>
        <w:t>%，主要是因为</w:t>
      </w:r>
      <w:r>
        <w:rPr>
          <w:rFonts w:hint="eastAsia" w:ascii="Times New Roman" w:hAnsi="Times New Roman" w:eastAsia="仿宋_GB2312"/>
          <w:color w:val="auto"/>
          <w:sz w:val="32"/>
          <w:szCs w:val="32"/>
          <w:lang w:eastAsia="zh-CN"/>
        </w:rPr>
        <w:t>新增第五次经济普查经费。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11392.93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default" w:ascii="Times New Roman" w:hAnsi="Times New Roman" w:eastAsia="仿宋_GB2312"/>
          <w:sz w:val="32"/>
          <w:szCs w:val="32"/>
          <w:lang w:val="en"/>
        </w:rPr>
        <w:t>1920.49</w:t>
      </w:r>
      <w:r>
        <w:rPr>
          <w:rFonts w:hint="eastAsia" w:ascii="Times New Roman" w:hAnsi="Times New Roman" w:eastAsia="仿宋_GB2312"/>
          <w:sz w:val="32"/>
          <w:szCs w:val="32"/>
        </w:rPr>
        <w:t>万元，增长</w:t>
      </w:r>
      <w:r>
        <w:rPr>
          <w:rFonts w:hint="default" w:ascii="Times New Roman" w:hAnsi="Times New Roman" w:eastAsia="仿宋_GB2312"/>
          <w:sz w:val="32"/>
          <w:szCs w:val="32"/>
          <w:lang w:val="en"/>
        </w:rPr>
        <w:t>20.27</w:t>
      </w:r>
      <w:r>
        <w:rPr>
          <w:rFonts w:hint="eastAsia" w:ascii="Times New Roman" w:hAnsi="Times New Roman" w:eastAsia="仿宋_GB2312"/>
          <w:sz w:val="32"/>
          <w:szCs w:val="32"/>
        </w:rPr>
        <w:t>%，主要是因为</w:t>
      </w:r>
      <w:r>
        <w:rPr>
          <w:rFonts w:hint="eastAsia" w:ascii="Times New Roman" w:hAnsi="Times New Roman" w:eastAsia="仿宋_GB2312"/>
          <w:color w:val="auto"/>
          <w:sz w:val="32"/>
          <w:szCs w:val="32"/>
          <w:lang w:eastAsia="zh-CN"/>
        </w:rPr>
        <w:t>新增第五次经济普查经费。</w:t>
      </w:r>
    </w:p>
    <w:p>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default" w:ascii="Times New Roman" w:hAnsi="Times New Roman" w:eastAsia="仿宋_GB2312"/>
          <w:sz w:val="32"/>
          <w:szCs w:val="32"/>
          <w:lang w:val="en"/>
        </w:rPr>
        <w:t>11392.93</w:t>
      </w:r>
      <w:r>
        <w:rPr>
          <w:rFonts w:hint="eastAsia" w:ascii="Times New Roman" w:hAnsi="Times New Roman" w:eastAsia="仿宋_GB2312"/>
          <w:sz w:val="32"/>
          <w:szCs w:val="32"/>
        </w:rPr>
        <w:t>万元，主要用于以下方面：一般公共服务（类）支出8866.56万元，占</w:t>
      </w:r>
      <w:r>
        <w:rPr>
          <w:rFonts w:hint="default" w:ascii="Times New Roman" w:hAnsi="Times New Roman" w:eastAsia="仿宋_GB2312"/>
          <w:sz w:val="32"/>
          <w:szCs w:val="32"/>
          <w:lang w:val="en"/>
        </w:rPr>
        <w:t>77.83</w:t>
      </w:r>
      <w:r>
        <w:rPr>
          <w:rFonts w:hint="eastAsia" w:ascii="Times New Roman" w:hAnsi="Times New Roman" w:eastAsia="仿宋_GB2312"/>
          <w:sz w:val="32"/>
          <w:szCs w:val="32"/>
        </w:rPr>
        <w:t>%；公共安全支出44.06万元，占</w:t>
      </w:r>
      <w:r>
        <w:rPr>
          <w:rFonts w:hint="default" w:ascii="Times New Roman" w:hAnsi="Times New Roman" w:eastAsia="仿宋_GB2312"/>
          <w:sz w:val="32"/>
          <w:szCs w:val="32"/>
          <w:lang w:val="en"/>
        </w:rPr>
        <w:t>0.39</w:t>
      </w:r>
      <w:r>
        <w:rPr>
          <w:rFonts w:hint="eastAsia" w:ascii="Times New Roman" w:hAnsi="Times New Roman" w:eastAsia="仿宋_GB2312"/>
          <w:sz w:val="32"/>
          <w:szCs w:val="32"/>
        </w:rPr>
        <w:t>%;教育支出58.4</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0.51</w:t>
      </w:r>
      <w:r>
        <w:rPr>
          <w:rFonts w:hint="eastAsia" w:ascii="Times New Roman" w:hAnsi="Times New Roman" w:eastAsia="仿宋_GB2312"/>
          <w:sz w:val="32"/>
          <w:szCs w:val="32"/>
        </w:rPr>
        <w:t>%；社会保障和就业支出1506.55万元，占</w:t>
      </w:r>
      <w:r>
        <w:rPr>
          <w:rFonts w:hint="default" w:ascii="Times New Roman" w:hAnsi="Times New Roman" w:eastAsia="仿宋_GB2312"/>
          <w:sz w:val="32"/>
          <w:szCs w:val="32"/>
          <w:lang w:val="en"/>
        </w:rPr>
        <w:t>13.22</w:t>
      </w:r>
      <w:r>
        <w:rPr>
          <w:rFonts w:hint="eastAsia" w:ascii="Times New Roman" w:hAnsi="Times New Roman" w:eastAsia="仿宋_GB2312"/>
          <w:sz w:val="32"/>
          <w:szCs w:val="32"/>
        </w:rPr>
        <w:t>%；卫生健康支出512.58万元，占</w:t>
      </w:r>
      <w:r>
        <w:rPr>
          <w:rFonts w:hint="default" w:ascii="Times New Roman" w:hAnsi="Times New Roman" w:eastAsia="仿宋_GB2312"/>
          <w:sz w:val="32"/>
          <w:szCs w:val="32"/>
          <w:lang w:val="en"/>
        </w:rPr>
        <w:t>4.50</w:t>
      </w:r>
      <w:r>
        <w:rPr>
          <w:rFonts w:hint="eastAsia" w:ascii="Times New Roman" w:hAnsi="Times New Roman" w:eastAsia="仿宋_GB2312"/>
          <w:sz w:val="32"/>
          <w:szCs w:val="32"/>
        </w:rPr>
        <w:t>%；节能环保支出10.56万元，占</w:t>
      </w:r>
      <w:r>
        <w:rPr>
          <w:rFonts w:hint="default" w:ascii="Times New Roman" w:hAnsi="Times New Roman" w:eastAsia="仿宋_GB2312"/>
          <w:sz w:val="32"/>
          <w:szCs w:val="32"/>
          <w:lang w:val="en"/>
        </w:rPr>
        <w:t>0.09</w:t>
      </w:r>
      <w:r>
        <w:rPr>
          <w:rFonts w:hint="eastAsia" w:ascii="Times New Roman" w:hAnsi="Times New Roman" w:eastAsia="仿宋_GB2312"/>
          <w:sz w:val="32"/>
          <w:szCs w:val="32"/>
        </w:rPr>
        <w:t>%；住房保障支出</w:t>
      </w:r>
      <w:r>
        <w:rPr>
          <w:rFonts w:hint="default" w:ascii="Times New Roman" w:hAnsi="Times New Roman" w:eastAsia="仿宋_GB2312"/>
          <w:sz w:val="32"/>
          <w:szCs w:val="32"/>
          <w:lang w:val="en"/>
        </w:rPr>
        <w:t>394.22</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3.46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8247.70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11392.93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138.13</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统计信息事务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FF0000"/>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3961.00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3,904.95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98.58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统计信息事务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115.00</w:t>
      </w:r>
      <w:r>
        <w:rPr>
          <w:rFonts w:hint="eastAsia" w:ascii="Times New Roman" w:hAnsi="Times New Roman" w:eastAsia="仿宋_GB2312"/>
          <w:sz w:val="32"/>
          <w:szCs w:val="32"/>
        </w:rPr>
        <w:t>万元，支出决算</w:t>
      </w:r>
      <w:bookmarkStart w:id="3" w:name="OLE_LINK1"/>
      <w:r>
        <w:rPr>
          <w:rFonts w:hint="eastAsia" w:ascii="Times New Roman" w:hAnsi="Times New Roman" w:eastAsia="仿宋_GB2312"/>
          <w:sz w:val="32"/>
          <w:szCs w:val="32"/>
        </w:rPr>
        <w:t>为</w:t>
      </w:r>
      <w:r>
        <w:rPr>
          <w:rFonts w:hint="eastAsia" w:ascii="Times New Roman" w:hAnsi="Times New Roman" w:eastAsia="仿宋_GB2312"/>
          <w:sz w:val="32"/>
          <w:szCs w:val="32"/>
          <w:lang w:val="en-US" w:eastAsia="zh-CN"/>
        </w:rPr>
        <w:t>115.54</w:t>
      </w:r>
      <w:r>
        <w:rPr>
          <w:rFonts w:hint="eastAsia" w:ascii="Times New Roman" w:hAnsi="Times New Roman" w:eastAsia="仿宋_GB2312"/>
          <w:sz w:val="32"/>
          <w:szCs w:val="32"/>
        </w:rPr>
        <w:t>万</w:t>
      </w:r>
      <w:bookmarkEnd w:id="3"/>
      <w:r>
        <w:rPr>
          <w:rFonts w:hint="eastAsia" w:ascii="Times New Roman" w:hAnsi="Times New Roman" w:eastAsia="仿宋_GB2312"/>
          <w:sz w:val="32"/>
          <w:szCs w:val="32"/>
        </w:rPr>
        <w:t>元，完成年初预算的</w:t>
      </w:r>
      <w:r>
        <w:rPr>
          <w:rFonts w:hint="eastAsia" w:ascii="Times New Roman" w:hAnsi="Times New Roman" w:eastAsia="仿宋_GB2312"/>
          <w:sz w:val="32"/>
          <w:szCs w:val="32"/>
          <w:lang w:val="en-US" w:eastAsia="zh-CN"/>
        </w:rPr>
        <w:t>100.47</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新增统计督察费用。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统计信息事务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专项统计业务</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w:t>
      </w:r>
      <w:r>
        <w:rPr>
          <w:rFonts w:hint="eastAsia" w:ascii="Times New Roman" w:hAnsi="Times New Roman" w:eastAsia="仿宋_GB2312"/>
          <w:color w:val="auto"/>
          <w:sz w:val="32"/>
          <w:szCs w:val="32"/>
          <w:lang w:val="en-US" w:eastAsia="zh-CN"/>
        </w:rPr>
        <w:t>67.93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1212.09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88.61</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部分统计执法工作已开展，但未及时报账。</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（类）统计信息事务（款）统计管理（项）。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50.72</w:t>
      </w:r>
      <w:r>
        <w:rPr>
          <w:rFonts w:hint="eastAsia" w:ascii="Times New Roman" w:hAnsi="Times New Roman" w:eastAsia="仿宋_GB2312"/>
          <w:sz w:val="32"/>
          <w:szCs w:val="32"/>
        </w:rPr>
        <w:t>万</w:t>
      </w:r>
      <w:r>
        <w:rPr>
          <w:rFonts w:hint="eastAsia" w:ascii="Times New Roman" w:hAnsi="Times New Roman" w:eastAsia="仿宋_GB2312"/>
          <w:color w:val="auto"/>
          <w:sz w:val="32"/>
          <w:szCs w:val="32"/>
        </w:rPr>
        <w:t>元，决算数</w:t>
      </w:r>
      <w:r>
        <w:rPr>
          <w:rFonts w:hint="eastAsia" w:ascii="Times New Roman" w:hAnsi="Times New Roman" w:eastAsia="仿宋_GB2312"/>
          <w:color w:val="auto"/>
          <w:sz w:val="32"/>
          <w:szCs w:val="32"/>
          <w:lang w:val="en-US" w:eastAsia="zh-CN"/>
        </w:rPr>
        <w:t>大于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val="en-US" w:eastAsia="zh-CN"/>
        </w:rPr>
        <w:t>新增湖南省企业电子统计台账软件采购经费</w:t>
      </w:r>
      <w:r>
        <w:rPr>
          <w:rFonts w:hint="eastAsia" w:ascii="Times New Roman" w:hAnsi="Times New Roman" w:eastAsia="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统计信息事务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专项普查活动</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151.42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3461.22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2285.84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新增第五次经济普查经费。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其他一般公共服务支出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其他一般公共服务支出</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123.72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122.04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98.64</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公共安全支出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公安</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一般行政管理事务</w:t>
      </w:r>
      <w:r>
        <w:rPr>
          <w:rFonts w:hint="eastAsia" w:ascii="Times New Roman" w:hAnsi="Times New Roman" w:eastAsia="仿宋_GB2312"/>
          <w:color w:val="auto"/>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44.06</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大</w:t>
      </w:r>
      <w:r>
        <w:rPr>
          <w:rFonts w:hint="eastAsia" w:ascii="Times New Roman" w:hAnsi="Times New Roman" w:eastAsia="仿宋_GB2312"/>
          <w:color w:val="auto"/>
          <w:sz w:val="32"/>
          <w:szCs w:val="32"/>
        </w:rPr>
        <w:t>于年初预算数的主要原因是追加禁毒调查经费</w:t>
      </w:r>
      <w:r>
        <w:rPr>
          <w:rFonts w:hint="eastAsia" w:ascii="Times New Roman" w:hAnsi="Times New Roman" w:eastAsia="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教育支出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进修及培训</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培训支出</w:t>
      </w:r>
      <w:r>
        <w:rPr>
          <w:rFonts w:hint="eastAsia" w:ascii="Times New Roman" w:hAnsi="Times New Roman" w:eastAsia="仿宋_GB2312"/>
          <w:color w:val="auto"/>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150.08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58.40</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38.91</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eastAsia="zh-CN"/>
        </w:rPr>
        <w:t>今年主要开展第五次经济普查培训，挤占了原有培训计划。</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行政事业单位养老支出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行政单位离退休</w:t>
      </w:r>
      <w:r>
        <w:rPr>
          <w:rFonts w:hint="eastAsia" w:ascii="Times New Roman" w:hAnsi="Times New Roman" w:eastAsia="仿宋_GB2312"/>
          <w:color w:val="auto"/>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990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1066.66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107.74</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大于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eastAsia="zh-CN"/>
        </w:rPr>
        <w:t>离退休干部去世人数较多，追加抚恤金；以及离退休干部年龄逐渐增长，老年病频发，住院人数增多。</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行政事业单位养老支出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机关事业单位基本养老保险缴费支出</w:t>
      </w:r>
      <w:r>
        <w:rPr>
          <w:rFonts w:hint="eastAsia" w:ascii="Times New Roman" w:hAnsi="Times New Roman" w:eastAsia="仿宋_GB2312"/>
          <w:color w:val="auto"/>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426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381.48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89.55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eastAsia="zh-CN"/>
        </w:rPr>
        <w:t>退休人数增加，该部分退休人员不需要再缴纳养老保险。</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抚恤</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死亡抚恤</w:t>
      </w:r>
      <w:r>
        <w:rPr>
          <w:rFonts w:hint="eastAsia" w:ascii="Times New Roman" w:hAnsi="Times New Roman" w:eastAsia="仿宋_GB2312"/>
          <w:color w:val="auto"/>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58.41</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大于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eastAsia="zh-CN"/>
        </w:rPr>
        <w:t>离退休干部去世人数较多，追加抚恤金。</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行政单位医疗</w:t>
      </w:r>
      <w:r>
        <w:rPr>
          <w:rFonts w:hint="eastAsia" w:ascii="Times New Roman" w:hAnsi="Times New Roman" w:eastAsia="仿宋_GB2312"/>
          <w:color w:val="auto"/>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525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512.58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97.63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节能环保支出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能源节约利用</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能源节约利用</w:t>
      </w:r>
      <w:r>
        <w:rPr>
          <w:rFonts w:hint="eastAsia" w:ascii="Times New Roman" w:hAnsi="Times New Roman" w:eastAsia="仿宋_GB2312"/>
          <w:color w:val="auto"/>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10.56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10.56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住房保障支出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住房改革支出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住房公积金</w:t>
      </w:r>
      <w:r>
        <w:rPr>
          <w:rFonts w:hint="eastAsia" w:ascii="Times New Roman" w:hAnsi="Times New Roman" w:eastAsia="仿宋_GB2312"/>
          <w:color w:val="auto"/>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427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391.85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91.77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住房保障支出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住房改革支出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购房补贴</w:t>
      </w:r>
      <w:r>
        <w:rPr>
          <w:rFonts w:hint="eastAsia" w:ascii="Times New Roman" w:hAnsi="Times New Roman" w:eastAsia="仿宋_GB2312"/>
          <w:color w:val="auto"/>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2.37</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val="en-US" w:eastAsia="zh-CN"/>
        </w:rPr>
        <w:t>大于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eastAsia="zh-CN"/>
        </w:rPr>
        <w:t>老职工提标购房补贴，后期追加相关经费。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6315.93</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5390.12万元，占基本支出的</w:t>
      </w:r>
      <w:r>
        <w:rPr>
          <w:rFonts w:hint="eastAsia" w:ascii="Times New Roman" w:hAnsi="Times New Roman" w:eastAsia="仿宋_GB2312"/>
          <w:sz w:val="32"/>
          <w:szCs w:val="32"/>
          <w:lang w:val="en-US" w:eastAsia="zh-CN"/>
        </w:rPr>
        <w:t>85.34</w:t>
      </w:r>
      <w:r>
        <w:rPr>
          <w:rFonts w:hint="eastAsia" w:ascii="Times New Roman" w:hAnsi="Times New Roman" w:eastAsia="仿宋_GB2312"/>
          <w:sz w:val="32"/>
          <w:szCs w:val="32"/>
        </w:rPr>
        <w:t>%,主要包括基本工资、津贴补贴、奖金、伙食补助费、社会保障缴费、住房公积金、离退休费、抚恤金、医疗费补助等</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925.81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14.66</w:t>
      </w:r>
      <w:r>
        <w:rPr>
          <w:rFonts w:hint="eastAsia" w:ascii="Times New Roman" w:hAnsi="Times New Roman" w:eastAsia="仿宋_GB2312"/>
          <w:sz w:val="32"/>
          <w:szCs w:val="32"/>
        </w:rPr>
        <w:t>%，主要包括办公费、印刷费、邮电费、水电费、取暖费、物业管理费、工会经费、福利费、公务接待费、公务用车运行维护费、其他交通费等。</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30.68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30.99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未产生因公出国（境）费用和公务接待费用减少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26.12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45.99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2023年未购置公务用车</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2023年无因公出国（境）活动</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w:t>
      </w:r>
      <w:r>
        <w:rPr>
          <w:rFonts w:hint="eastAsia" w:ascii="Times New Roman" w:hAnsi="Times New Roman" w:eastAsia="仿宋_GB2312"/>
          <w:color w:val="auto"/>
          <w:sz w:val="32"/>
          <w:szCs w:val="32"/>
          <w:lang w:val="en-US" w:eastAsia="zh-CN"/>
        </w:rPr>
        <w:t>24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3.43</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14.29</w:t>
      </w:r>
      <w:r>
        <w:rPr>
          <w:rFonts w:hint="eastAsia" w:ascii="Times New Roman" w:hAnsi="Times New Roman" w:eastAsia="仿宋_GB2312"/>
          <w:color w:val="auto"/>
          <w:sz w:val="32"/>
          <w:szCs w:val="32"/>
        </w:rPr>
        <w:t>%，决算数小于预算数的主要原因是</w:t>
      </w:r>
      <w:r>
        <w:rPr>
          <w:rFonts w:hint="eastAsia" w:ascii="Times New Roman" w:hAnsi="Times New Roman" w:eastAsia="仿宋_GB2312"/>
          <w:color w:val="auto"/>
          <w:sz w:val="32"/>
          <w:szCs w:val="32"/>
          <w:lang w:val="en-US" w:eastAsia="zh-CN"/>
        </w:rPr>
        <w:t>各机关事业单位响应党中央过紧日子的号召</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严格控制公务接待费用。</w:t>
      </w:r>
      <w:r>
        <w:rPr>
          <w:rFonts w:hint="eastAsia" w:ascii="Times New Roman" w:hAnsi="Times New Roman" w:eastAsia="仿宋_GB2312"/>
          <w:color w:val="auto"/>
          <w:sz w:val="32"/>
          <w:szCs w:val="32"/>
        </w:rPr>
        <w:t>与上年相比增加</w:t>
      </w:r>
      <w:r>
        <w:rPr>
          <w:rFonts w:hint="eastAsia" w:ascii="Times New Roman" w:hAnsi="Times New Roman" w:eastAsia="仿宋_GB2312"/>
          <w:color w:val="auto"/>
          <w:sz w:val="32"/>
          <w:szCs w:val="32"/>
          <w:lang w:val="en-US" w:eastAsia="zh-CN"/>
        </w:rPr>
        <w:t>2.16</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170.08</w:t>
      </w:r>
      <w:r>
        <w:rPr>
          <w:rFonts w:hint="eastAsia" w:ascii="Times New Roman" w:hAnsi="Times New Roman" w:eastAsia="仿宋_GB2312"/>
          <w:color w:val="auto"/>
          <w:sz w:val="32"/>
          <w:szCs w:val="32"/>
        </w:rPr>
        <w:t>%,增长的主要原因是</w:t>
      </w:r>
      <w:r>
        <w:rPr>
          <w:rFonts w:hint="eastAsia" w:ascii="Times New Roman" w:hAnsi="Times New Roman" w:eastAsia="仿宋_GB2312"/>
          <w:color w:val="auto"/>
          <w:sz w:val="32"/>
          <w:szCs w:val="32"/>
          <w:lang w:val="en-US" w:eastAsia="zh-CN"/>
        </w:rPr>
        <w:t>统计督察和调研交流增加，以及承接第三届中非经贸博览会代表团接待任务</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24.98</w:t>
      </w:r>
      <w:r>
        <w:rPr>
          <w:rFonts w:hint="eastAsia" w:ascii="Times New Roman" w:hAnsi="Times New Roman" w:eastAsia="仿宋_GB2312"/>
          <w:color w:val="auto"/>
          <w:sz w:val="32"/>
          <w:szCs w:val="32"/>
        </w:rPr>
        <w:t>万元，减少的主要原因是</w:t>
      </w:r>
      <w:r>
        <w:rPr>
          <w:rFonts w:hint="eastAsia" w:ascii="Times New Roman" w:hAnsi="Times New Roman" w:eastAsia="仿宋_GB2312"/>
          <w:color w:val="auto"/>
          <w:sz w:val="32"/>
          <w:szCs w:val="32"/>
          <w:lang w:val="en-US" w:eastAsia="zh-CN"/>
        </w:rPr>
        <w:t>2023年无公务用车购置计划</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FF0000"/>
          <w:sz w:val="32"/>
          <w:szCs w:val="32"/>
        </w:rPr>
      </w:pPr>
      <w:r>
        <w:rPr>
          <w:rFonts w:hint="eastAsia" w:ascii="Times New Roman" w:hAnsi="Times New Roman" w:eastAsia="仿宋_GB2312"/>
          <w:color w:val="auto"/>
          <w:sz w:val="32"/>
          <w:szCs w:val="32"/>
        </w:rPr>
        <w:t>公务用车运行维护费支出预算为</w:t>
      </w:r>
      <w:r>
        <w:rPr>
          <w:rFonts w:hint="eastAsia" w:ascii="Times New Roman" w:hAnsi="Times New Roman" w:eastAsia="仿宋_GB2312"/>
          <w:color w:val="auto"/>
          <w:sz w:val="32"/>
          <w:szCs w:val="32"/>
          <w:lang w:val="en-US" w:eastAsia="zh-CN"/>
        </w:rPr>
        <w:t>45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27.25</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60.56</w:t>
      </w:r>
      <w:r>
        <w:rPr>
          <w:rFonts w:hint="eastAsia" w:ascii="Times New Roman" w:hAnsi="Times New Roman" w:eastAsia="仿宋_GB2312"/>
          <w:color w:val="auto"/>
          <w:sz w:val="32"/>
          <w:szCs w:val="32"/>
        </w:rPr>
        <w:t>%，决算数小于预算数的主要原因是严控三公经费开支，减少公车运行维护费，与上年相比减少</w:t>
      </w:r>
      <w:r>
        <w:rPr>
          <w:rFonts w:hint="eastAsia" w:ascii="Times New Roman" w:hAnsi="Times New Roman" w:eastAsia="仿宋_GB2312"/>
          <w:color w:val="auto"/>
          <w:sz w:val="32"/>
          <w:szCs w:val="32"/>
          <w:lang w:val="en-US" w:eastAsia="zh-CN"/>
        </w:rPr>
        <w:t>3.3</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10.80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减少的主要原因是</w:t>
      </w:r>
      <w:r>
        <w:rPr>
          <w:rFonts w:hint="eastAsia" w:ascii="Times New Roman" w:hAnsi="Times New Roman" w:eastAsia="仿宋_GB2312"/>
          <w:color w:val="auto"/>
          <w:sz w:val="32"/>
          <w:szCs w:val="32"/>
          <w:lang w:val="en-US" w:eastAsia="zh-CN"/>
        </w:rPr>
        <w:t>后购置车辆为新能源车，且现存车辆状况较好，能耗较少</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年度“三公”经费财政拨款支出决算中，公务接待费支出决算</w:t>
      </w:r>
      <w:r>
        <w:rPr>
          <w:rFonts w:hint="eastAsia" w:ascii="Times New Roman" w:hAnsi="Times New Roman" w:eastAsia="仿宋_GB2312"/>
          <w:color w:val="auto"/>
          <w:sz w:val="32"/>
          <w:szCs w:val="32"/>
          <w:lang w:val="en-US" w:eastAsia="zh-CN"/>
        </w:rPr>
        <w:t>3.43</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11.18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因公出国（境）费支出决算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bookmarkStart w:id="4" w:name="_GoBack"/>
      <w:bookmarkEnd w:id="4"/>
      <w:r>
        <w:rPr>
          <w:rFonts w:hint="eastAsia" w:ascii="Times New Roman" w:hAnsi="Times New Roman" w:eastAsia="仿宋_GB2312"/>
          <w:color w:val="auto"/>
          <w:sz w:val="32"/>
          <w:szCs w:val="32"/>
        </w:rPr>
        <w:t>公务用车购置费及运行维护费支出决算</w:t>
      </w:r>
      <w:r>
        <w:rPr>
          <w:rFonts w:hint="eastAsia" w:ascii="Times New Roman" w:hAnsi="Times New Roman" w:eastAsia="仿宋_GB2312"/>
          <w:color w:val="auto"/>
          <w:sz w:val="32"/>
          <w:szCs w:val="32"/>
          <w:lang w:val="en-US" w:eastAsia="zh-CN"/>
        </w:rPr>
        <w:t>27.25</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88.82</w:t>
      </w:r>
      <w:r>
        <w:rPr>
          <w:rFonts w:hint="eastAsia" w:ascii="Times New Roman" w:hAnsi="Times New Roman" w:eastAsia="仿宋_GB2312"/>
          <w:color w:val="auto"/>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因公出国（境）费支出决算为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万元，全年安排因公出国（境）团组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个，累计</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人次</w:t>
      </w:r>
      <w:r>
        <w:rPr>
          <w:rFonts w:hint="eastAsia" w:ascii="Times New Roman" w:hAnsi="Times New Roman" w:eastAsia="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2、公务接待费支出决算为</w:t>
      </w:r>
      <w:r>
        <w:rPr>
          <w:rFonts w:hint="eastAsia" w:ascii="Times New Roman" w:hAnsi="Times New Roman" w:eastAsia="仿宋_GB2312"/>
          <w:color w:val="auto"/>
          <w:sz w:val="32"/>
          <w:szCs w:val="32"/>
          <w:lang w:val="en-US" w:eastAsia="zh-CN"/>
        </w:rPr>
        <w:t>3.43</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29</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113</w:t>
      </w:r>
      <w:r>
        <w:rPr>
          <w:rFonts w:hint="eastAsia" w:ascii="Times New Roman" w:hAnsi="Times New Roman" w:eastAsia="仿宋_GB2312"/>
          <w:color w:val="auto"/>
          <w:sz w:val="32"/>
          <w:szCs w:val="32"/>
        </w:rPr>
        <w:t>人次，主要是</w:t>
      </w:r>
      <w:r>
        <w:rPr>
          <w:rFonts w:hint="eastAsia" w:ascii="Times New Roman" w:hAnsi="Times New Roman" w:eastAsia="仿宋_GB2312"/>
          <w:color w:val="auto"/>
          <w:sz w:val="32"/>
          <w:szCs w:val="32"/>
          <w:lang w:eastAsia="zh-CN"/>
        </w:rPr>
        <w:t>与国家统计局和基层统计局进行</w:t>
      </w:r>
      <w:r>
        <w:rPr>
          <w:rFonts w:hint="eastAsia" w:ascii="Times New Roman" w:hAnsi="Times New Roman" w:eastAsia="仿宋_GB2312"/>
          <w:color w:val="auto"/>
          <w:sz w:val="32"/>
          <w:szCs w:val="32"/>
        </w:rPr>
        <w:t>统计督察和调研交流，以及承接第三届中非经贸博览会代表团接待任务。</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rPr>
        <w:t>3、公务用车购置费及运行维护费支出决算为</w:t>
      </w:r>
      <w:r>
        <w:rPr>
          <w:rFonts w:hint="eastAsia" w:ascii="Times New Roman" w:hAnsi="Times New Roman" w:eastAsia="仿宋_GB2312"/>
          <w:color w:val="auto"/>
          <w:sz w:val="32"/>
          <w:szCs w:val="32"/>
          <w:lang w:val="en-US" w:eastAsia="zh-CN"/>
        </w:rPr>
        <w:t>27.25</w:t>
      </w:r>
      <w:r>
        <w:rPr>
          <w:rFonts w:hint="eastAsia" w:ascii="Times New Roman" w:hAnsi="Times New Roman" w:eastAsia="仿宋_GB2312"/>
          <w:color w:val="auto"/>
          <w:sz w:val="32"/>
          <w:szCs w:val="32"/>
        </w:rPr>
        <w:t>万元，其中：公务用车购置费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湖南省统计局</w:t>
      </w:r>
      <w:r>
        <w:rPr>
          <w:rFonts w:hint="eastAsia" w:ascii="Times New Roman" w:hAnsi="Times New Roman" w:eastAsia="仿宋_GB2312"/>
          <w:color w:val="auto"/>
          <w:sz w:val="32"/>
          <w:szCs w:val="32"/>
        </w:rPr>
        <w:t>更新公务用车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辆。公务用车运行维护费</w:t>
      </w:r>
      <w:r>
        <w:rPr>
          <w:rFonts w:hint="eastAsia" w:ascii="Times New Roman" w:hAnsi="Times New Roman" w:eastAsia="仿宋_GB2312"/>
          <w:color w:val="auto"/>
          <w:sz w:val="32"/>
          <w:szCs w:val="32"/>
          <w:lang w:val="en-US" w:eastAsia="zh-CN"/>
        </w:rPr>
        <w:t>27.25</w:t>
      </w:r>
      <w:r>
        <w:rPr>
          <w:rFonts w:hint="eastAsia" w:ascii="Times New Roman" w:hAnsi="Times New Roman" w:eastAsia="仿宋_GB2312"/>
          <w:color w:val="auto"/>
          <w:sz w:val="32"/>
          <w:szCs w:val="32"/>
        </w:rPr>
        <w:t>万元，主要是</w:t>
      </w:r>
      <w:r>
        <w:rPr>
          <w:rFonts w:hint="eastAsia" w:ascii="Times New Roman" w:hAnsi="Times New Roman" w:eastAsia="仿宋_GB2312"/>
          <w:color w:val="auto"/>
          <w:sz w:val="32"/>
          <w:szCs w:val="32"/>
          <w:lang w:val="en-US" w:eastAsia="zh-CN"/>
        </w:rPr>
        <w:t>燃油费、维修费和车辆保险</w:t>
      </w:r>
      <w:r>
        <w:rPr>
          <w:rFonts w:hint="eastAsia" w:ascii="Times New Roman" w:hAnsi="Times New Roman" w:eastAsia="仿宋_GB2312"/>
          <w:color w:val="auto"/>
          <w:sz w:val="32"/>
          <w:szCs w:val="32"/>
        </w:rPr>
        <w:t>支出，截止202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年12月31日，我单位开支财政拨款的公务用车保有量为</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rPr>
        <w:t xml:space="preserve">     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年度本部门没有政府性基金收入，也没有使用政府性基金安排的支出。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925.81</w:t>
      </w:r>
      <w:r>
        <w:rPr>
          <w:rFonts w:hint="eastAsia" w:ascii="Times New Roman" w:hAnsi="Times New Roman" w:eastAsia="仿宋_GB2312"/>
          <w:color w:val="auto"/>
          <w:sz w:val="32"/>
          <w:szCs w:val="32"/>
        </w:rPr>
        <w:t>万元，比年初预算数增加</w:t>
      </w:r>
      <w:r>
        <w:rPr>
          <w:rFonts w:hint="eastAsia" w:ascii="Times New Roman" w:hAnsi="Times New Roman" w:eastAsia="仿宋_GB2312"/>
          <w:color w:val="auto"/>
          <w:sz w:val="32"/>
          <w:szCs w:val="32"/>
          <w:lang w:val="en-US" w:eastAsia="zh-CN"/>
        </w:rPr>
        <w:t>145.81</w:t>
      </w:r>
      <w:r>
        <w:rPr>
          <w:rFonts w:hint="eastAsia" w:ascii="Times New Roman" w:hAnsi="Times New Roman" w:eastAsia="仿宋_GB2312"/>
          <w:color w:val="auto"/>
          <w:sz w:val="32"/>
          <w:szCs w:val="32"/>
        </w:rPr>
        <w:t xml:space="preserve"> 万元，增长</w:t>
      </w:r>
      <w:r>
        <w:rPr>
          <w:rFonts w:hint="eastAsia" w:ascii="Times New Roman" w:hAnsi="Times New Roman" w:eastAsia="仿宋_GB2312"/>
          <w:color w:val="auto"/>
          <w:sz w:val="32"/>
          <w:szCs w:val="32"/>
          <w:lang w:val="en-US" w:eastAsia="zh-CN"/>
        </w:rPr>
        <w:t>18.69</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原在其他经费支出的</w:t>
      </w:r>
      <w:r>
        <w:rPr>
          <w:rFonts w:hint="eastAsia" w:ascii="Times New Roman" w:hAnsi="Times New Roman" w:eastAsia="仿宋_GB2312"/>
          <w:color w:val="auto"/>
          <w:sz w:val="32"/>
          <w:szCs w:val="32"/>
        </w:rPr>
        <w:t>临聘人员劳务费</w:t>
      </w:r>
      <w:r>
        <w:rPr>
          <w:rFonts w:hint="eastAsia" w:ascii="Times New Roman" w:hAnsi="Times New Roman" w:eastAsia="仿宋_GB2312"/>
          <w:color w:val="auto"/>
          <w:sz w:val="32"/>
          <w:szCs w:val="32"/>
          <w:lang w:eastAsia="zh-CN"/>
        </w:rPr>
        <w:t>改到公用经费支出</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19.45</w:t>
      </w:r>
      <w:r>
        <w:rPr>
          <w:rFonts w:hint="eastAsia" w:ascii="Times New Roman" w:hAnsi="Times New Roman" w:eastAsia="仿宋_GB2312"/>
          <w:color w:val="auto"/>
          <w:sz w:val="32"/>
          <w:szCs w:val="32"/>
        </w:rPr>
        <w:t>万元，用于召开</w:t>
      </w:r>
      <w:r>
        <w:rPr>
          <w:rFonts w:hint="eastAsia" w:ascii="Times New Roman" w:hAnsi="Times New Roman" w:eastAsia="仿宋_GB2312"/>
          <w:color w:val="auto"/>
          <w:sz w:val="32"/>
          <w:szCs w:val="32"/>
          <w:lang w:eastAsia="zh-CN"/>
        </w:rPr>
        <w:t>全省经济形势分析会、第五次经济普查工作部署会、全省统计系统民调工作会、全省工业统计工作会、全省贸易外经和产业园区统计工作会、全省投资领域统计数据联审会、全省人口就业社科文统计工作会、高级职称评审会等</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543</w:t>
      </w:r>
      <w:r>
        <w:rPr>
          <w:rFonts w:hint="eastAsia" w:ascii="Times New Roman" w:hAnsi="Times New Roman" w:eastAsia="仿宋_GB2312"/>
          <w:color w:val="auto"/>
          <w:sz w:val="32"/>
          <w:szCs w:val="32"/>
        </w:rPr>
        <w:t>人，内容为传达国家会议精神、布置相关工作、研讨会析、统计数据联审布置等；开支培训费</w:t>
      </w:r>
      <w:r>
        <w:rPr>
          <w:rFonts w:hint="eastAsia" w:ascii="Times New Roman" w:hAnsi="Times New Roman" w:eastAsia="仿宋_GB2312"/>
          <w:color w:val="auto"/>
          <w:sz w:val="32"/>
          <w:szCs w:val="32"/>
          <w:lang w:val="en-US" w:eastAsia="zh-CN"/>
        </w:rPr>
        <w:t>191.49</w:t>
      </w:r>
      <w:r>
        <w:rPr>
          <w:rFonts w:hint="eastAsia" w:ascii="Times New Roman" w:hAnsi="Times New Roman" w:eastAsia="仿宋_GB2312"/>
          <w:color w:val="auto"/>
          <w:sz w:val="32"/>
          <w:szCs w:val="32"/>
        </w:rPr>
        <w:t>万元，用于开展</w:t>
      </w:r>
      <w:r>
        <w:rPr>
          <w:rFonts w:hint="eastAsia" w:ascii="Times New Roman" w:hAnsi="Times New Roman" w:eastAsia="仿宋_GB2312"/>
          <w:color w:val="auto"/>
          <w:sz w:val="32"/>
          <w:szCs w:val="32"/>
          <w:lang w:eastAsia="zh-CN"/>
        </w:rPr>
        <w:t>全省五经普相关工作培训、统计执法证资格考试培训、全省工业数据相关工作</w:t>
      </w:r>
      <w:r>
        <w:rPr>
          <w:rFonts w:hint="eastAsia" w:ascii="Times New Roman" w:hAnsi="Times New Roman" w:eastAsia="仿宋_GB2312"/>
          <w:color w:val="auto"/>
          <w:sz w:val="32"/>
          <w:szCs w:val="32"/>
        </w:rPr>
        <w:t>培训</w:t>
      </w:r>
      <w:r>
        <w:rPr>
          <w:rFonts w:hint="eastAsia" w:ascii="Times New Roman" w:hAnsi="Times New Roman" w:eastAsia="仿宋_GB2312"/>
          <w:color w:val="auto"/>
          <w:sz w:val="32"/>
          <w:szCs w:val="32"/>
          <w:lang w:eastAsia="zh-CN"/>
        </w:rPr>
        <w:t>、全省人口分析技术培训、全省能源统计基层报表及碳排放统计核算业务培训、全省“一套表”调查单位审核等培训</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2330</w:t>
      </w:r>
      <w:r>
        <w:rPr>
          <w:rFonts w:hint="eastAsia" w:ascii="Times New Roman" w:hAnsi="Times New Roman" w:eastAsia="仿宋_GB2312"/>
          <w:color w:val="auto"/>
          <w:sz w:val="32"/>
          <w:szCs w:val="32"/>
        </w:rPr>
        <w:t>人，内容为第五次全国经济普查工作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统计知识普及、统计执法考试及各专业业务工作培训；</w:t>
      </w:r>
      <w:r>
        <w:rPr>
          <w:rFonts w:hint="eastAsia" w:ascii="Times New Roman" w:hAnsi="Times New Roman" w:eastAsia="仿宋_GB2312"/>
          <w:color w:val="auto"/>
          <w:sz w:val="32"/>
          <w:szCs w:val="32"/>
          <w:lang w:eastAsia="zh-CN"/>
        </w:rPr>
        <w:t>未</w:t>
      </w:r>
      <w:r>
        <w:rPr>
          <w:rFonts w:hint="eastAsia" w:ascii="Times New Roman" w:hAnsi="Times New Roman" w:eastAsia="仿宋_GB2312"/>
          <w:color w:val="auto"/>
          <w:sz w:val="32"/>
          <w:szCs w:val="32"/>
        </w:rPr>
        <w:t>举办节庆、晚会、论坛、赛事活动。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5343.74</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2908.22</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40.07</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2395.46</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733.31</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13.72</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549.74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74.97</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25.05</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5.57</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辆，其他用车主要是事业单位业务用车；单位价值100万元以上设备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（一）绩效管理工作开展情况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2023年，本部门积极推动预算资金投向与统计业务工作需求相结合，绩效评价结果与预算资金分配、预算执行过程相结合，将预算绩效管理理念贯穿到统计工作的全过程。根据《湖南省统计局关于全面实施预算绩效管理的实施措施》及《湖南省统计局预算绩效管理办法》，结合《湖南省统计局机关绩效考核管理暂行办法（通知）》，年初将部门预算分配至20个处室及单位，并分别编制预算绩效目标，将预算绩效考核落实到每项具体工作；年中定期开展预算执行进度及绩效监控，推动各项工作取得良好成效；年末开展绩效考核，预算绩效领导小组分别对处室预算执行情况及绩效指标完成情况进行汇总考核，形成考核结果，并将考核结果运用到下年度预算安排。</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湖南省统计局对标对表中央和省委省政府重大决策部署和国家统计局工作部署要求，切实履行统计职能，统筹推进乡村振兴和援疆援藏工作，为大力实施“三高四新”战略、推动全省高质量发展、奋力建设现代化新湖南提供了优质的统计服务，做出了积极的统计贡献。根据《部门整体支出绩效自评表》自评得分72.9分，部门预算整体支出绩效为“良”。</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部门整体支出绩效情况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是保日常工作运转。充分保障在职人员及离退休人员工资福利性支出、社会保障支出、住房改革支出和公用经费；保障离退休职工福利，因离休干部老年疾病频发，医疗费补助经费需求较大，本部门及时向省财政厅申请追加；积极落实各项重点工作经费保障，主动与省财政厅沟通，申请统计执法、投入产出调查、计算机软件和数据库投资统计调查等新增工作经费；开展文明创建工作，完成党建活动室、职工之家、借调人员宿舍装修工程及电路电缆改造，提升办公环境。</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是保常规工作开展。全省一、二、三产业及各专业统计调查正常开展，搜集、整理、分析统计数据，确保国家安排的统计调查任务的顺利完成；在强化贯通协同中提升统计监督效能，随同省委第三轮巡视开展统计专项监督检查；用创新办法破解统计工作中的困难问题，推进重点领域改革；主动服务重大战略，精细服务科学决策，联动市州统计局每月召开经济形势分析会，加强经济运行动态监测分析和预警研判，全年报送省委、省政府“两办”信息440篇次、高质量完成了各类综合性材料100余篇，被评为“全国统计分析报告专项业务考核三等奖”、“省委、省政府政务信息先进集体和个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是保重点工作推进。“五经普”是2023年全国重要工作。我局从组建普查机构、开展综合试点，制定普查方案，划分普查区、标绘建筑物、选聘普查“两员”，到“地毯式”单位清查、普查登记准备，省、市、县通过持续督导核查和审核验收，剔除70万家不符合方案要求的清查对象；全省摸清清查对象815.1万个，其中单位168.2万个，比“四经普”增加93.4%；个体经营户646.9万个，比“四经普”增加45.1%；动态维护更新单位60余万家；共审核“一套表”单位18032家，其中入库审核10165家，退库审核5741家，变更审核2126家。</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四是保网络平台畅通。坚持需求导向，夯实运维保障机制。保障企业用户正常上报, 全年累计服务调查对象超1000人次。把好培训沟通关，保障基层用户熟练掌握平台使用技巧。把好运维保障关，解决各类信息设备故障800余台次，保障各类会议220余场次。把好网络安全关，保障统计信息安全传输。确保全省统计联网直报各报告期的数据处理任务圆满完成。</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存在的问题及原因分析</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通过对本部门整体支出情况的分析，存在预算执行进度与时序进度有偏差等情况，存在的主要问题及原因有：</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（一）预算绩效指标体系制度建设需进一步加强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统计部门预算绩效评价指标体系制度建设需进一步完善，目前预算绩效指标设定是根据项目实际情况来的，但是可测算性不强，多为定性指标。共性的指标较少，而且各项目开展进程及方式不同，很难进行量化分析及同质化比较。</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（二）预算绩效完成情况与预算执行进度匹配度不高</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预算执行进度往往落后于预算绩效目标完成情况，项目开支往往是在项目完成到一定阶段后才进行经费支出。例如民意调查项目是在项目调查完毕后一次性经费支出。政府采购项目采购流程已完成，但尚未通过验收，将导致大额经费未支付，使得预算执行进度与绩效完成情况不一致。</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（三）统计专项汇总项目设定与公用经费重叠</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因年初预算编制时要求公用经费不得大于上年预算，而实际经费开支过程中，单位水、电、物业、采暖、工会经费、职工车补、老干活动经费等逐年增加，导致公用经费预算编制中留给保障单位基本运行所需的办公经费及会议培训费等额度不足，只能通过设置统计专项汇总项目来保障单位基本运行经费，导致项目经费开支范围模糊。</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（四）政府采购预算编制准确性有待于提升</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年初政府采购预算仅编制了限额以上的政府采购项目金额，未包含电子卖场采购金额，经常导致政府采购预算小于政府采购执行。另外就是普查年份年中追加采购预算较大，预算编制精准度还需进一步提高。</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（五）预算绩效管理人员业务素质能力参差不齐</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预算绩效管理工作是一项综合性工作，管理人员需要精通财会业务还要懂各部门工作业务。现在的情况是业务部门参与度不高。要加大对业务处室相关人员预算绩效工作系统培训，确实让他们参与到预算绩效管理中来，提高整个预算绩效的管理水平。</w:t>
      </w:r>
    </w:p>
    <w:p>
      <w:pPr>
        <w:pStyle w:val="13"/>
        <w:jc w:val="both"/>
        <w:rPr>
          <w:sz w:val="72"/>
          <w:szCs w:val="72"/>
        </w:rPr>
      </w:pPr>
    </w:p>
    <w:p>
      <w:pPr>
        <w:pStyle w:val="13"/>
        <w:jc w:val="center"/>
        <w:rPr>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一、收入科目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其他收入：指单位取得的纳入专户管理的非税收入。</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二、支出科目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年末结转和结余：指本年度或以前年度预算安排、因客观条件发生变化无法按原计划实施，需延迟到以后年度按有关规定继续使用的资金。</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三、“三公”经费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四、机关运行经费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小标宋_GBK" w:hAnsi="方正小标宋_GBK" w:eastAsia="方正小标宋_GBK" w:cs="方正小标宋_GBK"/>
          <w:sz w:val="72"/>
          <w:szCs w:val="72"/>
        </w:rPr>
      </w:pPr>
      <w:r>
        <w:rPr>
          <w:rFonts w:hint="eastAsia" w:ascii="Times New Roman" w:hAnsi="Times New Roman" w:eastAsia="仿宋_GB2312" w:cs="Times New Roman"/>
          <w:sz w:val="32"/>
          <w:szCs w:val="32"/>
        </w:rPr>
        <w:t>指各部门的公用经费，包括办公及印刷费、邮电费、差旅费、会议费、福利费、日常维修费、专用资料及一般设备购置费、办公用房水电费、网络租赁费、办公用房取暖费、办公用房物业管理费、公务用车运行维护费以及其他费用。为部门决算中行政单位和参照公务员法管理事业单位一般公共预算财政拨款基本支出中公用经费之和。</w:t>
      </w: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湖南省统计局2023年度部门决算公开表。</w:t>
      </w:r>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OThmNThhZDI0ZDlkMmE4MTUyOWQzMzk2MzkwNm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6C4598"/>
    <w:rsid w:val="0D7A1D5F"/>
    <w:rsid w:val="0ED168E7"/>
    <w:rsid w:val="10A233BB"/>
    <w:rsid w:val="10A351CC"/>
    <w:rsid w:val="16E4087E"/>
    <w:rsid w:val="1914414A"/>
    <w:rsid w:val="19CD710A"/>
    <w:rsid w:val="1B067C12"/>
    <w:rsid w:val="1D4D3111"/>
    <w:rsid w:val="1D97DEFF"/>
    <w:rsid w:val="1DE44EA3"/>
    <w:rsid w:val="1DFF72E5"/>
    <w:rsid w:val="1EFC6F07"/>
    <w:rsid w:val="1FDF5F5E"/>
    <w:rsid w:val="20A23754"/>
    <w:rsid w:val="2363559E"/>
    <w:rsid w:val="23F5BCE5"/>
    <w:rsid w:val="25EDFF1C"/>
    <w:rsid w:val="29184B8C"/>
    <w:rsid w:val="2BD61781"/>
    <w:rsid w:val="2BFFA4D0"/>
    <w:rsid w:val="2C8761E3"/>
    <w:rsid w:val="2DBE6256"/>
    <w:rsid w:val="2E692241"/>
    <w:rsid w:val="2FDF85B8"/>
    <w:rsid w:val="2FFFEE04"/>
    <w:rsid w:val="335039CF"/>
    <w:rsid w:val="337FA430"/>
    <w:rsid w:val="33E982EC"/>
    <w:rsid w:val="34DF85B0"/>
    <w:rsid w:val="37B1BFEF"/>
    <w:rsid w:val="39C06CA7"/>
    <w:rsid w:val="39CD5282"/>
    <w:rsid w:val="39E2DA91"/>
    <w:rsid w:val="3B7FFE89"/>
    <w:rsid w:val="3B8F36BC"/>
    <w:rsid w:val="3D5A71F9"/>
    <w:rsid w:val="3DB62D37"/>
    <w:rsid w:val="3DDE7A81"/>
    <w:rsid w:val="3E5D3F96"/>
    <w:rsid w:val="3FE99720"/>
    <w:rsid w:val="3FFBB55E"/>
    <w:rsid w:val="414032D5"/>
    <w:rsid w:val="449F1444"/>
    <w:rsid w:val="44C77869"/>
    <w:rsid w:val="466D731A"/>
    <w:rsid w:val="491FF225"/>
    <w:rsid w:val="4DFDF8BB"/>
    <w:rsid w:val="4FFD214C"/>
    <w:rsid w:val="4FFED8B8"/>
    <w:rsid w:val="52EC7A38"/>
    <w:rsid w:val="54E51102"/>
    <w:rsid w:val="56FFCCBD"/>
    <w:rsid w:val="5777D4F5"/>
    <w:rsid w:val="577FBF6D"/>
    <w:rsid w:val="57EFFD63"/>
    <w:rsid w:val="59DD8326"/>
    <w:rsid w:val="5DBF9F59"/>
    <w:rsid w:val="5DEF592A"/>
    <w:rsid w:val="5EFD74FC"/>
    <w:rsid w:val="5F2C96AC"/>
    <w:rsid w:val="5F53C50D"/>
    <w:rsid w:val="5F763CA0"/>
    <w:rsid w:val="5FC6BB1E"/>
    <w:rsid w:val="5FEE97E3"/>
    <w:rsid w:val="5FF720F1"/>
    <w:rsid w:val="5FF7C19C"/>
    <w:rsid w:val="61E34544"/>
    <w:rsid w:val="645B5DD3"/>
    <w:rsid w:val="64B5F857"/>
    <w:rsid w:val="664C4321"/>
    <w:rsid w:val="676FEB99"/>
    <w:rsid w:val="67AF4F9A"/>
    <w:rsid w:val="67BE783B"/>
    <w:rsid w:val="67FF5C0B"/>
    <w:rsid w:val="6AD36488"/>
    <w:rsid w:val="6B7E069D"/>
    <w:rsid w:val="6D7E0DA6"/>
    <w:rsid w:val="6DBFE4C4"/>
    <w:rsid w:val="6EFC0924"/>
    <w:rsid w:val="6EFE94EC"/>
    <w:rsid w:val="6FB74722"/>
    <w:rsid w:val="6FEF8B7E"/>
    <w:rsid w:val="6FFE5279"/>
    <w:rsid w:val="70BFECF1"/>
    <w:rsid w:val="71A6591B"/>
    <w:rsid w:val="725F953D"/>
    <w:rsid w:val="7373F7D8"/>
    <w:rsid w:val="737D59BA"/>
    <w:rsid w:val="75FEE649"/>
    <w:rsid w:val="77773463"/>
    <w:rsid w:val="77C37683"/>
    <w:rsid w:val="77F970FA"/>
    <w:rsid w:val="78EA52F9"/>
    <w:rsid w:val="795C3CDA"/>
    <w:rsid w:val="796D99DD"/>
    <w:rsid w:val="79FF515B"/>
    <w:rsid w:val="7A7EE766"/>
    <w:rsid w:val="7BF7CDD6"/>
    <w:rsid w:val="7CD75447"/>
    <w:rsid w:val="7DBF3B49"/>
    <w:rsid w:val="7DC84515"/>
    <w:rsid w:val="7DFD9216"/>
    <w:rsid w:val="7E4067F8"/>
    <w:rsid w:val="7E9E1962"/>
    <w:rsid w:val="7E9F11B4"/>
    <w:rsid w:val="7EDC0FB2"/>
    <w:rsid w:val="7EFFA370"/>
    <w:rsid w:val="7EFFF42C"/>
    <w:rsid w:val="7F2F6949"/>
    <w:rsid w:val="7F37EC1E"/>
    <w:rsid w:val="7F77429A"/>
    <w:rsid w:val="7F7DCD9D"/>
    <w:rsid w:val="7F970A6F"/>
    <w:rsid w:val="7F9AB34D"/>
    <w:rsid w:val="7FC1FFF3"/>
    <w:rsid w:val="7FC69637"/>
    <w:rsid w:val="7FD75D00"/>
    <w:rsid w:val="7FDF8620"/>
    <w:rsid w:val="7FEF9700"/>
    <w:rsid w:val="7FEFA0DD"/>
    <w:rsid w:val="7FF70B34"/>
    <w:rsid w:val="7FFB242F"/>
    <w:rsid w:val="7FFB7D2F"/>
    <w:rsid w:val="7FFD6DCE"/>
    <w:rsid w:val="7FFD7077"/>
    <w:rsid w:val="7FFDB408"/>
    <w:rsid w:val="7FFE4EEB"/>
    <w:rsid w:val="7FFF1D97"/>
    <w:rsid w:val="7FFFE0EA"/>
    <w:rsid w:val="841ED461"/>
    <w:rsid w:val="8DEF06E1"/>
    <w:rsid w:val="95FB2B98"/>
    <w:rsid w:val="9A639BC2"/>
    <w:rsid w:val="9F4E977C"/>
    <w:rsid w:val="9FDFEFB1"/>
    <w:rsid w:val="9FF76530"/>
    <w:rsid w:val="9FF7D786"/>
    <w:rsid w:val="ABBFB23D"/>
    <w:rsid w:val="ADE24D76"/>
    <w:rsid w:val="B6EE4F6B"/>
    <w:rsid w:val="B6FF2BE3"/>
    <w:rsid w:val="B7D64CCE"/>
    <w:rsid w:val="BAED8331"/>
    <w:rsid w:val="BBAD7EE1"/>
    <w:rsid w:val="BBFFEABE"/>
    <w:rsid w:val="BDFE4115"/>
    <w:rsid w:val="BEFF7CEB"/>
    <w:rsid w:val="BF1F21DE"/>
    <w:rsid w:val="BF77929F"/>
    <w:rsid w:val="BFDD1CBE"/>
    <w:rsid w:val="BFEF9C09"/>
    <w:rsid w:val="C3B4DA5A"/>
    <w:rsid w:val="CBFF70E0"/>
    <w:rsid w:val="CDF6CB4B"/>
    <w:rsid w:val="CFF50B82"/>
    <w:rsid w:val="CFFE67BA"/>
    <w:rsid w:val="CFFFAD89"/>
    <w:rsid w:val="D4FF114D"/>
    <w:rsid w:val="D6FBD86F"/>
    <w:rsid w:val="D6FFB041"/>
    <w:rsid w:val="D77D3289"/>
    <w:rsid w:val="D7EE9356"/>
    <w:rsid w:val="DBBF6F7F"/>
    <w:rsid w:val="DDB7CDDB"/>
    <w:rsid w:val="DE75D297"/>
    <w:rsid w:val="DE7F1F1B"/>
    <w:rsid w:val="DEDF1664"/>
    <w:rsid w:val="DF7F7698"/>
    <w:rsid w:val="DFBEB175"/>
    <w:rsid w:val="DFBF9997"/>
    <w:rsid w:val="DFF9F57C"/>
    <w:rsid w:val="DFFDF790"/>
    <w:rsid w:val="DFFE359E"/>
    <w:rsid w:val="DFFE4FFD"/>
    <w:rsid w:val="DFFF2959"/>
    <w:rsid w:val="DFFF59A4"/>
    <w:rsid w:val="E70E2A50"/>
    <w:rsid w:val="E7DAAF13"/>
    <w:rsid w:val="E99FB86C"/>
    <w:rsid w:val="EC971ADF"/>
    <w:rsid w:val="EEABED75"/>
    <w:rsid w:val="F3F71DA6"/>
    <w:rsid w:val="F56FDF51"/>
    <w:rsid w:val="F579324E"/>
    <w:rsid w:val="F6B69F17"/>
    <w:rsid w:val="F77F1D61"/>
    <w:rsid w:val="F7FC53BA"/>
    <w:rsid w:val="F7FED3A9"/>
    <w:rsid w:val="F8C9DB26"/>
    <w:rsid w:val="F97E8EAE"/>
    <w:rsid w:val="F9EF16B0"/>
    <w:rsid w:val="F9F775A8"/>
    <w:rsid w:val="FA6AAE00"/>
    <w:rsid w:val="FB36E1A6"/>
    <w:rsid w:val="FB3BE134"/>
    <w:rsid w:val="FB64DD53"/>
    <w:rsid w:val="FBD6C606"/>
    <w:rsid w:val="FBF311A0"/>
    <w:rsid w:val="FBFFD21E"/>
    <w:rsid w:val="FCBAC88E"/>
    <w:rsid w:val="FCFF4275"/>
    <w:rsid w:val="FD4B4418"/>
    <w:rsid w:val="FD7FEEEA"/>
    <w:rsid w:val="FD804222"/>
    <w:rsid w:val="FDDD8BC0"/>
    <w:rsid w:val="FDE8F2FB"/>
    <w:rsid w:val="FDFC2448"/>
    <w:rsid w:val="FDFFB577"/>
    <w:rsid w:val="FE1F37E7"/>
    <w:rsid w:val="FE633695"/>
    <w:rsid w:val="FEDD25F5"/>
    <w:rsid w:val="FEEA50FE"/>
    <w:rsid w:val="FF3F0CE7"/>
    <w:rsid w:val="FF4B2E98"/>
    <w:rsid w:val="FF5FDE66"/>
    <w:rsid w:val="FF6F6828"/>
    <w:rsid w:val="FF7D47A9"/>
    <w:rsid w:val="FFBF40A5"/>
    <w:rsid w:val="FFCF21CB"/>
    <w:rsid w:val="FFF7DC12"/>
    <w:rsid w:val="FFF7FF66"/>
    <w:rsid w:val="FFFB0555"/>
    <w:rsid w:val="FFFB1614"/>
    <w:rsid w:val="FFFDB31D"/>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Indent 2"/>
    <w:basedOn w:val="1"/>
    <w:qFormat/>
    <w:uiPriority w:val="0"/>
    <w:pPr>
      <w:spacing w:after="120" w:line="480" w:lineRule="auto"/>
      <w:ind w:left="420" w:leftChars="200"/>
    </w:pPr>
    <w:rPr>
      <w:rFonts w:ascii="Calibri" w:hAnsi="Calibri" w:eastAsia="宋体"/>
      <w:kern w:val="0"/>
      <w:sz w:val="20"/>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19</TotalTime>
  <ScaleCrop>false</ScaleCrop>
  <LinksUpToDate>false</LinksUpToDate>
  <CharactersWithSpaces>9008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2020-07-10T10:32:00Z</dcterms:created>
  <dc:creator>李航 null</dc:creator>
  <cp:lastModifiedBy>greatwall</cp:lastModifiedBy>
  <cp:lastPrinted>2024-09-04T00:26:00Z</cp:lastPrinted>
  <dcterms:modified xsi:type="dcterms:W3CDTF">2024-09-04T08:57:36Z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90ACBDE7123248A8923A76A64123D3C7_12</vt:lpwstr>
  </property>
</Properties>
</file>