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FA24B"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年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val="en-US" w:eastAsia="zh-CN"/>
        </w:rPr>
        <w:t>韶山宾馆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预算</w:t>
      </w:r>
    </w:p>
    <w:p w14:paraId="555B0AF8"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</w:p>
    <w:p w14:paraId="7F1083E0"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目 录</w:t>
      </w:r>
    </w:p>
    <w:p w14:paraId="154FD206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</w:p>
    <w:p w14:paraId="3DB38C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单位预算说明</w:t>
      </w:r>
    </w:p>
    <w:p w14:paraId="55F46A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单位预算表</w:t>
      </w:r>
    </w:p>
    <w:p w14:paraId="091536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1、收支总表</w:t>
      </w:r>
    </w:p>
    <w:p w14:paraId="7B4ED3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2、收入总表</w:t>
      </w:r>
    </w:p>
    <w:p w14:paraId="21F495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3、支出总表</w:t>
      </w:r>
    </w:p>
    <w:p w14:paraId="2B910B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4、支出预算分类汇总表（按政府预算经济分类）</w:t>
      </w:r>
    </w:p>
    <w:p w14:paraId="6F2A6B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5、支出预算分类汇总表（按部门预算经济分类）</w:t>
      </w:r>
    </w:p>
    <w:p w14:paraId="41CEE1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6、财政拨款收支总表</w:t>
      </w:r>
    </w:p>
    <w:p w14:paraId="65E1D2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7、一般公共预算支出表</w:t>
      </w:r>
    </w:p>
    <w:p w14:paraId="7EA336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8、一般公共预算基本支出表-人员经费（工资福利支出）（按政府预算经济分类）</w:t>
      </w:r>
    </w:p>
    <w:p w14:paraId="14F766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9、一般公共预算基本支出表-人员经费（工资福利支出）（按部门预算经济分类）</w:t>
      </w:r>
    </w:p>
    <w:p w14:paraId="34B2AC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10、一般公共预算基本支出表-人员经费（对个人和家庭的补助）（按政府预算经济分类）</w:t>
      </w:r>
    </w:p>
    <w:p w14:paraId="1AF13E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11、一般公共预算基本支出表-人员经费（对个人和家庭的补助）（按部门预算经济分类）</w:t>
      </w:r>
    </w:p>
    <w:p w14:paraId="1DFEB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12、一般公共预算基本支出表-公用经费（商品和服务支出）（按政府预算经济分类）</w:t>
      </w:r>
    </w:p>
    <w:p w14:paraId="6DD996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13、一般公共预算基本支出表-公用经费（商品和服务支出）（按部门预算经济分类）</w:t>
      </w:r>
    </w:p>
    <w:p w14:paraId="37BDB6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14、一般公共预算“三公”经费支出表</w:t>
      </w:r>
    </w:p>
    <w:p w14:paraId="3DE645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15、政府性基金预算支出表</w:t>
      </w:r>
    </w:p>
    <w:p w14:paraId="3B8782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2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16、政府性基金预算支出分类汇总表（按政府预算经济分类）</w:t>
      </w:r>
    </w:p>
    <w:p w14:paraId="02B16B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2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17、政府性基金预算支出分类汇总表（按部门预算经济分类）</w:t>
      </w:r>
    </w:p>
    <w:p w14:paraId="7B73F2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18、国有资本经营预算支出表</w:t>
      </w:r>
    </w:p>
    <w:p w14:paraId="7850FB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19、财政专户管理资金预算支出表</w:t>
      </w:r>
    </w:p>
    <w:p w14:paraId="08F158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20、省级专项资金预算汇总表</w:t>
      </w:r>
    </w:p>
    <w:p w14:paraId="4DA223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21、省级专项资金绩效目标表</w:t>
      </w:r>
    </w:p>
    <w:p w14:paraId="0AA599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22、其他项目支出绩效目标表</w:t>
      </w:r>
    </w:p>
    <w:p w14:paraId="2AFB86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23、部门整体支出绩效目标表</w:t>
      </w:r>
    </w:p>
    <w:p w14:paraId="0A9D1E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</w:rPr>
        <w:t>注：</w:t>
      </w:r>
    </w:p>
    <w:p w14:paraId="7C192D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</w:rPr>
        <w:t>以上</w:t>
      </w:r>
      <w:r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</w:rPr>
        <w:t>预算报表中，</w:t>
      </w:r>
      <w:r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  <w:lang w:eastAsia="zh-CN"/>
        </w:rPr>
        <w:t>如</w:t>
      </w:r>
      <w:r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</w:rPr>
        <w:t>本</w:t>
      </w:r>
      <w:r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</w:rPr>
        <w:t>无相关情况</w:t>
      </w:r>
      <w:r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  <w:lang w:eastAsia="zh-CN"/>
        </w:rPr>
        <w:t>，也需公开空表</w:t>
      </w:r>
      <w:r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eastAsia="zh-CN"/>
        </w:rPr>
        <w:t>，不得随意删减或仅在单位预算说明中以文字表述</w:t>
      </w:r>
      <w:r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</w:rPr>
        <w:t>。</w:t>
      </w:r>
    </w:p>
    <w:p w14:paraId="144F3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  <w:t>2、按照财政部要求，公开预算必须编制目录，不得以预算管理一体化系统中导出公开表格的目录代替公开目录。</w:t>
      </w:r>
    </w:p>
    <w:p w14:paraId="2434D6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  <w:t>3、除上年结转编入部门预算外，如当年有编列项目支出预算，则“22、其他项目支出绩效目标表”不得为空，或仅填列金额而无具体绩效指标说明。</w:t>
      </w:r>
    </w:p>
    <w:p w14:paraId="50FCE2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  <w:sectPr>
          <w:footerReference r:id="rId3" w:type="even"/>
          <w:pgSz w:w="11907" w:h="16840"/>
          <w:pgMar w:top="1417" w:right="1587" w:bottom="1417" w:left="1587" w:header="851" w:footer="992" w:gutter="0"/>
          <w:cols w:space="720" w:num="1"/>
          <w:docGrid w:type="linesAndChars" w:linePitch="495" w:charSpace="-594"/>
        </w:sectPr>
      </w:pPr>
    </w:p>
    <w:p w14:paraId="724746AD"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年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单位预算说明</w:t>
      </w:r>
    </w:p>
    <w:p w14:paraId="52BD8DDE"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</w:p>
    <w:p w14:paraId="4E2EA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一、单位基本概况</w:t>
      </w:r>
    </w:p>
    <w:p w14:paraId="59A5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（一）职能职责。</w:t>
      </w:r>
    </w:p>
    <w:p w14:paraId="193CB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韶山宾馆成立于1951年，所处地理位置在韶山冲，距毛泽东同志故居约500米，是省委、省政府设立在韶山革命纪念地的重要接待单位，隶属于湖南省韶山管理局、是差额补助事业单位。我馆的主要职能是接待中外宾客住宿、餐饮、旅游服务，负责全国重点文物保护单位滴水洞一号楼和故园一号楼的保护、管理工作。</w:t>
      </w:r>
    </w:p>
    <w:p w14:paraId="60F3355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机构设置。</w:t>
      </w:r>
    </w:p>
    <w:p w14:paraId="6F960D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eastAsia="楷体_GB2312" w:cs="Times New Roman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2025年，独立编制机构共1个，馆下设办公室、人力资源部、质量管理部、党群工作部、接待营销部、财务部、工程部、保安保洁部、采购部、客房部、餐饮部、滴水洞管理部、红色研学和培训中心、文旅产业部十四个部门。</w:t>
      </w:r>
    </w:p>
    <w:p w14:paraId="43881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二、预算单位构成</w:t>
      </w:r>
    </w:p>
    <w:p w14:paraId="2D240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韶山宾馆无下属预算单位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本级</w:t>
      </w:r>
    </w:p>
    <w:p w14:paraId="7C928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、单位收支总体情况</w:t>
      </w:r>
    </w:p>
    <w:p w14:paraId="52C76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本单位收入预算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9481.28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万元，其中，一般公共预算拨款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788.29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万元，纳入一般公共预算管理的非税收入拨款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238.7万元</w:t>
      </w:r>
      <w:r>
        <w:rPr>
          <w:rFonts w:hint="eastAsia" w:eastAsia="仿宋_GB2312" w:cs="Times New Roman"/>
          <w:sz w:val="32"/>
          <w:szCs w:val="32"/>
          <w:lang w:eastAsia="zh-CN"/>
        </w:rPr>
        <w:t>，事业单位经营收入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8004.29万元，其他收入400万元，上年结转结余50万元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  <w:t>收入较去年增加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1795.91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  <w:t>万元，主要是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新增经营收入895.05万元，局本级调剂滴水洞三号楼艺术馆项目资金400万元，新增滴水洞三号楼艺术馆项目资金捐赠收入400万元，上年结转监控系统项目资金50万元，新增纳入一般公共预算管理的非税收入拨款41.76万元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上年结转抚恤金资金4.1万元，新增财政经费拨款5万元。</w:t>
      </w:r>
    </w:p>
    <w:p w14:paraId="79524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5CBF5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本单位支出预算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9481.28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万元，其中，一般公共服务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8931.52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社会保障和就业支出379.13万元，卫生健康支出75.63万元，住房保障支出95万元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支出较去年增加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1795.91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万元，主要是新增经营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支出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895.05万元，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新增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滴水洞三号楼艺术馆项目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支出8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00万元，监控系统项目资金50万元，上年结转抚恤金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资金4.1万元</w:t>
      </w:r>
      <w:r>
        <w:rPr>
          <w:rFonts w:hint="eastAsia" w:eastAsia="仿宋_GB2312" w:cs="Times New Roman"/>
          <w:b w:val="0"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新增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财政补助人员经费46.76万元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。</w:t>
      </w:r>
    </w:p>
    <w:p w14:paraId="74587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、一般公共预算拨款支出</w:t>
      </w:r>
    </w:p>
    <w:p w14:paraId="1D70A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本单位一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般公共预算拨款支出预算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1076.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99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万元，其中，一般公共服务支出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557.23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51.74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%；社会保障和就业支出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379.13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35.2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%；卫生健康支出75.63万元，占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</w:t>
      </w:r>
      <w:r>
        <w:rPr>
          <w:rFonts w:hint="eastAsia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住房保障支出95万元占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6.06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%。具体安排情况如下：</w:t>
      </w:r>
    </w:p>
    <w:p w14:paraId="529FC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本单位基本支出预算数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623.99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万元，主要是为保障单位机构正常运转、完成日常工作任务而发生的各项支出，包括用于基本工资、津贴补贴</w:t>
      </w:r>
      <w:r>
        <w:rPr>
          <w:rFonts w:hint="eastAsia" w:eastAsia="仿宋_GB2312" w:cs="Times New Roman"/>
          <w:sz w:val="32"/>
          <w:szCs w:val="32"/>
          <w:lang w:eastAsia="zh-CN"/>
        </w:rPr>
        <w:t>、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退休补贴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等人员经费。</w:t>
      </w:r>
    </w:p>
    <w:p w14:paraId="1DB27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本单位项目支出预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算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453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资本性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403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万元，主要用于滴水洞三号楼艺术馆项目；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按项目管理的商品和服务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万元，主要用于监控系统项目。</w:t>
      </w:r>
    </w:p>
    <w:p w14:paraId="22463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、政府性基金预算支出</w:t>
      </w:r>
    </w:p>
    <w:p w14:paraId="2049C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本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无政府性基金安排的支出</w:t>
      </w:r>
      <w:r>
        <w:rPr>
          <w:rFonts w:hint="eastAsia" w:eastAsia="仿宋_GB2312" w:cs="Times New Roman"/>
          <w:b w:val="0"/>
          <w:bCs w:val="0"/>
          <w:sz w:val="32"/>
          <w:szCs w:val="32"/>
          <w:lang w:eastAsia="zh-CN"/>
        </w:rPr>
        <w:t>。</w:t>
      </w:r>
    </w:p>
    <w:p w14:paraId="449A3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</w:rPr>
        <w:t>、其他重要事项的情况说明</w:t>
      </w:r>
    </w:p>
    <w:p w14:paraId="62E9F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本单位运行经费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8044.13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万元，比上年预算增加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1131.59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万元，上升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16.37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，主要是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增加一般商品和服务支出980.61，监控系统项目资金50万元，增加工资福利支出59.99万元，对个人和家庭的补助支出40.99万元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53ED5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本单位“三公”经费预算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数为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万元，其中，公务接待费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万元，公务用车购置及运行费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万元（其中，公务用车购置费 万元，公务用车运行费 万元），因公出国（境）费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“三公”经费预算较上年减少（增加或持平）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401D1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韶山宾馆为经营性事业单位，三公经费在自创收入中支出，2026年三公经费预算10.3万元，其中，公务用车运行维护费10.3万元。2026年“三公”经费预算较上年减少2.7万元。</w:t>
      </w:r>
    </w:p>
    <w:p w14:paraId="3D52C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（三）一</w:t>
      </w: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本单位会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议费预算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万元，拟召开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会议，人数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人；培训费预算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万元，拟开展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培训，人数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人；拟举办节庆、晚会、论坛、赛事活动，经费预算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</w:t>
      </w:r>
      <w:bookmarkStart w:id="0" w:name="_GoBack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韶山宾馆为经营性事业单位，三公经费在自创收入中支出，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无会议费和节庆活动费用，培训费用在以前年度结转中开支。</w:t>
      </w:r>
    </w:p>
    <w:bookmarkEnd w:id="0"/>
    <w:p w14:paraId="7F92F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本部门政府采购预算总额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1056.14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万元，其中，货物类采购预算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万元；工程类采购预算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803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万元；服务类采购预算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253.14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1685E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val="en-US" w:eastAsia="zh-CN"/>
        </w:rPr>
        <w:t>委托业务费情况：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本单位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家行政事业单位的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委托业务费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万元，比上年预算持平。</w:t>
      </w:r>
    </w:p>
    <w:p w14:paraId="397BF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共有公务用车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辆；单位价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值50万元以上通用设备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singl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台，单位价值100万元以上专用设备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singl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台。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lang w:eastAsia="zh-CN"/>
        </w:rPr>
        <w:t>20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26年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拟新增配置公务用车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台。</w:t>
      </w:r>
    </w:p>
    <w:p w14:paraId="248B8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/>
          <w:bCs/>
          <w:kern w:val="0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单位整体支出绩效目标的金额为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9431.28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8543.89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万元，项目支出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887.39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万元，具体绩效目标详见报表。</w:t>
      </w:r>
    </w:p>
    <w:p w14:paraId="64F99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</w:rPr>
        <w:t>、名词解释</w:t>
      </w:r>
    </w:p>
    <w:p w14:paraId="71D2F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5651D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14:paraId="3DCF1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3、……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（注：各单位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可根据实际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对本单位预算中其他专有名词作出说明，便于公众理解）</w:t>
      </w:r>
    </w:p>
    <w:p w14:paraId="259FD270"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A23F768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AF9CE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A9FBB"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11D96735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58A612"/>
    <w:multiLevelType w:val="singleLevel"/>
    <w:tmpl w:val="2E58A61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00BE4"/>
    <w:rsid w:val="03087042"/>
    <w:rsid w:val="04D903C1"/>
    <w:rsid w:val="054F6C10"/>
    <w:rsid w:val="0788465B"/>
    <w:rsid w:val="0BCE6119"/>
    <w:rsid w:val="141352AC"/>
    <w:rsid w:val="179A0945"/>
    <w:rsid w:val="1CBA09BB"/>
    <w:rsid w:val="1DDC7839"/>
    <w:rsid w:val="22DC0329"/>
    <w:rsid w:val="2ADB3621"/>
    <w:rsid w:val="328F1215"/>
    <w:rsid w:val="33041EC0"/>
    <w:rsid w:val="35472BB0"/>
    <w:rsid w:val="35B2271F"/>
    <w:rsid w:val="38975BFC"/>
    <w:rsid w:val="3E7C38CA"/>
    <w:rsid w:val="418B4707"/>
    <w:rsid w:val="4B5F07FC"/>
    <w:rsid w:val="4DCC03DF"/>
    <w:rsid w:val="4F521F59"/>
    <w:rsid w:val="53CC3B01"/>
    <w:rsid w:val="583D13FF"/>
    <w:rsid w:val="5BF00BE4"/>
    <w:rsid w:val="5D8044EA"/>
    <w:rsid w:val="73014D4D"/>
    <w:rsid w:val="7769459E"/>
    <w:rsid w:val="77F23B55"/>
    <w:rsid w:val="780D2313"/>
    <w:rsid w:val="7D02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2950</Words>
  <Characters>3242</Characters>
  <Lines>0</Lines>
  <Paragraphs>0</Paragraphs>
  <TotalTime>355</TotalTime>
  <ScaleCrop>false</ScaleCrop>
  <LinksUpToDate>false</LinksUpToDate>
  <CharactersWithSpaces>3288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2026-03-03T09:20:00Z</dcterms:created>
  <dc:creator>帅呆了  </dc:creator>
  <cp:lastModifiedBy>帅呆了  </cp:lastModifiedBy>
  <dcterms:modified xsi:type="dcterms:W3CDTF">2026-03-20T00:52:32Z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EA7352914F064FC48CACD831F5E424B5_11</vt:lpwstr>
  </property>
  <property fmtid="{D5CDD505-2E9C-101B-9397-08002B2CF9AE}" pid="4" name="KSOTemplateDocerSaveRecord">
    <vt:lpwstr>eyJoZGlkIjoiMDNkODNmNTFiZjg2MjRlMDI4OGUxYWE0NzExYzQ3YTYiLCJ1c2VySWQiOiIyOTQ3NzgzMjMifQ==</vt:lpwstr>
  </property>
</Properties>
</file>