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F5953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bookmarkStart w:id="0" w:name="_GoBack"/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  <w:t>3</w:t>
      </w:r>
    </w:p>
    <w:bookmarkEnd w:id="0"/>
    <w:p w14:paraId="70E8D4F3"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  <w:r>
        <w:rPr>
          <w:rFonts w:hint="eastAsia" w:eastAsia="方正小标宋_GBK" w:cs="Times New Roman"/>
          <w:bCs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年湖南省韶山管理局园林环管理处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预算</w:t>
      </w:r>
    </w:p>
    <w:p w14:paraId="00C4A1F7"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 w14:paraId="21173175"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 w14:paraId="0B576362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 w14:paraId="1677F5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单位预算说明</w:t>
      </w:r>
    </w:p>
    <w:p w14:paraId="20A62F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单位预算表</w:t>
      </w:r>
    </w:p>
    <w:p w14:paraId="524975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 w14:paraId="6D70B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 w14:paraId="3FC6CA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 w14:paraId="1C9F28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 w14:paraId="16C6AC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 w14:paraId="14F4AA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 w14:paraId="2C338C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 w14:paraId="352E7C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 w14:paraId="72242C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 w14:paraId="49A989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 w14:paraId="6ACFAE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 w14:paraId="40F9F6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 w14:paraId="4AFA5E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 w14:paraId="3EDB98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 w14:paraId="7CE32E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 w14:paraId="5DCDD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16、政府性基金预算支出分类汇总表（按政府预算经济分类）</w:t>
      </w:r>
    </w:p>
    <w:p w14:paraId="74F7DF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17、政府性基金预算支出分类汇总表（按部门预算经济分类）</w:t>
      </w:r>
    </w:p>
    <w:p w14:paraId="54133B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 w14:paraId="2755C0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 w14:paraId="3F650A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 w14:paraId="180D84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 w14:paraId="4D687F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22、其他项目支出绩效目标表</w:t>
      </w:r>
    </w:p>
    <w:p w14:paraId="5E7130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 w14:paraId="1D834B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</w:pPr>
    </w:p>
    <w:p w14:paraId="01A98D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  <w:sectPr>
          <w:footerReference r:id="rId3" w:type="even"/>
          <w:pgSz w:w="11907" w:h="16840"/>
          <w:pgMar w:top="1417" w:right="1587" w:bottom="1417" w:left="1587" w:header="851" w:footer="992" w:gutter="0"/>
          <w:cols w:space="720" w:num="1"/>
          <w:docGrid w:type="linesAndChars" w:linePitch="495" w:charSpace="-594"/>
        </w:sectPr>
      </w:pPr>
    </w:p>
    <w:p w14:paraId="3247A857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单位预算说明</w:t>
      </w:r>
    </w:p>
    <w:p w14:paraId="2F1878F0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</w:p>
    <w:p w14:paraId="0052B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一、单位基本概况</w:t>
      </w:r>
    </w:p>
    <w:p w14:paraId="1837F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（一）职能职责。</w:t>
      </w:r>
    </w:p>
    <w:p w14:paraId="232D80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管理保护韶山革命纪念地国有森林资源，绿化美化核心景区环境，管理维护核心景区环境卫生及其设施设备，对外承接园林工程和花卉租摆业务，完成省韶山管理局交办的其他工作。</w:t>
      </w:r>
    </w:p>
    <w:p w14:paraId="72A81E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机构设置。</w:t>
      </w:r>
    </w:p>
    <w:p w14:paraId="7D057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eastAsia="楷体_GB2312" w:cs="Times New Roman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依湘编办函〔2009〕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69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号和依湘编办〔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2014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81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号文件，单位性质为湖南省韶山管理局直属独立核算、财政差额拨款的副处级公益二类事业单位，核定编制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29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名。</w:t>
      </w:r>
    </w:p>
    <w:p w14:paraId="6B2EF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 w14:paraId="63323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湖南省韶山管理局园林环卫管理处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预算单位。</w:t>
      </w:r>
    </w:p>
    <w:p w14:paraId="30455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、单位收支总体情况</w:t>
      </w:r>
    </w:p>
    <w:p w14:paraId="78DD1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本单位收入预算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839.12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万元，其中，一般公共预算拨款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453.61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万元，政府性基金预算拨款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万元，国有资本经营预算拨款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万元，纳入专户管理的非税收入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万元，事业收入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185.51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万元，事业单位经营收入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万元。收入较去年减少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43.89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万元，主要是一般公共预算拨款减少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67.23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万元（其中：经费拨款增加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2.97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万元，纳入一般公共预算管理的非税收入拨款减少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70.2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万元），事业收入增加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123.34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万元，上年结转结余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减少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0344F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本单位支出预算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839.12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万元，其中，一般公共服务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671.96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万元，公共安全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万元，教育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万元，科学技术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eastAsia="仿宋_GB2312" w:cs="Times New Roman"/>
          <w:sz w:val="32"/>
          <w:szCs w:val="32"/>
          <w:lang w:eastAsia="zh-CN"/>
        </w:rPr>
        <w:t>社会保障和就业支出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83.3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3</w:t>
      </w:r>
      <w:r>
        <w:rPr>
          <w:rFonts w:hint="eastAsia" w:eastAsia="仿宋_GB2312" w:cs="Times New Roman"/>
          <w:b w:val="0"/>
          <w:bCs w:val="0"/>
          <w:sz w:val="32"/>
          <w:szCs w:val="32"/>
          <w:u w:val="none"/>
          <w:lang w:val="en-US" w:eastAsia="zh-CN"/>
        </w:rPr>
        <w:t>万元，健康卫生支出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31.67</w:t>
      </w:r>
      <w:r>
        <w:rPr>
          <w:rFonts w:hint="eastAsia" w:eastAsia="仿宋_GB2312" w:cs="Times New Roman"/>
          <w:b w:val="0"/>
          <w:bCs w:val="0"/>
          <w:sz w:val="32"/>
          <w:szCs w:val="32"/>
          <w:u w:val="none"/>
          <w:lang w:val="en-US" w:eastAsia="zh-CN"/>
        </w:rPr>
        <w:t>万元，住房保障支出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52.16</w:t>
      </w:r>
      <w:r>
        <w:rPr>
          <w:rFonts w:hint="eastAsia" w:eastAsia="仿宋_GB2312" w:cs="Times New Roman"/>
          <w:b w:val="0"/>
          <w:bCs w:val="0"/>
          <w:sz w:val="32"/>
          <w:szCs w:val="32"/>
          <w:u w:val="none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。支出较去年减少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43.89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万元，主要是</w:t>
      </w:r>
      <w:r>
        <w:rPr>
          <w:rFonts w:hint="eastAsia" w:eastAsia="仿宋_GB2312" w:cs="Times New Roman"/>
          <w:b w:val="0"/>
          <w:bCs w:val="0"/>
          <w:sz w:val="32"/>
          <w:szCs w:val="32"/>
          <w:lang w:eastAsia="zh-CN"/>
        </w:rPr>
        <w:t>一般公共服务支出增加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60.95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万元，教育支出减少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2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万元，</w:t>
      </w:r>
      <w:r>
        <w:rPr>
          <w:rFonts w:hint="eastAsia" w:eastAsia="仿宋_GB2312" w:cs="Times New Roman"/>
          <w:b w:val="0"/>
          <w:bCs w:val="0"/>
          <w:sz w:val="32"/>
          <w:szCs w:val="32"/>
          <w:lang w:eastAsia="zh-CN"/>
        </w:rPr>
        <w:t>社会保障和就业支出减少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25.67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万元，健康卫生支出增加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8.67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万元，住房保障支出增加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14.16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万元，农林水支出减少</w:t>
      </w:r>
      <w:r>
        <w:rPr>
          <w:rFonts w:hint="eastAsia" w:eastAsia="仿宋_GB2312" w:cs="Times New Roman"/>
          <w:b w:val="0"/>
          <w:bCs w:val="0"/>
          <w:sz w:val="32"/>
          <w:szCs w:val="32"/>
          <w:u w:val="single"/>
          <w:lang w:val="en-US" w:eastAsia="zh-CN"/>
        </w:rPr>
        <w:t>100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万元</w:t>
      </w:r>
      <w:r>
        <w:rPr>
          <w:rFonts w:hint="default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 xml:space="preserve">   </w:t>
      </w:r>
    </w:p>
    <w:p w14:paraId="3C9FC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、一般公共预算拨款支出</w:t>
      </w:r>
    </w:p>
    <w:p w14:paraId="26AD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本单位一般公共预算拨款支出预算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453.61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万元，其中，一般公共服务支出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361.88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79.78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%；公共安全支出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  <w:r>
        <w:rPr>
          <w:rFonts w:hint="eastAsia" w:eastAsia="仿宋_GB2312" w:cs="Times New Roman"/>
          <w:sz w:val="32"/>
          <w:szCs w:val="32"/>
          <w:lang w:eastAsia="zh-CN"/>
        </w:rPr>
        <w:t>社会保障和就业支出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46.73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万元，占10.30%；健康卫生支出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10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万元，占2.20%；住房保障支出35万元，占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7.72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。具体安排情况如下：</w:t>
      </w:r>
    </w:p>
    <w:p w14:paraId="2C13F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本单位基本支出预算数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402.1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 w14:paraId="36FFB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（二）项目支出：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本单位项目支出预算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51.51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eastAsia="zh-CN"/>
        </w:rPr>
        <w:t>其他事业发展资金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支出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51.51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万元，主要用于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办公设备采购、水电费、食堂费用支出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等方面。</w:t>
      </w:r>
    </w:p>
    <w:p w14:paraId="01F30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、政府性基金预算支出</w:t>
      </w:r>
    </w:p>
    <w:p w14:paraId="5CF31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eastAsia="仿宋_GB2312" w:cs="Times New Roman"/>
          <w:sz w:val="32"/>
          <w:szCs w:val="32"/>
          <w:lang w:eastAsia="zh-CN"/>
        </w:rPr>
      </w:pPr>
      <w:r>
        <w:rPr>
          <w:rFonts w:hint="default" w:eastAsia="仿宋_GB2312" w:cs="Times New Roman"/>
          <w:sz w:val="32"/>
          <w:szCs w:val="32"/>
          <w:lang w:eastAsia="zh-CN"/>
        </w:rPr>
        <w:t>本部门无政府性基金安排的支出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 w14:paraId="207F6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、其他重要事项的情况说明</w:t>
      </w:r>
    </w:p>
    <w:p w14:paraId="1B249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本单位运行经费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万元，比上年预算持平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 w14:paraId="7E681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本单位“三公”经费预算数为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万元，其中，公务接待费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万元，公务用车购置及运行费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万元（其中，公务用车购置费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万元，公务用车运行费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万元），因公出国（境）费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“三公”经费预算较上年持平。</w:t>
      </w:r>
    </w:p>
    <w:p w14:paraId="629D0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本单位会议费预算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万元，拟召开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会议，人数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人；培训费预算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万元，拟开展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培训，人数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人；拟举办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等节庆、晚会、论坛、赛事活动，经费预算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1B5E0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本部门政府采购预算总额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万元，其中，货物类采购预算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5.94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万元；工程类采购预算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万元；服务类采购预算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3ED6F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（注：如某大类无采购预算，则填“0”）</w:t>
      </w:r>
    </w:p>
    <w:p w14:paraId="4D405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  <w:t>委托业务费情况：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本部门本级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家行政事业单位的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委托业务费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万元，比上年预算持平。</w:t>
      </w:r>
    </w:p>
    <w:p w14:paraId="5958B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拟新增配置公务用车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</w:p>
    <w:p w14:paraId="53A69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单位整体支出绩效目标的金额为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839.12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680.26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158.86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万元，具体绩效目标详见报表。</w:t>
      </w:r>
    </w:p>
    <w:p w14:paraId="3BD3A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、名词解释</w:t>
      </w:r>
    </w:p>
    <w:p w14:paraId="7B2A3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1ECC6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14:paraId="164B5B5C"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2026年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单位预算表</w:t>
      </w:r>
    </w:p>
    <w:p w14:paraId="77CBE6B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9BBE8C7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17F00132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7D193A36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49620BC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D51D676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7BC869C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5DE887E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1932EA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5215163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7E3A8BB4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E64656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426EF53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1706655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4F77339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290AF8F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167F32AF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5B34E13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07B074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FC562DE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1660A7E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ACD3FC6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393DF90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  <w:t>4</w:t>
      </w:r>
    </w:p>
    <w:p w14:paraId="2D69D42C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公开内容上传公开平台有关要求</w:t>
      </w:r>
    </w:p>
    <w:p w14:paraId="3541405C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60E1D5A1">
      <w:pPr>
        <w:spacing w:line="600" w:lineRule="exact"/>
        <w:ind w:firstLine="636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1、部门预算公开。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请各处室于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前收齐部门预算公开说明及表格，并督促部门统一公开说明及附表名称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名为“xx部门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部门预算公开说明”及“xx部门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部门预算表”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，放入命名为“提交日期+xx部门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部门预算公开”的文件夹中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打包提交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1ED25CF3">
      <w:pPr>
        <w:spacing w:line="600" w:lineRule="exact"/>
        <w:ind w:firstLine="636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2、单位预算公开。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请各处室于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前收齐单位预算公开说明及表格，并督促部门要求单位统一公开说明及附表名称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名为“xx单位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预算公开说明”及“xx单位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预算表”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，放入命名为“xx单位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预算公开”的文件夹中。各部门将其所属单位预算公开文件夹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收齐并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归集在命名为“提交日期+xx部门所属单位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预算公开”的文件夹中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打包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提交，务必做到一个部门一个文件夹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归总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7F2571EC">
      <w:pPr>
        <w:spacing w:line="600" w:lineRule="exact"/>
        <w:ind w:firstLine="636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保证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文件的格式规范，内容编辑制作过程不可查看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，建议部门和单位将公开说明及附表转换为PDF格式。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PDF内容务必认真核对，确保与转换前内容一致，没有缺漏。</w:t>
      </w:r>
    </w:p>
    <w:p w14:paraId="11D223A2">
      <w:pPr>
        <w:spacing w:line="600" w:lineRule="exact"/>
        <w:ind w:firstLine="636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请各处室按期收齐部门和单位公开资料，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确认文件夹、文件名称规范无误后，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通过内网邮件发送至预决算公开专用邮箱（邮箱名：财政预决算公开czyjsgk@hnczt.com），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由厅办公室上传至省预决算集中公开平台。</w:t>
      </w:r>
    </w:p>
    <w:p w14:paraId="528EC17C">
      <w:pPr>
        <w:spacing w:line="600" w:lineRule="exact"/>
        <w:ind w:firstLine="636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罗雨晴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85165865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室</w:t>
      </w:r>
    </w:p>
    <w:p w14:paraId="41D0D236">
      <w:pPr>
        <w:spacing w:line="600" w:lineRule="exact"/>
        <w:ind w:firstLine="636" w:firstLineChars="200"/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7" w:h="16840"/>
          <w:pgMar w:top="1417" w:right="1587" w:bottom="1417" w:left="1587" w:header="851" w:footer="992" w:gutter="0"/>
          <w:cols w:space="720" w:num="1"/>
          <w:docGrid w:type="linesAndChars" w:linePitch="495" w:charSpace="-594"/>
        </w:sectPr>
      </w:pPr>
    </w:p>
    <w:p w14:paraId="7A5E4DE9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lang w:val="en-US" w:eastAsia="zh-CN"/>
        </w:rPr>
        <w:t>5</w:t>
      </w:r>
    </w:p>
    <w:p w14:paraId="6567AF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预算公开常见问题提示清单</w:t>
      </w:r>
    </w:p>
    <w:p w14:paraId="373490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1511A5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结合近年来预算公开检查情况，我们梳理形成了部分常见问题清单，请各部门预算处在审核部门、单位预算公开情况时重点关注。</w:t>
      </w:r>
    </w:p>
    <w:p w14:paraId="060375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eastAsia="zh-CN"/>
        </w:rPr>
        <w:t>一、内容完整性方面</w:t>
      </w:r>
    </w:p>
    <w:p w14:paraId="6540E3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1、部门所属单位预算未全部公开</w:t>
      </w:r>
    </w:p>
    <w:p w14:paraId="17A8A4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2、未公开一般公共预算基本支出情况表</w:t>
      </w:r>
    </w:p>
    <w:p w14:paraId="3925C6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3、未公开一般公共预算“三公”经费支出情况表</w:t>
      </w:r>
    </w:p>
    <w:p w14:paraId="2412D0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4、部门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、单位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主要职责及机构设置情况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预算收支增减变化情况、运行经费安排情况、政府采购安排情况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、预算绩效目标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等未作说明</w:t>
      </w:r>
    </w:p>
    <w:p w14:paraId="54DE9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5、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本部门无相关收支情况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，未公开空表</w:t>
      </w:r>
    </w:p>
    <w:p w14:paraId="6BC099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val="en-US" w:eastAsia="zh-CN"/>
        </w:rPr>
        <w:t>6、未按照新模板公开“委托业务费”预算情况</w:t>
      </w:r>
    </w:p>
    <w:p w14:paraId="42E7C2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eastAsia="zh-CN"/>
        </w:rPr>
        <w:t>二、细化程度方面</w:t>
      </w:r>
    </w:p>
    <w:p w14:paraId="347A78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1、未公开“三公”经费增减变化情况等说明信息</w:t>
      </w:r>
    </w:p>
    <w:p w14:paraId="436454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一般公共预算“三公”经费支出情况表未按“因公出国（境）费”、“公务用车购置及运行费”、“公务接待费”公开，“公务用车购置及运行费”未细化到“公务用车购置费”和“公务用车运行费”两个项目</w:t>
      </w:r>
    </w:p>
    <w:p w14:paraId="274CB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3、公开的一般公共预算支出情况表未按要求公开到功能分类项级科目。</w:t>
      </w:r>
    </w:p>
    <w:p w14:paraId="60E8CE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4、一般公共预算基本支出情况表未公开到经济性质分类款级科目。</w:t>
      </w:r>
    </w:p>
    <w:p w14:paraId="39D263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eastAsia="zh-CN"/>
        </w:rPr>
        <w:t>三、及时性和其他方面</w:t>
      </w:r>
    </w:p>
    <w:p w14:paraId="6E9628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1、在部门或单位门户网站上预算公开时间晚于预算法规定时限</w:t>
      </w:r>
    </w:p>
    <w:p w14:paraId="243EDA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、未对在统一平台公开的预算编制目录</w:t>
      </w:r>
    </w:p>
    <w:p w14:paraId="7FE16F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3、预算公开网址链接失效</w:t>
      </w:r>
    </w:p>
    <w:p w14:paraId="5E6A86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eastAsia="黑体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4、预算公开说明文字与公开报表数据不对应</w:t>
      </w:r>
    </w:p>
    <w:p w14:paraId="244FA7C6"/>
    <w:sectPr>
      <w:pgSz w:w="11907" w:h="16840"/>
      <w:pgMar w:top="1417" w:right="1587" w:bottom="1417" w:left="158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1C339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1E7D76C4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23226F"/>
    <w:multiLevelType w:val="singleLevel"/>
    <w:tmpl w:val="AE23226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26AC9"/>
    <w:rsid w:val="1DAC688C"/>
    <w:rsid w:val="4289479C"/>
    <w:rsid w:val="49C173A9"/>
    <w:rsid w:val="49E2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3512</Words>
  <Characters>3812</Characters>
  <Lines>0</Lines>
  <Paragraphs>0</Paragraphs>
  <TotalTime>621</TotalTime>
  <ScaleCrop>false</ScaleCrop>
  <LinksUpToDate>false</LinksUpToDate>
  <CharactersWithSpaces>3840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2026-03-16T07:53:00Z</dcterms:created>
  <dc:creator>joker</dc:creator>
  <cp:lastModifiedBy>joker</cp:lastModifiedBy>
  <dcterms:modified xsi:type="dcterms:W3CDTF">2026-03-20T03:23:18Z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A13E5C2461C74478B9F45550E058B11E_11</vt:lpwstr>
  </property>
  <property fmtid="{D5CDD505-2E9C-101B-9397-08002B2CF9AE}" pid="4" name="KSOTemplateDocerSaveRecord">
    <vt:lpwstr>eyJoZGlkIjoiMTAwMzk3MWM2MWUwOTFiODc5MzliMGU2OTFmYmMxNDgiLCJ1c2VySWQiOiIyNzMxODU4NjUifQ==</vt:lpwstr>
  </property>
</Properties>
</file>