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hint="eastAsia"/>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sz w:val="84"/>
          <w:szCs w:val="84"/>
        </w:rPr>
      </w:pPr>
      <w:r>
        <w:rPr>
          <w:rFonts w:hint="eastAsia"/>
          <w:sz w:val="84"/>
          <w:szCs w:val="84"/>
        </w:rPr>
        <w:t>2021年度</w:t>
      </w:r>
    </w:p>
    <w:p>
      <w:pPr>
        <w:pStyle w:val="10"/>
        <w:jc w:val="center"/>
        <w:rPr>
          <w:rFonts w:hint="eastAsia"/>
          <w:sz w:val="84"/>
          <w:szCs w:val="84"/>
          <w:lang w:eastAsia="zh-CN"/>
        </w:rPr>
      </w:pPr>
      <w:r>
        <w:rPr>
          <w:rFonts w:hint="eastAsia"/>
          <w:sz w:val="84"/>
          <w:szCs w:val="84"/>
          <w:lang w:eastAsia="zh-CN"/>
        </w:rPr>
        <w:t>韶山毛泽东同志纪念馆</w:t>
      </w:r>
    </w:p>
    <w:p>
      <w:pPr>
        <w:pStyle w:val="10"/>
        <w:jc w:val="center"/>
        <w:rPr>
          <w:sz w:val="84"/>
          <w:szCs w:val="84"/>
        </w:rPr>
      </w:pPr>
      <w:r>
        <w:rPr>
          <w:rFonts w:hint="eastAsia"/>
          <w:sz w:val="84"/>
          <w:szCs w:val="84"/>
        </w:rPr>
        <w:t>部门决算</w:t>
      </w: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00" w:lineRule="exact"/>
        <w:jc w:val="both"/>
        <w:rPr>
          <w:b/>
          <w:sz w:val="36"/>
          <w:szCs w:val="28"/>
        </w:rPr>
      </w:pPr>
    </w:p>
    <w:p>
      <w:pPr>
        <w:pStyle w:val="10"/>
        <w:spacing w:line="500" w:lineRule="exact"/>
        <w:jc w:val="center"/>
        <w:rPr>
          <w:rFonts w:hint="eastAsia"/>
          <w:b/>
          <w:sz w:val="36"/>
          <w:szCs w:val="28"/>
        </w:rPr>
      </w:pPr>
    </w:p>
    <w:p>
      <w:pPr>
        <w:pStyle w:val="10"/>
        <w:spacing w:line="500" w:lineRule="exact"/>
        <w:jc w:val="center"/>
        <w:rPr>
          <w:b/>
          <w:sz w:val="36"/>
          <w:szCs w:val="28"/>
        </w:rPr>
      </w:pPr>
      <w:r>
        <w:rPr>
          <w:rFonts w:hint="eastAsia"/>
          <w:b/>
          <w:sz w:val="36"/>
          <w:szCs w:val="28"/>
        </w:rPr>
        <w:t>目录</w:t>
      </w:r>
    </w:p>
    <w:p>
      <w:pPr>
        <w:pStyle w:val="10"/>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eastAsia="zh-CN"/>
        </w:rPr>
        <w:t>韶山毛泽东同志纪念馆</w:t>
      </w:r>
      <w:r>
        <w:rPr>
          <w:rFonts w:hint="eastAsia"/>
          <w:b/>
          <w:sz w:val="28"/>
          <w:szCs w:val="28"/>
        </w:rPr>
        <w:t>单位概况</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10"/>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w:t>
      </w:r>
      <w:r>
        <w:rPr>
          <w:rFonts w:hint="eastAsia" w:hAnsi="仿宋_GB2312"/>
          <w:b/>
          <w:sz w:val="28"/>
          <w:szCs w:val="28"/>
          <w:lang w:eastAsia="zh-CN"/>
        </w:rPr>
        <w:t>部门</w:t>
      </w:r>
      <w:r>
        <w:rPr>
          <w:rFonts w:hint="eastAsia" w:hAnsi="仿宋_GB2312"/>
          <w:b/>
          <w:sz w:val="28"/>
          <w:szCs w:val="28"/>
        </w:rPr>
        <w:t>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0"/>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w:t>
      </w:r>
      <w:r>
        <w:rPr>
          <w:rFonts w:hint="eastAsia" w:hAnsi="仿宋_GB2312"/>
          <w:b/>
          <w:sz w:val="28"/>
          <w:szCs w:val="28"/>
          <w:lang w:eastAsia="zh-CN"/>
        </w:rPr>
        <w:t>部门</w:t>
      </w:r>
      <w:r>
        <w:rPr>
          <w:rFonts w:hint="eastAsia" w:hAnsi="仿宋_GB2312"/>
          <w:b/>
          <w:sz w:val="28"/>
          <w:szCs w:val="28"/>
        </w:rPr>
        <w:t>决算情况说明</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sz w:val="84"/>
          <w:szCs w:val="84"/>
        </w:rPr>
      </w:pPr>
      <w:r>
        <w:rPr>
          <w:rFonts w:hint="eastAsia"/>
          <w:sz w:val="84"/>
          <w:szCs w:val="84"/>
        </w:rPr>
        <w:t>第一部分</w:t>
      </w:r>
      <w:r>
        <w:rPr>
          <w:sz w:val="84"/>
          <w:szCs w:val="84"/>
        </w:rPr>
        <w:t xml:space="preserve"> </w:t>
      </w:r>
    </w:p>
    <w:p>
      <w:pPr>
        <w:pStyle w:val="10"/>
        <w:jc w:val="center"/>
        <w:rPr>
          <w:sz w:val="84"/>
          <w:szCs w:val="84"/>
        </w:rPr>
      </w:pPr>
    </w:p>
    <w:p>
      <w:pPr>
        <w:pStyle w:val="10"/>
        <w:jc w:val="center"/>
        <w:rPr>
          <w:rFonts w:hint="eastAsia"/>
          <w:sz w:val="84"/>
          <w:szCs w:val="84"/>
          <w:lang w:eastAsia="zh-CN"/>
        </w:rPr>
      </w:pPr>
      <w:r>
        <w:rPr>
          <w:rFonts w:hint="eastAsia"/>
          <w:sz w:val="84"/>
          <w:szCs w:val="84"/>
          <w:lang w:eastAsia="zh-CN"/>
        </w:rPr>
        <w:t>韶山毛泽东同志纪念馆</w:t>
      </w:r>
    </w:p>
    <w:p>
      <w:pPr>
        <w:pStyle w:val="10"/>
        <w:jc w:val="center"/>
        <w:rPr>
          <w:sz w:val="84"/>
          <w:szCs w:val="84"/>
        </w:rPr>
      </w:pPr>
      <w:r>
        <w:rPr>
          <w:rFonts w:hint="eastAsia"/>
          <w:sz w:val="84"/>
          <w:szCs w:val="84"/>
        </w:rPr>
        <w:t>单位概况</w:t>
      </w:r>
    </w:p>
    <w:p>
      <w:pPr>
        <w:jc w:val="center"/>
        <w:rPr>
          <w:sz w:val="72"/>
          <w:szCs w:val="72"/>
        </w:rPr>
      </w:pPr>
    </w:p>
    <w:p>
      <w:pPr>
        <w:jc w:val="center"/>
        <w:rPr>
          <w:sz w:val="72"/>
          <w:szCs w:val="72"/>
        </w:rPr>
      </w:pPr>
    </w:p>
    <w:p>
      <w:pPr>
        <w:jc w:val="center"/>
        <w:rPr>
          <w:sz w:val="72"/>
          <w:szCs w:val="72"/>
        </w:rPr>
      </w:pPr>
    </w:p>
    <w:p>
      <w:pPr>
        <w:pStyle w:val="11"/>
        <w:ind w:left="0" w:leftChars="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keepNext w:val="0"/>
        <w:keepLines w:val="0"/>
        <w:widowControl/>
        <w:suppressLineNumbers w:val="0"/>
        <w:shd w:val="clear"/>
        <w:spacing w:before="0" w:beforeAutospacing="0" w:after="0" w:afterAutospacing="0" w:line="600" w:lineRule="atLeast"/>
        <w:ind w:left="0" w:right="0" w:firstLine="635"/>
        <w:jc w:val="left"/>
        <w:rPr>
          <w:rFonts w:hint="eastAsia" w:asciiTheme="minorEastAsia" w:hAnsiTheme="minorEastAsia" w:eastAsiaTheme="minorEastAsia" w:cstheme="minorEastAsia"/>
          <w:i w:val="0"/>
          <w:iCs w:val="0"/>
          <w:caps w:val="0"/>
          <w:color w:val="000000"/>
          <w:spacing w:val="0"/>
          <w:kern w:val="0"/>
          <w:sz w:val="32"/>
          <w:szCs w:val="32"/>
          <w:shd w:val="clear" w:fill="FFFFFF"/>
          <w:lang w:val="en-US" w:eastAsia="zh-CN" w:bidi="ar"/>
        </w:rPr>
      </w:pPr>
    </w:p>
    <w:p>
      <w:pPr>
        <w:pStyle w:val="11"/>
        <w:numPr>
          <w:ilvl w:val="0"/>
          <w:numId w:val="0"/>
        </w:numPr>
        <w:ind w:leftChars="0" w:firstLine="640" w:firstLineChars="200"/>
        <w:jc w:val="left"/>
        <w:rPr>
          <w:rFonts w:hint="eastAsia" w:ascii="黑体" w:hAnsi="黑体" w:eastAsia="黑体"/>
          <w:sz w:val="32"/>
          <w:szCs w:val="32"/>
          <w:lang w:eastAsia="zh-CN"/>
        </w:rPr>
      </w:pPr>
    </w:p>
    <w:p>
      <w:pPr>
        <w:pStyle w:val="11"/>
        <w:numPr>
          <w:ilvl w:val="0"/>
          <w:numId w:val="0"/>
        </w:numPr>
        <w:ind w:leftChars="0" w:firstLine="640" w:firstLineChars="200"/>
        <w:jc w:val="left"/>
        <w:rPr>
          <w:rFonts w:hint="eastAsia" w:asciiTheme="minorEastAsia" w:hAnsiTheme="minorEastAsia" w:eastAsiaTheme="minorEastAsia" w:cstheme="minorEastAsia"/>
          <w:i w:val="0"/>
          <w:iCs w:val="0"/>
          <w:caps w:val="0"/>
          <w:color w:val="000000"/>
          <w:spacing w:val="0"/>
          <w:kern w:val="0"/>
          <w:sz w:val="32"/>
          <w:szCs w:val="32"/>
          <w:shd w:val="clear" w:fill="FFFFFF"/>
          <w:lang w:val="en-US" w:eastAsia="zh-CN" w:bidi="ar"/>
        </w:rPr>
      </w:pPr>
      <w:r>
        <w:rPr>
          <w:rFonts w:hint="eastAsia" w:ascii="黑体" w:hAnsi="黑体" w:eastAsia="黑体"/>
          <w:sz w:val="32"/>
          <w:szCs w:val="32"/>
          <w:lang w:eastAsia="zh-CN"/>
        </w:rPr>
        <w:t>一、部门</w:t>
      </w:r>
      <w:r>
        <w:rPr>
          <w:rFonts w:ascii="黑体" w:hAnsi="黑体" w:eastAsia="黑体"/>
          <w:sz w:val="32"/>
          <w:szCs w:val="32"/>
        </w:rPr>
        <w:t>职责</w:t>
      </w:r>
    </w:p>
    <w:p>
      <w:pPr>
        <w:keepNext w:val="0"/>
        <w:keepLines w:val="0"/>
        <w:widowControl/>
        <w:suppressLineNumbers w:val="0"/>
        <w:shd w:val="clear"/>
        <w:spacing w:before="0" w:beforeAutospacing="0" w:after="0" w:afterAutospacing="0" w:line="600" w:lineRule="atLeast"/>
        <w:ind w:left="0" w:right="0" w:firstLine="635"/>
        <w:jc w:val="left"/>
        <w:rPr>
          <w:rFonts w:hint="eastAsia" w:asciiTheme="minorEastAsia" w:hAnsiTheme="minorEastAsia" w:eastAsiaTheme="minorEastAsia" w:cstheme="minorEastAsia"/>
          <w:i w:val="0"/>
          <w:iCs w:val="0"/>
          <w:caps w:val="0"/>
          <w:color w:val="000000"/>
          <w:spacing w:val="0"/>
          <w:sz w:val="32"/>
          <w:szCs w:val="32"/>
        </w:rPr>
      </w:pPr>
      <w:r>
        <w:rPr>
          <w:rFonts w:hint="eastAsia" w:asciiTheme="minorEastAsia" w:hAnsiTheme="minorEastAsia" w:eastAsiaTheme="minorEastAsia" w:cstheme="minorEastAsia"/>
          <w:i w:val="0"/>
          <w:iCs w:val="0"/>
          <w:caps w:val="0"/>
          <w:color w:val="000000"/>
          <w:spacing w:val="0"/>
          <w:kern w:val="0"/>
          <w:sz w:val="32"/>
          <w:szCs w:val="32"/>
          <w:shd w:val="clear" w:fill="FFFFFF"/>
          <w:lang w:val="en-US" w:eastAsia="zh-CN" w:bidi="ar"/>
        </w:rPr>
        <w:t>韶山毛泽东同志纪念馆肩负着社会教育、开放管理、文创研发、陈列展示、科学研究、藏品建设等六项主要职能。具体如下：</w:t>
      </w:r>
    </w:p>
    <w:p>
      <w:pPr>
        <w:keepNext w:val="0"/>
        <w:keepLines w:val="0"/>
        <w:widowControl/>
        <w:suppressLineNumbers w:val="0"/>
        <w:shd w:val="clear"/>
        <w:spacing w:before="0" w:beforeAutospacing="0" w:after="0" w:afterAutospacing="0" w:line="600" w:lineRule="atLeast"/>
        <w:ind w:left="0" w:right="0" w:firstLine="634"/>
        <w:jc w:val="left"/>
        <w:rPr>
          <w:rFonts w:hint="eastAsia" w:asciiTheme="minorEastAsia" w:hAnsiTheme="minorEastAsia" w:eastAsiaTheme="minorEastAsia" w:cstheme="minorEastAsia"/>
          <w:i w:val="0"/>
          <w:iCs w:val="0"/>
          <w:caps w:val="0"/>
          <w:color w:val="000000"/>
          <w:spacing w:val="0"/>
          <w:sz w:val="32"/>
          <w:szCs w:val="32"/>
        </w:rPr>
      </w:pPr>
      <w:r>
        <w:rPr>
          <w:rFonts w:hint="eastAsia" w:asciiTheme="minorEastAsia" w:hAnsiTheme="minorEastAsia" w:eastAsiaTheme="minorEastAsia" w:cstheme="minorEastAsia"/>
          <w:i w:val="0"/>
          <w:iCs w:val="0"/>
          <w:caps w:val="0"/>
          <w:color w:val="000000"/>
          <w:spacing w:val="0"/>
          <w:kern w:val="0"/>
          <w:sz w:val="32"/>
          <w:szCs w:val="32"/>
          <w:shd w:val="clear" w:fill="FFFFFF"/>
          <w:lang w:val="en-US" w:eastAsia="zh-CN" w:bidi="ar"/>
        </w:rPr>
        <w:t>1.社会教育职能。以阵地宣讲为主，通过报告团、研学实践教育、党性教育等不断拓展宣传教育阵地，增强社会教育效果，提升爱国主义教育基地的覆盖面、影响力。</w:t>
      </w:r>
    </w:p>
    <w:p>
      <w:pPr>
        <w:keepNext w:val="0"/>
        <w:keepLines w:val="0"/>
        <w:widowControl/>
        <w:suppressLineNumbers w:val="0"/>
        <w:shd w:val="clear"/>
        <w:spacing w:before="0" w:beforeAutospacing="0" w:after="0" w:afterAutospacing="0" w:line="600" w:lineRule="atLeast"/>
        <w:ind w:left="0" w:right="0" w:firstLine="634"/>
        <w:jc w:val="left"/>
        <w:rPr>
          <w:rFonts w:hint="eastAsia" w:asciiTheme="minorEastAsia" w:hAnsiTheme="minorEastAsia" w:eastAsiaTheme="minorEastAsia" w:cstheme="minorEastAsia"/>
          <w:i w:val="0"/>
          <w:iCs w:val="0"/>
          <w:caps w:val="0"/>
          <w:color w:val="000000"/>
          <w:spacing w:val="0"/>
          <w:sz w:val="32"/>
          <w:szCs w:val="32"/>
        </w:rPr>
      </w:pPr>
      <w:r>
        <w:rPr>
          <w:rFonts w:hint="eastAsia" w:asciiTheme="minorEastAsia" w:hAnsiTheme="minorEastAsia" w:eastAsiaTheme="minorEastAsia" w:cstheme="minorEastAsia"/>
          <w:i w:val="0"/>
          <w:iCs w:val="0"/>
          <w:caps w:val="0"/>
          <w:color w:val="000000"/>
          <w:spacing w:val="0"/>
          <w:kern w:val="0"/>
          <w:sz w:val="32"/>
          <w:szCs w:val="32"/>
          <w:shd w:val="clear" w:fill="FFFFFF"/>
          <w:lang w:val="en-US" w:eastAsia="zh-CN" w:bidi="ar"/>
        </w:rPr>
        <w:t>2.开放管理职能。在保证文物安全的前提下，本着为来韶游客营造舒适、安全、有序的参观环境的原则，做好馆辖区域对外开放场馆的管理工作。严格执行全网络实名制、分时段、限总量参观预约工作，提供全免费、全覆盖、分批次的讲解服务等</w:t>
      </w:r>
    </w:p>
    <w:p>
      <w:pPr>
        <w:keepNext w:val="0"/>
        <w:keepLines w:val="0"/>
        <w:widowControl/>
        <w:suppressLineNumbers w:val="0"/>
        <w:shd w:val="clear"/>
        <w:spacing w:before="0" w:beforeAutospacing="0" w:after="0" w:afterAutospacing="0" w:line="600" w:lineRule="atLeast"/>
        <w:ind w:left="0" w:right="0" w:firstLine="634"/>
        <w:jc w:val="left"/>
        <w:rPr>
          <w:rFonts w:hint="eastAsia" w:asciiTheme="minorEastAsia" w:hAnsiTheme="minorEastAsia" w:eastAsiaTheme="minorEastAsia" w:cstheme="minorEastAsia"/>
          <w:i w:val="0"/>
          <w:iCs w:val="0"/>
          <w:caps w:val="0"/>
          <w:color w:val="000000"/>
          <w:spacing w:val="0"/>
          <w:sz w:val="32"/>
          <w:szCs w:val="32"/>
        </w:rPr>
      </w:pPr>
      <w:r>
        <w:rPr>
          <w:rFonts w:hint="eastAsia" w:asciiTheme="minorEastAsia" w:hAnsiTheme="minorEastAsia" w:eastAsiaTheme="minorEastAsia" w:cstheme="minorEastAsia"/>
          <w:i w:val="0"/>
          <w:iCs w:val="0"/>
          <w:caps w:val="0"/>
          <w:color w:val="000000"/>
          <w:spacing w:val="0"/>
          <w:kern w:val="0"/>
          <w:sz w:val="32"/>
          <w:szCs w:val="32"/>
          <w:shd w:val="clear" w:fill="FFFFFF"/>
          <w:lang w:val="en-US" w:eastAsia="zh-CN" w:bidi="ar"/>
        </w:rPr>
        <w:t>3.文创研发职能。以“深挖馆藏文物资源，传承红色基因，让文物活起来，讲好毛主席故事”为宗旨，从事文创产品研发、制作和发行工作，通过开发文创产品实现文化传播，并创造经济效益。</w:t>
      </w:r>
    </w:p>
    <w:p>
      <w:pPr>
        <w:keepNext w:val="0"/>
        <w:keepLines w:val="0"/>
        <w:widowControl/>
        <w:suppressLineNumbers w:val="0"/>
        <w:shd w:val="clear"/>
        <w:spacing w:before="0" w:beforeAutospacing="0" w:after="0" w:afterAutospacing="0" w:line="600" w:lineRule="atLeast"/>
        <w:ind w:left="0" w:right="0" w:firstLine="634"/>
        <w:jc w:val="left"/>
        <w:rPr>
          <w:rFonts w:hint="eastAsia" w:asciiTheme="minorEastAsia" w:hAnsiTheme="minorEastAsia" w:eastAsiaTheme="minorEastAsia" w:cstheme="minorEastAsia"/>
          <w:i w:val="0"/>
          <w:iCs w:val="0"/>
          <w:caps w:val="0"/>
          <w:color w:val="000000"/>
          <w:spacing w:val="0"/>
          <w:sz w:val="32"/>
          <w:szCs w:val="32"/>
        </w:rPr>
      </w:pPr>
      <w:r>
        <w:rPr>
          <w:rFonts w:hint="eastAsia" w:asciiTheme="minorEastAsia" w:hAnsiTheme="minorEastAsia" w:eastAsiaTheme="minorEastAsia" w:cstheme="minorEastAsia"/>
          <w:i w:val="0"/>
          <w:iCs w:val="0"/>
          <w:caps w:val="0"/>
          <w:color w:val="000000"/>
          <w:spacing w:val="0"/>
          <w:kern w:val="0"/>
          <w:sz w:val="32"/>
          <w:szCs w:val="32"/>
          <w:shd w:val="clear" w:fill="FFFFFF"/>
          <w:lang w:val="en-US" w:eastAsia="zh-CN" w:bidi="ar"/>
        </w:rPr>
        <w:t>4.陈列展示职能。凭借丰富的馆藏资源，挖掘文物内涵，形成全国独一无二的、富有伟人文化特色的陈列展示体系。</w:t>
      </w:r>
    </w:p>
    <w:p>
      <w:pPr>
        <w:keepNext w:val="0"/>
        <w:keepLines w:val="0"/>
        <w:widowControl/>
        <w:suppressLineNumbers w:val="0"/>
        <w:shd w:val="clear"/>
        <w:spacing w:before="0" w:beforeAutospacing="0" w:after="0" w:afterAutospacing="0" w:line="600" w:lineRule="atLeast"/>
        <w:ind w:left="0" w:right="0" w:firstLine="634"/>
        <w:jc w:val="left"/>
        <w:rPr>
          <w:rFonts w:hint="eastAsia" w:asciiTheme="minorEastAsia" w:hAnsiTheme="minorEastAsia" w:eastAsiaTheme="minorEastAsia" w:cstheme="minorEastAsia"/>
          <w:i w:val="0"/>
          <w:iCs w:val="0"/>
          <w:caps w:val="0"/>
          <w:color w:val="000000"/>
          <w:spacing w:val="0"/>
          <w:sz w:val="32"/>
          <w:szCs w:val="32"/>
        </w:rPr>
      </w:pPr>
      <w:r>
        <w:rPr>
          <w:rFonts w:hint="eastAsia" w:asciiTheme="minorEastAsia" w:hAnsiTheme="minorEastAsia" w:eastAsiaTheme="minorEastAsia" w:cstheme="minorEastAsia"/>
          <w:i w:val="0"/>
          <w:iCs w:val="0"/>
          <w:caps w:val="0"/>
          <w:color w:val="000000"/>
          <w:spacing w:val="0"/>
          <w:kern w:val="0"/>
          <w:sz w:val="32"/>
          <w:szCs w:val="32"/>
          <w:shd w:val="clear" w:fill="FFFFFF"/>
          <w:lang w:val="en-US" w:eastAsia="zh-CN" w:bidi="ar"/>
        </w:rPr>
        <w:t>5.科学研究职能。依托文物和资料优势，深入毛泽东生平和思想研究学术领域。</w:t>
      </w:r>
    </w:p>
    <w:p>
      <w:pPr>
        <w:keepNext w:val="0"/>
        <w:keepLines w:val="0"/>
        <w:widowControl/>
        <w:suppressLineNumbers w:val="0"/>
        <w:shd w:val="clear"/>
        <w:spacing w:before="0" w:beforeAutospacing="0" w:after="0" w:afterAutospacing="0" w:line="600" w:lineRule="atLeast"/>
        <w:ind w:left="0" w:right="0" w:firstLine="634"/>
        <w:jc w:val="left"/>
        <w:rPr>
          <w:rFonts w:hint="eastAsia" w:asciiTheme="minorEastAsia" w:hAnsiTheme="minorEastAsia" w:eastAsiaTheme="minorEastAsia" w:cstheme="minorEastAsia"/>
          <w:i w:val="0"/>
          <w:iCs w:val="0"/>
          <w:caps w:val="0"/>
          <w:color w:val="000000"/>
          <w:spacing w:val="0"/>
          <w:sz w:val="32"/>
          <w:szCs w:val="32"/>
        </w:rPr>
      </w:pPr>
      <w:r>
        <w:rPr>
          <w:rFonts w:hint="eastAsia" w:asciiTheme="minorEastAsia" w:hAnsiTheme="minorEastAsia" w:eastAsiaTheme="minorEastAsia" w:cstheme="minorEastAsia"/>
          <w:i w:val="0"/>
          <w:iCs w:val="0"/>
          <w:caps w:val="0"/>
          <w:color w:val="000000"/>
          <w:spacing w:val="0"/>
          <w:kern w:val="0"/>
          <w:sz w:val="32"/>
          <w:szCs w:val="32"/>
          <w:shd w:val="clear" w:fill="FFFFFF"/>
          <w:lang w:val="en-US" w:eastAsia="zh-CN" w:bidi="ar"/>
        </w:rPr>
        <w:t>6.藏品建设职能。做好故居、各旧址及周边环境的管理和维护工作。通过征集利用、接受捐赠等形式丰富馆藏文物，打造国内外毛泽东生平和思想研究、毛泽东遗物研究、韶山地方史研究的资料中心和研究基地。</w:t>
      </w:r>
    </w:p>
    <w:p>
      <w:pPr>
        <w:widowControl/>
        <w:spacing w:line="600" w:lineRule="exact"/>
        <w:ind w:firstLine="640" w:firstLineChars="200"/>
        <w:rPr>
          <w:rFonts w:hint="eastAsia" w:ascii="宋体" w:hAnsi="宋体" w:eastAsia="宋体" w:cs="宋体"/>
          <w:i w:val="0"/>
          <w:iCs w:val="0"/>
          <w:caps w:val="0"/>
          <w:color w:val="000000"/>
          <w:spacing w:val="0"/>
          <w:kern w:val="0"/>
          <w:sz w:val="32"/>
          <w:szCs w:val="32"/>
          <w:shd w:val="clear" w:fill="FFFFFF"/>
          <w:lang w:val="en-US" w:eastAsia="zh-CN" w:bidi="ar"/>
        </w:rPr>
      </w:pPr>
      <w:r>
        <w:rPr>
          <w:rFonts w:hint="eastAsia" w:ascii="黑体" w:hAnsi="黑体" w:eastAsia="黑体"/>
          <w:bCs/>
          <w:kern w:val="0"/>
          <w:sz w:val="32"/>
          <w:szCs w:val="32"/>
        </w:rPr>
        <w:t>二、机构设置及决算单位构成</w:t>
      </w:r>
    </w:p>
    <w:p>
      <w:pPr>
        <w:keepNext w:val="0"/>
        <w:keepLines w:val="0"/>
        <w:widowControl/>
        <w:suppressLineNumbers w:val="0"/>
        <w:shd w:val="clear"/>
        <w:spacing w:before="0" w:beforeAutospacing="0" w:after="0" w:afterAutospacing="0" w:line="600" w:lineRule="atLeast"/>
        <w:ind w:left="0" w:right="0" w:firstLine="635"/>
        <w:jc w:val="left"/>
        <w:rPr>
          <w:rFonts w:hint="eastAsia" w:ascii="宋体" w:hAnsi="宋体" w:eastAsia="宋体" w:cs="宋体"/>
          <w:i w:val="0"/>
          <w:iCs w:val="0"/>
          <w:caps w:val="0"/>
          <w:color w:val="000000"/>
          <w:spacing w:val="0"/>
          <w:kern w:val="0"/>
          <w:sz w:val="32"/>
          <w:szCs w:val="32"/>
          <w:shd w:val="clear" w:fill="FFFFFF"/>
          <w:lang w:val="en-US" w:eastAsia="zh-CN" w:bidi="ar"/>
        </w:rPr>
      </w:pPr>
      <w:r>
        <w:rPr>
          <w:rFonts w:hint="eastAsia" w:ascii="宋体" w:hAnsi="宋体" w:eastAsia="宋体" w:cs="宋体"/>
          <w:i w:val="0"/>
          <w:iCs w:val="0"/>
          <w:caps w:val="0"/>
          <w:color w:val="000000"/>
          <w:spacing w:val="0"/>
          <w:kern w:val="0"/>
          <w:sz w:val="32"/>
          <w:szCs w:val="32"/>
          <w:shd w:val="clear" w:fill="FFFFFF"/>
          <w:lang w:val="en-US" w:eastAsia="zh-CN" w:bidi="ar"/>
        </w:rPr>
        <w:t>（一）内部机构设置</w:t>
      </w:r>
    </w:p>
    <w:p>
      <w:pPr>
        <w:keepNext w:val="0"/>
        <w:keepLines w:val="0"/>
        <w:widowControl/>
        <w:suppressLineNumbers w:val="0"/>
        <w:shd w:val="clear"/>
        <w:spacing w:before="0" w:beforeAutospacing="0" w:after="0" w:afterAutospacing="0" w:line="600" w:lineRule="atLeast"/>
        <w:ind w:left="0" w:right="0" w:firstLine="635"/>
        <w:jc w:val="left"/>
        <w:rPr>
          <w:rFonts w:hint="eastAsia" w:ascii="宋体" w:hAnsi="宋体" w:eastAsia="宋体" w:cs="宋体"/>
          <w:i w:val="0"/>
          <w:iCs w:val="0"/>
          <w:caps w:val="0"/>
          <w:color w:val="000000"/>
          <w:spacing w:val="0"/>
          <w:kern w:val="0"/>
          <w:sz w:val="32"/>
          <w:szCs w:val="32"/>
          <w:shd w:val="clear" w:fill="FFFFFF"/>
          <w:lang w:val="en-US" w:eastAsia="zh-CN" w:bidi="ar"/>
        </w:rPr>
      </w:pPr>
      <w:r>
        <w:rPr>
          <w:rFonts w:hint="eastAsia" w:ascii="宋体" w:hAnsi="宋体" w:eastAsia="宋体" w:cs="宋体"/>
          <w:i w:val="0"/>
          <w:iCs w:val="0"/>
          <w:caps w:val="0"/>
          <w:color w:val="000000"/>
          <w:spacing w:val="0"/>
          <w:kern w:val="0"/>
          <w:sz w:val="32"/>
          <w:szCs w:val="32"/>
          <w:shd w:val="clear" w:fill="FFFFFF"/>
          <w:lang w:val="en-US" w:eastAsia="zh-CN" w:bidi="ar"/>
        </w:rPr>
        <w:t>韶山毛泽东同志纪念馆内设机构包括：办公室、宣教部、编研部、陈列部、文物部、文化产业管理部、信息技术部、故居管理部、预约管理部、人力资源部、财务部、保安保洁部等12个部门。</w:t>
      </w:r>
    </w:p>
    <w:p>
      <w:pPr>
        <w:keepNext w:val="0"/>
        <w:keepLines w:val="0"/>
        <w:widowControl/>
        <w:suppressLineNumbers w:val="0"/>
        <w:shd w:val="clear"/>
        <w:spacing w:before="0" w:beforeAutospacing="0" w:after="0" w:afterAutospacing="0" w:line="600" w:lineRule="atLeast"/>
        <w:ind w:left="0" w:right="0" w:firstLine="635"/>
        <w:jc w:val="left"/>
        <w:rPr>
          <w:rFonts w:hint="eastAsia" w:ascii="宋体" w:hAnsi="宋体" w:eastAsia="宋体" w:cs="宋体"/>
          <w:i w:val="0"/>
          <w:iCs w:val="0"/>
          <w:caps w:val="0"/>
          <w:color w:val="000000"/>
          <w:spacing w:val="0"/>
          <w:kern w:val="0"/>
          <w:sz w:val="32"/>
          <w:szCs w:val="32"/>
          <w:shd w:val="clear" w:fill="FFFFFF"/>
          <w:lang w:val="en-US" w:eastAsia="zh-CN" w:bidi="ar"/>
        </w:rPr>
      </w:pPr>
      <w:r>
        <w:rPr>
          <w:rFonts w:hint="eastAsia" w:ascii="宋体" w:hAnsi="宋体" w:eastAsia="宋体" w:cs="宋体"/>
          <w:i w:val="0"/>
          <w:iCs w:val="0"/>
          <w:caps w:val="0"/>
          <w:color w:val="000000"/>
          <w:spacing w:val="0"/>
          <w:kern w:val="0"/>
          <w:sz w:val="32"/>
          <w:szCs w:val="32"/>
          <w:shd w:val="clear" w:fill="FFFFFF"/>
          <w:lang w:val="en-US" w:eastAsia="zh-CN" w:bidi="ar"/>
        </w:rPr>
        <w:t>（二）决算单位构成</w:t>
      </w:r>
    </w:p>
    <w:p>
      <w:pPr>
        <w:keepNext w:val="0"/>
        <w:keepLines w:val="0"/>
        <w:widowControl/>
        <w:suppressLineNumbers w:val="0"/>
        <w:shd w:val="clear"/>
        <w:spacing w:before="0" w:beforeAutospacing="0" w:after="0" w:afterAutospacing="0" w:line="600" w:lineRule="atLeast"/>
        <w:ind w:left="0" w:right="0" w:firstLine="635"/>
        <w:jc w:val="left"/>
        <w:rPr>
          <w:rFonts w:hint="eastAsia" w:ascii="宋体" w:hAnsi="宋体" w:eastAsia="宋体" w:cs="宋体"/>
          <w:i w:val="0"/>
          <w:iCs w:val="0"/>
          <w:caps w:val="0"/>
          <w:color w:val="000000"/>
          <w:spacing w:val="0"/>
          <w:kern w:val="0"/>
          <w:sz w:val="32"/>
          <w:szCs w:val="32"/>
          <w:shd w:val="clear" w:fill="FFFFFF"/>
          <w:lang w:val="en-US" w:eastAsia="zh-CN" w:bidi="ar"/>
        </w:rPr>
      </w:pPr>
      <w:r>
        <w:rPr>
          <w:rFonts w:hint="eastAsia" w:ascii="宋体" w:hAnsi="宋体" w:eastAsia="宋体" w:cs="宋体"/>
          <w:i w:val="0"/>
          <w:iCs w:val="0"/>
          <w:caps w:val="0"/>
          <w:color w:val="000000"/>
          <w:spacing w:val="0"/>
          <w:kern w:val="0"/>
          <w:sz w:val="32"/>
          <w:szCs w:val="32"/>
          <w:shd w:val="clear" w:fill="FFFFFF"/>
          <w:lang w:val="en-US" w:eastAsia="zh-CN" w:bidi="ar"/>
        </w:rPr>
        <w:t>韶山毛泽东同志纪念馆2021年部门决算汇总公开单位构成包括：韶山毛泽东同志纪念馆本级。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rFonts w:hint="eastAsia"/>
          <w:sz w:val="72"/>
          <w:szCs w:val="72"/>
        </w:rPr>
      </w:pPr>
    </w:p>
    <w:p>
      <w:pPr>
        <w:jc w:val="center"/>
        <w:rPr>
          <w:rFonts w:hint="eastAsia"/>
          <w:sz w:val="72"/>
          <w:szCs w:val="72"/>
        </w:rPr>
      </w:pPr>
    </w:p>
    <w:p>
      <w:pPr>
        <w:jc w:val="center"/>
        <w:rPr>
          <w:rFonts w:hint="eastAsia"/>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6"/>
        <w:tblW w:w="14081" w:type="dxa"/>
        <w:tblInd w:w="93" w:type="dxa"/>
        <w:tblLayout w:type="autofit"/>
        <w:tblCellMar>
          <w:top w:w="0" w:type="dxa"/>
          <w:left w:w="108" w:type="dxa"/>
          <w:bottom w:w="0" w:type="dxa"/>
          <w:right w:w="108" w:type="dxa"/>
        </w:tblCellMar>
      </w:tblPr>
      <w:tblGrid>
        <w:gridCol w:w="4126"/>
        <w:gridCol w:w="449"/>
        <w:gridCol w:w="631"/>
        <w:gridCol w:w="599"/>
        <w:gridCol w:w="98"/>
        <w:gridCol w:w="232"/>
        <w:gridCol w:w="3468"/>
        <w:gridCol w:w="845"/>
        <w:gridCol w:w="1460"/>
        <w:gridCol w:w="657"/>
        <w:gridCol w:w="1516"/>
      </w:tblGrid>
      <w:tr>
        <w:tblPrEx>
          <w:tblCellMar>
            <w:top w:w="0" w:type="dxa"/>
            <w:left w:w="108" w:type="dxa"/>
            <w:bottom w:w="0" w:type="dxa"/>
            <w:right w:w="108" w:type="dxa"/>
          </w:tblCellMar>
        </w:tblPrEx>
        <w:trPr>
          <w:trHeight w:val="360" w:hRule="atLeast"/>
        </w:trPr>
        <w:tc>
          <w:tcPr>
            <w:tcW w:w="1408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tblPrEx>
          <w:tblCellMar>
            <w:top w:w="0" w:type="dxa"/>
            <w:left w:w="108" w:type="dxa"/>
            <w:bottom w:w="0" w:type="dxa"/>
            <w:right w:w="108" w:type="dxa"/>
          </w:tblCellMar>
        </w:tblPrEx>
        <w:trPr>
          <w:trHeight w:val="199" w:hRule="atLeast"/>
        </w:trPr>
        <w:tc>
          <w:tcPr>
            <w:tcW w:w="5206"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97"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tblPrEx>
          <w:tblCellMar>
            <w:top w:w="0" w:type="dxa"/>
            <w:left w:w="108" w:type="dxa"/>
            <w:bottom w:w="0" w:type="dxa"/>
            <w:right w:w="108" w:type="dxa"/>
          </w:tblCellMar>
        </w:tblPrEx>
        <w:trPr>
          <w:trHeight w:val="300" w:hRule="atLeast"/>
        </w:trPr>
        <w:tc>
          <w:tcPr>
            <w:tcW w:w="5206" w:type="dxa"/>
            <w:gridSpan w:val="3"/>
            <w:tcBorders>
              <w:top w:val="nil"/>
              <w:left w:val="nil"/>
              <w:bottom w:val="nil"/>
              <w:right w:val="nil"/>
            </w:tcBorders>
            <w:shd w:val="clear" w:color="000000" w:fill="FFFFFF"/>
            <w:noWrap/>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t>部门</w:t>
            </w:r>
            <w:r>
              <w:rPr>
                <w:rFonts w:hint="eastAsia" w:ascii="宋体" w:hAnsi="宋体" w:eastAsia="宋体" w:cs="宋体"/>
                <w:color w:val="000000"/>
                <w:kern w:val="0"/>
                <w:sz w:val="20"/>
                <w:szCs w:val="20"/>
              </w:rPr>
              <w:t>：</w:t>
            </w:r>
            <w:r>
              <w:rPr>
                <w:rFonts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eastAsia="zh-CN"/>
              </w:rPr>
              <w:t>韶山毛泽东同志纪念馆</w:t>
            </w:r>
          </w:p>
        </w:tc>
        <w:tc>
          <w:tcPr>
            <w:tcW w:w="697"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340" w:hRule="atLeast"/>
        </w:trPr>
        <w:tc>
          <w:tcPr>
            <w:tcW w:w="5805"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8276" w:type="dxa"/>
            <w:gridSpan w:val="7"/>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23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23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5126.70</w:t>
            </w: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rPr>
              <w:t>二、文化旅游体育与传媒支出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4,568.77</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rPr>
              <w:t>三、社会保障和就业支出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164.48</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四、上级补助收入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四、自然资源海洋气象等支出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513.14</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五、事业收入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kern w:val="0"/>
                <w:sz w:val="22"/>
                <w:lang w:val="en-US" w:eastAsia="zh-CN"/>
              </w:rPr>
              <w:t>五、住房保障支出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175.27</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六、经营收入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70.00</w:t>
            </w: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七、附属单位上缴收入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363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八、其他收入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61.95</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363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5258.65</w:t>
            </w: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5421.66</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使用非财政拨款结余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126.16</w:t>
            </w: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结余分配</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13.33</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年初结转和结余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1817.65</w:t>
            </w: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年末结转和结余</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1767.47</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7202.46</w:t>
            </w: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b/>
                <w:bCs/>
                <w:kern w:val="0"/>
                <w:sz w:val="22"/>
                <w:lang w:val="en-US" w:eastAsia="zh-CN"/>
              </w:rPr>
            </w:pPr>
            <w:r>
              <w:rPr>
                <w:rFonts w:hint="eastAsia" w:ascii="宋体" w:hAnsi="宋体" w:eastAsia="宋体" w:cs="宋体"/>
                <w:b/>
                <w:bCs/>
                <w:kern w:val="0"/>
                <w:sz w:val="22"/>
              </w:rPr>
              <w:t>　</w:t>
            </w:r>
            <w:r>
              <w:rPr>
                <w:rFonts w:hint="eastAsia" w:ascii="宋体" w:hAnsi="宋体" w:eastAsia="宋体" w:cs="宋体"/>
                <w:b/>
                <w:bCs/>
                <w:kern w:val="0"/>
                <w:sz w:val="22"/>
                <w:lang w:val="en-US" w:eastAsia="zh-CN"/>
              </w:rPr>
              <w:t>7202.46</w:t>
            </w:r>
          </w:p>
        </w:tc>
      </w:tr>
      <w:tr>
        <w:tblPrEx>
          <w:tblCellMar>
            <w:top w:w="0" w:type="dxa"/>
            <w:left w:w="108" w:type="dxa"/>
            <w:bottom w:w="0" w:type="dxa"/>
            <w:right w:w="108" w:type="dxa"/>
          </w:tblCellMar>
        </w:tblPrEx>
        <w:trPr>
          <w:trHeight w:val="1020" w:hRule="atLeast"/>
        </w:trPr>
        <w:tc>
          <w:tcPr>
            <w:tcW w:w="1408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注：1.本表反映部门本年度的总收支和年末结转结余情况。</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xml:space="preserve"> 2.本套报表金额单位转换时可能存在尾数误差。</w:t>
            </w:r>
          </w:p>
        </w:tc>
      </w:tr>
    </w:tbl>
    <w:p>
      <w:pPr>
        <w:jc w:val="center"/>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p>
    <w:tbl>
      <w:tblPr>
        <w:tblStyle w:val="6"/>
        <w:tblW w:w="15428" w:type="dxa"/>
        <w:tblInd w:w="0" w:type="dxa"/>
        <w:tblLayout w:type="fixed"/>
        <w:tblCellMar>
          <w:top w:w="0" w:type="dxa"/>
          <w:left w:w="0" w:type="dxa"/>
          <w:bottom w:w="0" w:type="dxa"/>
          <w:right w:w="0" w:type="dxa"/>
        </w:tblCellMar>
      </w:tblPr>
      <w:tblGrid>
        <w:gridCol w:w="59"/>
        <w:gridCol w:w="761"/>
        <w:gridCol w:w="1842"/>
        <w:gridCol w:w="1800"/>
        <w:gridCol w:w="1854"/>
        <w:gridCol w:w="1855"/>
        <w:gridCol w:w="1827"/>
        <w:gridCol w:w="1759"/>
        <w:gridCol w:w="1800"/>
        <w:gridCol w:w="1871"/>
      </w:tblGrid>
      <w:tr>
        <w:tblPrEx>
          <w:tblCellMar>
            <w:top w:w="0" w:type="dxa"/>
            <w:left w:w="0" w:type="dxa"/>
            <w:bottom w:w="0" w:type="dxa"/>
            <w:right w:w="0" w:type="dxa"/>
          </w:tblCellMar>
        </w:tblPrEx>
        <w:trPr>
          <w:trHeight w:val="435" w:hRule="atLeast"/>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CellMar>
            <w:top w:w="0" w:type="dxa"/>
            <w:left w:w="0" w:type="dxa"/>
            <w:bottom w:w="0" w:type="dxa"/>
            <w:right w:w="0" w:type="dxa"/>
          </w:tblCellMar>
        </w:tblPrEx>
        <w:trPr>
          <w:trHeight w:val="285" w:hRule="atLeast"/>
        </w:trPr>
        <w:tc>
          <w:tcPr>
            <w:tcW w:w="59"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76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4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0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5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5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2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59"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0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7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CellMar>
            <w:top w:w="0" w:type="dxa"/>
            <w:left w:w="0" w:type="dxa"/>
            <w:bottom w:w="0" w:type="dxa"/>
            <w:right w:w="0" w:type="dxa"/>
          </w:tblCellMar>
        </w:tblPrEx>
        <w:trPr>
          <w:trHeight w:val="285" w:hRule="atLeast"/>
        </w:trPr>
        <w:tc>
          <w:tcPr>
            <w:tcW w:w="2662"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color w:val="000000"/>
                <w:sz w:val="20"/>
                <w:szCs w:val="20"/>
                <w:lang w:eastAsia="zh-CN"/>
              </w:rPr>
              <w:t>部门</w:t>
            </w:r>
            <w:r>
              <w:rPr>
                <w:rFonts w:hint="eastAsia"/>
                <w:color w:val="000000"/>
                <w:sz w:val="20"/>
                <w:szCs w:val="20"/>
              </w:rPr>
              <w:t>：</w:t>
            </w:r>
            <w:r>
              <w:rPr>
                <w:rFonts w:hint="eastAsia" w:ascii="宋体" w:hAnsi="宋体" w:eastAsia="宋体" w:cs="宋体"/>
                <w:color w:val="000000"/>
                <w:kern w:val="0"/>
                <w:sz w:val="20"/>
                <w:szCs w:val="20"/>
                <w:lang w:eastAsia="zh-CN"/>
              </w:rPr>
              <w:t>韶山毛泽东同志纪念馆</w:t>
            </w:r>
            <w:r>
              <w:rPr>
                <w:rFonts w:hint="eastAsia"/>
              </w:rPr>
              <w:t>　</w:t>
            </w:r>
          </w:p>
        </w:tc>
        <w:tc>
          <w:tcPr>
            <w:tcW w:w="180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5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55"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82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59"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0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7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CellMar>
            <w:top w:w="0" w:type="dxa"/>
            <w:left w:w="0" w:type="dxa"/>
            <w:bottom w:w="0" w:type="dxa"/>
            <w:right w:w="0" w:type="dxa"/>
          </w:tblCellMar>
        </w:tblPrEx>
        <w:trPr>
          <w:trHeight w:val="450" w:hRule="atLeast"/>
        </w:trPr>
        <w:tc>
          <w:tcPr>
            <w:tcW w:w="2662"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80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85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85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82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1759"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180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1871"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CellMar>
            <w:top w:w="0" w:type="dxa"/>
            <w:left w:w="0" w:type="dxa"/>
            <w:bottom w:w="0" w:type="dxa"/>
            <w:right w:w="0" w:type="dxa"/>
          </w:tblCellMar>
        </w:tblPrEx>
        <w:trPr>
          <w:trHeight w:val="450" w:hRule="atLeast"/>
        </w:trPr>
        <w:tc>
          <w:tcPr>
            <w:tcW w:w="820"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1842"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5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5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2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59"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7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450" w:hRule="atLeast"/>
        </w:trPr>
        <w:tc>
          <w:tcPr>
            <w:tcW w:w="82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42"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5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5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2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59"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7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450" w:hRule="atLeast"/>
        </w:trPr>
        <w:tc>
          <w:tcPr>
            <w:tcW w:w="266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80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185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185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82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175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180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187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CellMar>
            <w:top w:w="0" w:type="dxa"/>
            <w:left w:w="0" w:type="dxa"/>
            <w:bottom w:w="0" w:type="dxa"/>
            <w:right w:w="0" w:type="dxa"/>
          </w:tblCellMar>
        </w:tblPrEx>
        <w:trPr>
          <w:trHeight w:val="450" w:hRule="atLeast"/>
        </w:trPr>
        <w:tc>
          <w:tcPr>
            <w:tcW w:w="266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8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0"/>
                <w:szCs w:val="20"/>
                <w:u w:val="none"/>
                <w:lang w:val="en-US" w:eastAsia="zh-CN" w:bidi="ar"/>
              </w:rPr>
              <w:t>5,258.65</w:t>
            </w:r>
          </w:p>
        </w:tc>
        <w:tc>
          <w:tcPr>
            <w:tcW w:w="185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0"/>
                <w:szCs w:val="20"/>
                <w:u w:val="none"/>
                <w:lang w:val="en-US" w:eastAsia="zh-CN" w:bidi="ar"/>
              </w:rPr>
              <w:t>5,126.70</w:t>
            </w:r>
          </w:p>
        </w:tc>
        <w:tc>
          <w:tcPr>
            <w:tcW w:w="18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0"/>
                <w:szCs w:val="20"/>
                <w:u w:val="none"/>
                <w:lang w:val="en-US" w:eastAsia="zh-CN" w:bidi="ar"/>
              </w:rPr>
              <w:t>0.00</w:t>
            </w:r>
          </w:p>
        </w:tc>
        <w:tc>
          <w:tcPr>
            <w:tcW w:w="18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0"/>
                <w:szCs w:val="20"/>
                <w:u w:val="none"/>
                <w:lang w:val="en-US" w:eastAsia="zh-CN" w:bidi="ar"/>
              </w:rPr>
              <w:t>0.00</w:t>
            </w:r>
          </w:p>
        </w:tc>
        <w:tc>
          <w:tcPr>
            <w:tcW w:w="17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0"/>
                <w:szCs w:val="20"/>
                <w:u w:val="none"/>
                <w:lang w:val="en-US" w:eastAsia="zh-CN" w:bidi="ar"/>
              </w:rPr>
              <w:t>70.00</w:t>
            </w:r>
          </w:p>
        </w:tc>
        <w:tc>
          <w:tcPr>
            <w:tcW w:w="18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0"/>
                <w:szCs w:val="20"/>
                <w:u w:val="none"/>
                <w:lang w:val="en-US" w:eastAsia="zh-CN" w:bidi="ar"/>
              </w:rPr>
              <w:t>0.00</w:t>
            </w:r>
          </w:p>
        </w:tc>
        <w:tc>
          <w:tcPr>
            <w:tcW w:w="18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0"/>
                <w:szCs w:val="20"/>
                <w:u w:val="none"/>
                <w:lang w:val="en-US" w:eastAsia="zh-CN" w:bidi="ar"/>
              </w:rPr>
              <w:t>61.95</w:t>
            </w:r>
          </w:p>
        </w:tc>
      </w:tr>
      <w:tr>
        <w:tblPrEx>
          <w:tblCellMar>
            <w:top w:w="0" w:type="dxa"/>
            <w:left w:w="0" w:type="dxa"/>
            <w:bottom w:w="0" w:type="dxa"/>
            <w:right w:w="0" w:type="dxa"/>
          </w:tblCellMar>
        </w:tblPrEx>
        <w:trPr>
          <w:trHeight w:val="450" w:hRule="atLeast"/>
        </w:trPr>
        <w:tc>
          <w:tcPr>
            <w:tcW w:w="82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2070205</w:t>
            </w:r>
          </w:p>
        </w:tc>
        <w:tc>
          <w:tcPr>
            <w:tcW w:w="184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博物馆</w:t>
            </w:r>
          </w:p>
        </w:tc>
        <w:tc>
          <w:tcPr>
            <w:tcW w:w="18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4,165.90</w:t>
            </w:r>
          </w:p>
        </w:tc>
        <w:tc>
          <w:tcPr>
            <w:tcW w:w="185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4,033.95</w:t>
            </w:r>
          </w:p>
        </w:tc>
        <w:tc>
          <w:tcPr>
            <w:tcW w:w="18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8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7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70.00</w:t>
            </w:r>
          </w:p>
        </w:tc>
        <w:tc>
          <w:tcPr>
            <w:tcW w:w="18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8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61.95</w:t>
            </w:r>
          </w:p>
        </w:tc>
      </w:tr>
      <w:tr>
        <w:tblPrEx>
          <w:tblCellMar>
            <w:top w:w="0" w:type="dxa"/>
            <w:left w:w="0" w:type="dxa"/>
            <w:bottom w:w="0" w:type="dxa"/>
            <w:right w:w="0" w:type="dxa"/>
          </w:tblCellMar>
        </w:tblPrEx>
        <w:trPr>
          <w:trHeight w:val="450" w:hRule="atLeast"/>
        </w:trPr>
        <w:tc>
          <w:tcPr>
            <w:tcW w:w="82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2070299</w:t>
            </w:r>
          </w:p>
        </w:tc>
        <w:tc>
          <w:tcPr>
            <w:tcW w:w="184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其他文物支出</w:t>
            </w:r>
          </w:p>
        </w:tc>
        <w:tc>
          <w:tcPr>
            <w:tcW w:w="18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583.00</w:t>
            </w:r>
          </w:p>
        </w:tc>
        <w:tc>
          <w:tcPr>
            <w:tcW w:w="185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583.00</w:t>
            </w:r>
          </w:p>
        </w:tc>
        <w:tc>
          <w:tcPr>
            <w:tcW w:w="18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8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7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8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8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0" w:type="dxa"/>
            <w:bottom w:w="0" w:type="dxa"/>
            <w:right w:w="0" w:type="dxa"/>
          </w:tblCellMar>
        </w:tblPrEx>
        <w:trPr>
          <w:trHeight w:val="450" w:hRule="atLeast"/>
        </w:trPr>
        <w:tc>
          <w:tcPr>
            <w:tcW w:w="82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0"/>
                <w:szCs w:val="20"/>
                <w:u w:val="none"/>
                <w:lang w:val="en-US" w:eastAsia="zh-CN" w:bidi="ar"/>
              </w:rPr>
              <w:t>2079999</w:t>
            </w:r>
          </w:p>
        </w:tc>
        <w:tc>
          <w:tcPr>
            <w:tcW w:w="184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0"/>
                <w:szCs w:val="20"/>
                <w:u w:val="none"/>
                <w:lang w:val="en-US" w:eastAsia="zh-CN" w:bidi="ar"/>
              </w:rPr>
              <w:t>其他文化旅游体育与传媒支出</w:t>
            </w:r>
          </w:p>
        </w:tc>
        <w:tc>
          <w:tcPr>
            <w:tcW w:w="18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0"/>
                <w:szCs w:val="20"/>
                <w:u w:val="none"/>
                <w:lang w:val="en-US" w:eastAsia="zh-CN" w:bidi="ar"/>
              </w:rPr>
              <w:t>170.00</w:t>
            </w:r>
          </w:p>
        </w:tc>
        <w:tc>
          <w:tcPr>
            <w:tcW w:w="185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0"/>
                <w:szCs w:val="20"/>
                <w:u w:val="none"/>
                <w:lang w:val="en-US" w:eastAsia="zh-CN" w:bidi="ar"/>
              </w:rPr>
              <w:t>170.00</w:t>
            </w:r>
          </w:p>
        </w:tc>
        <w:tc>
          <w:tcPr>
            <w:tcW w:w="18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0"/>
                <w:szCs w:val="20"/>
                <w:u w:val="none"/>
                <w:lang w:val="en-US" w:eastAsia="zh-CN" w:bidi="ar"/>
              </w:rPr>
              <w:t>0.00</w:t>
            </w:r>
          </w:p>
        </w:tc>
        <w:tc>
          <w:tcPr>
            <w:tcW w:w="18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0"/>
                <w:szCs w:val="20"/>
                <w:u w:val="none"/>
                <w:lang w:val="en-US" w:eastAsia="zh-CN" w:bidi="ar"/>
              </w:rPr>
              <w:t>0.00</w:t>
            </w:r>
          </w:p>
        </w:tc>
        <w:tc>
          <w:tcPr>
            <w:tcW w:w="17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0"/>
                <w:szCs w:val="20"/>
                <w:u w:val="none"/>
                <w:lang w:val="en-US" w:eastAsia="zh-CN" w:bidi="ar"/>
              </w:rPr>
              <w:t>0.00</w:t>
            </w:r>
          </w:p>
        </w:tc>
        <w:tc>
          <w:tcPr>
            <w:tcW w:w="18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0"/>
                <w:szCs w:val="20"/>
                <w:u w:val="none"/>
                <w:lang w:val="en-US" w:eastAsia="zh-CN" w:bidi="ar"/>
              </w:rPr>
              <w:t>0.00</w:t>
            </w:r>
          </w:p>
        </w:tc>
        <w:tc>
          <w:tcPr>
            <w:tcW w:w="18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0" w:type="dxa"/>
            <w:bottom w:w="0" w:type="dxa"/>
            <w:right w:w="0" w:type="dxa"/>
          </w:tblCellMar>
        </w:tblPrEx>
        <w:trPr>
          <w:trHeight w:val="450" w:hRule="atLeast"/>
        </w:trPr>
        <w:tc>
          <w:tcPr>
            <w:tcW w:w="82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0"/>
                <w:szCs w:val="20"/>
                <w:u w:val="none"/>
                <w:lang w:val="en-US" w:eastAsia="zh-CN" w:bidi="ar"/>
              </w:rPr>
              <w:t>2080505</w:t>
            </w:r>
          </w:p>
        </w:tc>
        <w:tc>
          <w:tcPr>
            <w:tcW w:w="184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0"/>
                <w:szCs w:val="20"/>
                <w:u w:val="none"/>
                <w:lang w:val="en-US" w:eastAsia="zh-CN" w:bidi="ar"/>
              </w:rPr>
              <w:t>机关事业单位基本养老保险缴费支出</w:t>
            </w:r>
          </w:p>
        </w:tc>
        <w:tc>
          <w:tcPr>
            <w:tcW w:w="18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0"/>
                <w:szCs w:val="20"/>
                <w:u w:val="none"/>
                <w:lang w:val="en-US" w:eastAsia="zh-CN" w:bidi="ar"/>
              </w:rPr>
              <w:t>164.48</w:t>
            </w:r>
          </w:p>
        </w:tc>
        <w:tc>
          <w:tcPr>
            <w:tcW w:w="185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0"/>
                <w:szCs w:val="20"/>
                <w:u w:val="none"/>
                <w:lang w:val="en-US" w:eastAsia="zh-CN" w:bidi="ar"/>
              </w:rPr>
              <w:t>164.48</w:t>
            </w:r>
          </w:p>
        </w:tc>
        <w:tc>
          <w:tcPr>
            <w:tcW w:w="18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0"/>
                <w:szCs w:val="20"/>
                <w:u w:val="none"/>
                <w:lang w:val="en-US" w:eastAsia="zh-CN" w:bidi="ar"/>
              </w:rPr>
              <w:t>0.00</w:t>
            </w:r>
          </w:p>
        </w:tc>
        <w:tc>
          <w:tcPr>
            <w:tcW w:w="18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0"/>
                <w:szCs w:val="20"/>
                <w:u w:val="none"/>
                <w:lang w:val="en-US" w:eastAsia="zh-CN" w:bidi="ar"/>
              </w:rPr>
              <w:t>0.00</w:t>
            </w:r>
          </w:p>
        </w:tc>
        <w:tc>
          <w:tcPr>
            <w:tcW w:w="17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0"/>
                <w:szCs w:val="20"/>
                <w:u w:val="none"/>
                <w:lang w:val="en-US" w:eastAsia="zh-CN" w:bidi="ar"/>
              </w:rPr>
              <w:t>0.00</w:t>
            </w:r>
          </w:p>
        </w:tc>
        <w:tc>
          <w:tcPr>
            <w:tcW w:w="18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0"/>
                <w:szCs w:val="20"/>
                <w:u w:val="none"/>
                <w:lang w:val="en-US" w:eastAsia="zh-CN" w:bidi="ar"/>
              </w:rPr>
              <w:t>0.00</w:t>
            </w:r>
          </w:p>
        </w:tc>
        <w:tc>
          <w:tcPr>
            <w:tcW w:w="18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0" w:type="dxa"/>
            <w:bottom w:w="0" w:type="dxa"/>
            <w:right w:w="0" w:type="dxa"/>
          </w:tblCellMar>
        </w:tblPrEx>
        <w:trPr>
          <w:trHeight w:val="450" w:hRule="atLeast"/>
        </w:trPr>
        <w:tc>
          <w:tcPr>
            <w:tcW w:w="82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2210201</w:t>
            </w:r>
          </w:p>
        </w:tc>
        <w:tc>
          <w:tcPr>
            <w:tcW w:w="184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住房公积金</w:t>
            </w:r>
          </w:p>
        </w:tc>
        <w:tc>
          <w:tcPr>
            <w:tcW w:w="18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165.27</w:t>
            </w:r>
          </w:p>
        </w:tc>
        <w:tc>
          <w:tcPr>
            <w:tcW w:w="185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165.27</w:t>
            </w:r>
          </w:p>
        </w:tc>
        <w:tc>
          <w:tcPr>
            <w:tcW w:w="18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8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7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8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8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0" w:type="dxa"/>
            <w:bottom w:w="0" w:type="dxa"/>
            <w:right w:w="0" w:type="dxa"/>
          </w:tblCellMar>
        </w:tblPrEx>
        <w:trPr>
          <w:trHeight w:val="450" w:hRule="atLeast"/>
        </w:trPr>
        <w:tc>
          <w:tcPr>
            <w:tcW w:w="82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2210203</w:t>
            </w:r>
          </w:p>
        </w:tc>
        <w:tc>
          <w:tcPr>
            <w:tcW w:w="184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购房补贴</w:t>
            </w:r>
          </w:p>
        </w:tc>
        <w:tc>
          <w:tcPr>
            <w:tcW w:w="18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10.00</w:t>
            </w:r>
          </w:p>
        </w:tc>
        <w:tc>
          <w:tcPr>
            <w:tcW w:w="185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10.00</w:t>
            </w:r>
          </w:p>
        </w:tc>
        <w:tc>
          <w:tcPr>
            <w:tcW w:w="18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8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7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8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8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0" w:type="dxa"/>
            <w:bottom w:w="0" w:type="dxa"/>
            <w:right w:w="0" w:type="dxa"/>
          </w:tblCellMar>
        </w:tblPrEx>
        <w:trPr>
          <w:trHeight w:val="615" w:hRule="atLeast"/>
        </w:trPr>
        <w:tc>
          <w:tcPr>
            <w:tcW w:w="15428"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jc w:val="left"/>
        <w:rPr>
          <w:rFonts w:ascii="Times New Roman" w:hAnsi="Times New Roman" w:eastAsia="方正小标宋_GBK" w:cs="Times New Roman"/>
          <w:color w:val="000000"/>
          <w:kern w:val="0"/>
          <w:sz w:val="36"/>
          <w:szCs w:val="36"/>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tbl>
      <w:tblPr>
        <w:tblStyle w:val="6"/>
        <w:tblW w:w="13183" w:type="dxa"/>
        <w:jc w:val="center"/>
        <w:tblLayout w:type="fixed"/>
        <w:tblCellMar>
          <w:top w:w="0" w:type="dxa"/>
          <w:left w:w="108" w:type="dxa"/>
          <w:bottom w:w="0" w:type="dxa"/>
          <w:right w:w="108" w:type="dxa"/>
        </w:tblCellMar>
      </w:tblPr>
      <w:tblGrid>
        <w:gridCol w:w="1042"/>
        <w:gridCol w:w="222"/>
        <w:gridCol w:w="1930"/>
        <w:gridCol w:w="1677"/>
        <w:gridCol w:w="1623"/>
        <w:gridCol w:w="1677"/>
        <w:gridCol w:w="1650"/>
        <w:gridCol w:w="1650"/>
        <w:gridCol w:w="1712"/>
      </w:tblGrid>
      <w:tr>
        <w:tblPrEx>
          <w:tblCellMar>
            <w:top w:w="0" w:type="dxa"/>
            <w:left w:w="108" w:type="dxa"/>
            <w:bottom w:w="0" w:type="dxa"/>
            <w:right w:w="108" w:type="dxa"/>
          </w:tblCellMar>
        </w:tblPrEx>
        <w:trPr>
          <w:trHeight w:val="435" w:hRule="atLeast"/>
          <w:jc w:val="center"/>
        </w:trPr>
        <w:tc>
          <w:tcPr>
            <w:tcW w:w="13183"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CellMar>
            <w:top w:w="0" w:type="dxa"/>
            <w:left w:w="108" w:type="dxa"/>
            <w:bottom w:w="0" w:type="dxa"/>
            <w:right w:w="108" w:type="dxa"/>
          </w:tblCellMar>
        </w:tblPrEx>
        <w:trPr>
          <w:trHeight w:val="285" w:hRule="atLeast"/>
          <w:jc w:val="center"/>
        </w:trPr>
        <w:tc>
          <w:tcPr>
            <w:tcW w:w="104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2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3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2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5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5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12"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CellMar>
            <w:top w:w="0" w:type="dxa"/>
            <w:left w:w="108" w:type="dxa"/>
            <w:bottom w:w="0" w:type="dxa"/>
            <w:right w:w="108" w:type="dxa"/>
          </w:tblCellMar>
        </w:tblPrEx>
        <w:trPr>
          <w:trHeight w:val="285" w:hRule="atLeast"/>
          <w:jc w:val="center"/>
        </w:trPr>
        <w:tc>
          <w:tcPr>
            <w:tcW w:w="3194" w:type="dxa"/>
            <w:gridSpan w:val="3"/>
            <w:tcBorders>
              <w:top w:val="nil"/>
              <w:left w:val="nil"/>
              <w:bottom w:val="nil"/>
              <w:right w:val="nil"/>
            </w:tcBorders>
            <w:shd w:val="clear" w:color="000000" w:fill="FFFFFF"/>
            <w:noWrap/>
            <w:vAlign w:val="center"/>
          </w:tcPr>
          <w:p>
            <w:pPr>
              <w:widowControl/>
              <w:jc w:val="left"/>
              <w:rPr>
                <w:rFonts w:ascii="宋体" w:hAnsi="宋体" w:eastAsia="宋体" w:cs="宋体"/>
                <w:kern w:val="0"/>
                <w:sz w:val="24"/>
                <w:szCs w:val="24"/>
              </w:rPr>
            </w:pPr>
            <w:r>
              <w:rPr>
                <w:rFonts w:hint="eastAsia"/>
                <w:color w:val="000000"/>
                <w:sz w:val="20"/>
                <w:szCs w:val="20"/>
                <w:lang w:eastAsia="zh-CN"/>
              </w:rPr>
              <w:t>部门</w:t>
            </w:r>
            <w:r>
              <w:rPr>
                <w:rFonts w:hint="eastAsia"/>
                <w:color w:val="000000"/>
                <w:sz w:val="20"/>
                <w:szCs w:val="20"/>
              </w:rPr>
              <w:t>：</w:t>
            </w:r>
            <w:r>
              <w:rPr>
                <w:rFonts w:hint="eastAsia" w:ascii="宋体" w:hAnsi="宋体" w:eastAsia="宋体" w:cs="宋体"/>
                <w:color w:val="000000"/>
                <w:kern w:val="0"/>
                <w:sz w:val="20"/>
                <w:szCs w:val="20"/>
                <w:lang w:eastAsia="zh-CN"/>
              </w:rPr>
              <w:t>韶山毛泽东同志纪念馆</w:t>
            </w:r>
          </w:p>
        </w:tc>
        <w:tc>
          <w:tcPr>
            <w:tcW w:w="167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2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7"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65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5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12"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50" w:hRule="atLeast"/>
          <w:jc w:val="center"/>
        </w:trPr>
        <w:tc>
          <w:tcPr>
            <w:tcW w:w="3194"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67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62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67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65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65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171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CellMar>
            <w:top w:w="0" w:type="dxa"/>
            <w:left w:w="108" w:type="dxa"/>
            <w:bottom w:w="0" w:type="dxa"/>
            <w:right w:w="108" w:type="dxa"/>
          </w:tblCellMar>
        </w:tblPrEx>
        <w:trPr>
          <w:trHeight w:val="450" w:hRule="atLeast"/>
          <w:jc w:val="center"/>
        </w:trPr>
        <w:tc>
          <w:tcPr>
            <w:tcW w:w="1264"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193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6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jc w:val="center"/>
        </w:trPr>
        <w:tc>
          <w:tcPr>
            <w:tcW w:w="12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3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jc w:val="center"/>
        </w:trPr>
        <w:tc>
          <w:tcPr>
            <w:tcW w:w="3194"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677"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62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677"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6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6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71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CellMar>
            <w:top w:w="0" w:type="dxa"/>
            <w:left w:w="108" w:type="dxa"/>
            <w:bottom w:w="0" w:type="dxa"/>
            <w:right w:w="108" w:type="dxa"/>
          </w:tblCellMar>
        </w:tblPrEx>
        <w:trPr>
          <w:trHeight w:val="450" w:hRule="atLeast"/>
          <w:jc w:val="center"/>
        </w:trPr>
        <w:tc>
          <w:tcPr>
            <w:tcW w:w="3194"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6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0"/>
                <w:szCs w:val="20"/>
                <w:u w:val="none"/>
                <w:lang w:val="en-US" w:eastAsia="zh-CN" w:bidi="ar"/>
              </w:rPr>
              <w:t>5,421.66</w:t>
            </w:r>
          </w:p>
        </w:tc>
        <w:tc>
          <w:tcPr>
            <w:tcW w:w="162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0"/>
                <w:szCs w:val="20"/>
                <w:u w:val="none"/>
                <w:lang w:val="en-US" w:eastAsia="zh-CN" w:bidi="ar"/>
              </w:rPr>
              <w:t>1,121.63</w:t>
            </w:r>
          </w:p>
        </w:tc>
        <w:tc>
          <w:tcPr>
            <w:tcW w:w="16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0"/>
                <w:szCs w:val="20"/>
                <w:u w:val="none"/>
                <w:lang w:val="en-US" w:eastAsia="zh-CN" w:bidi="ar"/>
              </w:rPr>
              <w:t>4,242.44</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0"/>
                <w:szCs w:val="20"/>
                <w:u w:val="none"/>
                <w:lang w:val="en-US" w:eastAsia="zh-CN" w:bidi="ar"/>
              </w:rPr>
              <w:t>0.00</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0"/>
                <w:szCs w:val="20"/>
                <w:u w:val="none"/>
                <w:lang w:val="en-US" w:eastAsia="zh-CN" w:bidi="ar"/>
              </w:rPr>
              <w:t>57.60</w:t>
            </w:r>
          </w:p>
        </w:tc>
        <w:tc>
          <w:tcPr>
            <w:tcW w:w="171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450" w:hRule="atLeast"/>
          <w:jc w:val="center"/>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2070205</w:t>
            </w:r>
          </w:p>
        </w:tc>
        <w:tc>
          <w:tcPr>
            <w:tcW w:w="19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博物馆</w:t>
            </w:r>
          </w:p>
        </w:tc>
        <w:tc>
          <w:tcPr>
            <w:tcW w:w="16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4,150.42</w:t>
            </w:r>
          </w:p>
        </w:tc>
        <w:tc>
          <w:tcPr>
            <w:tcW w:w="162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781.88</w:t>
            </w:r>
          </w:p>
        </w:tc>
        <w:tc>
          <w:tcPr>
            <w:tcW w:w="16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3,310.95</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57.60</w:t>
            </w:r>
          </w:p>
        </w:tc>
        <w:tc>
          <w:tcPr>
            <w:tcW w:w="171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450" w:hRule="atLeast"/>
          <w:jc w:val="center"/>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2070299</w:t>
            </w:r>
          </w:p>
        </w:tc>
        <w:tc>
          <w:tcPr>
            <w:tcW w:w="19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其他文物支出</w:t>
            </w:r>
          </w:p>
        </w:tc>
        <w:tc>
          <w:tcPr>
            <w:tcW w:w="16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87.67</w:t>
            </w:r>
          </w:p>
        </w:tc>
        <w:tc>
          <w:tcPr>
            <w:tcW w:w="162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6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87.67</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71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450" w:hRule="atLeast"/>
          <w:jc w:val="center"/>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2079999</w:t>
            </w:r>
          </w:p>
        </w:tc>
        <w:tc>
          <w:tcPr>
            <w:tcW w:w="19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其他文化旅游体育与传媒支出</w:t>
            </w:r>
          </w:p>
        </w:tc>
        <w:tc>
          <w:tcPr>
            <w:tcW w:w="16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330.68</w:t>
            </w:r>
          </w:p>
        </w:tc>
        <w:tc>
          <w:tcPr>
            <w:tcW w:w="162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6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330.68</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71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450" w:hRule="atLeast"/>
          <w:jc w:val="center"/>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2080505</w:t>
            </w:r>
          </w:p>
        </w:tc>
        <w:tc>
          <w:tcPr>
            <w:tcW w:w="19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机关事业单位基本养老保险缴费支出</w:t>
            </w:r>
          </w:p>
        </w:tc>
        <w:tc>
          <w:tcPr>
            <w:tcW w:w="16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164.48</w:t>
            </w:r>
          </w:p>
        </w:tc>
        <w:tc>
          <w:tcPr>
            <w:tcW w:w="162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164.48</w:t>
            </w:r>
          </w:p>
        </w:tc>
        <w:tc>
          <w:tcPr>
            <w:tcW w:w="16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71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450" w:hRule="atLeast"/>
          <w:jc w:val="center"/>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2200199</w:t>
            </w:r>
          </w:p>
        </w:tc>
        <w:tc>
          <w:tcPr>
            <w:tcW w:w="19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其他自然资源事务支出</w:t>
            </w:r>
          </w:p>
        </w:tc>
        <w:tc>
          <w:tcPr>
            <w:tcW w:w="16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513.14</w:t>
            </w:r>
          </w:p>
        </w:tc>
        <w:tc>
          <w:tcPr>
            <w:tcW w:w="162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6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513.14</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71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450" w:hRule="atLeast"/>
          <w:jc w:val="center"/>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2210201</w:t>
            </w:r>
          </w:p>
        </w:tc>
        <w:tc>
          <w:tcPr>
            <w:tcW w:w="19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住房公积金</w:t>
            </w:r>
          </w:p>
        </w:tc>
        <w:tc>
          <w:tcPr>
            <w:tcW w:w="16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165.27</w:t>
            </w:r>
          </w:p>
        </w:tc>
        <w:tc>
          <w:tcPr>
            <w:tcW w:w="162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165.27</w:t>
            </w:r>
          </w:p>
        </w:tc>
        <w:tc>
          <w:tcPr>
            <w:tcW w:w="16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71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450" w:hRule="atLeast"/>
          <w:jc w:val="center"/>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2210203</w:t>
            </w:r>
          </w:p>
        </w:tc>
        <w:tc>
          <w:tcPr>
            <w:tcW w:w="19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购房补贴</w:t>
            </w:r>
          </w:p>
        </w:tc>
        <w:tc>
          <w:tcPr>
            <w:tcW w:w="16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10.00</w:t>
            </w:r>
          </w:p>
        </w:tc>
        <w:tc>
          <w:tcPr>
            <w:tcW w:w="162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10.00</w:t>
            </w:r>
          </w:p>
        </w:tc>
        <w:tc>
          <w:tcPr>
            <w:tcW w:w="16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c>
          <w:tcPr>
            <w:tcW w:w="171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30" w:hRule="atLeast"/>
          <w:jc w:val="center"/>
        </w:trPr>
        <w:tc>
          <w:tcPr>
            <w:tcW w:w="13183" w:type="dxa"/>
            <w:gridSpan w:val="9"/>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tbl>
      <w:tblPr>
        <w:tblStyle w:val="6"/>
        <w:tblW w:w="15521" w:type="dxa"/>
        <w:tblInd w:w="93" w:type="dxa"/>
        <w:tblLayout w:type="autofit"/>
        <w:tblCellMar>
          <w:top w:w="0" w:type="dxa"/>
          <w:left w:w="108" w:type="dxa"/>
          <w:bottom w:w="0" w:type="dxa"/>
          <w:right w:w="108" w:type="dxa"/>
        </w:tblCellMar>
      </w:tblPr>
      <w:tblGrid>
        <w:gridCol w:w="3595"/>
        <w:gridCol w:w="436"/>
        <w:gridCol w:w="1078"/>
        <w:gridCol w:w="496"/>
        <w:gridCol w:w="2915"/>
        <w:gridCol w:w="632"/>
        <w:gridCol w:w="435"/>
        <w:gridCol w:w="1573"/>
        <w:gridCol w:w="1394"/>
        <w:gridCol w:w="1394"/>
        <w:gridCol w:w="1573"/>
      </w:tblGrid>
      <w:tr>
        <w:tblPrEx>
          <w:tblCellMar>
            <w:top w:w="0" w:type="dxa"/>
            <w:left w:w="108" w:type="dxa"/>
            <w:bottom w:w="0" w:type="dxa"/>
            <w:right w:w="108" w:type="dxa"/>
          </w:tblCellMar>
        </w:tblPrEx>
        <w:trPr>
          <w:trHeight w:val="285" w:hRule="atLeast"/>
        </w:trPr>
        <w:tc>
          <w:tcPr>
            <w:tcW w:w="3595"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436"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47"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35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CellMar>
            <w:top w:w="0" w:type="dxa"/>
            <w:left w:w="108" w:type="dxa"/>
            <w:bottom w:w="0" w:type="dxa"/>
            <w:right w:w="108" w:type="dxa"/>
          </w:tblCellMar>
        </w:tblPrEx>
        <w:trPr>
          <w:trHeight w:val="300" w:hRule="atLeast"/>
        </w:trPr>
        <w:tc>
          <w:tcPr>
            <w:tcW w:w="3595"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color w:val="000000"/>
                <w:sz w:val="20"/>
                <w:szCs w:val="20"/>
                <w:lang w:eastAsia="zh-CN"/>
              </w:rPr>
              <w:t>部门</w:t>
            </w:r>
            <w:r>
              <w:rPr>
                <w:rFonts w:hint="eastAsia"/>
                <w:color w:val="000000"/>
                <w:sz w:val="20"/>
                <w:szCs w:val="20"/>
              </w:rPr>
              <w:t>：</w:t>
            </w:r>
            <w:r>
              <w:rPr>
                <w:rFonts w:hint="eastAsia" w:ascii="宋体" w:hAnsi="宋体" w:eastAsia="宋体" w:cs="宋体"/>
                <w:color w:val="000000"/>
                <w:kern w:val="0"/>
                <w:sz w:val="20"/>
                <w:szCs w:val="20"/>
                <w:lang w:eastAsia="zh-CN"/>
              </w:rPr>
              <w:t>韶山毛泽东同志纪念馆</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510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63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0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5,126.70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13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13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0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二、文化旅游体育与传媒支出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4,356.99</w:t>
            </w:r>
          </w:p>
        </w:tc>
        <w:tc>
          <w:tcPr>
            <w:tcW w:w="13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4,356.99</w:t>
            </w:r>
          </w:p>
        </w:tc>
        <w:tc>
          <w:tcPr>
            <w:tcW w:w="13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0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三、社会保障和就业支出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164.48</w:t>
            </w:r>
          </w:p>
        </w:tc>
        <w:tc>
          <w:tcPr>
            <w:tcW w:w="13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164.48</w:t>
            </w:r>
          </w:p>
        </w:tc>
        <w:tc>
          <w:tcPr>
            <w:tcW w:w="13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kern w:val="0"/>
                <w:sz w:val="22"/>
                <w:lang w:val="en-US" w:eastAsia="zh-CN"/>
              </w:rPr>
              <w:t>四、住房保障支出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175.27</w:t>
            </w:r>
          </w:p>
        </w:tc>
        <w:tc>
          <w:tcPr>
            <w:tcW w:w="13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175.27</w:t>
            </w:r>
          </w:p>
        </w:tc>
        <w:tc>
          <w:tcPr>
            <w:tcW w:w="13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4"/>
                <w:szCs w:val="24"/>
              </w:rPr>
              <w:t>……</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0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5,126.70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4,696.74</w:t>
            </w:r>
          </w:p>
        </w:tc>
        <w:tc>
          <w:tcPr>
            <w:tcW w:w="13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4,696.74</w:t>
            </w:r>
          </w:p>
        </w:tc>
        <w:tc>
          <w:tcPr>
            <w:tcW w:w="13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0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1,029.90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年末财政拨款结转和结余</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1,459.86</w:t>
            </w:r>
          </w:p>
        </w:tc>
        <w:tc>
          <w:tcPr>
            <w:tcW w:w="13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1,459.86</w:t>
            </w:r>
          </w:p>
        </w:tc>
        <w:tc>
          <w:tcPr>
            <w:tcW w:w="13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0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1,029.90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0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0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10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6,156.60</w:t>
            </w:r>
          </w:p>
        </w:tc>
        <w:tc>
          <w:tcPr>
            <w:tcW w:w="3411"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67"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28</w:t>
            </w:r>
          </w:p>
        </w:tc>
        <w:tc>
          <w:tcPr>
            <w:tcW w:w="157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6,156.60</w:t>
            </w:r>
          </w:p>
        </w:tc>
        <w:tc>
          <w:tcPr>
            <w:tcW w:w="139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6,156.60</w:t>
            </w:r>
          </w:p>
        </w:tc>
        <w:tc>
          <w:tcPr>
            <w:tcW w:w="13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585" w:hRule="atLeast"/>
        </w:trPr>
        <w:tc>
          <w:tcPr>
            <w:tcW w:w="1552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hint="eastAsia"/>
          <w:color w:val="000000"/>
          <w:sz w:val="20"/>
          <w:szCs w:val="20"/>
          <w:lang w:eastAsia="zh-CN"/>
        </w:rPr>
        <w:t>部门</w:t>
      </w:r>
      <w:r>
        <w:rPr>
          <w:rFonts w:hint="eastAsia"/>
          <w:color w:val="000000"/>
          <w:sz w:val="20"/>
          <w:szCs w:val="20"/>
        </w:rPr>
        <w:t>：</w:t>
      </w:r>
      <w:r>
        <w:rPr>
          <w:rFonts w:hint="eastAsia" w:ascii="宋体" w:hAnsi="宋体" w:eastAsia="宋体" w:cs="宋体"/>
          <w:color w:val="000000"/>
          <w:kern w:val="0"/>
          <w:sz w:val="20"/>
          <w:szCs w:val="20"/>
          <w:lang w:eastAsia="zh-CN"/>
        </w:rPr>
        <w:t>韶山毛泽东同志纪念馆</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6"/>
        <w:tblW w:w="14219" w:type="dxa"/>
        <w:jc w:val="center"/>
        <w:tblLayout w:type="autofit"/>
        <w:tblCellMar>
          <w:top w:w="0" w:type="dxa"/>
          <w:left w:w="108" w:type="dxa"/>
          <w:bottom w:w="0" w:type="dxa"/>
          <w:right w:w="108" w:type="dxa"/>
        </w:tblCellMar>
      </w:tblPr>
      <w:tblGrid>
        <w:gridCol w:w="1200"/>
        <w:gridCol w:w="3527"/>
        <w:gridCol w:w="3000"/>
        <w:gridCol w:w="3492"/>
        <w:gridCol w:w="3000"/>
      </w:tblGrid>
      <w:tr>
        <w:tblPrEx>
          <w:tblCellMar>
            <w:top w:w="0" w:type="dxa"/>
            <w:left w:w="108" w:type="dxa"/>
            <w:bottom w:w="0" w:type="dxa"/>
            <w:right w:w="108" w:type="dxa"/>
          </w:tblCellMar>
        </w:tblPrEx>
        <w:trPr>
          <w:trHeight w:val="40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4,696.74</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1,120.12</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3,576.62</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2070205</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博物馆</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3,938.64</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780.37</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3,158.27</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2070299</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其他文物支出</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87.67</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87.67</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2079999</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其他文化旅游体育与传媒支出</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330.68</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330.68</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2080505</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机关事业单位基本养老保险缴费支出</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164.48</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164.48</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2210201</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住房公积金</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165.27</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165.27</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2210203</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购房补贴</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10.00</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10.00</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6"/>
        <w:tblW w:w="15891" w:type="dxa"/>
        <w:tblInd w:w="0" w:type="dxa"/>
        <w:tblLayout w:type="fixed"/>
        <w:tblCellMar>
          <w:top w:w="0" w:type="dxa"/>
          <w:left w:w="108" w:type="dxa"/>
          <w:bottom w:w="0" w:type="dxa"/>
          <w:right w:w="108" w:type="dxa"/>
        </w:tblCellMar>
      </w:tblPr>
      <w:tblGrid>
        <w:gridCol w:w="1091"/>
        <w:gridCol w:w="3205"/>
        <w:gridCol w:w="929"/>
        <w:gridCol w:w="1157"/>
        <w:gridCol w:w="2359"/>
        <w:gridCol w:w="928"/>
        <w:gridCol w:w="1131"/>
        <w:gridCol w:w="4228"/>
        <w:gridCol w:w="863"/>
      </w:tblGrid>
      <w:tr>
        <w:tblPrEx>
          <w:tblCellMar>
            <w:top w:w="0" w:type="dxa"/>
            <w:left w:w="108" w:type="dxa"/>
            <w:bottom w:w="0" w:type="dxa"/>
            <w:right w:w="108" w:type="dxa"/>
          </w:tblCellMar>
        </w:tblPrEx>
        <w:trPr>
          <w:trHeight w:val="113" w:hRule="atLeast"/>
        </w:trPr>
        <w:tc>
          <w:tcPr>
            <w:tcW w:w="15891"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eastAsia="zh-CN"/>
              </w:rPr>
              <w:t>部门</w:t>
            </w:r>
            <w:r>
              <w:rPr>
                <w:rFonts w:ascii="Times New Roman" w:hAnsi="Times New Roman" w:eastAsia="仿宋_GB2312" w:cs="Times New Roman"/>
                <w:color w:val="000000"/>
                <w:kern w:val="0"/>
                <w:szCs w:val="21"/>
              </w:rPr>
              <w:t>：</w:t>
            </w:r>
            <w:r>
              <w:rPr>
                <w:rFonts w:hint="eastAsia" w:ascii="Times New Roman" w:hAnsi="Times New Roman" w:eastAsia="仿宋_GB2312" w:cs="Times New Roman"/>
                <w:color w:val="000000"/>
                <w:kern w:val="0"/>
                <w:szCs w:val="21"/>
                <w:lang w:eastAsia="zh-CN"/>
              </w:rPr>
              <w:t>韶山毛泽东同志纪念馆</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CellMar>
            <w:top w:w="0" w:type="dxa"/>
            <w:left w:w="108" w:type="dxa"/>
            <w:bottom w:w="0" w:type="dxa"/>
            <w:right w:w="108" w:type="dxa"/>
          </w:tblCellMar>
        </w:tblPrEx>
        <w:trPr>
          <w:trHeight w:val="113" w:hRule="atLeast"/>
        </w:trPr>
        <w:tc>
          <w:tcPr>
            <w:tcW w:w="10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20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3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2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6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983.01</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134.30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175.87</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0.78</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11.01</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2.09</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342.41</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135.96</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91.68</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24.83</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6.89</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165.27</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53.92</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10.56</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2.81</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2.81</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7.62</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23.52</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20.56</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15.20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863"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863"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0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2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3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9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29.13</w:t>
            </w:r>
          </w:p>
        </w:tc>
        <w:tc>
          <w:tcPr>
            <w:tcW w:w="11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863"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429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985.82</w:t>
            </w:r>
          </w:p>
        </w:tc>
        <w:tc>
          <w:tcPr>
            <w:tcW w:w="9803"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8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18"/>
              </w:rPr>
            </w:pPr>
            <w:r>
              <w:rPr>
                <w:rFonts w:hint="eastAsia" w:ascii="宋体" w:hAnsi="宋体" w:eastAsia="宋体" w:cs="宋体"/>
                <w:i w:val="0"/>
                <w:iCs w:val="0"/>
                <w:color w:val="000000"/>
                <w:kern w:val="0"/>
                <w:sz w:val="20"/>
                <w:szCs w:val="20"/>
                <w:u w:val="none"/>
                <w:lang w:val="en-US" w:eastAsia="zh-CN" w:bidi="ar"/>
              </w:rPr>
              <w:t>134.30</w:t>
            </w:r>
          </w:p>
        </w:tc>
      </w:tr>
      <w:tr>
        <w:tblPrEx>
          <w:tblCellMar>
            <w:top w:w="0" w:type="dxa"/>
            <w:left w:w="108" w:type="dxa"/>
            <w:bottom w:w="0" w:type="dxa"/>
            <w:right w:w="108" w:type="dxa"/>
          </w:tblCellMar>
        </w:tblPrEx>
        <w:trPr>
          <w:trHeight w:val="284" w:hRule="exact"/>
        </w:trPr>
        <w:tc>
          <w:tcPr>
            <w:tcW w:w="15891"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pPr>
        <w:widowControl/>
        <w:jc w:val="center"/>
        <w:rPr>
          <w:rFonts w:ascii="Times New Roman" w:hAnsi="Times New Roman" w:eastAsia="方正小标宋_GBK" w:cs="Times New Roman"/>
          <w:color w:val="000000"/>
          <w:kern w:val="0"/>
          <w:sz w:val="36"/>
          <w:szCs w:val="36"/>
        </w:rPr>
      </w:pPr>
      <w:r>
        <w:rPr>
          <w:rFonts w:hint="eastAsia" w:ascii="Times New Roman" w:hAnsi="Times New Roman" w:eastAsia="方正小标宋_GBK" w:cs="Times New Roman"/>
          <w:color w:val="000000"/>
          <w:kern w:val="0"/>
          <w:sz w:val="36"/>
          <w:szCs w:val="36"/>
        </w:rPr>
        <w:t>一般公共预算财政拨款“三公”经费支出决算表</w:t>
      </w:r>
    </w:p>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eastAsia="zh-CN"/>
        </w:rPr>
        <w:t>部门</w:t>
      </w:r>
      <w:r>
        <w:rPr>
          <w:rFonts w:ascii="Times New Roman" w:hAnsi="Times New Roman" w:eastAsia="仿宋_GB2312" w:cs="Times New Roman"/>
          <w:color w:val="000000"/>
          <w:kern w:val="0"/>
          <w:szCs w:val="21"/>
        </w:rPr>
        <w:t>：</w:t>
      </w:r>
      <w:r>
        <w:rPr>
          <w:rFonts w:hint="eastAsia" w:ascii="Times New Roman" w:hAnsi="Times New Roman" w:eastAsia="仿宋_GB2312" w:cs="Times New Roman"/>
          <w:color w:val="000000"/>
          <w:kern w:val="0"/>
          <w:szCs w:val="21"/>
          <w:lang w:eastAsia="zh-CN"/>
        </w:rPr>
        <w:t>韶山毛泽东同志纪念馆</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pPr>
        <w:widowControl/>
        <w:ind w:right="42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6"/>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23.20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15.20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15.20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8.00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22.91</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15.20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nil"/>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15.20</w:t>
            </w:r>
          </w:p>
        </w:tc>
        <w:tc>
          <w:tcPr>
            <w:tcW w:w="1220" w:type="dxa"/>
            <w:tcBorders>
              <w:top w:val="nil"/>
              <w:left w:val="single" w:color="auto" w:sz="4" w:space="0"/>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7.71</w:t>
            </w:r>
          </w:p>
        </w:tc>
      </w:tr>
    </w:tbl>
    <w:p>
      <w:pPr>
        <w:widowControl/>
        <w:jc w:val="left"/>
        <w:rPr>
          <w:rFonts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pPr>
        <w:autoSpaceDE w:val="0"/>
        <w:autoSpaceDN w:val="0"/>
        <w:adjustRightInd w:val="0"/>
        <w:ind w:left="315" w:leftChars="150"/>
        <w:jc w:val="left"/>
        <w:rPr>
          <w:rFonts w:ascii="宋体" w:eastAsia="宋体" w:cs="宋体"/>
          <w:kern w:val="0"/>
          <w:sz w:val="24"/>
          <w:szCs w:val="24"/>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pPr>
        <w:widowControl/>
        <w:wordWrap/>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eastAsia="zh-CN"/>
        </w:rPr>
        <w:t>部门</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eastAsia="zh-CN"/>
        </w:rPr>
        <w:t>韶山毛泽东同志纪念馆</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公开08表</w:t>
      </w:r>
    </w:p>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6"/>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eastAsia="zh-CN"/>
              </w:rPr>
              <w:t>本表无数据</w:t>
            </w: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(若本单位无政府性基金收支</w:t>
      </w:r>
      <w:r>
        <w:rPr>
          <w:rFonts w:hint="eastAsia" w:ascii="Times New Roman" w:hAnsi="Times New Roman" w:eastAsia="仿宋_GB2312" w:cs="Times New Roman"/>
          <w:kern w:val="0"/>
          <w:szCs w:val="21"/>
        </w:rPr>
        <w:t>,请说明：XX单位没有政府性基金收入，也没有使用政府性基金安排的支出，故本表无数据</w:t>
      </w:r>
      <w:r>
        <w:rPr>
          <w:rFonts w:ascii="Times New Roman" w:hAnsi="Times New Roman" w:eastAsia="仿宋_GB2312" w:cs="Times New Roman"/>
          <w:kern w:val="0"/>
          <w:szCs w:val="21"/>
        </w:rPr>
        <w:t>)。</w:t>
      </w:r>
    </w:p>
    <w:p>
      <w:pPr>
        <w:widowControl/>
        <w:jc w:val="left"/>
        <w:rPr>
          <w:rFonts w:ascii="黑体" w:hAnsi="黑体" w:eastAsia="黑体"/>
          <w:szCs w:val="21"/>
        </w:rPr>
      </w:pPr>
      <w:r>
        <w:rPr>
          <w:rFonts w:ascii="黑体" w:hAnsi="黑体" w:eastAsia="黑体"/>
          <w:szCs w:val="21"/>
        </w:rPr>
        <w:br w:type="page"/>
      </w:r>
    </w:p>
    <w:tbl>
      <w:tblPr>
        <w:tblStyle w:val="6"/>
        <w:tblW w:w="14190" w:type="dxa"/>
        <w:tblInd w:w="93" w:type="dxa"/>
        <w:tblLayout w:type="autofit"/>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285" w:hRule="atLeast"/>
        </w:trPr>
        <w:tc>
          <w:tcPr>
            <w:tcW w:w="4835" w:type="dxa"/>
            <w:gridSpan w:val="4"/>
            <w:tcBorders>
              <w:top w:val="nil"/>
              <w:left w:val="nil"/>
              <w:bottom w:val="nil"/>
              <w:right w:val="nil"/>
            </w:tcBorders>
            <w:shd w:val="clear" w:color="000000" w:fill="FFFFFF"/>
            <w:noWrap/>
            <w:vAlign w:val="center"/>
          </w:tcPr>
          <w:p>
            <w:pPr>
              <w:widowControl/>
              <w:jc w:val="left"/>
              <w:rPr>
                <w:rFonts w:hint="eastAsia" w:ascii="宋体" w:hAnsi="宋体" w:eastAsia="宋体" w:cs="宋体"/>
                <w:kern w:val="0"/>
                <w:sz w:val="20"/>
                <w:szCs w:val="20"/>
                <w:lang w:eastAsia="zh-CN"/>
              </w:rPr>
            </w:pPr>
            <w:r>
              <w:rPr>
                <w:rFonts w:hint="eastAsia" w:ascii="宋体" w:hAnsi="宋体" w:eastAsia="宋体" w:cs="宋体"/>
                <w:color w:val="000000"/>
                <w:kern w:val="0"/>
                <w:sz w:val="20"/>
                <w:szCs w:val="20"/>
                <w:lang w:eastAsia="zh-CN"/>
              </w:rPr>
              <w:t>部门</w:t>
            </w:r>
            <w:r>
              <w:rPr>
                <w:rFonts w:hint="eastAsia" w:ascii="宋体" w:hAnsi="宋体" w:eastAsia="宋体" w:cs="宋体"/>
                <w:color w:val="000000"/>
                <w:kern w:val="0"/>
                <w:sz w:val="20"/>
                <w:szCs w:val="20"/>
              </w:rPr>
              <w:t>：</w:t>
            </w:r>
            <w:r>
              <w:rPr>
                <w:rFonts w:hint="eastAsia" w:ascii="宋体" w:hAnsi="宋体" w:eastAsia="宋体" w:cs="宋体"/>
                <w:color w:val="000000"/>
                <w:kern w:val="0"/>
                <w:sz w:val="20"/>
                <w:szCs w:val="20"/>
                <w:lang w:eastAsia="zh-CN"/>
              </w:rPr>
              <w:t>韶山毛泽东同志纪念馆</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eastAsia="zh-CN"/>
              </w:rPr>
              <w:t>本表无数据</w:t>
            </w: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tc>
      </w:tr>
    </w:tbl>
    <w:p>
      <w:pPr>
        <w:pStyle w:val="10"/>
        <w:rPr>
          <w:sz w:val="72"/>
          <w:szCs w:val="72"/>
        </w:rPr>
        <w:sectPr>
          <w:pgSz w:w="16838" w:h="11906" w:orient="landscape"/>
          <w:pgMar w:top="720" w:right="720" w:bottom="720" w:left="720" w:header="851" w:footer="992" w:gutter="0"/>
          <w:cols w:space="425" w:num="1"/>
          <w:docGrid w:type="lines" w:linePitch="312" w:charSpace="0"/>
        </w:sect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第三部分</w:t>
      </w:r>
    </w:p>
    <w:p>
      <w:pPr>
        <w:pStyle w:val="10"/>
        <w:jc w:val="center"/>
        <w:rPr>
          <w:sz w:val="70"/>
          <w:szCs w:val="70"/>
        </w:rPr>
      </w:pPr>
    </w:p>
    <w:p>
      <w:pPr>
        <w:pStyle w:val="10"/>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0"/>
        <w:rPr>
          <w:rFonts w:asciiTheme="minorEastAsia" w:hAnsiTheme="minorEastAsia" w:eastAsiaTheme="minorEastAsia"/>
          <w:sz w:val="32"/>
          <w:szCs w:val="32"/>
        </w:rPr>
      </w:pPr>
    </w:p>
    <w:p>
      <w:pPr>
        <w:pStyle w:val="10"/>
        <w:rPr>
          <w:rFonts w:hAnsi="黑体"/>
          <w:b/>
          <w:color w:val="auto"/>
          <w:sz w:val="32"/>
          <w:szCs w:val="32"/>
        </w:rPr>
      </w:pPr>
      <w:r>
        <w:rPr>
          <w:rFonts w:hint="eastAsia" w:hAnsi="黑体"/>
          <w:b/>
          <w:color w:val="auto"/>
          <w:sz w:val="32"/>
          <w:szCs w:val="32"/>
        </w:rPr>
        <w:t>一、收入支出决算总体情况说明</w:t>
      </w:r>
    </w:p>
    <w:p>
      <w:pPr>
        <w:pStyle w:val="10"/>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2021年度收、支总计</w:t>
      </w:r>
      <w:r>
        <w:rPr>
          <w:rFonts w:hint="eastAsia" w:asciiTheme="minorEastAsia" w:hAnsiTheme="minorEastAsia" w:eastAsiaTheme="minorEastAsia"/>
          <w:color w:val="auto"/>
          <w:sz w:val="32"/>
          <w:szCs w:val="32"/>
          <w:lang w:val="en-US" w:eastAsia="zh-CN"/>
        </w:rPr>
        <w:t>7202.46</w:t>
      </w:r>
      <w:r>
        <w:rPr>
          <w:rFonts w:hint="eastAsia" w:asciiTheme="minorEastAsia" w:hAnsiTheme="minorEastAsia" w:eastAsiaTheme="minorEastAsia"/>
          <w:color w:val="auto"/>
          <w:sz w:val="32"/>
          <w:szCs w:val="32"/>
        </w:rPr>
        <w:t>万元。与上年相比，减少</w:t>
      </w:r>
      <w:r>
        <w:rPr>
          <w:rFonts w:hint="eastAsia" w:asciiTheme="minorEastAsia" w:hAnsiTheme="minorEastAsia" w:eastAsiaTheme="minorEastAsia"/>
          <w:color w:val="auto"/>
          <w:sz w:val="32"/>
          <w:szCs w:val="32"/>
          <w:lang w:val="en-US" w:eastAsia="zh-CN"/>
        </w:rPr>
        <w:t>2974.35</w:t>
      </w:r>
      <w:r>
        <w:rPr>
          <w:rFonts w:hint="eastAsia" w:asciiTheme="minorEastAsia" w:hAnsiTheme="minorEastAsia" w:eastAsiaTheme="minorEastAsia"/>
          <w:color w:val="auto"/>
          <w:sz w:val="32"/>
          <w:szCs w:val="32"/>
        </w:rPr>
        <w:t>万元，减少</w:t>
      </w:r>
      <w:r>
        <w:rPr>
          <w:rFonts w:hint="eastAsia" w:asciiTheme="minorEastAsia" w:hAnsiTheme="minorEastAsia" w:eastAsiaTheme="minorEastAsia"/>
          <w:color w:val="auto"/>
          <w:sz w:val="32"/>
          <w:szCs w:val="32"/>
          <w:lang w:val="en-US" w:eastAsia="zh-CN"/>
        </w:rPr>
        <w:t>29.23</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val="en-US" w:eastAsia="zh-CN"/>
        </w:rPr>
        <w:t>主要是因为减少山水林田专项资金及智慧磐石专项资金。</w:t>
      </w:r>
    </w:p>
    <w:p>
      <w:pPr>
        <w:pStyle w:val="10"/>
        <w:rPr>
          <w:rFonts w:hAnsi="黑体"/>
          <w:b/>
          <w:color w:val="auto"/>
          <w:sz w:val="32"/>
          <w:szCs w:val="32"/>
        </w:rPr>
      </w:pPr>
      <w:r>
        <w:rPr>
          <w:rFonts w:hint="eastAsia" w:hAnsi="黑体"/>
          <w:b/>
          <w:color w:val="auto"/>
          <w:sz w:val="32"/>
          <w:szCs w:val="32"/>
        </w:rPr>
        <w:t>二、收入决算情况说明</w:t>
      </w:r>
    </w:p>
    <w:p>
      <w:pPr>
        <w:pStyle w:val="10"/>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2021年度收入合计</w:t>
      </w:r>
      <w:r>
        <w:rPr>
          <w:rFonts w:hint="eastAsia" w:asciiTheme="minorEastAsia" w:hAnsiTheme="minorEastAsia" w:eastAsiaTheme="minorEastAsia"/>
          <w:color w:val="auto"/>
          <w:sz w:val="32"/>
          <w:szCs w:val="32"/>
          <w:lang w:val="en-US" w:eastAsia="zh-CN"/>
        </w:rPr>
        <w:t>5258.65</w:t>
      </w:r>
      <w:r>
        <w:rPr>
          <w:rFonts w:hint="eastAsia" w:asciiTheme="minorEastAsia" w:hAnsiTheme="minorEastAsia" w:eastAsiaTheme="minorEastAsia"/>
          <w:color w:val="auto"/>
          <w:sz w:val="32"/>
          <w:szCs w:val="32"/>
        </w:rPr>
        <w:t>万元，其中：财政拨款收入</w:t>
      </w:r>
      <w:r>
        <w:rPr>
          <w:rFonts w:hint="eastAsia" w:asciiTheme="minorEastAsia" w:hAnsiTheme="minorEastAsia" w:eastAsiaTheme="minorEastAsia"/>
          <w:color w:val="auto"/>
          <w:sz w:val="32"/>
          <w:szCs w:val="32"/>
          <w:lang w:val="en-US" w:eastAsia="zh-CN"/>
        </w:rPr>
        <w:t>5126.7</w:t>
      </w:r>
      <w:r>
        <w:rPr>
          <w:rFonts w:hint="eastAsia" w:asciiTheme="minorEastAsia" w:hAnsiTheme="minorEastAsia" w:eastAsiaTheme="minorEastAsia"/>
          <w:color w:val="auto"/>
          <w:sz w:val="32"/>
          <w:szCs w:val="32"/>
        </w:rPr>
        <w:t>万元，占</w:t>
      </w:r>
      <w:r>
        <w:rPr>
          <w:rFonts w:hint="eastAsia" w:asciiTheme="minorEastAsia" w:hAnsiTheme="minorEastAsia" w:eastAsiaTheme="minorEastAsia"/>
          <w:color w:val="auto"/>
          <w:sz w:val="32"/>
          <w:szCs w:val="32"/>
          <w:lang w:val="en-US" w:eastAsia="zh-CN"/>
        </w:rPr>
        <w:t>97.49</w:t>
      </w:r>
      <w:r>
        <w:rPr>
          <w:rFonts w:hint="eastAsia" w:asciiTheme="minorEastAsia" w:hAnsiTheme="minorEastAsia" w:eastAsiaTheme="minorEastAsia"/>
          <w:color w:val="auto"/>
          <w:sz w:val="32"/>
          <w:szCs w:val="32"/>
        </w:rPr>
        <w:t>%；上级补助收入</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万元，占</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%；事业收入</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万元，占</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%；经营收入</w:t>
      </w:r>
      <w:r>
        <w:rPr>
          <w:rFonts w:hint="eastAsia" w:asciiTheme="minorEastAsia" w:hAnsiTheme="minorEastAsia" w:eastAsiaTheme="minorEastAsia"/>
          <w:color w:val="auto"/>
          <w:sz w:val="32"/>
          <w:szCs w:val="32"/>
          <w:lang w:val="en-US" w:eastAsia="zh-CN"/>
        </w:rPr>
        <w:t>70</w:t>
      </w:r>
      <w:r>
        <w:rPr>
          <w:rFonts w:hint="eastAsia" w:asciiTheme="minorEastAsia" w:hAnsiTheme="minorEastAsia" w:eastAsiaTheme="minorEastAsia"/>
          <w:color w:val="auto"/>
          <w:sz w:val="32"/>
          <w:szCs w:val="32"/>
        </w:rPr>
        <w:t>万元，占</w:t>
      </w:r>
      <w:r>
        <w:rPr>
          <w:rFonts w:hint="eastAsia" w:asciiTheme="minorEastAsia" w:hAnsiTheme="minorEastAsia" w:eastAsiaTheme="minorEastAsia"/>
          <w:color w:val="auto"/>
          <w:sz w:val="32"/>
          <w:szCs w:val="32"/>
          <w:lang w:val="en-US" w:eastAsia="zh-CN"/>
        </w:rPr>
        <w:t>1.33</w:t>
      </w:r>
      <w:r>
        <w:rPr>
          <w:rFonts w:hint="eastAsia" w:asciiTheme="minorEastAsia" w:hAnsiTheme="minorEastAsia" w:eastAsiaTheme="minorEastAsia"/>
          <w:color w:val="auto"/>
          <w:sz w:val="32"/>
          <w:szCs w:val="32"/>
        </w:rPr>
        <w:t>%；附属单位上缴收入</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万元，占</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%；其他收入</w:t>
      </w:r>
      <w:r>
        <w:rPr>
          <w:rFonts w:hint="eastAsia" w:asciiTheme="minorEastAsia" w:hAnsiTheme="minorEastAsia" w:eastAsiaTheme="minorEastAsia"/>
          <w:color w:val="auto"/>
          <w:sz w:val="32"/>
          <w:szCs w:val="32"/>
          <w:lang w:val="en-US" w:eastAsia="zh-CN"/>
        </w:rPr>
        <w:t>61.95</w:t>
      </w:r>
      <w:r>
        <w:rPr>
          <w:rFonts w:hint="eastAsia" w:asciiTheme="minorEastAsia" w:hAnsiTheme="minorEastAsia" w:eastAsiaTheme="minorEastAsia"/>
          <w:color w:val="auto"/>
          <w:sz w:val="32"/>
          <w:szCs w:val="32"/>
        </w:rPr>
        <w:t>万元，占</w:t>
      </w:r>
      <w:r>
        <w:rPr>
          <w:rFonts w:hint="eastAsia" w:asciiTheme="minorEastAsia" w:hAnsiTheme="minorEastAsia" w:eastAsiaTheme="minorEastAsia"/>
          <w:color w:val="auto"/>
          <w:sz w:val="32"/>
          <w:szCs w:val="32"/>
          <w:lang w:val="en-US" w:eastAsia="zh-CN"/>
        </w:rPr>
        <w:t>1.18</w:t>
      </w:r>
      <w:r>
        <w:rPr>
          <w:rFonts w:hint="eastAsia" w:asciiTheme="minorEastAsia" w:hAnsiTheme="minorEastAsia" w:eastAsiaTheme="minorEastAsia"/>
          <w:color w:val="auto"/>
          <w:sz w:val="32"/>
          <w:szCs w:val="32"/>
        </w:rPr>
        <w:t>%。</w:t>
      </w:r>
    </w:p>
    <w:p>
      <w:pPr>
        <w:pStyle w:val="10"/>
        <w:rPr>
          <w:rFonts w:hAnsi="黑体"/>
          <w:b/>
          <w:sz w:val="32"/>
          <w:szCs w:val="32"/>
        </w:rPr>
      </w:pPr>
      <w:r>
        <w:rPr>
          <w:rFonts w:hint="eastAsia" w:hAnsi="黑体"/>
          <w:b/>
          <w:sz w:val="32"/>
          <w:szCs w:val="32"/>
        </w:rPr>
        <w:t>三、支出决算情况说明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2021年度支出合计</w:t>
      </w:r>
      <w:r>
        <w:rPr>
          <w:rFonts w:hint="eastAsia" w:asciiTheme="minorEastAsia" w:hAnsiTheme="minorEastAsia" w:eastAsiaTheme="minorEastAsia"/>
          <w:sz w:val="32"/>
          <w:szCs w:val="32"/>
          <w:lang w:val="en-US" w:eastAsia="zh-CN"/>
        </w:rPr>
        <w:t>5421.66</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1121.63</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20.69</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4242.44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78.25</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57.6</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1.06%</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0"/>
        <w:rPr>
          <w:rFonts w:hAnsi="黑体"/>
          <w:b/>
          <w:color w:val="auto"/>
          <w:sz w:val="32"/>
          <w:szCs w:val="32"/>
        </w:rPr>
      </w:pPr>
      <w:r>
        <w:rPr>
          <w:rFonts w:hint="eastAsia" w:hAnsi="黑体"/>
          <w:b/>
          <w:color w:val="auto"/>
          <w:sz w:val="32"/>
          <w:szCs w:val="32"/>
        </w:rPr>
        <w:t>四、财政拨款收入支出决算总体情况说明</w:t>
      </w:r>
    </w:p>
    <w:p>
      <w:pPr>
        <w:pStyle w:val="10"/>
        <w:rPr>
          <w:rFonts w:asciiTheme="minorEastAsia" w:hAnsiTheme="minorEastAsia" w:eastAsiaTheme="minorEastAsia"/>
          <w:color w:val="0000FF"/>
          <w:sz w:val="32"/>
          <w:szCs w:val="32"/>
        </w:rPr>
      </w:pPr>
      <w:r>
        <w:rPr>
          <w:rFonts w:hint="eastAsia" w:asciiTheme="minorEastAsia" w:hAnsiTheme="minorEastAsia" w:eastAsiaTheme="minorEastAsia"/>
          <w:color w:val="auto"/>
          <w:sz w:val="32"/>
          <w:szCs w:val="32"/>
        </w:rPr>
        <w:t xml:space="preserve">    </w:t>
      </w:r>
      <w:r>
        <w:rPr>
          <w:rFonts w:hint="eastAsia" w:asciiTheme="minorEastAsia" w:hAnsiTheme="minorEastAsia" w:eastAsiaTheme="minorEastAsia"/>
          <w:color w:val="auto"/>
          <w:sz w:val="32"/>
          <w:szCs w:val="32"/>
          <w:lang w:val="en-US" w:eastAsia="zh-CN"/>
        </w:rPr>
        <w:t>2021年度财政拨款收、支总计6156.6万元，与上年相比，减少2585.96万元,减少29.</w:t>
      </w:r>
      <w:r>
        <w:rPr>
          <w:rFonts w:hint="eastAsia" w:asciiTheme="minorEastAsia" w:hAnsiTheme="minorEastAsia" w:eastAsiaTheme="minorEastAsia"/>
          <w:sz w:val="32"/>
          <w:szCs w:val="32"/>
          <w:lang w:val="en-US" w:eastAsia="zh-CN"/>
        </w:rPr>
        <w:t>58%，主要是因为减少山水林田专项资金及智慧磐石专项资金，以及上年结转资金大幅减少。</w:t>
      </w:r>
    </w:p>
    <w:p>
      <w:pPr>
        <w:pStyle w:val="10"/>
        <w:rPr>
          <w:rFonts w:hAnsi="黑体"/>
          <w:b/>
          <w:color w:val="auto"/>
          <w:sz w:val="32"/>
          <w:szCs w:val="32"/>
        </w:rPr>
      </w:pPr>
      <w:r>
        <w:rPr>
          <w:rFonts w:hint="eastAsia" w:hAnsi="黑体"/>
          <w:b/>
          <w:color w:val="auto"/>
          <w:sz w:val="32"/>
          <w:szCs w:val="32"/>
        </w:rPr>
        <w:t>五、一般公共预算财政拨款支出决算情况说明</w:t>
      </w:r>
    </w:p>
    <w:p>
      <w:pPr>
        <w:pStyle w:val="10"/>
        <w:ind w:firstLine="640" w:firstLineChars="200"/>
        <w:rPr>
          <w:rFonts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（一）财政拨款支出决算总体情况</w:t>
      </w:r>
    </w:p>
    <w:p>
      <w:pPr>
        <w:pStyle w:val="10"/>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2021年度财政拨款支出</w:t>
      </w:r>
      <w:r>
        <w:rPr>
          <w:rFonts w:hint="eastAsia" w:asciiTheme="minorEastAsia" w:hAnsiTheme="minorEastAsia" w:eastAsiaTheme="minorEastAsia"/>
          <w:color w:val="auto"/>
          <w:sz w:val="32"/>
          <w:szCs w:val="32"/>
          <w:lang w:val="en-US" w:eastAsia="zh-CN"/>
        </w:rPr>
        <w:t>4696.74</w:t>
      </w:r>
      <w:r>
        <w:rPr>
          <w:rFonts w:hint="eastAsia" w:asciiTheme="minorEastAsia" w:hAnsiTheme="minorEastAsia" w:eastAsiaTheme="minorEastAsia"/>
          <w:color w:val="auto"/>
          <w:sz w:val="32"/>
          <w:szCs w:val="32"/>
        </w:rPr>
        <w:t>万元，占本年支出合计的</w:t>
      </w:r>
      <w:r>
        <w:rPr>
          <w:rFonts w:hint="eastAsia" w:asciiTheme="minorEastAsia" w:hAnsiTheme="minorEastAsia" w:eastAsiaTheme="minorEastAsia"/>
          <w:color w:val="auto"/>
          <w:sz w:val="32"/>
          <w:szCs w:val="32"/>
          <w:lang w:val="en-US" w:eastAsia="zh-CN"/>
        </w:rPr>
        <w:t>86.63</w:t>
      </w:r>
      <w:r>
        <w:rPr>
          <w:rFonts w:hint="eastAsia" w:asciiTheme="minorEastAsia" w:hAnsiTheme="minorEastAsia" w:eastAsiaTheme="minorEastAsia"/>
          <w:color w:val="auto"/>
          <w:sz w:val="32"/>
          <w:szCs w:val="32"/>
        </w:rPr>
        <w:t>%，与上年相比，财政拨款支出减少</w:t>
      </w:r>
      <w:r>
        <w:rPr>
          <w:rFonts w:hint="eastAsia" w:asciiTheme="minorEastAsia" w:hAnsiTheme="minorEastAsia" w:eastAsiaTheme="minorEastAsia"/>
          <w:color w:val="auto"/>
          <w:sz w:val="32"/>
          <w:szCs w:val="32"/>
          <w:lang w:val="en-US" w:eastAsia="zh-CN"/>
        </w:rPr>
        <w:t>2286.86</w:t>
      </w:r>
      <w:r>
        <w:rPr>
          <w:rFonts w:hint="eastAsia" w:asciiTheme="minorEastAsia" w:hAnsiTheme="minorEastAsia" w:eastAsiaTheme="minorEastAsia"/>
          <w:color w:val="auto"/>
          <w:sz w:val="32"/>
          <w:szCs w:val="32"/>
        </w:rPr>
        <w:t>万元，减少</w:t>
      </w:r>
      <w:r>
        <w:rPr>
          <w:rFonts w:hint="eastAsia" w:asciiTheme="minorEastAsia" w:hAnsiTheme="minorEastAsia" w:eastAsiaTheme="minorEastAsia"/>
          <w:color w:val="auto"/>
          <w:sz w:val="32"/>
          <w:szCs w:val="32"/>
          <w:lang w:val="en-US" w:eastAsia="zh-CN"/>
        </w:rPr>
        <w:t>32.75</w:t>
      </w:r>
      <w:r>
        <w:rPr>
          <w:rFonts w:hint="eastAsia" w:asciiTheme="minorEastAsia" w:hAnsiTheme="minorEastAsia" w:eastAsiaTheme="minorEastAsia"/>
          <w:color w:val="auto"/>
          <w:sz w:val="32"/>
          <w:szCs w:val="32"/>
        </w:rPr>
        <w:t>%，主要是因为</w:t>
      </w:r>
      <w:r>
        <w:rPr>
          <w:rFonts w:hint="eastAsia" w:asciiTheme="minorEastAsia" w:hAnsiTheme="minorEastAsia" w:eastAsiaTheme="minorEastAsia"/>
          <w:color w:val="auto"/>
          <w:sz w:val="32"/>
          <w:szCs w:val="32"/>
          <w:lang w:val="en-US" w:eastAsia="zh-CN"/>
        </w:rPr>
        <w:t>减少山水林田专项资金及智慧磐石专项支出。</w:t>
      </w:r>
    </w:p>
    <w:p>
      <w:pPr>
        <w:pStyle w:val="10"/>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0"/>
        <w:keepNext w:val="0"/>
        <w:keepLines w:val="0"/>
        <w:pageBreakBefore w:val="0"/>
        <w:widowControl w:val="0"/>
        <w:kinsoku/>
        <w:wordWrap/>
        <w:overflowPunct/>
        <w:topLinePunct w:val="0"/>
        <w:bidi w:val="0"/>
        <w:snapToGrid/>
        <w:spacing w:line="240" w:lineRule="auto"/>
        <w:ind w:firstLine="640" w:firstLineChars="200"/>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4696.74</w:t>
      </w:r>
      <w:r>
        <w:rPr>
          <w:rFonts w:hint="eastAsia" w:asciiTheme="minorEastAsia" w:hAnsiTheme="minorEastAsia" w:eastAsiaTheme="minorEastAsia"/>
          <w:sz w:val="32"/>
          <w:szCs w:val="32"/>
        </w:rPr>
        <w:t>万元，主要用于以下方面：文化旅游体育与传媒支出</w:t>
      </w:r>
      <w:r>
        <w:rPr>
          <w:rFonts w:hint="eastAsia" w:asciiTheme="minorEastAsia" w:hAnsiTheme="minorEastAsia" w:eastAsiaTheme="minorEastAsia"/>
          <w:sz w:val="32"/>
          <w:szCs w:val="32"/>
          <w:lang w:val="en-US" w:eastAsia="zh-CN"/>
        </w:rPr>
        <w:t>4356.99</w:t>
      </w:r>
      <w:r>
        <w:rPr>
          <w:rFonts w:hint="eastAsia" w:asciiTheme="minorEastAsia" w:hAnsiTheme="minorEastAsia" w:eastAsiaTheme="minorEastAsia"/>
          <w:sz w:val="32"/>
          <w:szCs w:val="32"/>
          <w:lang w:eastAsia="zh-CN"/>
        </w:rPr>
        <w:t>万元，占</w:t>
      </w:r>
      <w:r>
        <w:rPr>
          <w:rFonts w:hint="eastAsia" w:asciiTheme="minorEastAsia" w:hAnsiTheme="minorEastAsia" w:eastAsiaTheme="minorEastAsia"/>
          <w:sz w:val="32"/>
          <w:szCs w:val="32"/>
          <w:lang w:val="en-US" w:eastAsia="zh-CN"/>
        </w:rPr>
        <w:t>92.77</w:t>
      </w:r>
      <w:r>
        <w:rPr>
          <w:rFonts w:hint="eastAsia" w:asciiTheme="minorEastAsia" w:hAnsiTheme="minorEastAsia" w:eastAsiaTheme="minorEastAsia"/>
          <w:sz w:val="32"/>
          <w:szCs w:val="32"/>
        </w:rPr>
        <w:t>%；社会保障和就业支出</w:t>
      </w:r>
      <w:r>
        <w:rPr>
          <w:rFonts w:hint="eastAsia" w:asciiTheme="minorEastAsia" w:hAnsiTheme="minorEastAsia" w:eastAsiaTheme="minorEastAsia"/>
          <w:sz w:val="32"/>
          <w:szCs w:val="32"/>
          <w:lang w:val="en-US" w:eastAsia="zh-CN"/>
        </w:rPr>
        <w:t>164.48万元，</w:t>
      </w:r>
      <w:r>
        <w:rPr>
          <w:rFonts w:hint="eastAsia" w:asciiTheme="minorEastAsia" w:hAnsiTheme="minorEastAsia" w:eastAsiaTheme="minorEastAsia"/>
          <w:sz w:val="32"/>
          <w:szCs w:val="32"/>
        </w:rPr>
        <w:t>占</w:t>
      </w:r>
      <w:r>
        <w:rPr>
          <w:rFonts w:hint="eastAsia" w:asciiTheme="minorEastAsia" w:hAnsiTheme="minorEastAsia" w:eastAsiaTheme="minorEastAsia"/>
          <w:sz w:val="32"/>
          <w:szCs w:val="32"/>
          <w:lang w:val="en-US" w:eastAsia="zh-CN"/>
        </w:rPr>
        <w:t>3.5</w:t>
      </w:r>
      <w:r>
        <w:rPr>
          <w:rFonts w:hint="eastAsia" w:asciiTheme="minorEastAsia" w:hAnsiTheme="minorEastAsia" w:eastAsiaTheme="minorEastAsia"/>
          <w:sz w:val="32"/>
          <w:szCs w:val="32"/>
        </w:rPr>
        <w:t>%；住房保障支出</w:t>
      </w:r>
      <w:r>
        <w:rPr>
          <w:rFonts w:hint="eastAsia" w:asciiTheme="minorEastAsia" w:hAnsiTheme="minorEastAsia" w:eastAsiaTheme="minorEastAsia"/>
          <w:sz w:val="32"/>
          <w:szCs w:val="32"/>
          <w:lang w:val="en-US" w:eastAsia="zh-CN"/>
        </w:rPr>
        <w:t>175.27万元，</w:t>
      </w:r>
      <w:r>
        <w:rPr>
          <w:rFonts w:hint="eastAsia" w:asciiTheme="minorEastAsia" w:hAnsiTheme="minorEastAsia" w:eastAsiaTheme="minorEastAsia"/>
          <w:sz w:val="32"/>
          <w:szCs w:val="32"/>
          <w:lang w:eastAsia="zh-CN"/>
        </w:rPr>
        <w:t>占</w:t>
      </w:r>
      <w:r>
        <w:rPr>
          <w:rFonts w:hint="eastAsia" w:asciiTheme="minorEastAsia" w:hAnsiTheme="minorEastAsia" w:eastAsiaTheme="minorEastAsia"/>
          <w:sz w:val="32"/>
          <w:szCs w:val="32"/>
          <w:lang w:val="en-US" w:eastAsia="zh-CN"/>
        </w:rPr>
        <w:t>3.73</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10"/>
        <w:ind w:firstLine="800" w:firstLineChars="250"/>
        <w:rPr>
          <w:rFonts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（三）财政拨款支出决算具体情况</w:t>
      </w:r>
    </w:p>
    <w:p>
      <w:pPr>
        <w:pStyle w:val="10"/>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2021年度财政拨款支出年初预算数为</w:t>
      </w:r>
      <w:r>
        <w:rPr>
          <w:rFonts w:hint="eastAsia" w:asciiTheme="minorEastAsia" w:hAnsiTheme="minorEastAsia" w:eastAsiaTheme="minorEastAsia"/>
          <w:color w:val="auto"/>
          <w:sz w:val="32"/>
          <w:szCs w:val="32"/>
          <w:lang w:val="en-US" w:eastAsia="zh-CN"/>
        </w:rPr>
        <w:t>2283.02</w:t>
      </w:r>
      <w:r>
        <w:rPr>
          <w:rFonts w:hint="eastAsia" w:asciiTheme="minorEastAsia" w:hAnsiTheme="minorEastAsia" w:eastAsiaTheme="minorEastAsia"/>
          <w:color w:val="auto"/>
          <w:sz w:val="32"/>
          <w:szCs w:val="32"/>
        </w:rPr>
        <w:t>万元，支出决算数为</w:t>
      </w:r>
      <w:r>
        <w:rPr>
          <w:rFonts w:hint="eastAsia" w:asciiTheme="minorEastAsia" w:hAnsiTheme="minorEastAsia" w:eastAsiaTheme="minorEastAsia"/>
          <w:color w:val="auto"/>
          <w:sz w:val="32"/>
          <w:szCs w:val="32"/>
          <w:lang w:val="en-US" w:eastAsia="zh-CN"/>
        </w:rPr>
        <w:t>4696.74</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205.73</w:t>
      </w:r>
      <w:r>
        <w:rPr>
          <w:rFonts w:hint="eastAsia" w:asciiTheme="minorEastAsia" w:hAnsiTheme="minorEastAsia" w:eastAsiaTheme="minorEastAsia"/>
          <w:color w:val="auto"/>
          <w:sz w:val="32"/>
          <w:szCs w:val="32"/>
        </w:rPr>
        <w:t>%，其中：</w:t>
      </w:r>
    </w:p>
    <w:p>
      <w:pPr>
        <w:pStyle w:val="10"/>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1、文化旅游体育与传媒支出（类）文物（款）</w:t>
      </w:r>
      <w:r>
        <w:rPr>
          <w:rFonts w:hint="eastAsia" w:asciiTheme="minorEastAsia" w:hAnsiTheme="minorEastAsia" w:eastAsiaTheme="minorEastAsia"/>
          <w:color w:val="auto"/>
          <w:sz w:val="32"/>
          <w:szCs w:val="32"/>
          <w:lang w:eastAsia="zh-CN"/>
        </w:rPr>
        <w:t>博物馆</w:t>
      </w:r>
      <w:r>
        <w:rPr>
          <w:rFonts w:hint="eastAsia" w:asciiTheme="minorEastAsia" w:hAnsiTheme="minorEastAsia" w:eastAsiaTheme="minorEastAsia"/>
          <w:color w:val="auto"/>
          <w:sz w:val="32"/>
          <w:szCs w:val="32"/>
        </w:rPr>
        <w:t>（项）。</w:t>
      </w:r>
    </w:p>
    <w:p>
      <w:pPr>
        <w:pStyle w:val="10"/>
        <w:ind w:firstLine="640" w:firstLineChars="200"/>
        <w:rPr>
          <w:rFonts w:asciiTheme="minorEastAsia" w:hAnsiTheme="minorEastAsia" w:eastAsiaTheme="minorEastAsia"/>
          <w:color w:val="C00000"/>
          <w:sz w:val="32"/>
          <w:szCs w:val="32"/>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1746.28</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3938.64</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225.54</w:t>
      </w:r>
      <w:r>
        <w:rPr>
          <w:rFonts w:hint="eastAsia" w:asciiTheme="minorEastAsia" w:hAnsiTheme="minorEastAsia" w:eastAsiaTheme="minorEastAsia"/>
          <w:color w:val="auto"/>
          <w:sz w:val="32"/>
          <w:szCs w:val="32"/>
        </w:rPr>
        <w:t>%，决算数大于年初预算数的主要原因是：</w:t>
      </w:r>
      <w:r>
        <w:rPr>
          <w:rFonts w:hint="eastAsia" w:asciiTheme="minorEastAsia" w:hAnsiTheme="minorEastAsia" w:eastAsiaTheme="minorEastAsia"/>
          <w:color w:val="auto"/>
          <w:sz w:val="32"/>
          <w:szCs w:val="32"/>
          <w:lang w:eastAsia="zh-CN"/>
        </w:rPr>
        <w:t>年中追加免费开放专项资金造成支出。</w:t>
      </w:r>
    </w:p>
    <w:p>
      <w:pPr>
        <w:pStyle w:val="10"/>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2、文化旅游体育与传媒支出（类）文物（款）</w:t>
      </w:r>
      <w:r>
        <w:rPr>
          <w:rFonts w:hint="eastAsia" w:asciiTheme="minorEastAsia" w:hAnsiTheme="minorEastAsia" w:eastAsiaTheme="minorEastAsia"/>
          <w:color w:val="auto"/>
          <w:sz w:val="32"/>
          <w:szCs w:val="32"/>
          <w:lang w:eastAsia="zh-CN"/>
        </w:rPr>
        <w:t>其他文物支出</w:t>
      </w:r>
      <w:r>
        <w:rPr>
          <w:rFonts w:hint="eastAsia" w:asciiTheme="minorEastAsia" w:hAnsiTheme="minorEastAsia" w:eastAsiaTheme="minorEastAsia"/>
          <w:color w:val="auto"/>
          <w:sz w:val="32"/>
          <w:szCs w:val="32"/>
        </w:rPr>
        <w:t>（项）。</w:t>
      </w:r>
    </w:p>
    <w:p>
      <w:pPr>
        <w:pStyle w:val="10"/>
        <w:ind w:firstLine="640" w:firstLineChars="200"/>
        <w:rPr>
          <w:rFonts w:hint="eastAsia" w:asciiTheme="minorEastAsia" w:hAnsiTheme="minorEastAsia" w:eastAsiaTheme="minorEastAsia"/>
          <w:color w:val="C00000"/>
          <w:sz w:val="32"/>
          <w:szCs w:val="32"/>
          <w:lang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87.67</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%，决算数大于年初预算数的主要原因是：</w:t>
      </w:r>
      <w:r>
        <w:rPr>
          <w:rFonts w:hint="eastAsia" w:asciiTheme="minorEastAsia" w:hAnsiTheme="minorEastAsia" w:eastAsiaTheme="minorEastAsia"/>
          <w:color w:val="auto"/>
          <w:sz w:val="32"/>
          <w:szCs w:val="32"/>
          <w:lang w:eastAsia="zh-CN"/>
        </w:rPr>
        <w:t>年中下达收回结余资金再安排的韶山冲毛主席旧居修缮工程资金造成支出。</w:t>
      </w:r>
    </w:p>
    <w:p>
      <w:pPr>
        <w:pStyle w:val="10"/>
        <w:numPr>
          <w:ilvl w:val="0"/>
          <w:numId w:val="1"/>
        </w:numPr>
        <w:ind w:left="-10" w:leftChars="0" w:firstLine="640" w:firstLineChars="0"/>
        <w:rPr>
          <w:rFonts w:hint="eastAsia"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文化旅游体育与传媒支出（类）其他文化旅游体育与传媒支出（款）其他文化旅游体育与传媒支出（项）。</w:t>
      </w:r>
    </w:p>
    <w:p>
      <w:pPr>
        <w:pStyle w:val="10"/>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196.99</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330.68</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167.87</w:t>
      </w:r>
      <w:r>
        <w:rPr>
          <w:rFonts w:hint="eastAsia" w:asciiTheme="minorEastAsia" w:hAnsiTheme="minorEastAsia" w:eastAsiaTheme="minorEastAsia"/>
          <w:color w:val="auto"/>
          <w:sz w:val="32"/>
          <w:szCs w:val="32"/>
        </w:rPr>
        <w:t>%，决算数</w:t>
      </w:r>
      <w:r>
        <w:rPr>
          <w:rFonts w:hint="eastAsia" w:asciiTheme="minorEastAsia" w:hAnsiTheme="minorEastAsia" w:eastAsiaTheme="minorEastAsia"/>
          <w:color w:val="auto"/>
          <w:sz w:val="32"/>
          <w:szCs w:val="32"/>
          <w:lang w:eastAsia="zh-CN"/>
        </w:rPr>
        <w:t>大</w:t>
      </w:r>
      <w:r>
        <w:rPr>
          <w:rFonts w:hint="eastAsia" w:asciiTheme="minorEastAsia" w:hAnsiTheme="minorEastAsia" w:eastAsiaTheme="minorEastAsia"/>
          <w:color w:val="auto"/>
          <w:sz w:val="32"/>
          <w:szCs w:val="32"/>
        </w:rPr>
        <w:t>于年初预算数的主要原因是：</w:t>
      </w:r>
      <w:r>
        <w:rPr>
          <w:rFonts w:hint="eastAsia" w:asciiTheme="minorEastAsia" w:hAnsiTheme="minorEastAsia" w:eastAsiaTheme="minorEastAsia"/>
          <w:color w:val="auto"/>
          <w:sz w:val="32"/>
          <w:szCs w:val="32"/>
          <w:lang w:eastAsia="zh-CN"/>
        </w:rPr>
        <w:t>年中追加中央支持地方公共文化服务体系建设绩效奖励和文化事业发展专项资金造成支出。</w:t>
      </w:r>
    </w:p>
    <w:p>
      <w:pPr>
        <w:pStyle w:val="10"/>
        <w:numPr>
          <w:ilvl w:val="0"/>
          <w:numId w:val="1"/>
        </w:numPr>
        <w:ind w:left="-10" w:leftChars="0" w:firstLine="640" w:firstLineChars="0"/>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社会保障和就业支出（类）行政事业单位养老支出（款）机关事业单位基本养老保险缴费支出（项）。</w:t>
      </w:r>
    </w:p>
    <w:p>
      <w:pPr>
        <w:pStyle w:val="10"/>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164.48</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164.48</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100</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val="en-US" w:eastAsia="zh-CN"/>
        </w:rPr>
        <w:t>。</w:t>
      </w:r>
    </w:p>
    <w:p>
      <w:pPr>
        <w:pStyle w:val="10"/>
        <w:keepNext w:val="0"/>
        <w:keepLines w:val="0"/>
        <w:pageBreakBefore w:val="0"/>
        <w:widowControl w:val="0"/>
        <w:kinsoku/>
        <w:wordWrap/>
        <w:overflowPunct/>
        <w:topLinePunct w:val="0"/>
        <w:bidi w:val="0"/>
        <w:snapToGrid/>
        <w:spacing w:line="240" w:lineRule="auto"/>
        <w:ind w:firstLine="640" w:firstLineChars="200"/>
        <w:textAlignment w:val="auto"/>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5</w:t>
      </w:r>
      <w:r>
        <w:rPr>
          <w:rFonts w:hint="eastAsia" w:asciiTheme="minorEastAsia" w:hAnsiTheme="minorEastAsia" w:eastAsiaTheme="minorEastAsia"/>
          <w:color w:val="auto"/>
          <w:sz w:val="32"/>
          <w:szCs w:val="32"/>
        </w:rPr>
        <w:t>、住房保障支出（类）住房改革支出（款）住房公积金（项）。</w:t>
      </w:r>
    </w:p>
    <w:p>
      <w:pPr>
        <w:pStyle w:val="10"/>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165.27</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165.27</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100</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val="en-US" w:eastAsia="zh-CN"/>
        </w:rPr>
        <w:t>。</w:t>
      </w:r>
    </w:p>
    <w:p>
      <w:pPr>
        <w:pStyle w:val="10"/>
        <w:keepNext w:val="0"/>
        <w:keepLines w:val="0"/>
        <w:pageBreakBefore w:val="0"/>
        <w:widowControl w:val="0"/>
        <w:kinsoku/>
        <w:wordWrap/>
        <w:overflowPunct/>
        <w:topLinePunct w:val="0"/>
        <w:bidi w:val="0"/>
        <w:snapToGrid/>
        <w:spacing w:line="240" w:lineRule="auto"/>
        <w:ind w:firstLine="640" w:firstLineChars="200"/>
        <w:textAlignment w:val="auto"/>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6</w:t>
      </w:r>
      <w:r>
        <w:rPr>
          <w:rFonts w:hint="eastAsia" w:asciiTheme="minorEastAsia" w:hAnsiTheme="minorEastAsia" w:eastAsiaTheme="minorEastAsia"/>
          <w:color w:val="auto"/>
          <w:sz w:val="32"/>
          <w:szCs w:val="32"/>
        </w:rPr>
        <w:t>、住房保障支出（类）住房改革支出（款）购房补贴（项）。</w:t>
      </w:r>
    </w:p>
    <w:p>
      <w:pPr>
        <w:pStyle w:val="10"/>
        <w:numPr>
          <w:ilvl w:val="0"/>
          <w:numId w:val="0"/>
        </w:numPr>
        <w:ind w:left="630" w:leftChars="0"/>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10</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10</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100</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eastAsia="zh-CN"/>
        </w:rPr>
        <w:t>。</w:t>
      </w:r>
    </w:p>
    <w:p>
      <w:pPr>
        <w:pStyle w:val="10"/>
        <w:rPr>
          <w:rFonts w:hAnsi="黑体"/>
          <w:b/>
          <w:sz w:val="32"/>
          <w:szCs w:val="32"/>
        </w:rPr>
      </w:pPr>
      <w:r>
        <w:rPr>
          <w:rFonts w:hint="eastAsia" w:hAnsi="黑体"/>
          <w:b/>
          <w:sz w:val="32"/>
          <w:szCs w:val="32"/>
        </w:rPr>
        <w:t>六、一般公共预算财政拨款基本支出决算情况说明</w:t>
      </w:r>
    </w:p>
    <w:p>
      <w:pPr>
        <w:pStyle w:val="10"/>
        <w:ind w:firstLine="640" w:firstLineChars="20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2021年度财政拨款基本支出</w:t>
      </w:r>
      <w:r>
        <w:rPr>
          <w:rFonts w:hint="eastAsia" w:asciiTheme="minorEastAsia" w:hAnsiTheme="minorEastAsia" w:eastAsiaTheme="minorEastAsia"/>
          <w:sz w:val="32"/>
          <w:szCs w:val="32"/>
          <w:lang w:val="en-US" w:eastAsia="zh-CN"/>
        </w:rPr>
        <w:t>1120.12</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985.82</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88.01</w:t>
      </w:r>
      <w:r>
        <w:rPr>
          <w:rFonts w:hint="eastAsia" w:asciiTheme="minorEastAsia" w:hAnsiTheme="minorEastAsia" w:eastAsiaTheme="minorEastAsia"/>
          <w:sz w:val="32"/>
          <w:szCs w:val="32"/>
        </w:rPr>
        <w:t>%,主要包括基本工资、津贴补贴、</w:t>
      </w:r>
      <w:r>
        <w:rPr>
          <w:rFonts w:hint="eastAsia" w:asciiTheme="minorEastAsia" w:hAnsiTheme="minorEastAsia" w:eastAsiaTheme="minorEastAsia"/>
          <w:sz w:val="32"/>
          <w:szCs w:val="32"/>
          <w:lang w:eastAsia="zh-CN"/>
        </w:rPr>
        <w:t>绩效工资、机关事业单位基本养老保险缴费、职工基本医疗保险缴费、其他社会保障缴费、住房公积金、医疗费、退休费等</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134.3</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11.99</w:t>
      </w:r>
      <w:r>
        <w:rPr>
          <w:rFonts w:hint="eastAsia" w:asciiTheme="minorEastAsia" w:hAnsiTheme="minorEastAsia" w:eastAsiaTheme="minorEastAsia"/>
          <w:sz w:val="32"/>
          <w:szCs w:val="32"/>
        </w:rPr>
        <w:t>%，主要包括</w:t>
      </w:r>
      <w:r>
        <w:rPr>
          <w:rFonts w:hint="eastAsia" w:asciiTheme="minorEastAsia" w:hAnsiTheme="minorEastAsia" w:eastAsiaTheme="minorEastAsia"/>
          <w:sz w:val="32"/>
          <w:szCs w:val="32"/>
          <w:lang w:eastAsia="zh-CN"/>
        </w:rPr>
        <w:t>物业管理费、维修（护）费、公务接待费、专用材料费、工会经费、公务用车运行维护费、其他商品和服务支出等</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七、一般公共预算财政拨款“三公”经费支出决算情况说明</w:t>
      </w:r>
    </w:p>
    <w:p>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w:t>
      </w:r>
      <w:r>
        <w:rPr>
          <w:rFonts w:hint="eastAsia" w:asciiTheme="minorEastAsia" w:hAnsiTheme="minorEastAsia" w:eastAsiaTheme="minorEastAsia"/>
          <w:sz w:val="32"/>
          <w:szCs w:val="32"/>
          <w:lang w:val="en-US" w:eastAsia="zh-CN"/>
        </w:rPr>
        <w:t>23.2</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22.91</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98.75</w:t>
      </w:r>
      <w:r>
        <w:rPr>
          <w:rFonts w:hint="eastAsia" w:asciiTheme="minorEastAsia" w:hAnsiTheme="minorEastAsia" w:eastAsiaTheme="minorEastAsia"/>
          <w:sz w:val="32"/>
          <w:szCs w:val="32"/>
        </w:rPr>
        <w:t>%，其中：</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等于</w:t>
      </w:r>
      <w:r>
        <w:rPr>
          <w:rFonts w:hint="eastAsia" w:asciiTheme="minorEastAsia" w:hAnsiTheme="minorEastAsia" w:eastAsiaTheme="minorEastAsia"/>
          <w:sz w:val="32"/>
          <w:szCs w:val="32"/>
        </w:rPr>
        <w:t>预算数。</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7.71</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96.38</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eastAsia="zh-CN"/>
        </w:rPr>
        <w:t>严格控制公务接待经费</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0.002</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0.02</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eastAsia="zh-CN"/>
        </w:rPr>
        <w:t>严格控制公务接待经费</w:t>
      </w:r>
      <w:r>
        <w:rPr>
          <w:rFonts w:hint="eastAsia" w:asciiTheme="minorEastAsia" w:hAnsiTheme="minorEastAsia" w:eastAsiaTheme="minorEastAsia"/>
          <w:sz w:val="32"/>
          <w:szCs w:val="32"/>
        </w:rPr>
        <w:t>。</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等于</w:t>
      </w:r>
      <w:r>
        <w:rPr>
          <w:rFonts w:hint="eastAsia" w:asciiTheme="minorEastAsia" w:hAnsiTheme="minorEastAsia" w:eastAsiaTheme="minorEastAsia"/>
          <w:sz w:val="32"/>
          <w:szCs w:val="32"/>
        </w:rPr>
        <w:t>预算数。</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w:t>
      </w:r>
      <w:r>
        <w:rPr>
          <w:rFonts w:hint="eastAsia" w:asciiTheme="minorEastAsia" w:hAnsiTheme="minorEastAsia" w:eastAsiaTheme="minorEastAsia"/>
          <w:sz w:val="32"/>
          <w:szCs w:val="32"/>
          <w:lang w:val="en-US" w:eastAsia="zh-CN"/>
        </w:rPr>
        <w:t>15.2</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15.2</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等于</w:t>
      </w:r>
      <w:r>
        <w:rPr>
          <w:rFonts w:hint="eastAsia" w:asciiTheme="minorEastAsia" w:hAnsiTheme="minorEastAsia" w:eastAsiaTheme="minorEastAsia"/>
          <w:sz w:val="32"/>
          <w:szCs w:val="32"/>
        </w:rPr>
        <w:t>预算数。</w:t>
      </w:r>
    </w:p>
    <w:p>
      <w:pPr>
        <w:pStyle w:val="10"/>
        <w:rPr>
          <w:rFonts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（二）“三公”经费财政拨款支出决算具体情况说明</w:t>
      </w:r>
    </w:p>
    <w:p>
      <w:pPr>
        <w:pStyle w:val="10"/>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2021年度“三公”经费财政拨款支出决算中，公务接待费支出决算</w:t>
      </w:r>
      <w:r>
        <w:rPr>
          <w:rFonts w:hint="eastAsia" w:asciiTheme="minorEastAsia" w:hAnsiTheme="minorEastAsia" w:eastAsiaTheme="minorEastAsia"/>
          <w:color w:val="auto"/>
          <w:sz w:val="32"/>
          <w:szCs w:val="32"/>
          <w:lang w:val="en-US" w:eastAsia="zh-CN"/>
        </w:rPr>
        <w:t>7.71</w:t>
      </w:r>
      <w:r>
        <w:rPr>
          <w:rFonts w:hint="eastAsia" w:asciiTheme="minorEastAsia" w:hAnsiTheme="minorEastAsia" w:eastAsiaTheme="minorEastAsia"/>
          <w:color w:val="auto"/>
          <w:sz w:val="32"/>
          <w:szCs w:val="32"/>
        </w:rPr>
        <w:t>万元，占</w:t>
      </w:r>
      <w:r>
        <w:rPr>
          <w:rFonts w:hint="eastAsia" w:asciiTheme="minorEastAsia" w:hAnsiTheme="minorEastAsia" w:eastAsiaTheme="minorEastAsia"/>
          <w:color w:val="auto"/>
          <w:sz w:val="32"/>
          <w:szCs w:val="32"/>
          <w:lang w:val="en-US" w:eastAsia="zh-CN"/>
        </w:rPr>
        <w:t>33.65</w:t>
      </w:r>
      <w:r>
        <w:rPr>
          <w:rFonts w:hint="eastAsia" w:asciiTheme="minorEastAsia" w:hAnsiTheme="minorEastAsia" w:eastAsiaTheme="minorEastAsia"/>
          <w:color w:val="auto"/>
          <w:sz w:val="32"/>
          <w:szCs w:val="32"/>
        </w:rPr>
        <w:t>%,因公出国（境）费支出决算</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万元，占</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%,公务用车购置费及运行维护费支出决算</w:t>
      </w:r>
      <w:r>
        <w:rPr>
          <w:rFonts w:hint="eastAsia" w:asciiTheme="minorEastAsia" w:hAnsiTheme="minorEastAsia" w:eastAsiaTheme="minorEastAsia"/>
          <w:color w:val="auto"/>
          <w:sz w:val="32"/>
          <w:szCs w:val="32"/>
          <w:lang w:val="en-US" w:eastAsia="zh-CN"/>
        </w:rPr>
        <w:t>15.2</w:t>
      </w:r>
      <w:r>
        <w:rPr>
          <w:rFonts w:hint="eastAsia" w:asciiTheme="minorEastAsia" w:hAnsiTheme="minorEastAsia" w:eastAsiaTheme="minorEastAsia"/>
          <w:color w:val="auto"/>
          <w:sz w:val="32"/>
          <w:szCs w:val="32"/>
        </w:rPr>
        <w:t>万元，占</w:t>
      </w:r>
      <w:r>
        <w:rPr>
          <w:rFonts w:hint="eastAsia" w:asciiTheme="minorEastAsia" w:hAnsiTheme="minorEastAsia" w:eastAsiaTheme="minorEastAsia"/>
          <w:color w:val="auto"/>
          <w:sz w:val="32"/>
          <w:szCs w:val="32"/>
          <w:lang w:val="en-US" w:eastAsia="zh-CN"/>
        </w:rPr>
        <w:t>66.35</w:t>
      </w:r>
      <w:r>
        <w:rPr>
          <w:rFonts w:hint="eastAsia" w:asciiTheme="minorEastAsia" w:hAnsiTheme="minorEastAsia" w:eastAsiaTheme="minorEastAsia"/>
          <w:color w:val="auto"/>
          <w:sz w:val="32"/>
          <w:szCs w:val="32"/>
        </w:rPr>
        <w:t>%。其中：</w:t>
      </w:r>
    </w:p>
    <w:p>
      <w:pPr>
        <w:pStyle w:val="10"/>
        <w:ind w:firstLine="640" w:firstLineChars="200"/>
        <w:rPr>
          <w:rFonts w:hint="eastAsia" w:asciiTheme="minorEastAsia" w:hAnsiTheme="minorEastAsia" w:eastAsiaTheme="minorEastAsia"/>
          <w:b/>
          <w:color w:val="auto"/>
          <w:sz w:val="32"/>
          <w:szCs w:val="32"/>
          <w:lang w:eastAsia="zh-CN"/>
        </w:rPr>
      </w:pPr>
      <w:r>
        <w:rPr>
          <w:rFonts w:hint="eastAsia" w:asciiTheme="minorEastAsia" w:hAnsiTheme="minorEastAsia" w:eastAsiaTheme="minorEastAsia"/>
          <w:color w:val="auto"/>
          <w:sz w:val="32"/>
          <w:szCs w:val="32"/>
        </w:rPr>
        <w:t>1、因公出国（境）费支出决算为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万元，全年安排因公出国（境）团组</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个，累计</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人次</w:t>
      </w:r>
      <w:r>
        <w:rPr>
          <w:rFonts w:hint="eastAsia" w:asciiTheme="minorEastAsia" w:hAnsiTheme="minorEastAsia" w:eastAsiaTheme="minorEastAsia"/>
          <w:color w:val="auto"/>
          <w:sz w:val="32"/>
          <w:szCs w:val="32"/>
          <w:lang w:eastAsia="zh-CN"/>
        </w:rPr>
        <w:t>。</w:t>
      </w:r>
    </w:p>
    <w:p>
      <w:pPr>
        <w:pStyle w:val="10"/>
        <w:ind w:firstLine="640" w:firstLineChars="200"/>
        <w:rPr>
          <w:rFonts w:hint="eastAsia"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2、公务接待费支出决算为</w:t>
      </w:r>
      <w:r>
        <w:rPr>
          <w:rFonts w:hint="eastAsia" w:asciiTheme="minorEastAsia" w:hAnsiTheme="minorEastAsia" w:eastAsiaTheme="minorEastAsia"/>
          <w:color w:val="auto"/>
          <w:sz w:val="32"/>
          <w:szCs w:val="32"/>
          <w:lang w:val="en-US" w:eastAsia="zh-CN"/>
        </w:rPr>
        <w:t>7.71</w:t>
      </w:r>
      <w:r>
        <w:rPr>
          <w:rFonts w:hint="eastAsia" w:asciiTheme="minorEastAsia" w:hAnsiTheme="minorEastAsia" w:eastAsiaTheme="minorEastAsia"/>
          <w:color w:val="auto"/>
          <w:sz w:val="32"/>
          <w:szCs w:val="32"/>
        </w:rPr>
        <w:t>万元，全年共接待来访团组</w:t>
      </w:r>
      <w:r>
        <w:rPr>
          <w:rFonts w:hint="eastAsia" w:asciiTheme="minorEastAsia" w:hAnsiTheme="minorEastAsia" w:eastAsiaTheme="minorEastAsia"/>
          <w:color w:val="auto"/>
          <w:sz w:val="32"/>
          <w:szCs w:val="32"/>
          <w:lang w:val="en-US" w:eastAsia="zh-CN"/>
        </w:rPr>
        <w:t>41</w:t>
      </w:r>
      <w:r>
        <w:rPr>
          <w:rFonts w:hint="eastAsia" w:asciiTheme="minorEastAsia" w:hAnsiTheme="minorEastAsia" w:eastAsiaTheme="minorEastAsia"/>
          <w:color w:val="auto"/>
          <w:sz w:val="32"/>
          <w:szCs w:val="32"/>
        </w:rPr>
        <w:t>个、来宾</w:t>
      </w:r>
      <w:r>
        <w:rPr>
          <w:rFonts w:hint="eastAsia" w:asciiTheme="minorEastAsia" w:hAnsiTheme="minorEastAsia" w:eastAsiaTheme="minorEastAsia"/>
          <w:color w:val="auto"/>
          <w:sz w:val="32"/>
          <w:szCs w:val="32"/>
          <w:lang w:val="en-US" w:eastAsia="zh-CN"/>
        </w:rPr>
        <w:t>587</w:t>
      </w:r>
      <w:r>
        <w:rPr>
          <w:rFonts w:hint="eastAsia" w:asciiTheme="minorEastAsia" w:hAnsiTheme="minorEastAsia" w:eastAsiaTheme="minorEastAsia"/>
          <w:color w:val="auto"/>
          <w:sz w:val="32"/>
          <w:szCs w:val="32"/>
        </w:rPr>
        <w:t>人次，主要是</w:t>
      </w:r>
      <w:r>
        <w:rPr>
          <w:rFonts w:hint="eastAsia" w:asciiTheme="minorEastAsia" w:hAnsiTheme="minorEastAsia" w:eastAsiaTheme="minorEastAsia"/>
          <w:color w:val="auto"/>
          <w:sz w:val="32"/>
          <w:szCs w:val="32"/>
          <w:lang w:eastAsia="zh-CN"/>
        </w:rPr>
        <w:t>餐饮、住宿</w:t>
      </w:r>
      <w:r>
        <w:rPr>
          <w:rFonts w:hint="eastAsia" w:asciiTheme="minorEastAsia" w:hAnsiTheme="minorEastAsia" w:eastAsiaTheme="minorEastAsia"/>
          <w:color w:val="auto"/>
          <w:sz w:val="32"/>
          <w:szCs w:val="32"/>
        </w:rPr>
        <w:t>发生的接待支出。</w:t>
      </w:r>
    </w:p>
    <w:p>
      <w:pPr>
        <w:ind w:firstLine="800" w:firstLineChars="250"/>
        <w:rPr>
          <w:rFonts w:cs="黑体" w:asciiTheme="minorEastAsia" w:hAnsiTheme="minorEastAsia"/>
          <w:color w:val="auto"/>
          <w:kern w:val="0"/>
          <w:sz w:val="32"/>
          <w:szCs w:val="32"/>
        </w:rPr>
      </w:pPr>
      <w:r>
        <w:rPr>
          <w:rFonts w:hint="eastAsia" w:asciiTheme="minorEastAsia" w:hAnsiTheme="minorEastAsia"/>
          <w:color w:val="auto"/>
          <w:sz w:val="32"/>
          <w:szCs w:val="32"/>
        </w:rPr>
        <w:t>3、公务用车购置费及运行维护费支出决算为</w:t>
      </w:r>
      <w:r>
        <w:rPr>
          <w:rFonts w:hint="eastAsia" w:asciiTheme="minorEastAsia" w:hAnsiTheme="minorEastAsia"/>
          <w:color w:val="auto"/>
          <w:sz w:val="32"/>
          <w:szCs w:val="32"/>
          <w:lang w:val="en-US" w:eastAsia="zh-CN"/>
        </w:rPr>
        <w:t>15.2</w:t>
      </w:r>
      <w:r>
        <w:rPr>
          <w:rFonts w:hint="eastAsia" w:asciiTheme="minorEastAsia" w:hAnsiTheme="minorEastAsia"/>
          <w:color w:val="auto"/>
          <w:sz w:val="32"/>
          <w:szCs w:val="32"/>
        </w:rPr>
        <w:t>万元，其中：公务用车购置费</w:t>
      </w:r>
      <w:r>
        <w:rPr>
          <w:rFonts w:hint="eastAsia" w:asciiTheme="minorEastAsia" w:hAnsiTheme="minorEastAsia"/>
          <w:color w:val="auto"/>
          <w:sz w:val="32"/>
          <w:szCs w:val="32"/>
          <w:lang w:val="en-US" w:eastAsia="zh-CN"/>
        </w:rPr>
        <w:t>0</w:t>
      </w:r>
      <w:r>
        <w:rPr>
          <w:rFonts w:hint="eastAsia" w:asciiTheme="minorEastAsia" w:hAnsiTheme="minorEastAsia"/>
          <w:color w:val="auto"/>
          <w:sz w:val="32"/>
          <w:szCs w:val="32"/>
        </w:rPr>
        <w:t>万元</w:t>
      </w:r>
      <w:r>
        <w:rPr>
          <w:rFonts w:hint="eastAsia" w:asciiTheme="minorEastAsia" w:hAnsiTheme="minorEastAsia"/>
          <w:color w:val="auto"/>
          <w:sz w:val="32"/>
          <w:szCs w:val="32"/>
          <w:lang w:eastAsia="zh-CN"/>
        </w:rPr>
        <w:t>，韶山毛泽东同志纪念馆更新公务用车</w:t>
      </w:r>
      <w:r>
        <w:rPr>
          <w:rFonts w:hint="eastAsia" w:asciiTheme="minorEastAsia" w:hAnsiTheme="minorEastAsia"/>
          <w:color w:val="auto"/>
          <w:sz w:val="32"/>
          <w:szCs w:val="32"/>
          <w:lang w:val="en-US" w:eastAsia="zh-CN"/>
        </w:rPr>
        <w:t>0辆</w:t>
      </w:r>
      <w:r>
        <w:rPr>
          <w:rFonts w:hint="eastAsia" w:asciiTheme="minorEastAsia" w:hAnsiTheme="minorEastAsia"/>
          <w:color w:val="auto"/>
          <w:sz w:val="32"/>
          <w:szCs w:val="32"/>
        </w:rPr>
        <w:t>。公务用车运行维护费</w:t>
      </w:r>
      <w:r>
        <w:rPr>
          <w:rFonts w:hint="eastAsia" w:asciiTheme="minorEastAsia" w:hAnsiTheme="minorEastAsia"/>
          <w:color w:val="auto"/>
          <w:sz w:val="32"/>
          <w:szCs w:val="32"/>
          <w:lang w:val="en-US" w:eastAsia="zh-CN"/>
        </w:rPr>
        <w:t>15.2</w:t>
      </w:r>
      <w:r>
        <w:rPr>
          <w:rFonts w:hint="eastAsia" w:asciiTheme="minorEastAsia" w:hAnsiTheme="minorEastAsia"/>
          <w:color w:val="auto"/>
          <w:sz w:val="32"/>
          <w:szCs w:val="32"/>
        </w:rPr>
        <w:t>万元，主要是燃油</w:t>
      </w:r>
      <w:r>
        <w:rPr>
          <w:rFonts w:hint="eastAsia" w:asciiTheme="minorEastAsia" w:hAnsiTheme="minorEastAsia"/>
          <w:color w:val="auto"/>
          <w:sz w:val="32"/>
          <w:szCs w:val="32"/>
          <w:lang w:eastAsia="zh-CN"/>
        </w:rPr>
        <w:t>费</w:t>
      </w:r>
      <w:r>
        <w:rPr>
          <w:rFonts w:hint="eastAsia" w:asciiTheme="minorEastAsia" w:hAnsiTheme="minorEastAsia"/>
          <w:color w:val="auto"/>
          <w:sz w:val="32"/>
          <w:szCs w:val="32"/>
        </w:rPr>
        <w:t>、保险</w:t>
      </w:r>
      <w:r>
        <w:rPr>
          <w:rFonts w:hint="eastAsia" w:asciiTheme="minorEastAsia" w:hAnsiTheme="minorEastAsia"/>
          <w:color w:val="auto"/>
          <w:sz w:val="32"/>
          <w:szCs w:val="32"/>
          <w:lang w:eastAsia="zh-CN"/>
        </w:rPr>
        <w:t>费</w:t>
      </w:r>
      <w:r>
        <w:rPr>
          <w:rFonts w:hint="eastAsia" w:asciiTheme="minorEastAsia" w:hAnsiTheme="minorEastAsia"/>
          <w:color w:val="auto"/>
          <w:sz w:val="32"/>
          <w:szCs w:val="32"/>
        </w:rPr>
        <w:t>、维修</w:t>
      </w:r>
      <w:r>
        <w:rPr>
          <w:rFonts w:hint="eastAsia" w:asciiTheme="minorEastAsia" w:hAnsiTheme="minorEastAsia"/>
          <w:color w:val="auto"/>
          <w:sz w:val="32"/>
          <w:szCs w:val="32"/>
          <w:lang w:eastAsia="zh-CN"/>
        </w:rPr>
        <w:t>费等</w:t>
      </w:r>
      <w:r>
        <w:rPr>
          <w:rFonts w:hint="eastAsia" w:asciiTheme="minorEastAsia" w:hAnsiTheme="minorEastAsia"/>
          <w:color w:val="auto"/>
          <w:sz w:val="32"/>
          <w:szCs w:val="32"/>
        </w:rPr>
        <w:t>支出，截止2021年12月31日，我单位开支财政拨款的公务用车保有量为</w:t>
      </w:r>
      <w:r>
        <w:rPr>
          <w:rFonts w:hint="eastAsia" w:asciiTheme="minorEastAsia" w:hAnsiTheme="minorEastAsia"/>
          <w:color w:val="auto"/>
          <w:sz w:val="32"/>
          <w:szCs w:val="32"/>
          <w:lang w:val="en-US" w:eastAsia="zh-CN"/>
        </w:rPr>
        <w:t>2</w:t>
      </w:r>
      <w:r>
        <w:rPr>
          <w:rFonts w:hint="eastAsia" w:asciiTheme="minorEastAsia" w:hAnsiTheme="minorEastAsia"/>
          <w:color w:val="auto"/>
          <w:sz w:val="32"/>
          <w:szCs w:val="32"/>
        </w:rPr>
        <w:t>辆。</w:t>
      </w:r>
    </w:p>
    <w:p>
      <w:pPr>
        <w:pStyle w:val="10"/>
        <w:rPr>
          <w:rFonts w:hAnsi="黑体"/>
          <w:b/>
          <w:sz w:val="32"/>
          <w:szCs w:val="32"/>
        </w:rPr>
      </w:pPr>
      <w:r>
        <w:rPr>
          <w:rFonts w:hint="eastAsia" w:hAnsi="黑体"/>
          <w:b/>
          <w:sz w:val="32"/>
          <w:szCs w:val="32"/>
        </w:rPr>
        <w:t>八、政府性基金预算收入支出决算情况</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cstheme="minorBidi"/>
          <w:color w:val="auto"/>
          <w:kern w:val="2"/>
          <w:sz w:val="32"/>
          <w:szCs w:val="32"/>
          <w:lang w:val="en-US" w:eastAsia="zh-CN" w:bidi="ar-SA"/>
        </w:rPr>
        <w:t>本单位无政府性基金收支。</w:t>
      </w:r>
    </w:p>
    <w:p>
      <w:pPr>
        <w:pStyle w:val="10"/>
        <w:rPr>
          <w:rFonts w:hAnsi="黑体"/>
          <w:b/>
          <w:sz w:val="32"/>
          <w:szCs w:val="32"/>
        </w:rPr>
      </w:pPr>
      <w:r>
        <w:rPr>
          <w:rFonts w:hint="eastAsia" w:hAnsi="黑体"/>
          <w:b/>
          <w:sz w:val="32"/>
          <w:szCs w:val="32"/>
        </w:rPr>
        <w:t>九、机关运行经费支出说明</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eastAsia="zh-CN"/>
        </w:rPr>
        <w:t>本单位无机关运行经费支出。</w:t>
      </w:r>
    </w:p>
    <w:p>
      <w:pPr>
        <w:pStyle w:val="10"/>
        <w:rPr>
          <w:rFonts w:hAnsi="黑体"/>
          <w:b/>
          <w:sz w:val="32"/>
          <w:szCs w:val="32"/>
        </w:rPr>
      </w:pPr>
      <w:r>
        <w:rPr>
          <w:rFonts w:hint="eastAsia" w:hAnsi="黑体"/>
          <w:b/>
          <w:sz w:val="32"/>
          <w:szCs w:val="32"/>
        </w:rPr>
        <w:t>十、一般性支出情况说明</w:t>
      </w:r>
    </w:p>
    <w:p>
      <w:pPr>
        <w:ind w:firstLine="640" w:firstLineChars="200"/>
        <w:rPr>
          <w:rFonts w:asciiTheme="minorEastAsia" w:hAnsiTheme="minorEastAsia" w:eastAsiaTheme="minorEastAsia"/>
          <w:color w:val="1D41D5"/>
          <w:sz w:val="32"/>
          <w:szCs w:val="32"/>
        </w:rPr>
      </w:pPr>
      <w:r>
        <w:rPr>
          <w:rFonts w:hint="eastAsia" w:asciiTheme="minorEastAsia" w:hAnsiTheme="minorEastAsia" w:eastAsiaTheme="minorEastAsia"/>
          <w:color w:val="auto"/>
          <w:sz w:val="32"/>
          <w:szCs w:val="32"/>
        </w:rPr>
        <w:t>2021年本部门开支会议费</w:t>
      </w:r>
      <w:r>
        <w:rPr>
          <w:rFonts w:hint="eastAsia" w:asciiTheme="minorEastAsia" w:hAnsiTheme="minorEastAsia" w:eastAsiaTheme="minorEastAsia"/>
          <w:color w:val="auto"/>
          <w:sz w:val="32"/>
          <w:szCs w:val="32"/>
          <w:lang w:val="en-US" w:eastAsia="zh-CN"/>
        </w:rPr>
        <w:t>4.7</w:t>
      </w:r>
      <w:r>
        <w:rPr>
          <w:rFonts w:hint="eastAsia" w:asciiTheme="minorEastAsia" w:hAnsiTheme="minorEastAsia" w:eastAsiaTheme="minorEastAsia"/>
          <w:color w:val="auto"/>
          <w:sz w:val="32"/>
          <w:szCs w:val="32"/>
        </w:rPr>
        <w:t>万元，用于召开“毛泽东与中国共产党的100年”学术研讨会暨毛泽东思想生平研究会，人数</w:t>
      </w:r>
      <w:r>
        <w:rPr>
          <w:rFonts w:hint="eastAsia" w:asciiTheme="minorEastAsia" w:hAnsiTheme="minorEastAsia"/>
          <w:color w:val="auto"/>
          <w:sz w:val="32"/>
          <w:szCs w:val="32"/>
          <w:lang w:val="en-US" w:eastAsia="zh-CN"/>
        </w:rPr>
        <w:t>192</w:t>
      </w:r>
      <w:r>
        <w:rPr>
          <w:rFonts w:hint="eastAsia" w:asciiTheme="minorEastAsia" w:hAnsiTheme="minorEastAsia" w:eastAsiaTheme="minorEastAsia"/>
          <w:color w:val="auto"/>
          <w:sz w:val="32"/>
          <w:szCs w:val="32"/>
        </w:rPr>
        <w:t>人，内容为围绕“毛泽东与中国共产党的100年”</w:t>
      </w:r>
      <w:r>
        <w:rPr>
          <w:rFonts w:hint="eastAsia" w:asciiTheme="minorEastAsia" w:hAnsiTheme="minorEastAsia"/>
          <w:color w:val="auto"/>
          <w:sz w:val="32"/>
          <w:szCs w:val="32"/>
          <w:lang w:eastAsia="zh-CN"/>
        </w:rPr>
        <w:t>主题</w:t>
      </w:r>
      <w:r>
        <w:rPr>
          <w:rFonts w:hint="eastAsia" w:asciiTheme="minorEastAsia" w:hAnsiTheme="minorEastAsia" w:eastAsiaTheme="minorEastAsia"/>
          <w:color w:val="auto"/>
          <w:sz w:val="32"/>
          <w:szCs w:val="32"/>
        </w:rPr>
        <w:t>展开研讨；开支培训费</w:t>
      </w:r>
      <w:r>
        <w:rPr>
          <w:rFonts w:hint="eastAsia" w:asciiTheme="minorEastAsia" w:hAnsiTheme="minorEastAsia" w:eastAsiaTheme="minorEastAsia"/>
          <w:color w:val="auto"/>
          <w:sz w:val="32"/>
          <w:szCs w:val="32"/>
          <w:lang w:val="en-US" w:eastAsia="zh-CN"/>
        </w:rPr>
        <w:t>6.01</w:t>
      </w:r>
      <w:r>
        <w:rPr>
          <w:rFonts w:hint="eastAsia" w:asciiTheme="minorEastAsia" w:hAnsiTheme="minorEastAsia" w:eastAsiaTheme="minorEastAsia"/>
          <w:color w:val="auto"/>
          <w:sz w:val="32"/>
          <w:szCs w:val="32"/>
        </w:rPr>
        <w:t>万元，</w:t>
      </w:r>
      <w:r>
        <w:rPr>
          <w:rFonts w:hint="eastAsia" w:asciiTheme="minorEastAsia" w:hAnsiTheme="minorEastAsia" w:eastAsiaTheme="minorEastAsia"/>
          <w:color w:val="auto"/>
          <w:sz w:val="32"/>
          <w:szCs w:val="32"/>
          <w:lang w:eastAsia="zh-CN"/>
        </w:rPr>
        <w:t>其中</w:t>
      </w:r>
      <w:r>
        <w:rPr>
          <w:rFonts w:hint="eastAsia" w:asciiTheme="minorEastAsia" w:hAnsiTheme="minorEastAsia"/>
          <w:color w:val="auto"/>
          <w:sz w:val="32"/>
          <w:szCs w:val="32"/>
          <w:lang w:eastAsia="zh-CN"/>
        </w:rPr>
        <w:t>：</w:t>
      </w:r>
      <w:r>
        <w:rPr>
          <w:rFonts w:hint="eastAsia" w:asciiTheme="minorEastAsia" w:hAnsiTheme="minorEastAsia" w:eastAsiaTheme="minorEastAsia"/>
          <w:color w:val="auto"/>
          <w:sz w:val="32"/>
          <w:szCs w:val="32"/>
          <w:highlight w:val="none"/>
          <w:lang w:eastAsia="zh-CN"/>
        </w:rPr>
        <w:t>用于单位员工参加</w:t>
      </w:r>
      <w:r>
        <w:rPr>
          <w:rFonts w:hint="eastAsia" w:asciiTheme="minorEastAsia" w:hAnsiTheme="minorEastAsia"/>
          <w:color w:val="auto"/>
          <w:sz w:val="32"/>
          <w:szCs w:val="32"/>
          <w:highlight w:val="none"/>
          <w:lang w:eastAsia="zh-CN"/>
        </w:rPr>
        <w:t>业务</w:t>
      </w:r>
      <w:r>
        <w:rPr>
          <w:rFonts w:hint="eastAsia" w:asciiTheme="minorEastAsia" w:hAnsiTheme="minorEastAsia" w:eastAsiaTheme="minorEastAsia"/>
          <w:color w:val="auto"/>
          <w:sz w:val="32"/>
          <w:szCs w:val="32"/>
          <w:highlight w:val="none"/>
          <w:lang w:eastAsia="zh-CN"/>
        </w:rPr>
        <w:t>培训学习</w:t>
      </w:r>
      <w:r>
        <w:rPr>
          <w:rFonts w:hint="eastAsia" w:asciiTheme="minorEastAsia" w:hAnsiTheme="minorEastAsia" w:eastAsiaTheme="minorEastAsia"/>
          <w:color w:val="auto"/>
          <w:sz w:val="32"/>
          <w:szCs w:val="32"/>
          <w:lang w:val="en-US" w:eastAsia="zh-CN"/>
        </w:rPr>
        <w:t>2.93万元</w:t>
      </w:r>
      <w:r>
        <w:rPr>
          <w:rFonts w:hint="eastAsia" w:asciiTheme="minorEastAsia" w:hAnsiTheme="minorEastAsia" w:eastAsiaTheme="minorEastAsia"/>
          <w:color w:val="auto"/>
          <w:sz w:val="32"/>
          <w:szCs w:val="32"/>
          <w:highlight w:val="none"/>
          <w:lang w:eastAsia="zh-CN"/>
        </w:rPr>
        <w:t>，人数</w:t>
      </w:r>
      <w:r>
        <w:rPr>
          <w:rFonts w:hint="eastAsia" w:asciiTheme="minorEastAsia" w:hAnsiTheme="minorEastAsia" w:eastAsiaTheme="minorEastAsia"/>
          <w:color w:val="auto"/>
          <w:sz w:val="32"/>
          <w:szCs w:val="32"/>
          <w:highlight w:val="none"/>
          <w:lang w:val="en-US" w:eastAsia="zh-CN"/>
        </w:rPr>
        <w:t>10</w:t>
      </w:r>
      <w:r>
        <w:rPr>
          <w:rFonts w:hint="eastAsia" w:asciiTheme="minorEastAsia" w:hAnsiTheme="minorEastAsia" w:eastAsiaTheme="minorEastAsia"/>
          <w:color w:val="auto"/>
          <w:sz w:val="32"/>
          <w:szCs w:val="32"/>
          <w:highlight w:val="none"/>
          <w:lang w:eastAsia="zh-CN"/>
        </w:rPr>
        <w:t>人，</w:t>
      </w:r>
      <w:r>
        <w:rPr>
          <w:rFonts w:hint="eastAsia" w:asciiTheme="minorEastAsia" w:hAnsiTheme="minorEastAsia" w:eastAsiaTheme="minorEastAsia"/>
          <w:color w:val="auto"/>
          <w:sz w:val="32"/>
          <w:szCs w:val="32"/>
          <w:lang w:eastAsia="zh-CN"/>
        </w:rPr>
        <w:t>内容为与自身工作相关的业务学习培训</w:t>
      </w:r>
      <w:r>
        <w:rPr>
          <w:rFonts w:hint="eastAsia" w:asciiTheme="minorEastAsia" w:hAnsiTheme="minorEastAsia"/>
          <w:color w:val="auto"/>
          <w:sz w:val="32"/>
          <w:szCs w:val="32"/>
          <w:lang w:eastAsia="zh-CN"/>
        </w:rPr>
        <w:t>；</w:t>
      </w:r>
      <w:r>
        <w:rPr>
          <w:rFonts w:hint="eastAsia" w:asciiTheme="minorEastAsia" w:hAnsiTheme="minorEastAsia" w:eastAsiaTheme="minorEastAsia"/>
          <w:color w:val="auto"/>
          <w:sz w:val="32"/>
          <w:szCs w:val="32"/>
          <w:highlight w:val="none"/>
          <w:lang w:eastAsia="zh-CN"/>
        </w:rPr>
        <w:t>用于在编人员继续教育培训</w:t>
      </w:r>
      <w:r>
        <w:rPr>
          <w:rFonts w:hint="eastAsia" w:asciiTheme="minorEastAsia" w:hAnsiTheme="minorEastAsia" w:eastAsiaTheme="minorEastAsia"/>
          <w:color w:val="auto"/>
          <w:sz w:val="32"/>
          <w:szCs w:val="32"/>
          <w:lang w:val="en-US" w:eastAsia="zh-CN"/>
        </w:rPr>
        <w:t>3.08万元</w:t>
      </w:r>
      <w:r>
        <w:rPr>
          <w:rFonts w:hint="eastAsia" w:asciiTheme="minorEastAsia" w:hAnsiTheme="minorEastAsia" w:eastAsiaTheme="minorEastAsia"/>
          <w:color w:val="auto"/>
          <w:sz w:val="32"/>
          <w:szCs w:val="32"/>
          <w:highlight w:val="none"/>
          <w:lang w:eastAsia="zh-CN"/>
        </w:rPr>
        <w:t>，人数</w:t>
      </w:r>
      <w:r>
        <w:rPr>
          <w:rFonts w:hint="eastAsia" w:asciiTheme="minorEastAsia" w:hAnsiTheme="minorEastAsia" w:eastAsiaTheme="minorEastAsia"/>
          <w:color w:val="auto"/>
          <w:sz w:val="32"/>
          <w:szCs w:val="32"/>
          <w:highlight w:val="none"/>
          <w:lang w:val="en-US" w:eastAsia="zh-CN"/>
        </w:rPr>
        <w:t>94</w:t>
      </w:r>
      <w:r>
        <w:rPr>
          <w:rFonts w:hint="eastAsia" w:asciiTheme="minorEastAsia" w:hAnsiTheme="minorEastAsia" w:eastAsiaTheme="minorEastAsia"/>
          <w:color w:val="auto"/>
          <w:sz w:val="32"/>
          <w:szCs w:val="32"/>
          <w:highlight w:val="none"/>
          <w:lang w:eastAsia="zh-CN"/>
        </w:rPr>
        <w:t>人，</w:t>
      </w:r>
      <w:r>
        <w:rPr>
          <w:rFonts w:hint="eastAsia" w:asciiTheme="minorEastAsia" w:hAnsiTheme="minorEastAsia" w:eastAsiaTheme="minorEastAsia"/>
          <w:color w:val="auto"/>
          <w:sz w:val="32"/>
          <w:szCs w:val="32"/>
          <w:lang w:eastAsia="zh-CN"/>
        </w:rPr>
        <w:t>内容为</w:t>
      </w:r>
      <w:r>
        <w:rPr>
          <w:rFonts w:hint="eastAsia" w:asciiTheme="minorEastAsia" w:hAnsiTheme="minorEastAsia"/>
          <w:color w:val="auto"/>
          <w:sz w:val="32"/>
          <w:szCs w:val="32"/>
          <w:lang w:eastAsia="zh-CN"/>
        </w:rPr>
        <w:t>湖南省事业单位工作人员学习</w:t>
      </w:r>
      <w:r>
        <w:rPr>
          <w:rFonts w:hint="eastAsia" w:asciiTheme="minorEastAsia" w:hAnsiTheme="minorEastAsia" w:eastAsiaTheme="minorEastAsia"/>
          <w:color w:val="auto"/>
          <w:sz w:val="32"/>
          <w:szCs w:val="32"/>
          <w:lang w:eastAsia="zh-CN"/>
        </w:rPr>
        <w:t>培训。</w:t>
      </w:r>
    </w:p>
    <w:p>
      <w:pPr>
        <w:pStyle w:val="10"/>
        <w:rPr>
          <w:rFonts w:hAnsi="黑体"/>
          <w:b/>
          <w:sz w:val="32"/>
          <w:szCs w:val="32"/>
        </w:rPr>
      </w:pPr>
      <w:r>
        <w:rPr>
          <w:rFonts w:hint="eastAsia" w:hAnsi="黑体"/>
          <w:b/>
          <w:sz w:val="32"/>
          <w:szCs w:val="32"/>
        </w:rPr>
        <w:t>十一、政府采购支出说明</w:t>
      </w:r>
    </w:p>
    <w:p>
      <w:pPr>
        <w:pStyle w:val="10"/>
        <w:ind w:firstLine="640" w:firstLineChars="200"/>
        <w:rPr>
          <w:rFonts w:hint="eastAsia" w:asciiTheme="minorEastAsia" w:hAnsiTheme="minorEastAsia" w:eastAsiaTheme="minorEastAsia"/>
          <w:color w:val="auto"/>
          <w:sz w:val="32"/>
          <w:szCs w:val="32"/>
        </w:rPr>
      </w:pPr>
      <w:r>
        <w:rPr>
          <w:rFonts w:hint="eastAsia" w:asciiTheme="minorEastAsia" w:hAnsiTheme="minorEastAsia" w:eastAsiaTheme="minorEastAsia"/>
          <w:sz w:val="32"/>
          <w:szCs w:val="32"/>
        </w:rPr>
        <w:t>本部门2021年度政府采购支出总额</w:t>
      </w:r>
      <w:r>
        <w:rPr>
          <w:rFonts w:hint="eastAsia" w:asciiTheme="minorEastAsia" w:hAnsiTheme="minorEastAsia" w:eastAsiaTheme="minorEastAsia"/>
          <w:sz w:val="32"/>
          <w:szCs w:val="32"/>
          <w:lang w:val="en-US" w:eastAsia="zh-CN"/>
        </w:rPr>
        <w:t>1130.50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205.70</w:t>
      </w:r>
      <w:r>
        <w:rPr>
          <w:rFonts w:hint="eastAsia" w:asciiTheme="minorEastAsia" w:hAnsiTheme="minorEastAsia" w:eastAsiaTheme="minorEastAsia"/>
          <w:sz w:val="32"/>
          <w:szCs w:val="32"/>
        </w:rPr>
        <w:t>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924.80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960.92</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85</w:t>
      </w:r>
      <w:r>
        <w:rPr>
          <w:rFonts w:hint="eastAsia" w:asciiTheme="minorEastAsia" w:hAnsiTheme="minorEastAsia" w:eastAsiaTheme="minorEastAsia"/>
          <w:sz w:val="32"/>
          <w:szCs w:val="32"/>
        </w:rPr>
        <w:t>%，其中：授予小微企业合同</w:t>
      </w:r>
      <w:r>
        <w:rPr>
          <w:rFonts w:hint="eastAsia" w:asciiTheme="minorEastAsia" w:hAnsiTheme="minorEastAsia" w:eastAsiaTheme="minorEastAsia"/>
          <w:color w:val="auto"/>
          <w:sz w:val="32"/>
          <w:szCs w:val="32"/>
        </w:rPr>
        <w:t>金额</w:t>
      </w:r>
      <w:r>
        <w:rPr>
          <w:rFonts w:hint="eastAsia" w:asciiTheme="minorEastAsia" w:hAnsiTheme="minorEastAsia" w:eastAsiaTheme="minorEastAsia"/>
          <w:color w:val="auto"/>
          <w:sz w:val="32"/>
          <w:szCs w:val="32"/>
          <w:lang w:val="en-US" w:eastAsia="zh-CN"/>
        </w:rPr>
        <w:t>864.83</w:t>
      </w:r>
      <w:r>
        <w:rPr>
          <w:rFonts w:hint="eastAsia" w:asciiTheme="minorEastAsia" w:hAnsiTheme="minorEastAsia" w:eastAsiaTheme="minorEastAsia"/>
          <w:color w:val="auto"/>
          <w:sz w:val="32"/>
          <w:szCs w:val="32"/>
        </w:rPr>
        <w:t>万元，占授予中小企业合同金额的</w:t>
      </w:r>
      <w:r>
        <w:rPr>
          <w:rFonts w:hint="eastAsia" w:asciiTheme="minorEastAsia" w:hAnsiTheme="minorEastAsia" w:eastAsiaTheme="minorEastAsia"/>
          <w:color w:val="auto"/>
          <w:sz w:val="32"/>
          <w:szCs w:val="32"/>
          <w:lang w:val="en-US" w:eastAsia="zh-CN"/>
        </w:rPr>
        <w:t>90</w:t>
      </w:r>
      <w:r>
        <w:rPr>
          <w:rFonts w:hint="eastAsia" w:asciiTheme="minorEastAsia" w:hAnsiTheme="minorEastAsia" w:eastAsiaTheme="minorEastAsia"/>
          <w:color w:val="auto"/>
          <w:sz w:val="32"/>
          <w:szCs w:val="32"/>
        </w:rPr>
        <w:t>%；货物采购授予中小企业合同金额占货物支出金额的</w:t>
      </w:r>
      <w:r>
        <w:rPr>
          <w:rFonts w:hint="eastAsia" w:asciiTheme="minorEastAsia" w:hAnsiTheme="minorEastAsia" w:eastAsiaTheme="minorEastAsia"/>
          <w:color w:val="auto"/>
          <w:sz w:val="32"/>
          <w:szCs w:val="32"/>
          <w:lang w:val="en-US" w:eastAsia="zh-CN"/>
        </w:rPr>
        <w:t>95</w:t>
      </w:r>
      <w:r>
        <w:rPr>
          <w:rFonts w:hint="eastAsia" w:asciiTheme="minorEastAsia" w:hAnsiTheme="minorEastAsia" w:eastAsiaTheme="minorEastAsia"/>
          <w:color w:val="auto"/>
          <w:sz w:val="32"/>
          <w:szCs w:val="32"/>
        </w:rPr>
        <w:t>%，工程采购授予中小企业合同金额占工程支出金额的</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%，服务采购授予中小企业合同金额占服务支出金额的</w:t>
      </w:r>
      <w:r>
        <w:rPr>
          <w:rFonts w:hint="eastAsia" w:asciiTheme="minorEastAsia" w:hAnsiTheme="minorEastAsia" w:eastAsiaTheme="minorEastAsia"/>
          <w:color w:val="auto"/>
          <w:sz w:val="32"/>
          <w:szCs w:val="32"/>
          <w:lang w:val="en-US" w:eastAsia="zh-CN"/>
        </w:rPr>
        <w:t>82.78</w:t>
      </w:r>
      <w:r>
        <w:rPr>
          <w:rFonts w:hint="eastAsia" w:asciiTheme="minorEastAsia" w:hAnsiTheme="minorEastAsia" w:eastAsiaTheme="minorEastAsia"/>
          <w:color w:val="auto"/>
          <w:sz w:val="32"/>
          <w:szCs w:val="32"/>
        </w:rPr>
        <w:t>%。</w:t>
      </w:r>
    </w:p>
    <w:p>
      <w:pPr>
        <w:pStyle w:val="10"/>
        <w:rPr>
          <w:rFonts w:hAnsi="黑体"/>
          <w:b/>
          <w:sz w:val="32"/>
          <w:szCs w:val="32"/>
        </w:rPr>
      </w:pPr>
      <w:r>
        <w:rPr>
          <w:rFonts w:hint="eastAsia" w:hAnsi="黑体"/>
          <w:b/>
          <w:sz w:val="32"/>
          <w:szCs w:val="32"/>
        </w:rPr>
        <w:t>十二、国有资产占用情况说明</w:t>
      </w:r>
    </w:p>
    <w:p>
      <w:pPr>
        <w:pStyle w:val="10"/>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sz w:val="32"/>
          <w:szCs w:val="32"/>
        </w:rPr>
        <w:t>截至2021年12月31日，单位共有车辆</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辆，其他用车主要是接待用车、业务工作用车；单位价值50万元</w:t>
      </w:r>
      <w:r>
        <w:rPr>
          <w:rFonts w:hint="eastAsia" w:asciiTheme="minorEastAsia" w:hAnsiTheme="minorEastAsia" w:eastAsiaTheme="minorEastAsia"/>
          <w:color w:val="auto"/>
          <w:sz w:val="32"/>
          <w:szCs w:val="32"/>
        </w:rPr>
        <w:t>以上通用设备</w:t>
      </w:r>
      <w:r>
        <w:rPr>
          <w:rFonts w:hint="eastAsia" w:asciiTheme="minorEastAsia" w:hAnsiTheme="minorEastAsia" w:eastAsiaTheme="minorEastAsia"/>
          <w:color w:val="auto"/>
          <w:sz w:val="32"/>
          <w:szCs w:val="32"/>
          <w:lang w:val="en-US" w:eastAsia="zh-CN"/>
        </w:rPr>
        <w:t>18</w:t>
      </w:r>
      <w:r>
        <w:rPr>
          <w:rFonts w:hint="eastAsia" w:asciiTheme="minorEastAsia" w:hAnsiTheme="minorEastAsia" w:eastAsiaTheme="minorEastAsia"/>
          <w:color w:val="auto"/>
          <w:sz w:val="32"/>
          <w:szCs w:val="32"/>
        </w:rPr>
        <w:t>台（套）；单位价值100万元以上专用设备</w:t>
      </w:r>
      <w:r>
        <w:rPr>
          <w:rFonts w:hint="eastAsia" w:asciiTheme="minorEastAsia" w:hAnsiTheme="minorEastAsia" w:eastAsiaTheme="minorEastAsia"/>
          <w:color w:val="auto"/>
          <w:sz w:val="32"/>
          <w:szCs w:val="32"/>
          <w:lang w:val="en-US" w:eastAsia="zh-CN"/>
        </w:rPr>
        <w:t>1</w:t>
      </w:r>
      <w:r>
        <w:rPr>
          <w:rFonts w:hint="eastAsia" w:asciiTheme="minorEastAsia" w:hAnsiTheme="minorEastAsia" w:eastAsiaTheme="minorEastAsia"/>
          <w:color w:val="auto"/>
          <w:sz w:val="32"/>
          <w:szCs w:val="32"/>
        </w:rPr>
        <w:t>台（套）。</w:t>
      </w:r>
    </w:p>
    <w:p>
      <w:pPr>
        <w:pStyle w:val="10"/>
        <w:rPr>
          <w:rFonts w:hAnsi="黑体"/>
          <w:b/>
          <w:color w:val="auto"/>
          <w:sz w:val="32"/>
          <w:szCs w:val="32"/>
          <w:highlight w:val="none"/>
        </w:rPr>
      </w:pPr>
      <w:r>
        <w:rPr>
          <w:rFonts w:hint="eastAsia" w:hAnsi="黑体"/>
          <w:b/>
          <w:color w:val="auto"/>
          <w:sz w:val="32"/>
          <w:szCs w:val="32"/>
          <w:highlight w:val="none"/>
        </w:rPr>
        <w:t>十三、2021年度预算绩效情况说明</w:t>
      </w:r>
    </w:p>
    <w:p>
      <w:pPr>
        <w:autoSpaceDE w:val="0"/>
        <w:autoSpaceDN w:val="0"/>
        <w:adjustRightInd w:val="0"/>
        <w:ind w:firstLine="640" w:firstLineChars="200"/>
        <w:jc w:val="left"/>
        <w:rPr>
          <w:rFonts w:cs="黑体" w:asciiTheme="minorEastAsia" w:hAnsiTheme="minorEastAsia"/>
          <w:color w:val="auto"/>
          <w:kern w:val="0"/>
          <w:sz w:val="32"/>
          <w:szCs w:val="32"/>
          <w:highlight w:val="none"/>
        </w:rPr>
      </w:pPr>
      <w:r>
        <w:rPr>
          <w:rFonts w:hint="eastAsia" w:cs="黑体" w:asciiTheme="minorEastAsia" w:hAnsiTheme="minorEastAsia"/>
          <w:b/>
          <w:color w:val="auto"/>
          <w:kern w:val="0"/>
          <w:sz w:val="32"/>
          <w:szCs w:val="32"/>
          <w:highlight w:val="none"/>
        </w:rPr>
        <w:t>（1）绩效管理评价工作开展情况</w:t>
      </w:r>
      <w:r>
        <w:rPr>
          <w:rFonts w:hint="eastAsia" w:cs="黑体" w:asciiTheme="minorEastAsia" w:hAnsiTheme="minorEastAsia"/>
          <w:color w:val="auto"/>
          <w:kern w:val="0"/>
          <w:sz w:val="32"/>
          <w:szCs w:val="32"/>
          <w:highlight w:val="none"/>
        </w:rPr>
        <w:t>。</w:t>
      </w:r>
    </w:p>
    <w:p>
      <w:pPr>
        <w:autoSpaceDE w:val="0"/>
        <w:autoSpaceDN w:val="0"/>
        <w:adjustRightInd w:val="0"/>
        <w:ind w:firstLine="640" w:firstLineChars="200"/>
        <w:jc w:val="left"/>
        <w:rPr>
          <w:rFonts w:cs="黑体" w:asciiTheme="minorEastAsia" w:hAnsiTheme="minorEastAsia"/>
          <w:color w:val="auto"/>
          <w:kern w:val="0"/>
          <w:sz w:val="32"/>
          <w:szCs w:val="32"/>
          <w:highlight w:val="none"/>
        </w:rPr>
      </w:pPr>
      <w:r>
        <w:rPr>
          <w:rFonts w:hint="eastAsia" w:cs="黑体" w:asciiTheme="minorEastAsia" w:hAnsiTheme="minorEastAsia"/>
          <w:color w:val="auto"/>
          <w:kern w:val="0"/>
          <w:sz w:val="32"/>
          <w:szCs w:val="32"/>
          <w:highlight w:val="none"/>
        </w:rPr>
        <w:t>根据预算绩效管理要求，我部门组织对</w:t>
      </w:r>
      <w:r>
        <w:rPr>
          <w:rFonts w:cs="黑体" w:asciiTheme="minorEastAsia" w:hAnsiTheme="minorEastAsia"/>
          <w:color w:val="auto"/>
          <w:kern w:val="0"/>
          <w:sz w:val="32"/>
          <w:szCs w:val="32"/>
          <w:highlight w:val="none"/>
        </w:rPr>
        <w:t>2021</w:t>
      </w:r>
      <w:r>
        <w:rPr>
          <w:rFonts w:hint="eastAsia" w:cs="黑体" w:asciiTheme="minorEastAsia" w:hAnsiTheme="minorEastAsia"/>
          <w:color w:val="auto"/>
          <w:kern w:val="0"/>
          <w:sz w:val="32"/>
          <w:szCs w:val="32"/>
          <w:highlight w:val="none"/>
        </w:rPr>
        <w:t>年度一般公共预算项目支出全面开展绩效自评，其中，一级项目</w:t>
      </w:r>
      <w:r>
        <w:rPr>
          <w:rFonts w:hint="eastAsia" w:cs="黑体" w:asciiTheme="minorEastAsia" w:hAnsiTheme="minorEastAsia"/>
          <w:color w:val="auto"/>
          <w:kern w:val="0"/>
          <w:sz w:val="32"/>
          <w:szCs w:val="32"/>
          <w:highlight w:val="none"/>
          <w:lang w:val="en-US" w:eastAsia="zh-CN"/>
        </w:rPr>
        <w:t>4</w:t>
      </w:r>
      <w:r>
        <w:rPr>
          <w:rFonts w:hint="eastAsia" w:cs="黑体" w:asciiTheme="minorEastAsia" w:hAnsiTheme="minorEastAsia"/>
          <w:color w:val="auto"/>
          <w:kern w:val="0"/>
          <w:sz w:val="32"/>
          <w:szCs w:val="32"/>
          <w:highlight w:val="none"/>
        </w:rPr>
        <w:t>个，二级项目</w:t>
      </w:r>
      <w:r>
        <w:rPr>
          <w:rFonts w:hint="eastAsia" w:cs="黑体" w:asciiTheme="minorEastAsia" w:hAnsiTheme="minorEastAsia"/>
          <w:color w:val="auto"/>
          <w:kern w:val="0"/>
          <w:sz w:val="32"/>
          <w:szCs w:val="32"/>
          <w:highlight w:val="none"/>
          <w:lang w:val="en-US" w:eastAsia="zh-CN"/>
        </w:rPr>
        <w:t>7</w:t>
      </w:r>
      <w:bookmarkStart w:id="3" w:name="_GoBack"/>
      <w:bookmarkEnd w:id="3"/>
      <w:r>
        <w:rPr>
          <w:rFonts w:hint="eastAsia" w:cs="黑体" w:asciiTheme="minorEastAsia" w:hAnsiTheme="minorEastAsia"/>
          <w:color w:val="auto"/>
          <w:kern w:val="0"/>
          <w:sz w:val="32"/>
          <w:szCs w:val="32"/>
          <w:highlight w:val="none"/>
        </w:rPr>
        <w:t>个，共涉及资金</w:t>
      </w:r>
      <w:r>
        <w:rPr>
          <w:rFonts w:hint="eastAsia" w:cs="黑体" w:asciiTheme="minorEastAsia" w:hAnsiTheme="minorEastAsia"/>
          <w:color w:val="auto"/>
          <w:kern w:val="0"/>
          <w:sz w:val="32"/>
          <w:szCs w:val="32"/>
          <w:highlight w:val="none"/>
          <w:lang w:val="en-US" w:eastAsia="zh-CN"/>
        </w:rPr>
        <w:t>4242.44</w:t>
      </w:r>
      <w:r>
        <w:rPr>
          <w:rFonts w:hint="eastAsia" w:cs="黑体" w:asciiTheme="minorEastAsia" w:hAnsiTheme="minorEastAsia"/>
          <w:color w:val="auto"/>
          <w:kern w:val="0"/>
          <w:sz w:val="32"/>
          <w:szCs w:val="32"/>
          <w:highlight w:val="none"/>
        </w:rPr>
        <w:t>万元，占一般公共预算项目支出总额的</w:t>
      </w:r>
      <w:r>
        <w:rPr>
          <w:rFonts w:hint="eastAsia" w:cs="黑体" w:asciiTheme="minorEastAsia" w:hAnsiTheme="minorEastAsia"/>
          <w:color w:val="auto"/>
          <w:kern w:val="0"/>
          <w:sz w:val="32"/>
          <w:szCs w:val="32"/>
          <w:highlight w:val="none"/>
          <w:lang w:val="en-US" w:eastAsia="zh-CN"/>
        </w:rPr>
        <w:t>100</w:t>
      </w:r>
      <w:r>
        <w:rPr>
          <w:rFonts w:cs="黑体" w:asciiTheme="minorEastAsia" w:hAnsiTheme="minorEastAsia"/>
          <w:color w:val="auto"/>
          <w:kern w:val="0"/>
          <w:sz w:val="32"/>
          <w:szCs w:val="32"/>
          <w:highlight w:val="none"/>
        </w:rPr>
        <w:t>%</w:t>
      </w:r>
      <w:r>
        <w:rPr>
          <w:rFonts w:hint="eastAsia" w:cs="黑体" w:asciiTheme="minorEastAsia" w:hAnsiTheme="minorEastAsia"/>
          <w:color w:val="auto"/>
          <w:kern w:val="0"/>
          <w:sz w:val="32"/>
          <w:szCs w:val="32"/>
          <w:highlight w:val="none"/>
        </w:rPr>
        <w:t>。</w:t>
      </w:r>
    </w:p>
    <w:p>
      <w:pPr>
        <w:autoSpaceDE w:val="0"/>
        <w:autoSpaceDN w:val="0"/>
        <w:adjustRightInd w:val="0"/>
        <w:ind w:firstLine="640" w:firstLineChars="200"/>
        <w:jc w:val="left"/>
        <w:rPr>
          <w:rFonts w:hint="eastAsia" w:cs="黑体" w:asciiTheme="minorEastAsia" w:hAnsiTheme="minorEastAsia"/>
          <w:color w:val="auto"/>
          <w:kern w:val="0"/>
          <w:sz w:val="32"/>
          <w:szCs w:val="32"/>
          <w:highlight w:val="none"/>
        </w:rPr>
      </w:pPr>
      <w:r>
        <w:rPr>
          <w:rFonts w:hint="eastAsia" w:cs="黑体" w:asciiTheme="minorEastAsia" w:hAnsiTheme="minorEastAsia"/>
          <w:color w:val="auto"/>
          <w:kern w:val="0"/>
          <w:sz w:val="32"/>
          <w:szCs w:val="32"/>
          <w:highlight w:val="none"/>
        </w:rPr>
        <w:t>组织对</w:t>
      </w:r>
      <w:r>
        <w:rPr>
          <w:rFonts w:hint="eastAsia" w:cs="黑体" w:asciiTheme="minorEastAsia" w:hAnsiTheme="minorEastAsia"/>
          <w:color w:val="auto"/>
          <w:kern w:val="0"/>
          <w:sz w:val="32"/>
          <w:szCs w:val="32"/>
          <w:highlight w:val="none"/>
          <w:lang w:eastAsia="zh-CN"/>
        </w:rPr>
        <w:t>“纪念馆安防工程”“文化产业发展专项”</w:t>
      </w:r>
      <w:r>
        <w:rPr>
          <w:rFonts w:hint="eastAsia" w:cs="黑体" w:asciiTheme="minorEastAsia" w:hAnsiTheme="minorEastAsia"/>
          <w:color w:val="auto"/>
          <w:kern w:val="0"/>
          <w:sz w:val="32"/>
          <w:szCs w:val="32"/>
          <w:highlight w:val="none"/>
        </w:rPr>
        <w:t>“</w:t>
      </w:r>
      <w:r>
        <w:rPr>
          <w:rFonts w:hint="eastAsia" w:cs="黑体" w:asciiTheme="minorEastAsia" w:hAnsiTheme="minorEastAsia"/>
          <w:color w:val="auto"/>
          <w:kern w:val="0"/>
          <w:sz w:val="32"/>
          <w:szCs w:val="32"/>
          <w:highlight w:val="none"/>
          <w:lang w:eastAsia="zh-CN"/>
        </w:rPr>
        <w:t>博物馆纪念馆逐步免费开放补助资金</w:t>
      </w:r>
      <w:r>
        <w:rPr>
          <w:rFonts w:hint="eastAsia" w:cs="黑体" w:asciiTheme="minorEastAsia" w:hAnsiTheme="minorEastAsia"/>
          <w:color w:val="auto"/>
          <w:kern w:val="0"/>
          <w:sz w:val="32"/>
          <w:szCs w:val="32"/>
          <w:highlight w:val="none"/>
        </w:rPr>
        <w:t>”</w:t>
      </w:r>
      <w:r>
        <w:rPr>
          <w:rFonts w:hint="eastAsia" w:cs="黑体" w:asciiTheme="minorEastAsia" w:hAnsiTheme="minorEastAsia"/>
          <w:color w:val="auto"/>
          <w:kern w:val="0"/>
          <w:sz w:val="32"/>
          <w:szCs w:val="32"/>
          <w:highlight w:val="none"/>
          <w:lang w:eastAsia="zh-CN"/>
        </w:rPr>
        <w:t>“韶山毛主席旧居之旧居、南岸私塾安防工程”“韶山冲毛主席旧居修缮工程”</w:t>
      </w:r>
      <w:r>
        <w:rPr>
          <w:rFonts w:hint="eastAsia" w:cs="黑体" w:asciiTheme="minorEastAsia" w:hAnsiTheme="minorEastAsia"/>
          <w:color w:val="auto"/>
          <w:kern w:val="0"/>
          <w:sz w:val="32"/>
          <w:szCs w:val="32"/>
          <w:highlight w:val="none"/>
        </w:rPr>
        <w:t>“</w:t>
      </w:r>
      <w:r>
        <w:rPr>
          <w:rFonts w:hint="eastAsia" w:cs="黑体" w:asciiTheme="minorEastAsia" w:hAnsiTheme="minorEastAsia"/>
          <w:color w:val="auto"/>
          <w:kern w:val="0"/>
          <w:sz w:val="32"/>
          <w:szCs w:val="32"/>
          <w:highlight w:val="none"/>
          <w:lang w:eastAsia="zh-CN"/>
        </w:rPr>
        <w:t>公共文化服务体系建设绩效奖励</w:t>
      </w:r>
      <w:r>
        <w:rPr>
          <w:rFonts w:hint="eastAsia" w:cs="黑体" w:asciiTheme="minorEastAsia" w:hAnsiTheme="minorEastAsia"/>
          <w:color w:val="auto"/>
          <w:kern w:val="0"/>
          <w:sz w:val="32"/>
          <w:szCs w:val="32"/>
          <w:highlight w:val="none"/>
        </w:rPr>
        <w:t>”</w:t>
      </w:r>
      <w:r>
        <w:rPr>
          <w:rFonts w:hint="eastAsia" w:cs="黑体" w:asciiTheme="minorEastAsia" w:hAnsiTheme="minorEastAsia"/>
          <w:color w:val="auto"/>
          <w:kern w:val="0"/>
          <w:sz w:val="32"/>
          <w:szCs w:val="32"/>
          <w:highlight w:val="none"/>
          <w:lang w:eastAsia="zh-CN"/>
        </w:rPr>
        <w:t>“单位自有资金”</w:t>
      </w:r>
      <w:r>
        <w:rPr>
          <w:rFonts w:hint="eastAsia" w:cs="黑体" w:asciiTheme="minorEastAsia" w:hAnsiTheme="minorEastAsia"/>
          <w:color w:val="auto"/>
          <w:kern w:val="0"/>
          <w:sz w:val="32"/>
          <w:szCs w:val="32"/>
          <w:highlight w:val="none"/>
        </w:rPr>
        <w:t>等</w:t>
      </w:r>
      <w:r>
        <w:rPr>
          <w:rFonts w:hint="eastAsia" w:cs="黑体" w:asciiTheme="minorEastAsia" w:hAnsiTheme="minorEastAsia"/>
          <w:color w:val="auto"/>
          <w:kern w:val="0"/>
          <w:sz w:val="32"/>
          <w:szCs w:val="32"/>
          <w:highlight w:val="none"/>
          <w:lang w:val="en-US" w:eastAsia="zh-CN"/>
        </w:rPr>
        <w:t>7</w:t>
      </w:r>
      <w:r>
        <w:rPr>
          <w:rFonts w:hint="eastAsia" w:cs="黑体" w:asciiTheme="minorEastAsia" w:hAnsiTheme="minorEastAsia"/>
          <w:color w:val="auto"/>
          <w:kern w:val="0"/>
          <w:sz w:val="32"/>
          <w:szCs w:val="32"/>
          <w:highlight w:val="none"/>
        </w:rPr>
        <w:t>个项目开展了部门评价，涉及一般公共预算支出</w:t>
      </w:r>
      <w:r>
        <w:rPr>
          <w:rFonts w:hint="eastAsia" w:cs="黑体" w:asciiTheme="minorEastAsia" w:hAnsiTheme="minorEastAsia"/>
          <w:color w:val="auto"/>
          <w:kern w:val="0"/>
          <w:sz w:val="32"/>
          <w:szCs w:val="32"/>
          <w:highlight w:val="none"/>
          <w:lang w:val="en-US" w:eastAsia="zh-CN"/>
        </w:rPr>
        <w:t>4242.44</w:t>
      </w:r>
      <w:r>
        <w:rPr>
          <w:rFonts w:hint="eastAsia" w:cs="黑体" w:asciiTheme="minorEastAsia" w:hAnsiTheme="minorEastAsia"/>
          <w:color w:val="auto"/>
          <w:kern w:val="0"/>
          <w:sz w:val="32"/>
          <w:szCs w:val="32"/>
          <w:highlight w:val="none"/>
        </w:rPr>
        <w:t>万元，政府性基金预算支出</w:t>
      </w:r>
      <w:r>
        <w:rPr>
          <w:rFonts w:hint="eastAsia" w:cs="黑体" w:asciiTheme="minorEastAsia" w:hAnsiTheme="minorEastAsia"/>
          <w:color w:val="auto"/>
          <w:kern w:val="0"/>
          <w:sz w:val="32"/>
          <w:szCs w:val="32"/>
          <w:highlight w:val="none"/>
          <w:lang w:val="en-US" w:eastAsia="zh-CN"/>
        </w:rPr>
        <w:t>0</w:t>
      </w:r>
      <w:r>
        <w:rPr>
          <w:rFonts w:hint="eastAsia" w:cs="黑体" w:asciiTheme="minorEastAsia" w:hAnsiTheme="minorEastAsia"/>
          <w:color w:val="auto"/>
          <w:kern w:val="0"/>
          <w:sz w:val="32"/>
          <w:szCs w:val="32"/>
          <w:highlight w:val="none"/>
        </w:rPr>
        <w:t>万元，国有资本经营预算支出</w:t>
      </w:r>
      <w:r>
        <w:rPr>
          <w:rFonts w:hint="eastAsia" w:cs="黑体" w:asciiTheme="minorEastAsia" w:hAnsiTheme="minorEastAsia"/>
          <w:color w:val="auto"/>
          <w:kern w:val="0"/>
          <w:sz w:val="32"/>
          <w:szCs w:val="32"/>
          <w:highlight w:val="none"/>
          <w:lang w:val="en-US" w:eastAsia="zh-CN"/>
        </w:rPr>
        <w:t>0</w:t>
      </w:r>
      <w:r>
        <w:rPr>
          <w:rFonts w:hint="eastAsia" w:cs="黑体" w:asciiTheme="minorEastAsia" w:hAnsiTheme="minorEastAsia"/>
          <w:color w:val="auto"/>
          <w:kern w:val="0"/>
          <w:sz w:val="32"/>
          <w:szCs w:val="32"/>
          <w:highlight w:val="none"/>
        </w:rPr>
        <w:t>万元。从评价情况来看，项目资金专款专用，</w:t>
      </w:r>
      <w:r>
        <w:rPr>
          <w:rFonts w:hint="default" w:cs="黑体" w:asciiTheme="minorEastAsia" w:hAnsiTheme="minorEastAsia"/>
          <w:color w:val="auto"/>
          <w:kern w:val="0"/>
          <w:sz w:val="32"/>
          <w:szCs w:val="32"/>
          <w:highlight w:val="none"/>
          <w:lang w:val="en-US" w:eastAsia="zh-CN"/>
        </w:rPr>
        <w:t>进一步发挥纪念馆的价值、功能和作用，</w:t>
      </w:r>
      <w:r>
        <w:rPr>
          <w:rFonts w:hint="eastAsia" w:cs="黑体" w:asciiTheme="minorEastAsia" w:hAnsiTheme="minorEastAsia"/>
          <w:color w:val="auto"/>
          <w:kern w:val="0"/>
          <w:sz w:val="32"/>
          <w:szCs w:val="32"/>
          <w:highlight w:val="none"/>
        </w:rPr>
        <w:t>有力保障了文化旅游事业良好发展。</w:t>
      </w:r>
    </w:p>
    <w:p>
      <w:pPr>
        <w:autoSpaceDE w:val="0"/>
        <w:autoSpaceDN w:val="0"/>
        <w:adjustRightInd w:val="0"/>
        <w:ind w:firstLine="640" w:firstLineChars="200"/>
        <w:jc w:val="left"/>
        <w:rPr>
          <w:rFonts w:cs="黑体" w:asciiTheme="minorEastAsia" w:hAnsiTheme="minorEastAsia"/>
          <w:color w:val="auto"/>
          <w:kern w:val="0"/>
          <w:sz w:val="32"/>
          <w:szCs w:val="32"/>
          <w:highlight w:val="none"/>
        </w:rPr>
      </w:pPr>
      <w:r>
        <w:rPr>
          <w:rFonts w:hint="eastAsia" w:cs="黑体" w:asciiTheme="minorEastAsia" w:hAnsiTheme="minorEastAsia"/>
          <w:color w:val="auto"/>
          <w:kern w:val="0"/>
          <w:sz w:val="32"/>
          <w:szCs w:val="32"/>
          <w:highlight w:val="none"/>
        </w:rPr>
        <w:t>组织对“</w:t>
      </w:r>
      <w:r>
        <w:rPr>
          <w:rFonts w:hint="eastAsia" w:cs="黑体" w:asciiTheme="minorEastAsia" w:hAnsiTheme="minorEastAsia"/>
          <w:color w:val="auto"/>
          <w:kern w:val="0"/>
          <w:sz w:val="32"/>
          <w:szCs w:val="32"/>
          <w:highlight w:val="none"/>
          <w:lang w:eastAsia="zh-CN"/>
        </w:rPr>
        <w:t>韶山毛泽东同志纪念馆</w:t>
      </w:r>
      <w:r>
        <w:rPr>
          <w:rFonts w:hint="eastAsia" w:cs="黑体" w:asciiTheme="minorEastAsia" w:hAnsiTheme="minorEastAsia"/>
          <w:color w:val="auto"/>
          <w:kern w:val="0"/>
          <w:sz w:val="32"/>
          <w:szCs w:val="32"/>
          <w:highlight w:val="none"/>
        </w:rPr>
        <w:t>”</w:t>
      </w:r>
      <w:r>
        <w:rPr>
          <w:rFonts w:hint="eastAsia" w:cs="黑体" w:asciiTheme="minorEastAsia" w:hAnsiTheme="minorEastAsia"/>
          <w:color w:val="auto"/>
          <w:kern w:val="0"/>
          <w:sz w:val="32"/>
          <w:szCs w:val="32"/>
          <w:highlight w:val="none"/>
          <w:lang w:val="en-US" w:eastAsia="zh-CN"/>
        </w:rPr>
        <w:t>1</w:t>
      </w:r>
      <w:r>
        <w:rPr>
          <w:rFonts w:hint="eastAsia" w:cs="黑体" w:asciiTheme="minorEastAsia" w:hAnsiTheme="minorEastAsia"/>
          <w:color w:val="auto"/>
          <w:kern w:val="0"/>
          <w:sz w:val="32"/>
          <w:szCs w:val="32"/>
          <w:highlight w:val="none"/>
        </w:rPr>
        <w:t>个单位开展整体支出绩效评价，涉及一般公共预算支出</w:t>
      </w:r>
      <w:r>
        <w:rPr>
          <w:rFonts w:hint="eastAsia" w:cs="黑体" w:asciiTheme="minorEastAsia" w:hAnsiTheme="minorEastAsia"/>
          <w:color w:val="auto"/>
          <w:kern w:val="0"/>
          <w:sz w:val="32"/>
          <w:szCs w:val="32"/>
          <w:highlight w:val="none"/>
          <w:lang w:val="en-US" w:eastAsia="zh-CN"/>
        </w:rPr>
        <w:t>5421.66</w:t>
      </w:r>
      <w:r>
        <w:rPr>
          <w:rFonts w:hint="eastAsia" w:cs="黑体" w:asciiTheme="minorEastAsia" w:hAnsiTheme="minorEastAsia"/>
          <w:color w:val="auto"/>
          <w:kern w:val="0"/>
          <w:sz w:val="32"/>
          <w:szCs w:val="32"/>
          <w:highlight w:val="none"/>
        </w:rPr>
        <w:t>万元，政府性基金预算支出</w:t>
      </w:r>
      <w:r>
        <w:rPr>
          <w:rFonts w:hint="eastAsia" w:cs="黑体" w:asciiTheme="minorEastAsia" w:hAnsiTheme="minorEastAsia"/>
          <w:color w:val="auto"/>
          <w:kern w:val="0"/>
          <w:sz w:val="32"/>
          <w:szCs w:val="32"/>
          <w:highlight w:val="none"/>
          <w:lang w:val="en-US" w:eastAsia="zh-CN"/>
        </w:rPr>
        <w:t>0</w:t>
      </w:r>
      <w:r>
        <w:rPr>
          <w:rFonts w:hint="eastAsia" w:cs="黑体" w:asciiTheme="minorEastAsia" w:hAnsiTheme="minorEastAsia"/>
          <w:color w:val="auto"/>
          <w:kern w:val="0"/>
          <w:sz w:val="32"/>
          <w:szCs w:val="32"/>
          <w:highlight w:val="none"/>
        </w:rPr>
        <w:t>万元。从评价情况来看，</w:t>
      </w:r>
      <w:r>
        <w:rPr>
          <w:rFonts w:hint="eastAsia" w:cs="黑体" w:asciiTheme="minorEastAsia" w:hAnsiTheme="minorEastAsia"/>
          <w:color w:val="auto"/>
          <w:kern w:val="0"/>
          <w:sz w:val="32"/>
          <w:szCs w:val="32"/>
          <w:highlight w:val="none"/>
          <w:lang w:val="en-US" w:eastAsia="zh-CN"/>
        </w:rPr>
        <w:t>2021年我馆围绕年初预算确定的绩效目标，积极稳妥地推动各项工作任务的落实，坚持</w:t>
      </w:r>
      <w:r>
        <w:rPr>
          <w:rFonts w:hint="default" w:cs="黑体" w:asciiTheme="minorEastAsia" w:hAnsiTheme="minorEastAsia"/>
          <w:color w:val="auto"/>
          <w:kern w:val="0"/>
          <w:sz w:val="32"/>
          <w:szCs w:val="32"/>
          <w:highlight w:val="none"/>
          <w:lang w:val="en-US" w:eastAsia="zh-CN"/>
        </w:rPr>
        <w:t>政治性、教育性和公益性，与时俱进、抢抓机遇、乘势而上，用心用情用力保护好、管理好、运用好</w:t>
      </w:r>
      <w:r>
        <w:rPr>
          <w:rFonts w:hint="eastAsia" w:cs="黑体" w:asciiTheme="minorEastAsia" w:hAnsiTheme="minorEastAsia"/>
          <w:color w:val="auto"/>
          <w:kern w:val="0"/>
          <w:sz w:val="32"/>
          <w:szCs w:val="32"/>
          <w:highlight w:val="none"/>
          <w:lang w:val="en-US" w:eastAsia="zh-CN"/>
        </w:rPr>
        <w:t>了</w:t>
      </w:r>
      <w:r>
        <w:rPr>
          <w:rFonts w:hint="default" w:cs="黑体" w:asciiTheme="minorEastAsia" w:hAnsiTheme="minorEastAsia"/>
          <w:color w:val="auto"/>
          <w:kern w:val="0"/>
          <w:sz w:val="32"/>
          <w:szCs w:val="32"/>
          <w:highlight w:val="none"/>
          <w:lang w:val="en-US" w:eastAsia="zh-CN"/>
        </w:rPr>
        <w:t>红色资源，进一步抓好</w:t>
      </w:r>
      <w:r>
        <w:rPr>
          <w:rFonts w:hint="eastAsia" w:cs="黑体" w:asciiTheme="minorEastAsia" w:hAnsiTheme="minorEastAsia"/>
          <w:color w:val="auto"/>
          <w:kern w:val="0"/>
          <w:sz w:val="32"/>
          <w:szCs w:val="32"/>
          <w:highlight w:val="none"/>
          <w:lang w:val="en-US" w:eastAsia="zh-CN"/>
        </w:rPr>
        <w:t>了</w:t>
      </w:r>
      <w:r>
        <w:rPr>
          <w:rFonts w:hint="default" w:cs="黑体" w:asciiTheme="minorEastAsia" w:hAnsiTheme="minorEastAsia"/>
          <w:color w:val="auto"/>
          <w:kern w:val="0"/>
          <w:sz w:val="32"/>
          <w:szCs w:val="32"/>
          <w:highlight w:val="none"/>
          <w:lang w:val="en-US" w:eastAsia="zh-CN"/>
        </w:rPr>
        <w:t>文物保护、</w:t>
      </w:r>
      <w:r>
        <w:rPr>
          <w:rFonts w:hint="eastAsia" w:cs="黑体" w:asciiTheme="minorEastAsia" w:hAnsiTheme="minorEastAsia"/>
          <w:color w:val="auto"/>
          <w:kern w:val="0"/>
          <w:sz w:val="32"/>
          <w:szCs w:val="32"/>
          <w:highlight w:val="none"/>
          <w:lang w:val="en-US" w:eastAsia="zh-CN"/>
        </w:rPr>
        <w:t>系统研究、</w:t>
      </w:r>
      <w:r>
        <w:rPr>
          <w:rFonts w:hint="default" w:cs="黑体" w:asciiTheme="minorEastAsia" w:hAnsiTheme="minorEastAsia"/>
          <w:color w:val="auto"/>
          <w:kern w:val="0"/>
          <w:sz w:val="32"/>
          <w:szCs w:val="32"/>
          <w:highlight w:val="none"/>
          <w:lang w:val="en-US" w:eastAsia="zh-CN"/>
        </w:rPr>
        <w:t>陈列展览、宣传教育、文化产业、免费开放管理等工作，进一步发挥好</w:t>
      </w:r>
      <w:r>
        <w:rPr>
          <w:rFonts w:hint="eastAsia" w:cs="黑体" w:asciiTheme="minorEastAsia" w:hAnsiTheme="minorEastAsia"/>
          <w:color w:val="auto"/>
          <w:kern w:val="0"/>
          <w:sz w:val="32"/>
          <w:szCs w:val="32"/>
          <w:highlight w:val="none"/>
          <w:lang w:val="en-US" w:eastAsia="zh-CN"/>
        </w:rPr>
        <w:t>了</w:t>
      </w:r>
      <w:r>
        <w:rPr>
          <w:rFonts w:hint="default" w:cs="黑体" w:asciiTheme="minorEastAsia" w:hAnsiTheme="minorEastAsia"/>
          <w:color w:val="auto"/>
          <w:kern w:val="0"/>
          <w:sz w:val="32"/>
          <w:szCs w:val="32"/>
          <w:highlight w:val="none"/>
          <w:lang w:val="en-US" w:eastAsia="zh-CN"/>
        </w:rPr>
        <w:t>韶山革命纪念地的政治影响，提升</w:t>
      </w:r>
      <w:r>
        <w:rPr>
          <w:rFonts w:hint="eastAsia" w:cs="黑体" w:asciiTheme="minorEastAsia" w:hAnsiTheme="minorEastAsia"/>
          <w:color w:val="auto"/>
          <w:kern w:val="0"/>
          <w:sz w:val="32"/>
          <w:szCs w:val="32"/>
          <w:highlight w:val="none"/>
          <w:lang w:val="en-US" w:eastAsia="zh-CN"/>
        </w:rPr>
        <w:t>了</w:t>
      </w:r>
      <w:r>
        <w:rPr>
          <w:rFonts w:hint="default" w:cs="黑体" w:asciiTheme="minorEastAsia" w:hAnsiTheme="minorEastAsia"/>
          <w:color w:val="auto"/>
          <w:kern w:val="0"/>
          <w:sz w:val="32"/>
          <w:szCs w:val="32"/>
          <w:highlight w:val="none"/>
          <w:lang w:val="en-US" w:eastAsia="zh-CN"/>
        </w:rPr>
        <w:t>社会效益</w:t>
      </w:r>
      <w:r>
        <w:rPr>
          <w:rFonts w:hint="eastAsia" w:cs="黑体" w:asciiTheme="minorEastAsia" w:hAnsiTheme="minorEastAsia"/>
          <w:color w:val="auto"/>
          <w:kern w:val="0"/>
          <w:sz w:val="32"/>
          <w:szCs w:val="32"/>
          <w:highlight w:val="none"/>
          <w:lang w:val="en-US" w:eastAsia="zh-CN"/>
        </w:rPr>
        <w:t>、</w:t>
      </w:r>
      <w:r>
        <w:rPr>
          <w:rFonts w:hint="default" w:cs="黑体" w:asciiTheme="minorEastAsia" w:hAnsiTheme="minorEastAsia"/>
          <w:color w:val="auto"/>
          <w:kern w:val="0"/>
          <w:sz w:val="32"/>
          <w:szCs w:val="32"/>
          <w:highlight w:val="none"/>
          <w:lang w:val="en-US" w:eastAsia="zh-CN"/>
        </w:rPr>
        <w:t>经济效益</w:t>
      </w:r>
      <w:r>
        <w:rPr>
          <w:rFonts w:hint="eastAsia" w:cs="黑体" w:asciiTheme="minorEastAsia" w:hAnsiTheme="minorEastAsia"/>
          <w:color w:val="auto"/>
          <w:kern w:val="0"/>
          <w:sz w:val="32"/>
          <w:szCs w:val="32"/>
          <w:highlight w:val="none"/>
          <w:lang w:val="en-US" w:eastAsia="zh-CN"/>
        </w:rPr>
        <w:t>、生态效益、可持续发展能力和服务对象满意度。</w:t>
      </w:r>
    </w:p>
    <w:p>
      <w:pPr>
        <w:autoSpaceDE w:val="0"/>
        <w:autoSpaceDN w:val="0"/>
        <w:adjustRightInd w:val="0"/>
        <w:ind w:firstLine="640" w:firstLineChars="200"/>
        <w:jc w:val="left"/>
        <w:rPr>
          <w:rFonts w:cs="黑体" w:asciiTheme="minorEastAsia" w:hAnsiTheme="minorEastAsia"/>
          <w:b/>
          <w:color w:val="auto"/>
          <w:kern w:val="0"/>
          <w:sz w:val="32"/>
          <w:szCs w:val="32"/>
          <w:highlight w:val="none"/>
        </w:rPr>
      </w:pPr>
      <w:r>
        <w:rPr>
          <w:rFonts w:hint="eastAsia" w:cs="黑体" w:asciiTheme="minorEastAsia" w:hAnsiTheme="minorEastAsia"/>
          <w:b/>
          <w:color w:val="auto"/>
          <w:kern w:val="0"/>
          <w:sz w:val="32"/>
          <w:szCs w:val="32"/>
          <w:highlight w:val="none"/>
        </w:rPr>
        <w:t>（2）部门决算中项目绩效自评结果（如有）。</w:t>
      </w:r>
    </w:p>
    <w:p>
      <w:pPr>
        <w:autoSpaceDE w:val="0"/>
        <w:autoSpaceDN w:val="0"/>
        <w:adjustRightInd w:val="0"/>
        <w:ind w:firstLine="640" w:firstLineChars="200"/>
        <w:jc w:val="left"/>
        <w:rPr>
          <w:rFonts w:hint="eastAsia" w:cs="黑体" w:asciiTheme="minorEastAsia" w:hAnsiTheme="minorEastAsia"/>
          <w:color w:val="auto"/>
          <w:kern w:val="0"/>
          <w:sz w:val="32"/>
          <w:szCs w:val="32"/>
          <w:highlight w:val="none"/>
          <w:lang w:val="en-US" w:eastAsia="zh-CN"/>
        </w:rPr>
      </w:pPr>
      <w:r>
        <w:rPr>
          <w:rFonts w:hint="eastAsia" w:cs="黑体" w:asciiTheme="minorEastAsia" w:hAnsiTheme="minorEastAsia"/>
          <w:color w:val="auto"/>
          <w:kern w:val="0"/>
          <w:sz w:val="32"/>
          <w:szCs w:val="32"/>
          <w:highlight w:val="none"/>
          <w:lang w:val="en-US" w:eastAsia="zh-CN"/>
        </w:rPr>
        <w:t>项目绩效自评综述：根据年初设定的绩效目标，项目绩效自评得分为97.63分。项目全年预算数为7202.46万元，执行数为5421.66万元，完成预算的75.28%。项目绩效目标完成情况：一是产出指标得分50分，二是效益指标30分，三是满意度指标10分，均符合项目要求。发现的主要问题及原因：我馆存在部分项目支出进度较慢、项目资金结转较多的现象。财政资金年末结转较多，多半部分为我馆不可控因素造成：一是受疫情影响相关工作无法正常推进；二是拨款时间影响，财政年底拨入的资金，单位无法当年使用；三是项目实施合同约定的付款方式和付款进度影响财政项目资金支付进度，项目实施除了实施前预付部分资金外，实施期间资金付款进度一般都慢于项目实施进度，且为保证项目质量，部分资金待完成验收合格，再支付剩余资金。下一步改进措施：在确保项目质量的前提下，加快项目资金支付进度，顺利完成年度支付任务。</w:t>
      </w:r>
    </w:p>
    <w:p>
      <w:pPr>
        <w:autoSpaceDE w:val="0"/>
        <w:autoSpaceDN w:val="0"/>
        <w:adjustRightInd w:val="0"/>
        <w:ind w:firstLine="640" w:firstLineChars="200"/>
        <w:jc w:val="left"/>
        <w:rPr>
          <w:rFonts w:cs="黑体" w:asciiTheme="minorEastAsia" w:hAnsiTheme="minorEastAsia"/>
          <w:color w:val="auto"/>
          <w:kern w:val="0"/>
          <w:sz w:val="32"/>
          <w:szCs w:val="32"/>
          <w:highlight w:val="none"/>
        </w:rPr>
      </w:pPr>
      <w:r>
        <w:rPr>
          <w:rFonts w:hint="eastAsia" w:cs="黑体" w:asciiTheme="minorEastAsia" w:hAnsiTheme="minorEastAsia"/>
          <w:b/>
          <w:color w:val="auto"/>
          <w:kern w:val="0"/>
          <w:sz w:val="32"/>
          <w:szCs w:val="32"/>
          <w:highlight w:val="none"/>
        </w:rPr>
        <w:t>（</w:t>
      </w:r>
      <w:r>
        <w:rPr>
          <w:rFonts w:cs="黑体" w:asciiTheme="minorEastAsia" w:hAnsiTheme="minorEastAsia"/>
          <w:b/>
          <w:color w:val="auto"/>
          <w:kern w:val="0"/>
          <w:sz w:val="32"/>
          <w:szCs w:val="32"/>
          <w:highlight w:val="none"/>
        </w:rPr>
        <w:t>3</w:t>
      </w:r>
      <w:r>
        <w:rPr>
          <w:rFonts w:hint="eastAsia" w:cs="黑体" w:asciiTheme="minorEastAsia" w:hAnsiTheme="minorEastAsia"/>
          <w:b/>
          <w:color w:val="auto"/>
          <w:kern w:val="0"/>
          <w:sz w:val="32"/>
          <w:szCs w:val="32"/>
          <w:highlight w:val="none"/>
        </w:rPr>
        <w:t>）部门评价项目绩效评价结果。</w:t>
      </w:r>
    </w:p>
    <w:p>
      <w:pPr>
        <w:autoSpaceDE w:val="0"/>
        <w:autoSpaceDN w:val="0"/>
        <w:adjustRightInd w:val="0"/>
        <w:ind w:firstLine="640" w:firstLineChars="200"/>
        <w:jc w:val="left"/>
        <w:rPr>
          <w:rFonts w:hint="eastAsia" w:cs="黑体" w:asciiTheme="minorEastAsia" w:hAnsiTheme="minorEastAsia"/>
          <w:color w:val="auto"/>
          <w:kern w:val="0"/>
          <w:sz w:val="32"/>
          <w:szCs w:val="32"/>
          <w:highlight w:val="none"/>
          <w:lang w:val="en-US" w:eastAsia="zh-CN"/>
        </w:rPr>
      </w:pPr>
      <w:r>
        <w:rPr>
          <w:rFonts w:hint="eastAsia" w:cs="黑体" w:asciiTheme="minorEastAsia" w:hAnsiTheme="minorEastAsia"/>
          <w:color w:val="auto"/>
          <w:kern w:val="0"/>
          <w:sz w:val="32"/>
          <w:szCs w:val="32"/>
          <w:highlight w:val="none"/>
          <w:lang w:val="en-US" w:eastAsia="zh-CN"/>
        </w:rPr>
        <w:t>我部门评价项目数7个，已向社会公开。</w:t>
      </w:r>
    </w:p>
    <w:p>
      <w:pPr>
        <w:pStyle w:val="10"/>
        <w:jc w:val="center"/>
        <w:rPr>
          <w:sz w:val="72"/>
          <w:szCs w:val="72"/>
        </w:rPr>
      </w:pPr>
    </w:p>
    <w:p>
      <w:pPr>
        <w:pStyle w:val="10"/>
        <w:jc w:val="both"/>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1.财政拨款收入：指单位从同级财政部门取得的财政预算资金。</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2.事业收入：指事业单位开展专业业务活动及辅助活动取得的收入。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3.经营收入：指事业单位在专业业务活动及其辅助活动之外开展非独立核算经营活动取得的收入。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4.其他收入：指单位取得的除上述收入以外的各项收入。如捐赠收入、利息收入等。</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5.年初结转和结余：指单位以前年度尚未完成、结转到本年按有关规定继续使用的资金。</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6.年末结转和结余：指本年度或以前年度预算安排、因客观条件发生变化无法按原计划实施，需延迟到以后年度按有关规定继续使用的资金。</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7.用事业基金弥补收支差额：指事业单位在当年的“财政拨款收入”、“事业收入”、“经营收入”和“其他收入”不足以安排当年支出的情况下，使用以前年度积累的事业基金(即事业单位以前各年度收支相抵后，按国家规定提取、用于弥补以后年度收支差额的基金)弥补本年收支缺口的资金。</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8.基本支出：指为保障机构正常运转、完成日常工作任务而发生的人员支出和公用支出。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9.项目支出：指在基本支出之外，为完成特定行政任务和事业发展目标所发生的支出。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10.机关运行经费：指各部门的公用经费，包括办公及印刷费、邮电费、差旅费、会议费、福利费、日常维修费、专用资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11.“三公”经费：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　</w:t>
      </w:r>
    </w:p>
    <w:p>
      <w:pPr>
        <w:pStyle w:val="10"/>
        <w:jc w:val="center"/>
        <w:rPr>
          <w:sz w:val="72"/>
          <w:szCs w:val="72"/>
        </w:rPr>
      </w:pPr>
    </w:p>
    <w:p>
      <w:pPr>
        <w:pStyle w:val="10"/>
        <w:jc w:val="center"/>
        <w:rPr>
          <w:sz w:val="72"/>
          <w:szCs w:val="72"/>
        </w:rPr>
      </w:pPr>
    </w:p>
    <w:p>
      <w:pPr>
        <w:pStyle w:val="10"/>
        <w:jc w:val="both"/>
        <w:rPr>
          <w:sz w:val="72"/>
          <w:szCs w:val="72"/>
        </w:rPr>
      </w:pPr>
    </w:p>
    <w:p>
      <w:pPr>
        <w:pStyle w:val="10"/>
        <w:jc w:val="both"/>
        <w:rPr>
          <w:sz w:val="72"/>
          <w:szCs w:val="72"/>
        </w:rPr>
      </w:pPr>
    </w:p>
    <w:p>
      <w:pPr>
        <w:pStyle w:val="10"/>
        <w:jc w:val="both"/>
        <w:rPr>
          <w:sz w:val="72"/>
          <w:szCs w:val="72"/>
        </w:rPr>
      </w:pPr>
    </w:p>
    <w:p>
      <w:pPr>
        <w:pStyle w:val="10"/>
        <w:jc w:val="both"/>
        <w:rPr>
          <w:sz w:val="72"/>
          <w:szCs w:val="72"/>
        </w:rPr>
      </w:pPr>
    </w:p>
    <w:p>
      <w:pPr>
        <w:pStyle w:val="10"/>
        <w:jc w:val="both"/>
        <w:rPr>
          <w:sz w:val="72"/>
          <w:szCs w:val="72"/>
        </w:rPr>
      </w:pPr>
    </w:p>
    <w:p>
      <w:pPr>
        <w:pStyle w:val="10"/>
        <w:jc w:val="both"/>
        <w:rPr>
          <w:sz w:val="72"/>
          <w:szCs w:val="72"/>
        </w:rPr>
      </w:pPr>
    </w:p>
    <w:p>
      <w:pPr>
        <w:pStyle w:val="10"/>
        <w:jc w:val="both"/>
        <w:rPr>
          <w:sz w:val="72"/>
          <w:szCs w:val="72"/>
        </w:rPr>
      </w:pPr>
    </w:p>
    <w:p>
      <w:pPr>
        <w:pStyle w:val="10"/>
        <w:jc w:val="both"/>
        <w:rPr>
          <w:sz w:val="72"/>
          <w:szCs w:val="72"/>
        </w:rPr>
      </w:pPr>
    </w:p>
    <w:p>
      <w:pPr>
        <w:pStyle w:val="10"/>
        <w:jc w:val="both"/>
        <w:rPr>
          <w:sz w:val="72"/>
          <w:szCs w:val="72"/>
        </w:rPr>
      </w:pPr>
    </w:p>
    <w:p>
      <w:pPr>
        <w:pStyle w:val="10"/>
        <w:jc w:val="both"/>
        <w:rPr>
          <w:sz w:val="72"/>
          <w:szCs w:val="72"/>
        </w:rPr>
      </w:pPr>
    </w:p>
    <w:p>
      <w:pPr>
        <w:pStyle w:val="10"/>
        <w:jc w:val="both"/>
        <w:rPr>
          <w:sz w:val="72"/>
          <w:szCs w:val="72"/>
        </w:rPr>
      </w:pPr>
    </w:p>
    <w:p>
      <w:pPr>
        <w:pStyle w:val="10"/>
        <w:jc w:val="both"/>
        <w:rPr>
          <w:sz w:val="72"/>
          <w:szCs w:val="72"/>
        </w:rPr>
      </w:pPr>
    </w:p>
    <w:p>
      <w:pPr>
        <w:pStyle w:val="10"/>
        <w:jc w:val="both"/>
        <w:rPr>
          <w:sz w:val="72"/>
          <w:szCs w:val="72"/>
        </w:rPr>
      </w:pPr>
    </w:p>
    <w:p>
      <w:pPr>
        <w:pStyle w:val="10"/>
        <w:jc w:val="center"/>
        <w:rPr>
          <w:sz w:val="72"/>
          <w:szCs w:val="72"/>
        </w:rPr>
      </w:pPr>
    </w:p>
    <w:p>
      <w:pPr>
        <w:pStyle w:val="10"/>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2021年度部门整体支出绩效评价报告</w:t>
      </w:r>
    </w:p>
    <w:p>
      <w:pPr>
        <w:ind w:firstLine="640" w:firstLineChars="200"/>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t>………</w:t>
      </w: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37DD9"/>
    <w:multiLevelType w:val="singleLevel"/>
    <w:tmpl w:val="5C337DD9"/>
    <w:lvl w:ilvl="0" w:tentative="0">
      <w:start w:val="3"/>
      <w:numFmt w:val="decimal"/>
      <w:suff w:val="nothing"/>
      <w:lvlText w:val="%1、"/>
      <w:lvlJc w:val="left"/>
      <w:pPr>
        <w:ind w:left="-1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NTMzOTU1M2QwYWE3ZDAxYmZiMjMzMmRkNGE4NDY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1F644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4193873"/>
    <w:rsid w:val="05AE26A4"/>
    <w:rsid w:val="066B2B27"/>
    <w:rsid w:val="07B948E4"/>
    <w:rsid w:val="0CCC558F"/>
    <w:rsid w:val="137D21EB"/>
    <w:rsid w:val="17CC4CC8"/>
    <w:rsid w:val="1C961314"/>
    <w:rsid w:val="221D6674"/>
    <w:rsid w:val="22A61917"/>
    <w:rsid w:val="24D819EC"/>
    <w:rsid w:val="29A611D2"/>
    <w:rsid w:val="2B4B225E"/>
    <w:rsid w:val="2DBD5630"/>
    <w:rsid w:val="35442549"/>
    <w:rsid w:val="37A32BD6"/>
    <w:rsid w:val="448A11FB"/>
    <w:rsid w:val="4CE274F3"/>
    <w:rsid w:val="4CEE5812"/>
    <w:rsid w:val="52A923D0"/>
    <w:rsid w:val="59F25A68"/>
    <w:rsid w:val="60CE0D60"/>
    <w:rsid w:val="622812EE"/>
    <w:rsid w:val="64906AA2"/>
    <w:rsid w:val="65CD0D2C"/>
    <w:rsid w:val="683B3C97"/>
    <w:rsid w:val="68BC105B"/>
    <w:rsid w:val="69175753"/>
    <w:rsid w:val="6D3E7C18"/>
    <w:rsid w:val="730A6553"/>
    <w:rsid w:val="7D080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7938</Words>
  <Characters>10013</Characters>
  <Lines>69</Lines>
  <Paragraphs>19</Paragraphs>
  <TotalTime>7</TotalTime>
  <ScaleCrop>false</ScaleCrop>
  <LinksUpToDate>false</LinksUpToDate>
  <CharactersWithSpaces>11216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睿妹</cp:lastModifiedBy>
  <cp:lastPrinted>2022-09-09T08:51:00Z</cp:lastPrinted>
  <dcterms:modified xsi:type="dcterms:W3CDTF">2022-09-14T01:23:39Z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C54F7932045C425BB6C4EA797AC01D00</vt:lpwstr>
  </property>
</Properties>
</file>