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598" w:lineRule="exact"/>
        <w:textAlignment w:val="auto"/>
        <w:rPr>
          <w:rFonts w:ascii="Times New Roman" w:hAnsi="Times New Roman" w:eastAsia="黑体" w:cs="Times New Roman"/>
          <w:sz w:val="32"/>
          <w:szCs w:val="32"/>
        </w:rPr>
      </w:pPr>
      <w:r>
        <w:rPr>
          <w:rFonts w:ascii="Times New Roman" w:hAnsi="Times New Roman" w:eastAsia="黑体" w:cs="Times New Roman"/>
          <w:sz w:val="32"/>
          <w:szCs w:val="32"/>
        </w:rPr>
        <w:t>附件4</w:t>
      </w:r>
    </w:p>
    <w:p>
      <w:pPr>
        <w:keepNext w:val="0"/>
        <w:keepLines w:val="0"/>
        <w:pageBreakBefore w:val="0"/>
        <w:kinsoku/>
        <w:wordWrap/>
        <w:overflowPunct/>
        <w:topLinePunct w:val="0"/>
        <w:autoSpaceDE/>
        <w:autoSpaceDN/>
        <w:bidi w:val="0"/>
        <w:spacing w:line="598" w:lineRule="exact"/>
        <w:textAlignment w:val="auto"/>
        <w:rPr>
          <w:rFonts w:ascii="Times New Roman" w:hAnsi="Times New Roman" w:eastAsia="黑体" w:cs="Times New Roman"/>
          <w:sz w:val="32"/>
          <w:szCs w:val="32"/>
        </w:rPr>
      </w:pPr>
    </w:p>
    <w:p>
      <w:pPr>
        <w:keepNext w:val="0"/>
        <w:keepLines w:val="0"/>
        <w:pageBreakBefore w:val="0"/>
        <w:kinsoku/>
        <w:wordWrap/>
        <w:overflowPunct/>
        <w:topLinePunct w:val="0"/>
        <w:autoSpaceDE/>
        <w:autoSpaceDN/>
        <w:bidi w:val="0"/>
        <w:spacing w:line="598" w:lineRule="exact"/>
        <w:textAlignment w:val="auto"/>
        <w:rPr>
          <w:rFonts w:ascii="Times New Roman" w:hAnsi="Times New Roman" w:eastAsia="黑体" w:cs="Times New Roman"/>
          <w:sz w:val="32"/>
          <w:szCs w:val="32"/>
        </w:rPr>
      </w:pPr>
    </w:p>
    <w:p>
      <w:pPr>
        <w:keepNext w:val="0"/>
        <w:keepLines w:val="0"/>
        <w:pageBreakBefore w:val="0"/>
        <w:kinsoku/>
        <w:wordWrap/>
        <w:overflowPunct/>
        <w:topLinePunct w:val="0"/>
        <w:autoSpaceDE/>
        <w:autoSpaceDN/>
        <w:bidi w:val="0"/>
        <w:spacing w:line="598" w:lineRule="exact"/>
        <w:textAlignment w:val="auto"/>
        <w:rPr>
          <w:rFonts w:ascii="Times New Roman" w:hAnsi="Times New Roman" w:eastAsia="黑体" w:cs="Times New Roman"/>
          <w:sz w:val="32"/>
          <w:szCs w:val="32"/>
        </w:rPr>
      </w:pPr>
    </w:p>
    <w:p>
      <w:pPr>
        <w:keepNext w:val="0"/>
        <w:keepLines w:val="0"/>
        <w:pageBreakBefore w:val="0"/>
        <w:kinsoku/>
        <w:wordWrap/>
        <w:overflowPunct/>
        <w:topLinePunct w:val="0"/>
        <w:autoSpaceDE/>
        <w:autoSpaceDN/>
        <w:bidi w:val="0"/>
        <w:spacing w:line="598" w:lineRule="exact"/>
        <w:textAlignment w:val="auto"/>
        <w:rPr>
          <w:rFonts w:ascii="Times New Roman" w:hAnsi="Times New Roman" w:eastAsia="黑体" w:cs="Times New Roman"/>
          <w:sz w:val="32"/>
          <w:szCs w:val="32"/>
        </w:rPr>
      </w:pPr>
    </w:p>
    <w:p>
      <w:pPr>
        <w:keepNext w:val="0"/>
        <w:keepLines w:val="0"/>
        <w:pageBreakBefore w:val="0"/>
        <w:kinsoku/>
        <w:wordWrap/>
        <w:overflowPunct/>
        <w:topLinePunct w:val="0"/>
        <w:autoSpaceDE/>
        <w:autoSpaceDN/>
        <w:bidi w:val="0"/>
        <w:spacing w:line="598" w:lineRule="exact"/>
        <w:jc w:val="center"/>
        <w:textAlignment w:val="auto"/>
        <w:rPr>
          <w:rFonts w:hint="eastAsia" w:ascii="Times New Roman" w:hAnsi="Times New Roman" w:eastAsia="方正小标宋_GBK" w:cs="Times New Roman"/>
          <w:sz w:val="52"/>
          <w:szCs w:val="52"/>
          <w:lang w:eastAsia="zh-CN"/>
        </w:rPr>
      </w:pPr>
      <w:r>
        <w:rPr>
          <w:rFonts w:ascii="Times New Roman" w:hAnsi="Times New Roman" w:eastAsia="方正小标宋_GBK" w:cs="Times New Roman"/>
          <w:sz w:val="52"/>
          <w:szCs w:val="52"/>
        </w:rPr>
        <w:t>2021年度</w:t>
      </w:r>
      <w:r>
        <w:rPr>
          <w:rFonts w:hint="eastAsia" w:ascii="Times New Roman" w:hAnsi="Times New Roman" w:eastAsia="方正小标宋_GBK" w:cs="Times New Roman"/>
          <w:sz w:val="52"/>
          <w:szCs w:val="52"/>
          <w:lang w:eastAsia="zh-CN"/>
        </w:rPr>
        <w:t>韶山毛泽东同志纪念馆</w:t>
      </w:r>
    </w:p>
    <w:p>
      <w:pPr>
        <w:keepNext w:val="0"/>
        <w:keepLines w:val="0"/>
        <w:pageBreakBefore w:val="0"/>
        <w:kinsoku/>
        <w:wordWrap/>
        <w:overflowPunct/>
        <w:topLinePunct w:val="0"/>
        <w:autoSpaceDE/>
        <w:autoSpaceDN/>
        <w:bidi w:val="0"/>
        <w:spacing w:line="598" w:lineRule="exact"/>
        <w:jc w:val="center"/>
        <w:textAlignment w:val="auto"/>
        <w:rPr>
          <w:rFonts w:ascii="Times New Roman" w:hAnsi="Times New Roman" w:eastAsia="方正小标宋_GBK" w:cs="Times New Roman"/>
          <w:sz w:val="52"/>
          <w:szCs w:val="52"/>
        </w:rPr>
      </w:pPr>
      <w:r>
        <w:rPr>
          <w:rFonts w:ascii="Times New Roman" w:hAnsi="Times New Roman" w:eastAsia="方正小标宋_GBK" w:cs="Times New Roman"/>
          <w:sz w:val="52"/>
          <w:szCs w:val="52"/>
        </w:rPr>
        <w:t>整体支出绩效自评报告</w:t>
      </w:r>
    </w:p>
    <w:p>
      <w:pPr>
        <w:keepNext w:val="0"/>
        <w:keepLines w:val="0"/>
        <w:pageBreakBefore w:val="0"/>
        <w:kinsoku/>
        <w:wordWrap/>
        <w:overflowPunct/>
        <w:topLinePunct w:val="0"/>
        <w:autoSpaceDE/>
        <w:autoSpaceDN/>
        <w:bidi w:val="0"/>
        <w:spacing w:line="598" w:lineRule="exact"/>
        <w:jc w:val="center"/>
        <w:textAlignment w:val="auto"/>
        <w:rPr>
          <w:rFonts w:ascii="Times New Roman" w:hAnsi="Times New Roman" w:eastAsia="方正小标宋_GBK" w:cs="Times New Roman"/>
          <w:b/>
          <w:sz w:val="52"/>
          <w:szCs w:val="52"/>
        </w:rPr>
      </w:pPr>
    </w:p>
    <w:p>
      <w:pPr>
        <w:keepNext w:val="0"/>
        <w:keepLines w:val="0"/>
        <w:pageBreakBefore w:val="0"/>
        <w:kinsoku/>
        <w:wordWrap/>
        <w:overflowPunct/>
        <w:topLinePunct w:val="0"/>
        <w:autoSpaceDE/>
        <w:autoSpaceDN/>
        <w:bidi w:val="0"/>
        <w:spacing w:line="598" w:lineRule="exact"/>
        <w:jc w:val="both"/>
        <w:textAlignment w:val="auto"/>
        <w:rPr>
          <w:rFonts w:ascii="Times New Roman" w:hAnsi="Times New Roman" w:eastAsia="黑体" w:cs="Times New Roman"/>
          <w:sz w:val="32"/>
          <w:szCs w:val="32"/>
        </w:rPr>
      </w:pPr>
    </w:p>
    <w:p>
      <w:pPr>
        <w:keepNext w:val="0"/>
        <w:keepLines w:val="0"/>
        <w:pageBreakBefore w:val="0"/>
        <w:kinsoku/>
        <w:wordWrap/>
        <w:overflowPunct/>
        <w:topLinePunct w:val="0"/>
        <w:autoSpaceDE/>
        <w:autoSpaceDN/>
        <w:bidi w:val="0"/>
        <w:spacing w:line="598" w:lineRule="exact"/>
        <w:jc w:val="center"/>
        <w:textAlignment w:val="auto"/>
        <w:rPr>
          <w:rFonts w:ascii="Times New Roman" w:hAnsi="Times New Roman" w:eastAsia="黑体" w:cs="Times New Roman"/>
          <w:sz w:val="32"/>
          <w:szCs w:val="32"/>
        </w:rPr>
      </w:pPr>
    </w:p>
    <w:p>
      <w:pPr>
        <w:keepNext w:val="0"/>
        <w:keepLines w:val="0"/>
        <w:pageBreakBefore w:val="0"/>
        <w:kinsoku/>
        <w:wordWrap/>
        <w:overflowPunct/>
        <w:topLinePunct w:val="0"/>
        <w:autoSpaceDE/>
        <w:autoSpaceDN/>
        <w:bidi w:val="0"/>
        <w:spacing w:line="598" w:lineRule="exact"/>
        <w:jc w:val="center"/>
        <w:textAlignment w:val="auto"/>
        <w:rPr>
          <w:rFonts w:ascii="Times New Roman" w:hAnsi="Times New Roman" w:eastAsia="黑体" w:cs="Times New Roman"/>
          <w:sz w:val="32"/>
          <w:szCs w:val="32"/>
        </w:rPr>
      </w:pPr>
    </w:p>
    <w:p>
      <w:pPr>
        <w:keepNext w:val="0"/>
        <w:keepLines w:val="0"/>
        <w:pageBreakBefore w:val="0"/>
        <w:kinsoku/>
        <w:wordWrap/>
        <w:overflowPunct/>
        <w:topLinePunct w:val="0"/>
        <w:autoSpaceDE/>
        <w:autoSpaceDN/>
        <w:bidi w:val="0"/>
        <w:spacing w:line="598" w:lineRule="exact"/>
        <w:jc w:val="center"/>
        <w:textAlignment w:val="auto"/>
        <w:rPr>
          <w:rFonts w:ascii="Times New Roman" w:hAnsi="Times New Roman" w:eastAsia="黑体" w:cs="Times New Roman"/>
          <w:sz w:val="32"/>
          <w:szCs w:val="32"/>
        </w:rPr>
      </w:pPr>
    </w:p>
    <w:p>
      <w:pPr>
        <w:keepNext w:val="0"/>
        <w:keepLines w:val="0"/>
        <w:pageBreakBefore w:val="0"/>
        <w:kinsoku/>
        <w:wordWrap/>
        <w:overflowPunct/>
        <w:topLinePunct w:val="0"/>
        <w:autoSpaceDE/>
        <w:autoSpaceDN/>
        <w:bidi w:val="0"/>
        <w:spacing w:line="598" w:lineRule="exact"/>
        <w:jc w:val="center"/>
        <w:textAlignment w:val="auto"/>
        <w:rPr>
          <w:rFonts w:ascii="Times New Roman" w:hAnsi="Times New Roman" w:eastAsia="黑体" w:cs="Times New Roman"/>
          <w:sz w:val="32"/>
          <w:szCs w:val="32"/>
        </w:rPr>
      </w:pPr>
    </w:p>
    <w:p>
      <w:pPr>
        <w:keepNext w:val="0"/>
        <w:keepLines w:val="0"/>
        <w:pageBreakBefore w:val="0"/>
        <w:kinsoku/>
        <w:wordWrap/>
        <w:overflowPunct/>
        <w:topLinePunct w:val="0"/>
        <w:autoSpaceDE/>
        <w:autoSpaceDN/>
        <w:bidi w:val="0"/>
        <w:spacing w:line="598" w:lineRule="exact"/>
        <w:jc w:val="center"/>
        <w:textAlignment w:val="auto"/>
        <w:rPr>
          <w:rFonts w:ascii="Times New Roman" w:hAnsi="Times New Roman" w:eastAsia="黑体" w:cs="Times New Roman"/>
          <w:sz w:val="32"/>
          <w:szCs w:val="32"/>
        </w:rPr>
      </w:pPr>
    </w:p>
    <w:p>
      <w:pPr>
        <w:keepNext w:val="0"/>
        <w:keepLines w:val="0"/>
        <w:pageBreakBefore w:val="0"/>
        <w:kinsoku/>
        <w:wordWrap/>
        <w:overflowPunct/>
        <w:topLinePunct w:val="0"/>
        <w:autoSpaceDE/>
        <w:autoSpaceDN/>
        <w:bidi w:val="0"/>
        <w:spacing w:line="598" w:lineRule="exact"/>
        <w:jc w:val="center"/>
        <w:textAlignment w:val="auto"/>
        <w:rPr>
          <w:rFonts w:ascii="Times New Roman" w:hAnsi="Times New Roman" w:eastAsia="黑体" w:cs="Times New Roman"/>
          <w:sz w:val="32"/>
          <w:szCs w:val="32"/>
        </w:rPr>
      </w:pPr>
    </w:p>
    <w:p>
      <w:pPr>
        <w:keepNext w:val="0"/>
        <w:keepLines w:val="0"/>
        <w:pageBreakBefore w:val="0"/>
        <w:kinsoku/>
        <w:wordWrap/>
        <w:overflowPunct/>
        <w:topLinePunct w:val="0"/>
        <w:autoSpaceDE/>
        <w:autoSpaceDN/>
        <w:bidi w:val="0"/>
        <w:spacing w:line="598" w:lineRule="exact"/>
        <w:jc w:val="center"/>
        <w:textAlignment w:val="auto"/>
        <w:rPr>
          <w:rFonts w:ascii="Times New Roman" w:hAnsi="Times New Roman" w:eastAsia="黑体" w:cs="Times New Roman"/>
          <w:sz w:val="32"/>
          <w:szCs w:val="32"/>
        </w:rPr>
      </w:pPr>
    </w:p>
    <w:p>
      <w:pPr>
        <w:keepNext w:val="0"/>
        <w:keepLines w:val="0"/>
        <w:pageBreakBefore w:val="0"/>
        <w:kinsoku/>
        <w:wordWrap/>
        <w:overflowPunct/>
        <w:topLinePunct w:val="0"/>
        <w:autoSpaceDE/>
        <w:autoSpaceDN/>
        <w:bidi w:val="0"/>
        <w:spacing w:line="598" w:lineRule="exact"/>
        <w:jc w:val="center"/>
        <w:textAlignment w:val="auto"/>
        <w:rPr>
          <w:rFonts w:ascii="Times New Roman" w:hAnsi="Times New Roman" w:eastAsia="黑体" w:cs="Times New Roman"/>
          <w:sz w:val="32"/>
          <w:szCs w:val="32"/>
        </w:rPr>
      </w:pPr>
    </w:p>
    <w:p>
      <w:pPr>
        <w:keepNext w:val="0"/>
        <w:keepLines w:val="0"/>
        <w:pageBreakBefore w:val="0"/>
        <w:kinsoku/>
        <w:wordWrap/>
        <w:overflowPunct/>
        <w:topLinePunct w:val="0"/>
        <w:autoSpaceDE/>
        <w:autoSpaceDN/>
        <w:bidi w:val="0"/>
        <w:spacing w:line="598" w:lineRule="exact"/>
        <w:ind w:firstLine="1920" w:firstLineChars="600"/>
        <w:textAlignment w:val="auto"/>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单位名称：</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eastAsia="zh-CN"/>
        </w:rPr>
        <w:t>韶山毛泽东同志纪念馆</w:t>
      </w:r>
      <w:r>
        <w:rPr>
          <w:rFonts w:ascii="Times New Roman" w:hAnsi="Times New Roman" w:eastAsia="仿宋_GB2312" w:cs="Times New Roman"/>
          <w:sz w:val="32"/>
          <w:szCs w:val="32"/>
          <w:u w:val="single"/>
        </w:rPr>
        <w:t xml:space="preserve"> </w:t>
      </w:r>
    </w:p>
    <w:p>
      <w:pPr>
        <w:keepNext w:val="0"/>
        <w:keepLines w:val="0"/>
        <w:pageBreakBefore w:val="0"/>
        <w:kinsoku/>
        <w:wordWrap/>
        <w:overflowPunct/>
        <w:topLinePunct w:val="0"/>
        <w:autoSpaceDE/>
        <w:autoSpaceDN/>
        <w:bidi w:val="0"/>
        <w:spacing w:line="598" w:lineRule="exact"/>
        <w:ind w:firstLine="3200" w:firstLineChars="1000"/>
        <w:textAlignment w:val="auto"/>
        <w:rPr>
          <w:rFonts w:ascii="Times New Roman" w:hAnsi="Times New Roman" w:eastAsia="楷体_GB2312" w:cs="Times New Roman"/>
          <w:sz w:val="32"/>
          <w:szCs w:val="32"/>
        </w:rPr>
      </w:pPr>
      <w:r>
        <w:rPr>
          <w:rFonts w:hint="eastAsia" w:ascii="Times New Roman" w:hAnsi="Times New Roman" w:eastAsia="楷体_GB2312" w:cs="Times New Roman"/>
          <w:sz w:val="32"/>
          <w:szCs w:val="32"/>
          <w:lang w:val="en-US" w:eastAsia="zh-CN"/>
        </w:rPr>
        <w:t>2022</w:t>
      </w:r>
      <w:r>
        <w:rPr>
          <w:rFonts w:ascii="Times New Roman" w:hAnsi="Times New Roman" w:eastAsia="楷体_GB2312" w:cs="Times New Roman"/>
          <w:sz w:val="32"/>
          <w:szCs w:val="32"/>
        </w:rPr>
        <w:t>年</w:t>
      </w:r>
      <w:r>
        <w:rPr>
          <w:rFonts w:hint="eastAsia" w:ascii="Times New Roman" w:hAnsi="Times New Roman" w:eastAsia="楷体_GB2312" w:cs="Times New Roman"/>
          <w:sz w:val="32"/>
          <w:szCs w:val="32"/>
          <w:lang w:val="en-US" w:eastAsia="zh-CN"/>
        </w:rPr>
        <w:t>04</w:t>
      </w:r>
      <w:r>
        <w:rPr>
          <w:rFonts w:ascii="Times New Roman" w:hAnsi="Times New Roman" w:eastAsia="楷体_GB2312" w:cs="Times New Roman"/>
          <w:sz w:val="32"/>
          <w:szCs w:val="32"/>
        </w:rPr>
        <w:t>月</w:t>
      </w:r>
      <w:r>
        <w:rPr>
          <w:rFonts w:hint="eastAsia" w:ascii="Times New Roman" w:hAnsi="Times New Roman" w:eastAsia="楷体_GB2312" w:cs="Times New Roman"/>
          <w:sz w:val="32"/>
          <w:szCs w:val="32"/>
          <w:lang w:val="en-US" w:eastAsia="zh-CN"/>
        </w:rPr>
        <w:t>24</w:t>
      </w:r>
      <w:r>
        <w:rPr>
          <w:rFonts w:ascii="Times New Roman" w:hAnsi="Times New Roman" w:eastAsia="楷体_GB2312" w:cs="Times New Roman"/>
          <w:sz w:val="32"/>
          <w:szCs w:val="32"/>
        </w:rPr>
        <w:t>日</w:t>
      </w:r>
    </w:p>
    <w:p>
      <w:pPr>
        <w:keepNext w:val="0"/>
        <w:keepLines w:val="0"/>
        <w:pageBreakBefore w:val="0"/>
        <w:kinsoku/>
        <w:wordWrap/>
        <w:overflowPunct/>
        <w:topLinePunct w:val="0"/>
        <w:autoSpaceDE/>
        <w:autoSpaceDN/>
        <w:bidi w:val="0"/>
        <w:spacing w:line="598" w:lineRule="exact"/>
        <w:jc w:val="center"/>
        <w:textAlignment w:val="auto"/>
        <w:rPr>
          <w:rFonts w:ascii="Times New Roman" w:hAnsi="Times New Roman" w:eastAsia="黑体" w:cs="Times New Roman"/>
          <w:sz w:val="32"/>
          <w:szCs w:val="32"/>
        </w:rPr>
      </w:pPr>
    </w:p>
    <w:p>
      <w:pPr>
        <w:keepNext w:val="0"/>
        <w:keepLines w:val="0"/>
        <w:pageBreakBefore w:val="0"/>
        <w:kinsoku/>
        <w:wordWrap/>
        <w:overflowPunct/>
        <w:topLinePunct w:val="0"/>
        <w:autoSpaceDE/>
        <w:autoSpaceDN/>
        <w:bidi w:val="0"/>
        <w:spacing w:line="598" w:lineRule="exact"/>
        <w:jc w:val="center"/>
        <w:textAlignment w:val="auto"/>
        <w:rPr>
          <w:rFonts w:ascii="Times New Roman" w:hAnsi="Times New Roman" w:eastAsia="仿宋_GB2312" w:cs="Times New Roman"/>
          <w:sz w:val="32"/>
          <w:szCs w:val="32"/>
        </w:rPr>
      </w:pPr>
    </w:p>
    <w:p>
      <w:pPr>
        <w:keepNext w:val="0"/>
        <w:keepLines w:val="0"/>
        <w:pageBreakBefore w:val="0"/>
        <w:kinsoku/>
        <w:wordWrap/>
        <w:overflowPunct/>
        <w:topLinePunct w:val="0"/>
        <w:autoSpaceDE/>
        <w:autoSpaceDN/>
        <w:bidi w:val="0"/>
        <w:spacing w:line="598" w:lineRule="exact"/>
        <w:textAlignment w:val="auto"/>
        <w:rPr>
          <w:rFonts w:ascii="Times New Roman" w:hAnsi="Times New Roman" w:eastAsia="黑体" w:cs="Times New Roman"/>
          <w:sz w:val="32"/>
          <w:szCs w:val="32"/>
        </w:rPr>
      </w:pPr>
      <w:r>
        <w:rPr>
          <w:rFonts w:ascii="Times New Roman" w:hAnsi="Times New Roman" w:eastAsia="仿宋_GB2312" w:cs="Times New Roman"/>
          <w:sz w:val="32"/>
          <w:szCs w:val="32"/>
        </w:rPr>
        <w:br w:type="page"/>
      </w:r>
    </w:p>
    <w:p>
      <w:pPr>
        <w:keepNext w:val="0"/>
        <w:keepLines w:val="0"/>
        <w:pageBreakBefore w:val="0"/>
        <w:widowControl w:val="0"/>
        <w:kinsoku/>
        <w:wordWrap/>
        <w:overflowPunct/>
        <w:topLinePunct w:val="0"/>
        <w:autoSpaceDE/>
        <w:autoSpaceDN/>
        <w:bidi w:val="0"/>
        <w:adjustRightInd/>
        <w:snapToGrid/>
        <w:spacing w:line="598" w:lineRule="exact"/>
        <w:ind w:firstLine="640" w:firstLineChars="200"/>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为进一步规范财政资金管理，强化绩效和责任意识，切实提高财政资金使用效益，根据《湖南省财政厅关于开展</w:t>
      </w:r>
      <w:r>
        <w:rPr>
          <w:rFonts w:hint="default" w:ascii="Times New Roman" w:hAnsi="Times New Roman" w:eastAsia="仿宋" w:cs="Times New Roman"/>
          <w:sz w:val="32"/>
          <w:szCs w:val="32"/>
          <w:lang w:val="en-US" w:eastAsia="zh-CN"/>
        </w:rPr>
        <w:t>2021年度部门整体支出绩效自评工作的通知》（湘财绩[2022]1号）、《湖南省韶山管理局办公室关于开展2021年度部门绩效自评工作的通知》要求，</w:t>
      </w:r>
      <w:r>
        <w:rPr>
          <w:rFonts w:hint="default" w:ascii="Times New Roman" w:hAnsi="Times New Roman" w:eastAsia="仿宋" w:cs="Times New Roman"/>
          <w:i w:val="0"/>
          <w:iCs w:val="0"/>
          <w:caps w:val="0"/>
          <w:color w:val="000000"/>
          <w:spacing w:val="0"/>
          <w:sz w:val="31"/>
          <w:szCs w:val="31"/>
          <w:shd w:val="clear" w:fill="FFFFFF"/>
        </w:rPr>
        <w:t>我</w:t>
      </w:r>
      <w:r>
        <w:rPr>
          <w:rFonts w:hint="default" w:ascii="Times New Roman" w:hAnsi="Times New Roman" w:eastAsia="仿宋" w:cs="Times New Roman"/>
          <w:i w:val="0"/>
          <w:iCs w:val="0"/>
          <w:caps w:val="0"/>
          <w:color w:val="000000"/>
          <w:spacing w:val="0"/>
          <w:sz w:val="31"/>
          <w:szCs w:val="31"/>
          <w:shd w:val="clear" w:fill="FFFFFF"/>
          <w:lang w:eastAsia="zh-CN"/>
        </w:rPr>
        <w:t>馆</w:t>
      </w:r>
      <w:r>
        <w:rPr>
          <w:rFonts w:hint="default" w:ascii="Times New Roman" w:hAnsi="Times New Roman" w:eastAsia="仿宋" w:cs="Times New Roman"/>
          <w:i w:val="0"/>
          <w:iCs w:val="0"/>
          <w:caps w:val="0"/>
          <w:color w:val="000000"/>
          <w:spacing w:val="0"/>
          <w:sz w:val="31"/>
          <w:szCs w:val="31"/>
          <w:shd w:val="clear" w:fill="FFFFFF"/>
        </w:rPr>
        <w:t>认真组织开展了</w:t>
      </w:r>
      <w:r>
        <w:rPr>
          <w:rFonts w:hint="default" w:ascii="Times New Roman" w:hAnsi="Times New Roman" w:eastAsia="仿宋" w:cs="Times New Roman"/>
          <w:sz w:val="32"/>
          <w:szCs w:val="32"/>
          <w:lang w:val="en-US" w:eastAsia="zh-CN"/>
        </w:rPr>
        <w:t>2021</w:t>
      </w:r>
      <w:r>
        <w:rPr>
          <w:rFonts w:hint="default" w:ascii="Times New Roman" w:hAnsi="Times New Roman" w:eastAsia="仿宋" w:cs="Times New Roman"/>
          <w:i w:val="0"/>
          <w:iCs w:val="0"/>
          <w:caps w:val="0"/>
          <w:color w:val="000000"/>
          <w:spacing w:val="0"/>
          <w:sz w:val="31"/>
          <w:szCs w:val="31"/>
          <w:shd w:val="clear" w:fill="FFFFFF"/>
        </w:rPr>
        <w:t>年度</w:t>
      </w:r>
      <w:r>
        <w:rPr>
          <w:rFonts w:hint="default" w:ascii="Times New Roman" w:hAnsi="Times New Roman" w:eastAsia="仿宋" w:cs="Times New Roman"/>
          <w:i w:val="0"/>
          <w:iCs w:val="0"/>
          <w:caps w:val="0"/>
          <w:color w:val="000000"/>
          <w:spacing w:val="0"/>
          <w:sz w:val="31"/>
          <w:szCs w:val="31"/>
          <w:shd w:val="clear" w:fill="FFFFFF"/>
          <w:lang w:eastAsia="zh-CN"/>
        </w:rPr>
        <w:t>整体支出</w:t>
      </w:r>
      <w:r>
        <w:rPr>
          <w:rFonts w:hint="default" w:ascii="Times New Roman" w:hAnsi="Times New Roman" w:eastAsia="仿宋" w:cs="Times New Roman"/>
          <w:i w:val="0"/>
          <w:iCs w:val="0"/>
          <w:caps w:val="0"/>
          <w:color w:val="000000"/>
          <w:spacing w:val="0"/>
          <w:sz w:val="31"/>
          <w:szCs w:val="31"/>
          <w:shd w:val="clear" w:fill="FFFFFF"/>
        </w:rPr>
        <w:t>绩效自评工作，现将</w:t>
      </w:r>
      <w:r>
        <w:rPr>
          <w:rFonts w:hint="default" w:ascii="Times New Roman" w:hAnsi="Times New Roman" w:eastAsia="仿宋" w:cs="Times New Roman"/>
          <w:i w:val="0"/>
          <w:iCs w:val="0"/>
          <w:caps w:val="0"/>
          <w:color w:val="000000"/>
          <w:spacing w:val="0"/>
          <w:sz w:val="31"/>
          <w:szCs w:val="31"/>
          <w:shd w:val="clear" w:fill="FFFFFF"/>
          <w:lang w:val="en-US" w:eastAsia="zh-CN"/>
        </w:rPr>
        <w:t>自评</w:t>
      </w:r>
      <w:r>
        <w:rPr>
          <w:rFonts w:hint="default" w:ascii="Times New Roman" w:hAnsi="Times New Roman" w:eastAsia="仿宋" w:cs="Times New Roman"/>
          <w:i w:val="0"/>
          <w:iCs w:val="0"/>
          <w:caps w:val="0"/>
          <w:color w:val="000000"/>
          <w:spacing w:val="0"/>
          <w:sz w:val="31"/>
          <w:szCs w:val="31"/>
          <w:shd w:val="clear" w:fill="FFFFFF"/>
        </w:rPr>
        <w:t>情况报告如下：</w:t>
      </w:r>
    </w:p>
    <w:p>
      <w:pPr>
        <w:keepNext w:val="0"/>
        <w:keepLines w:val="0"/>
        <w:pageBreakBefore w:val="0"/>
        <w:widowControl w:val="0"/>
        <w:numPr>
          <w:ilvl w:val="0"/>
          <w:numId w:val="0"/>
        </w:numPr>
        <w:kinsoku/>
        <w:wordWrap/>
        <w:overflowPunct/>
        <w:topLinePunct w:val="0"/>
        <w:autoSpaceDE/>
        <w:autoSpaceDN/>
        <w:bidi w:val="0"/>
        <w:adjustRightInd/>
        <w:spacing w:line="598" w:lineRule="exact"/>
        <w:ind w:firstLine="640" w:firstLineChars="200"/>
        <w:textAlignment w:val="auto"/>
        <w:rPr>
          <w:rFonts w:hint="eastAsia" w:ascii="黑体" w:hAnsi="Times New Roman" w:eastAsia="黑体" w:cs="Times New Roman"/>
          <w:sz w:val="32"/>
          <w:szCs w:val="32"/>
        </w:rPr>
      </w:pPr>
      <w:r>
        <w:rPr>
          <w:rFonts w:hint="eastAsia" w:ascii="黑体" w:eastAsia="黑体" w:cs="Times New Roman"/>
          <w:sz w:val="32"/>
          <w:szCs w:val="32"/>
          <w:lang w:eastAsia="zh-CN"/>
        </w:rPr>
        <w:t>一、</w:t>
      </w:r>
      <w:r>
        <w:rPr>
          <w:rFonts w:hint="eastAsia" w:ascii="黑体" w:hAnsi="Times New Roman" w:eastAsia="黑体" w:cs="Times New Roman"/>
          <w:sz w:val="32"/>
          <w:szCs w:val="32"/>
        </w:rPr>
        <w:t>单位基本情况</w:t>
      </w:r>
    </w:p>
    <w:p>
      <w:pPr>
        <w:keepNext w:val="0"/>
        <w:keepLines w:val="0"/>
        <w:pageBreakBefore w:val="0"/>
        <w:widowControl w:val="0"/>
        <w:kinsoku/>
        <w:wordWrap/>
        <w:overflowPunct/>
        <w:topLinePunct w:val="0"/>
        <w:autoSpaceDE/>
        <w:autoSpaceDN/>
        <w:bidi w:val="0"/>
        <w:adjustRightInd/>
        <w:spacing w:line="598"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color w:val="auto"/>
          <w:sz w:val="32"/>
          <w:szCs w:val="32"/>
          <w:highlight w:val="none"/>
        </w:rPr>
        <w:t>我馆是隶属省韶山管理局的正处级事业单位，下设办公室</w:t>
      </w:r>
      <w:r>
        <w:rPr>
          <w:rFonts w:hint="default"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宣教部</w:t>
      </w:r>
      <w:r>
        <w:rPr>
          <w:rFonts w:hint="default"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编研部</w:t>
      </w:r>
      <w:r>
        <w:rPr>
          <w:rFonts w:hint="default"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陈列部</w:t>
      </w:r>
      <w:r>
        <w:rPr>
          <w:rFonts w:hint="default"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文物部</w:t>
      </w:r>
      <w:r>
        <w:rPr>
          <w:rFonts w:hint="default"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文化产业管理部</w:t>
      </w:r>
      <w:r>
        <w:rPr>
          <w:rFonts w:hint="default"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故居管理部</w:t>
      </w:r>
      <w:r>
        <w:rPr>
          <w:rFonts w:hint="default"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预约管理部</w:t>
      </w:r>
      <w:r>
        <w:rPr>
          <w:rFonts w:hint="default"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信息技术部</w:t>
      </w:r>
      <w:r>
        <w:rPr>
          <w:rFonts w:hint="default"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人力资源部</w:t>
      </w:r>
      <w:r>
        <w:rPr>
          <w:rFonts w:hint="default"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财务部</w:t>
      </w:r>
      <w:r>
        <w:rPr>
          <w:rFonts w:hint="default"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保安保洁部</w:t>
      </w:r>
      <w:r>
        <w:rPr>
          <w:rFonts w:hint="default" w:ascii="Times New Roman" w:hAnsi="Times New Roman" w:eastAsia="仿宋" w:cs="Times New Roman"/>
          <w:color w:val="auto"/>
          <w:sz w:val="32"/>
          <w:szCs w:val="32"/>
          <w:highlight w:val="none"/>
          <w:lang w:eastAsia="zh-CN"/>
        </w:rPr>
        <w:t>等</w:t>
      </w:r>
      <w:r>
        <w:rPr>
          <w:rFonts w:hint="default" w:ascii="Times New Roman" w:hAnsi="Times New Roman" w:eastAsia="仿宋" w:cs="Times New Roman"/>
          <w:color w:val="auto"/>
          <w:sz w:val="32"/>
          <w:szCs w:val="32"/>
          <w:highlight w:val="none"/>
        </w:rPr>
        <w:t>12个部门</w:t>
      </w:r>
      <w:r>
        <w:rPr>
          <w:rFonts w:hint="default" w:ascii="Times New Roman" w:hAnsi="Times New Roman" w:eastAsia="仿宋" w:cs="Times New Roman"/>
          <w:color w:val="auto"/>
          <w:sz w:val="32"/>
          <w:szCs w:val="32"/>
          <w:highlight w:val="none"/>
          <w:lang w:eastAsia="zh-CN"/>
        </w:rPr>
        <w:t>。我馆人员编制110人，正式职工</w:t>
      </w:r>
      <w:r>
        <w:rPr>
          <w:rFonts w:hint="default" w:ascii="Times New Roman" w:hAnsi="Times New Roman" w:eastAsia="仿宋" w:cs="Times New Roman"/>
          <w:color w:val="auto"/>
          <w:sz w:val="32"/>
          <w:szCs w:val="32"/>
          <w:highlight w:val="none"/>
          <w:lang w:val="en-US" w:eastAsia="zh-CN"/>
        </w:rPr>
        <w:t>97</w:t>
      </w:r>
      <w:r>
        <w:rPr>
          <w:rFonts w:hint="default" w:ascii="Times New Roman" w:hAnsi="Times New Roman" w:eastAsia="仿宋" w:cs="Times New Roman"/>
          <w:color w:val="auto"/>
          <w:sz w:val="32"/>
          <w:szCs w:val="32"/>
          <w:highlight w:val="none"/>
          <w:lang w:eastAsia="zh-CN"/>
        </w:rPr>
        <w:t>人，退休职工3</w:t>
      </w:r>
      <w:r>
        <w:rPr>
          <w:rFonts w:hint="default" w:ascii="Times New Roman" w:hAnsi="Times New Roman" w:eastAsia="仿宋" w:cs="Times New Roman"/>
          <w:color w:val="auto"/>
          <w:sz w:val="32"/>
          <w:szCs w:val="32"/>
          <w:highlight w:val="none"/>
          <w:lang w:val="en-US" w:eastAsia="zh-CN"/>
        </w:rPr>
        <w:t>7</w:t>
      </w:r>
      <w:r>
        <w:rPr>
          <w:rFonts w:hint="default" w:ascii="Times New Roman" w:hAnsi="Times New Roman" w:eastAsia="仿宋" w:cs="Times New Roman"/>
          <w:color w:val="auto"/>
          <w:sz w:val="32"/>
          <w:szCs w:val="32"/>
          <w:highlight w:val="none"/>
          <w:lang w:eastAsia="zh-CN"/>
        </w:rPr>
        <w:t>人。本年调离1人，辞职1人，死亡</w:t>
      </w:r>
      <w:r>
        <w:rPr>
          <w:rFonts w:hint="default" w:ascii="Times New Roman" w:hAnsi="Times New Roman" w:eastAsia="仿宋" w:cs="Times New Roman"/>
          <w:color w:val="auto"/>
          <w:sz w:val="32"/>
          <w:szCs w:val="32"/>
          <w:highlight w:val="none"/>
          <w:lang w:val="en-US" w:eastAsia="zh-CN"/>
        </w:rPr>
        <w:t>1人</w:t>
      </w:r>
      <w:r>
        <w:rPr>
          <w:rFonts w:hint="default" w:ascii="Times New Roman" w:hAnsi="Times New Roman" w:eastAsia="仿宋" w:cs="Times New Roman"/>
          <w:color w:val="auto"/>
          <w:sz w:val="32"/>
          <w:szCs w:val="32"/>
          <w:highlight w:val="none"/>
          <w:lang w:eastAsia="zh-CN"/>
        </w:rPr>
        <w:t>。</w:t>
      </w:r>
    </w:p>
    <w:p>
      <w:pPr>
        <w:pStyle w:val="6"/>
        <w:keepNext w:val="0"/>
        <w:keepLines w:val="0"/>
        <w:pageBreakBefore w:val="0"/>
        <w:widowControl/>
        <w:kinsoku/>
        <w:wordWrap/>
        <w:overflowPunct/>
        <w:topLinePunct w:val="0"/>
        <w:autoSpaceDE/>
        <w:autoSpaceDN/>
        <w:bidi w:val="0"/>
        <w:spacing w:line="598" w:lineRule="exact"/>
        <w:ind w:firstLine="640"/>
        <w:textAlignment w:val="auto"/>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我馆肩负接待来韶观众和重要宾客，提供讲解和咨询服务；制作、引进或推出陈列展览，宣传毛泽东思想，展示毛泽东事迹；保护、保管、修复馆藏可移动文物和不可移动文物，并利用馆藏资源进行科学研究和文化产业研究；利用博物馆纪念馆平台，积极参与中国博物馆纪念馆的发展和建设，培养专业人才，创造学术成果，弘扬社会正能量。</w:t>
      </w:r>
    </w:p>
    <w:p>
      <w:pPr>
        <w:keepNext w:val="0"/>
        <w:keepLines w:val="0"/>
        <w:pageBreakBefore w:val="0"/>
        <w:widowControl w:val="0"/>
        <w:numPr>
          <w:ilvl w:val="0"/>
          <w:numId w:val="0"/>
        </w:numPr>
        <w:kinsoku/>
        <w:wordWrap/>
        <w:overflowPunct/>
        <w:topLinePunct w:val="0"/>
        <w:autoSpaceDE/>
        <w:autoSpaceDN/>
        <w:bidi w:val="0"/>
        <w:adjustRightInd/>
        <w:snapToGrid/>
        <w:spacing w:line="598"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rPr>
        <w:t>我馆全年财务状况运行良好。</w:t>
      </w:r>
      <w:r>
        <w:rPr>
          <w:rFonts w:hint="default" w:ascii="Times New Roman" w:hAnsi="Times New Roman" w:eastAsia="仿宋" w:cs="Times New Roman"/>
          <w:sz w:val="32"/>
          <w:szCs w:val="32"/>
          <w:lang w:val="en-US" w:eastAsia="zh-CN"/>
        </w:rPr>
        <w:t>2021年度年初结转和结余1817.65万元，其中，</w:t>
      </w:r>
      <w:r>
        <w:rPr>
          <w:rFonts w:hint="default" w:ascii="Times New Roman" w:hAnsi="Times New Roman" w:eastAsia="仿宋" w:cs="Times New Roman"/>
          <w:color w:val="auto"/>
          <w:sz w:val="32"/>
          <w:szCs w:val="32"/>
        </w:rPr>
        <w:t>财政</w:t>
      </w:r>
      <w:r>
        <w:rPr>
          <w:rFonts w:hint="default" w:ascii="Times New Roman" w:hAnsi="Times New Roman" w:eastAsia="仿宋" w:cs="Times New Roman"/>
          <w:color w:val="auto"/>
          <w:sz w:val="32"/>
          <w:szCs w:val="32"/>
          <w:lang w:eastAsia="zh-CN"/>
        </w:rPr>
        <w:t>补助</w:t>
      </w:r>
      <w:r>
        <w:rPr>
          <w:rFonts w:hint="default" w:ascii="Times New Roman" w:hAnsi="Times New Roman" w:eastAsia="仿宋" w:cs="Times New Roman"/>
          <w:color w:val="auto"/>
          <w:sz w:val="32"/>
          <w:szCs w:val="32"/>
        </w:rPr>
        <w:t>结转</w:t>
      </w:r>
      <w:r>
        <w:rPr>
          <w:rFonts w:hint="default" w:ascii="Times New Roman" w:hAnsi="Times New Roman" w:eastAsia="仿宋" w:cs="Times New Roman"/>
          <w:sz w:val="32"/>
          <w:szCs w:val="32"/>
          <w:lang w:val="en-US" w:eastAsia="zh-CN"/>
        </w:rPr>
        <w:t>1029.9</w:t>
      </w:r>
      <w:r>
        <w:rPr>
          <w:rFonts w:hint="default" w:ascii="Times New Roman" w:hAnsi="Times New Roman" w:eastAsia="仿宋" w:cs="Times New Roman"/>
          <w:color w:val="auto"/>
          <w:sz w:val="32"/>
          <w:szCs w:val="32"/>
        </w:rPr>
        <w:t>万元</w:t>
      </w:r>
      <w:r>
        <w:rPr>
          <w:rFonts w:hint="default" w:ascii="Times New Roman" w:hAnsi="Times New Roman" w:eastAsia="仿宋" w:cs="Times New Roman"/>
          <w:color w:val="auto"/>
          <w:sz w:val="32"/>
          <w:szCs w:val="32"/>
          <w:lang w:eastAsia="zh-CN"/>
        </w:rPr>
        <w:t>，非财政补助结转</w:t>
      </w:r>
      <w:r>
        <w:rPr>
          <w:rFonts w:hint="default" w:ascii="Times New Roman" w:hAnsi="Times New Roman" w:eastAsia="仿宋" w:cs="Times New Roman"/>
          <w:color w:val="auto"/>
          <w:sz w:val="32"/>
          <w:szCs w:val="32"/>
          <w:lang w:val="en-US" w:eastAsia="zh-CN"/>
        </w:rPr>
        <w:t>787.75万元</w:t>
      </w:r>
      <w:r>
        <w:rPr>
          <w:rFonts w:hint="default" w:ascii="Times New Roman" w:hAnsi="Times New Roman" w:eastAsia="仿宋" w:cs="Times New Roman"/>
          <w:sz w:val="32"/>
          <w:szCs w:val="32"/>
          <w:lang w:val="en-US" w:eastAsia="zh-CN"/>
        </w:rPr>
        <w:t>；使用非财政拨款结余126.16万元；本年收入5258.65万元，其中，</w:t>
      </w:r>
      <w:r>
        <w:rPr>
          <w:rFonts w:hint="default" w:ascii="Times New Roman" w:hAnsi="Times New Roman" w:eastAsia="仿宋" w:cs="Times New Roman"/>
          <w:bCs/>
          <w:color w:val="auto"/>
          <w:sz w:val="32"/>
          <w:szCs w:val="32"/>
        </w:rPr>
        <w:t>财政补助收入</w:t>
      </w:r>
      <w:r>
        <w:rPr>
          <w:rFonts w:hint="default" w:ascii="Times New Roman" w:hAnsi="Times New Roman" w:eastAsia="仿宋" w:cs="Times New Roman"/>
          <w:bCs/>
          <w:color w:val="auto"/>
          <w:sz w:val="32"/>
          <w:szCs w:val="32"/>
          <w:lang w:val="en-US" w:eastAsia="zh-CN"/>
        </w:rPr>
        <w:t>5126.7万元</w:t>
      </w:r>
      <w:r>
        <w:rPr>
          <w:rFonts w:hint="default" w:ascii="Times New Roman" w:hAnsi="Times New Roman" w:eastAsia="仿宋" w:cs="Times New Roman"/>
          <w:bCs/>
          <w:color w:val="auto"/>
          <w:sz w:val="32"/>
          <w:szCs w:val="32"/>
          <w:lang w:eastAsia="zh-CN"/>
        </w:rPr>
        <w:t>，</w:t>
      </w:r>
      <w:r>
        <w:rPr>
          <w:rFonts w:hint="default" w:ascii="Times New Roman" w:hAnsi="Times New Roman" w:eastAsia="仿宋" w:cs="Times New Roman"/>
          <w:bCs/>
          <w:color w:val="auto"/>
          <w:sz w:val="32"/>
          <w:szCs w:val="32"/>
        </w:rPr>
        <w:t>经营收入</w:t>
      </w:r>
      <w:r>
        <w:rPr>
          <w:rFonts w:hint="default" w:ascii="Times New Roman" w:hAnsi="Times New Roman" w:eastAsia="仿宋" w:cs="Times New Roman"/>
          <w:bCs/>
          <w:color w:val="auto"/>
          <w:sz w:val="32"/>
          <w:szCs w:val="32"/>
          <w:lang w:val="en-US" w:eastAsia="zh-CN"/>
        </w:rPr>
        <w:t>70</w:t>
      </w:r>
      <w:r>
        <w:rPr>
          <w:rFonts w:hint="default" w:ascii="Times New Roman" w:hAnsi="Times New Roman" w:eastAsia="仿宋" w:cs="Times New Roman"/>
          <w:bCs/>
          <w:color w:val="auto"/>
          <w:sz w:val="32"/>
          <w:szCs w:val="32"/>
        </w:rPr>
        <w:t>万元，</w:t>
      </w:r>
      <w:r>
        <w:rPr>
          <w:rFonts w:hint="default" w:ascii="Times New Roman" w:hAnsi="Times New Roman" w:eastAsia="仿宋" w:cs="Times New Roman"/>
          <w:color w:val="auto"/>
          <w:sz w:val="32"/>
          <w:szCs w:val="32"/>
        </w:rPr>
        <w:t>其他收入</w:t>
      </w:r>
      <w:r>
        <w:rPr>
          <w:rFonts w:hint="default" w:ascii="Times New Roman" w:hAnsi="Times New Roman" w:eastAsia="仿宋" w:cs="Times New Roman"/>
          <w:color w:val="auto"/>
          <w:sz w:val="32"/>
          <w:szCs w:val="32"/>
          <w:lang w:val="en-US" w:eastAsia="zh-CN"/>
        </w:rPr>
        <w:t>61.95</w:t>
      </w:r>
      <w:r>
        <w:rPr>
          <w:rFonts w:hint="default" w:ascii="Times New Roman" w:hAnsi="Times New Roman" w:eastAsia="仿宋" w:cs="Times New Roman"/>
          <w:color w:val="auto"/>
          <w:sz w:val="32"/>
          <w:szCs w:val="32"/>
        </w:rPr>
        <w:t>万元</w:t>
      </w:r>
      <w:r>
        <w:rPr>
          <w:rFonts w:hint="default" w:ascii="Times New Roman" w:hAnsi="Times New Roman" w:eastAsia="仿宋" w:cs="Times New Roman"/>
          <w:sz w:val="32"/>
          <w:szCs w:val="32"/>
          <w:lang w:val="en-US" w:eastAsia="zh-CN"/>
        </w:rPr>
        <w:t>；本年支出5421.66万元，</w:t>
      </w:r>
      <w:r>
        <w:rPr>
          <w:rFonts w:hint="default" w:ascii="Times New Roman" w:hAnsi="Times New Roman" w:eastAsia="仿宋" w:cs="Times New Roman"/>
          <w:color w:val="auto"/>
          <w:sz w:val="32"/>
          <w:szCs w:val="32"/>
          <w:lang w:val="en-US" w:eastAsia="zh-Hans"/>
        </w:rPr>
        <w:t>其中</w:t>
      </w:r>
      <w:r>
        <w:rPr>
          <w:rFonts w:hint="default" w:ascii="Times New Roman" w:hAnsi="Times New Roman" w:eastAsia="仿宋" w:cs="Times New Roman"/>
          <w:color w:val="auto"/>
          <w:sz w:val="32"/>
          <w:szCs w:val="32"/>
          <w:lang w:eastAsia="zh-Hans"/>
        </w:rPr>
        <w:t>，</w:t>
      </w:r>
      <w:r>
        <w:rPr>
          <w:rFonts w:hint="default" w:ascii="Times New Roman" w:hAnsi="Times New Roman" w:eastAsia="仿宋" w:cs="Times New Roman"/>
          <w:color w:val="auto"/>
          <w:sz w:val="32"/>
          <w:szCs w:val="32"/>
          <w:lang w:val="en-US" w:eastAsia="zh-CN"/>
        </w:rPr>
        <w:t>基本支出</w:t>
      </w:r>
      <w:r>
        <w:rPr>
          <w:rFonts w:hint="default" w:ascii="Times New Roman" w:hAnsi="Times New Roman" w:eastAsia="仿宋" w:cs="Times New Roman"/>
          <w:color w:val="auto"/>
          <w:sz w:val="32"/>
          <w:szCs w:val="32"/>
          <w:lang w:eastAsia="zh-CN"/>
        </w:rPr>
        <w:t>1121</w:t>
      </w:r>
      <w:r>
        <w:rPr>
          <w:rFonts w:hint="default" w:ascii="Times New Roman" w:hAnsi="Times New Roman" w:eastAsia="仿宋" w:cs="Times New Roman"/>
          <w:color w:val="auto"/>
          <w:sz w:val="32"/>
          <w:szCs w:val="32"/>
          <w:lang w:val="en-US" w:eastAsia="zh-Hans"/>
        </w:rPr>
        <w:t>.</w:t>
      </w:r>
      <w:r>
        <w:rPr>
          <w:rFonts w:hint="default" w:ascii="Times New Roman" w:hAnsi="Times New Roman" w:eastAsia="仿宋" w:cs="Times New Roman"/>
          <w:color w:val="auto"/>
          <w:sz w:val="32"/>
          <w:szCs w:val="32"/>
          <w:lang w:eastAsia="zh-Hans"/>
        </w:rPr>
        <w:t>63</w:t>
      </w:r>
      <w:r>
        <w:rPr>
          <w:rFonts w:hint="default" w:ascii="Times New Roman" w:hAnsi="Times New Roman" w:eastAsia="仿宋" w:cs="Times New Roman"/>
          <w:color w:val="auto"/>
          <w:sz w:val="32"/>
          <w:szCs w:val="32"/>
          <w:lang w:val="en-US" w:eastAsia="zh-Hans"/>
        </w:rPr>
        <w:t>万元</w:t>
      </w:r>
      <w:r>
        <w:rPr>
          <w:rFonts w:hint="default" w:ascii="Times New Roman" w:hAnsi="Times New Roman" w:eastAsia="仿宋" w:cs="Times New Roman"/>
          <w:color w:val="auto"/>
          <w:sz w:val="32"/>
          <w:szCs w:val="32"/>
          <w:lang w:val="en-US" w:eastAsia="zh-CN"/>
        </w:rPr>
        <w:t>，项目支出</w:t>
      </w:r>
      <w:r>
        <w:rPr>
          <w:rFonts w:hint="default" w:ascii="Times New Roman" w:hAnsi="Times New Roman" w:eastAsia="仿宋" w:cs="Times New Roman"/>
          <w:color w:val="auto"/>
          <w:sz w:val="32"/>
          <w:szCs w:val="32"/>
          <w:lang w:eastAsia="zh-CN"/>
        </w:rPr>
        <w:t>4242</w:t>
      </w:r>
      <w:r>
        <w:rPr>
          <w:rFonts w:hint="default" w:ascii="Times New Roman" w:hAnsi="Times New Roman" w:eastAsia="仿宋" w:cs="Times New Roman"/>
          <w:color w:val="auto"/>
          <w:sz w:val="32"/>
          <w:szCs w:val="32"/>
          <w:lang w:val="en-US" w:eastAsia="zh-Hans"/>
        </w:rPr>
        <w:t>.</w:t>
      </w:r>
      <w:r>
        <w:rPr>
          <w:rFonts w:hint="default" w:ascii="Times New Roman" w:hAnsi="Times New Roman" w:eastAsia="仿宋" w:cs="Times New Roman"/>
          <w:color w:val="auto"/>
          <w:sz w:val="32"/>
          <w:szCs w:val="32"/>
          <w:lang w:eastAsia="zh-Hans"/>
        </w:rPr>
        <w:t>44</w:t>
      </w:r>
      <w:r>
        <w:rPr>
          <w:rFonts w:hint="default" w:ascii="Times New Roman" w:hAnsi="Times New Roman" w:eastAsia="仿宋" w:cs="Times New Roman"/>
          <w:color w:val="auto"/>
          <w:sz w:val="32"/>
          <w:szCs w:val="32"/>
          <w:lang w:val="en-US" w:eastAsia="zh-Hans"/>
        </w:rPr>
        <w:t>万元</w:t>
      </w:r>
      <w:r>
        <w:rPr>
          <w:rFonts w:hint="default" w:ascii="Times New Roman" w:hAnsi="Times New Roman" w:eastAsia="仿宋" w:cs="Times New Roman"/>
          <w:color w:val="auto"/>
          <w:sz w:val="32"/>
          <w:szCs w:val="32"/>
          <w:lang w:val="en-US" w:eastAsia="zh-CN"/>
        </w:rPr>
        <w:t>，经营支出57.59万元</w:t>
      </w:r>
      <w:r>
        <w:rPr>
          <w:rFonts w:hint="default" w:ascii="Times New Roman" w:hAnsi="Times New Roman" w:eastAsia="仿宋" w:cs="Times New Roman"/>
          <w:sz w:val="32"/>
          <w:szCs w:val="32"/>
          <w:lang w:val="en-US" w:eastAsia="zh-CN"/>
        </w:rPr>
        <w:t>；结余分配</w:t>
      </w:r>
      <w:r>
        <w:rPr>
          <w:rFonts w:hint="default" w:ascii="Times New Roman" w:hAnsi="Times New Roman" w:eastAsia="仿宋" w:cs="Times New Roman"/>
          <w:sz w:val="32"/>
          <w:szCs w:val="32"/>
          <w:lang w:eastAsia="zh-Hans"/>
        </w:rPr>
        <w:t>13</w:t>
      </w:r>
      <w:r>
        <w:rPr>
          <w:rFonts w:hint="default" w:ascii="Times New Roman" w:hAnsi="Times New Roman" w:eastAsia="仿宋" w:cs="Times New Roman"/>
          <w:sz w:val="32"/>
          <w:szCs w:val="32"/>
          <w:lang w:val="en-US" w:eastAsia="zh-Hans"/>
        </w:rPr>
        <w:t>.</w:t>
      </w:r>
      <w:r>
        <w:rPr>
          <w:rFonts w:hint="default" w:ascii="Times New Roman" w:hAnsi="Times New Roman" w:eastAsia="仿宋" w:cs="Times New Roman"/>
          <w:sz w:val="32"/>
          <w:szCs w:val="32"/>
          <w:lang w:eastAsia="zh-Hans"/>
        </w:rPr>
        <w:t>33</w:t>
      </w:r>
      <w:r>
        <w:rPr>
          <w:rFonts w:hint="default" w:ascii="Times New Roman" w:hAnsi="Times New Roman" w:eastAsia="仿宋" w:cs="Times New Roman"/>
          <w:sz w:val="32"/>
          <w:szCs w:val="32"/>
          <w:lang w:val="en-US" w:eastAsia="zh-CN"/>
        </w:rPr>
        <w:t>万元；年末结转和结余1767.47万元，</w:t>
      </w:r>
      <w:r>
        <w:rPr>
          <w:rFonts w:hint="default" w:ascii="Times New Roman" w:hAnsi="Times New Roman" w:eastAsia="仿宋" w:cs="Times New Roman"/>
          <w:sz w:val="32"/>
          <w:szCs w:val="32"/>
          <w:lang w:eastAsia="zh-CN"/>
        </w:rPr>
        <w:t>其中，财政拨款</w:t>
      </w:r>
      <w:r>
        <w:rPr>
          <w:rFonts w:hint="default" w:ascii="Times New Roman" w:hAnsi="Times New Roman" w:eastAsia="仿宋" w:cs="Times New Roman"/>
          <w:sz w:val="32"/>
          <w:szCs w:val="32"/>
        </w:rPr>
        <w:t>结转</w:t>
      </w:r>
      <w:r>
        <w:rPr>
          <w:rFonts w:hint="default" w:ascii="Times New Roman" w:hAnsi="Times New Roman" w:eastAsia="仿宋" w:cs="Times New Roman"/>
          <w:sz w:val="32"/>
          <w:szCs w:val="32"/>
          <w:lang w:val="en-US" w:eastAsia="zh-CN"/>
        </w:rPr>
        <w:t>1094.53万元，非财政补助结转307.62万元，</w:t>
      </w:r>
      <w:r>
        <w:rPr>
          <w:rFonts w:hint="default" w:ascii="Times New Roman" w:hAnsi="Times New Roman" w:eastAsia="仿宋" w:cs="Times New Roman"/>
          <w:sz w:val="32"/>
          <w:szCs w:val="32"/>
          <w:lang w:eastAsia="zh-CN"/>
        </w:rPr>
        <w:t>财政补助</w:t>
      </w:r>
      <w:r>
        <w:rPr>
          <w:rFonts w:hint="default" w:ascii="Times New Roman" w:hAnsi="Times New Roman" w:eastAsia="仿宋" w:cs="Times New Roman"/>
          <w:sz w:val="32"/>
          <w:szCs w:val="32"/>
        </w:rPr>
        <w:t>结余</w:t>
      </w:r>
      <w:r>
        <w:rPr>
          <w:rFonts w:hint="default" w:ascii="Times New Roman" w:hAnsi="Times New Roman" w:eastAsia="仿宋" w:cs="Times New Roman"/>
          <w:sz w:val="32"/>
          <w:szCs w:val="32"/>
          <w:lang w:val="en-US" w:eastAsia="zh-CN"/>
        </w:rPr>
        <w:t>365.32万元。</w:t>
      </w:r>
    </w:p>
    <w:p>
      <w:pPr>
        <w:pStyle w:val="6"/>
        <w:keepNext w:val="0"/>
        <w:keepLines w:val="0"/>
        <w:pageBreakBefore w:val="0"/>
        <w:widowControl/>
        <w:numPr>
          <w:ilvl w:val="0"/>
          <w:numId w:val="1"/>
        </w:numPr>
        <w:kinsoku/>
        <w:wordWrap/>
        <w:overflowPunct/>
        <w:topLinePunct w:val="0"/>
        <w:autoSpaceDE/>
        <w:autoSpaceDN/>
        <w:bidi w:val="0"/>
        <w:spacing w:line="598" w:lineRule="exact"/>
        <w:ind w:firstLine="640"/>
        <w:textAlignment w:val="auto"/>
        <w:rPr>
          <w:rFonts w:ascii="Times New Roman" w:hAnsi="Times New Roman" w:eastAsia="黑体" w:cs="Times New Roman"/>
          <w:sz w:val="32"/>
          <w:szCs w:val="32"/>
        </w:rPr>
      </w:pPr>
      <w:r>
        <w:rPr>
          <w:rFonts w:ascii="Times New Roman" w:hAnsi="Times New Roman" w:eastAsia="黑体" w:cs="Times New Roman"/>
          <w:sz w:val="32"/>
          <w:szCs w:val="32"/>
        </w:rPr>
        <w:t>一般公共预算支出情况</w:t>
      </w:r>
    </w:p>
    <w:p>
      <w:pPr>
        <w:pStyle w:val="6"/>
        <w:keepNext w:val="0"/>
        <w:keepLines w:val="0"/>
        <w:pageBreakBefore w:val="0"/>
        <w:widowControl/>
        <w:numPr>
          <w:ilvl w:val="0"/>
          <w:numId w:val="0"/>
        </w:numPr>
        <w:kinsoku/>
        <w:wordWrap/>
        <w:overflowPunct/>
        <w:topLinePunct w:val="0"/>
        <w:autoSpaceDE/>
        <w:autoSpaceDN/>
        <w:bidi w:val="0"/>
        <w:spacing w:line="598" w:lineRule="exact"/>
        <w:textAlignment w:val="auto"/>
        <w:rPr>
          <w:rFonts w:hint="default" w:ascii="Times New Roman" w:hAnsi="Times New Roman" w:eastAsia="仿宋" w:cs="Times New Roman"/>
          <w:kern w:val="2"/>
          <w:sz w:val="32"/>
          <w:szCs w:val="32"/>
          <w:lang w:val="en-US" w:eastAsia="zh-CN" w:bidi="ar-SA"/>
        </w:rPr>
      </w:pPr>
      <w:r>
        <w:rPr>
          <w:rFonts w:hint="eastAsia" w:ascii="Times New Roman" w:hAnsi="Times New Roman" w:eastAsia="黑体" w:cs="Times New Roman"/>
          <w:sz w:val="32"/>
          <w:szCs w:val="32"/>
          <w:lang w:val="en-US" w:eastAsia="zh-CN"/>
        </w:rPr>
        <w:t xml:space="preserve">    </w:t>
      </w:r>
      <w:r>
        <w:rPr>
          <w:rFonts w:hint="eastAsia" w:ascii="Times New Roman" w:hAnsi="Times New Roman" w:eastAsia="仿宋" w:cs="Times New Roman"/>
          <w:kern w:val="2"/>
          <w:sz w:val="32"/>
          <w:szCs w:val="32"/>
          <w:lang w:val="en-US" w:eastAsia="zh-CN" w:bidi="ar-SA"/>
        </w:rPr>
        <w:t>2021年我馆一般公共预算支出预算总额7202.46万元，实际支出5421.66万元，其中，基本支出1121.63万元，项目支出4242.44万元，经营支出57.59万元，资金完成率达75.28%。</w:t>
      </w:r>
    </w:p>
    <w:p>
      <w:pPr>
        <w:pStyle w:val="6"/>
        <w:keepNext w:val="0"/>
        <w:keepLines w:val="0"/>
        <w:pageBreakBefore w:val="0"/>
        <w:widowControl/>
        <w:kinsoku/>
        <w:wordWrap/>
        <w:overflowPunct/>
        <w:topLinePunct w:val="0"/>
        <w:autoSpaceDE/>
        <w:autoSpaceDN/>
        <w:bidi w:val="0"/>
        <w:spacing w:line="598" w:lineRule="exact"/>
        <w:ind w:firstLine="643"/>
        <w:textAlignment w:val="auto"/>
        <w:rPr>
          <w:rFonts w:ascii="Times New Roman" w:hAnsi="Times New Roman" w:eastAsia="楷体_GB2312" w:cs="Times New Roman"/>
          <w:b/>
          <w:sz w:val="32"/>
          <w:szCs w:val="32"/>
        </w:rPr>
      </w:pPr>
      <w:r>
        <w:rPr>
          <w:rFonts w:ascii="Times New Roman" w:hAnsi="Times New Roman" w:eastAsia="楷体_GB2312" w:cs="Times New Roman"/>
          <w:b/>
          <w:sz w:val="32"/>
          <w:szCs w:val="32"/>
        </w:rPr>
        <w:t>（一）基本支出情况</w:t>
      </w:r>
    </w:p>
    <w:p>
      <w:pPr>
        <w:pStyle w:val="6"/>
        <w:keepNext w:val="0"/>
        <w:keepLines w:val="0"/>
        <w:pageBreakBefore w:val="0"/>
        <w:widowControl/>
        <w:kinsoku/>
        <w:wordWrap/>
        <w:overflowPunct/>
        <w:topLinePunct w:val="0"/>
        <w:autoSpaceDE/>
        <w:autoSpaceDN/>
        <w:bidi w:val="0"/>
        <w:spacing w:line="598" w:lineRule="exact"/>
        <w:ind w:firstLine="643"/>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lang w:val="en-US" w:eastAsia="zh-CN"/>
        </w:rPr>
        <w:t>202</w:t>
      </w:r>
      <w:r>
        <w:rPr>
          <w:rFonts w:hint="eastAsia" w:ascii="Times New Roman" w:hAnsi="Times New Roman" w:eastAsia="仿宋_GB2312" w:cs="Times New Roman"/>
          <w:bCs/>
          <w:sz w:val="32"/>
          <w:szCs w:val="32"/>
          <w:lang w:val="en-US" w:eastAsia="zh-CN"/>
        </w:rPr>
        <w:t>1</w:t>
      </w:r>
      <w:r>
        <w:rPr>
          <w:rFonts w:hint="default" w:ascii="Times New Roman" w:hAnsi="Times New Roman" w:eastAsia="仿宋_GB2312" w:cs="Times New Roman"/>
          <w:bCs/>
          <w:sz w:val="32"/>
          <w:szCs w:val="32"/>
        </w:rPr>
        <w:t>年我馆一般公共预算支出</w:t>
      </w:r>
      <w:r>
        <w:rPr>
          <w:rFonts w:hint="default" w:ascii="Times New Roman" w:hAnsi="Times New Roman" w:eastAsia="仿宋_GB2312" w:cs="Times New Roman"/>
          <w:bCs/>
          <w:sz w:val="32"/>
          <w:szCs w:val="32"/>
          <w:lang w:eastAsia="zh-CN"/>
        </w:rPr>
        <w:t>中</w:t>
      </w:r>
      <w:r>
        <w:rPr>
          <w:rFonts w:hint="default" w:ascii="Times New Roman" w:hAnsi="Times New Roman" w:eastAsia="仿宋_GB2312" w:cs="Times New Roman"/>
          <w:bCs/>
          <w:sz w:val="32"/>
          <w:szCs w:val="32"/>
        </w:rPr>
        <w:t>基本支出预算总额为</w:t>
      </w:r>
      <w:r>
        <w:rPr>
          <w:rFonts w:hint="eastAsia" w:ascii="Times New Roman" w:hAnsi="Times New Roman" w:eastAsia="仿宋_GB2312" w:cs="Times New Roman"/>
          <w:bCs/>
          <w:sz w:val="32"/>
          <w:szCs w:val="32"/>
          <w:lang w:val="en-US" w:eastAsia="zh-CN"/>
        </w:rPr>
        <w:t>1121.63万元，其中，财政拨款</w:t>
      </w:r>
      <w:r>
        <w:rPr>
          <w:rFonts w:hint="default" w:ascii="Times New Roman" w:hAnsi="Times New Roman" w:eastAsia="仿宋_GB2312" w:cs="Times New Roman"/>
          <w:bCs/>
          <w:sz w:val="32"/>
          <w:szCs w:val="32"/>
        </w:rPr>
        <w:t>预算总额</w:t>
      </w:r>
      <w:r>
        <w:rPr>
          <w:rFonts w:hint="eastAsia" w:ascii="Times New Roman" w:hAnsi="Times New Roman" w:eastAsia="仿宋_GB2312" w:cs="Times New Roman"/>
          <w:bCs/>
          <w:sz w:val="32"/>
          <w:szCs w:val="32"/>
          <w:lang w:val="en-US" w:eastAsia="zh-CN"/>
        </w:rPr>
        <w:t>1120.12</w:t>
      </w:r>
      <w:r>
        <w:rPr>
          <w:rFonts w:hint="default" w:ascii="Times New Roman" w:hAnsi="Times New Roman" w:eastAsia="仿宋_GB2312" w:cs="Times New Roman"/>
          <w:bCs/>
          <w:sz w:val="32"/>
          <w:szCs w:val="32"/>
        </w:rPr>
        <w:t>万元</w:t>
      </w:r>
      <w:r>
        <w:rPr>
          <w:rFonts w:hint="eastAsia" w:ascii="Times New Roman" w:hAnsi="Times New Roman" w:eastAsia="仿宋_GB2312" w:cs="Times New Roman"/>
          <w:bCs/>
          <w:sz w:val="32"/>
          <w:szCs w:val="32"/>
          <w:lang w:eastAsia="zh-CN"/>
        </w:rPr>
        <w:t>，非财政拨款</w:t>
      </w:r>
      <w:r>
        <w:rPr>
          <w:rFonts w:hint="default" w:ascii="Times New Roman" w:hAnsi="Times New Roman" w:eastAsia="仿宋_GB2312" w:cs="Times New Roman"/>
          <w:bCs/>
          <w:sz w:val="32"/>
          <w:szCs w:val="32"/>
        </w:rPr>
        <w:t>预算总额</w:t>
      </w:r>
      <w:r>
        <w:rPr>
          <w:rFonts w:hint="eastAsia" w:ascii="Times New Roman" w:hAnsi="Times New Roman" w:eastAsia="仿宋_GB2312" w:cs="Times New Roman"/>
          <w:bCs/>
          <w:sz w:val="32"/>
          <w:szCs w:val="32"/>
          <w:lang w:val="en-US" w:eastAsia="zh-CN"/>
        </w:rPr>
        <w:t>1.51万元</w:t>
      </w:r>
      <w:r>
        <w:rPr>
          <w:rFonts w:hint="eastAsia" w:ascii="Times New Roman" w:hAnsi="Times New Roman" w:eastAsia="仿宋_GB2312" w:cs="Times New Roman"/>
          <w:bCs/>
          <w:sz w:val="32"/>
          <w:szCs w:val="32"/>
          <w:lang w:eastAsia="zh-CN"/>
        </w:rPr>
        <w:t>。</w:t>
      </w:r>
      <w:r>
        <w:rPr>
          <w:rFonts w:hint="eastAsia" w:ascii="Times New Roman" w:hAnsi="Times New Roman" w:eastAsia="仿宋_GB2312" w:cs="Times New Roman"/>
          <w:bCs/>
          <w:sz w:val="32"/>
          <w:szCs w:val="32"/>
          <w:lang w:val="en-US" w:eastAsia="zh-CN"/>
        </w:rPr>
        <w:t>全年实际支出</w:t>
      </w:r>
      <w:r>
        <w:rPr>
          <w:rFonts w:hint="eastAsia" w:ascii="Times New Roman" w:hAnsi="Times New Roman" w:eastAsia="仿宋" w:cs="Times New Roman"/>
          <w:kern w:val="2"/>
          <w:sz w:val="32"/>
          <w:szCs w:val="32"/>
          <w:lang w:val="en-US" w:eastAsia="zh-CN" w:bidi="ar-SA"/>
        </w:rPr>
        <w:t>1121.63万元，资金完成率达100%。</w:t>
      </w:r>
      <w:r>
        <w:rPr>
          <w:rFonts w:hint="default" w:ascii="Times New Roman" w:hAnsi="Times New Roman" w:eastAsia="仿宋_GB2312" w:cs="Times New Roman"/>
          <w:bCs/>
          <w:sz w:val="32"/>
          <w:szCs w:val="32"/>
        </w:rPr>
        <w:t>我馆基本支出的范围和主要用途包括人员经费和日常公用经费。</w:t>
      </w:r>
    </w:p>
    <w:p>
      <w:pPr>
        <w:keepNext w:val="0"/>
        <w:keepLines w:val="0"/>
        <w:pageBreakBefore w:val="0"/>
        <w:kinsoku/>
        <w:wordWrap/>
        <w:overflowPunct/>
        <w:topLinePunct w:val="0"/>
        <w:autoSpaceDE/>
        <w:autoSpaceDN/>
        <w:bidi w:val="0"/>
        <w:spacing w:line="598" w:lineRule="exact"/>
        <w:ind w:firstLine="640" w:firstLineChars="200"/>
        <w:textAlignment w:val="auto"/>
        <w:rPr>
          <w:rFonts w:hint="default" w:ascii="Times New Roman" w:hAnsi="Times New Roman" w:eastAsia="楷体" w:cs="Times New Roman"/>
          <w:sz w:val="32"/>
          <w:szCs w:val="32"/>
        </w:rPr>
      </w:pPr>
      <w:r>
        <w:rPr>
          <w:rFonts w:hint="default" w:ascii="Times New Roman" w:hAnsi="Times New Roman" w:eastAsia="仿宋_GB2312" w:cs="Times New Roman"/>
          <w:bCs/>
          <w:sz w:val="32"/>
          <w:szCs w:val="32"/>
        </w:rPr>
        <w:t>1.</w:t>
      </w:r>
      <w:r>
        <w:rPr>
          <w:rFonts w:hint="default" w:ascii="Times New Roman" w:hAnsi="Times New Roman" w:eastAsia="仿宋_GB2312" w:cs="Times New Roman"/>
          <w:sz w:val="32"/>
          <w:szCs w:val="32"/>
        </w:rPr>
        <w:t>人员经费</w:t>
      </w:r>
    </w:p>
    <w:p>
      <w:pPr>
        <w:keepNext w:val="0"/>
        <w:keepLines w:val="0"/>
        <w:pageBreakBefore w:val="0"/>
        <w:kinsoku/>
        <w:wordWrap/>
        <w:overflowPunct/>
        <w:topLinePunct w:val="0"/>
        <w:autoSpaceDE/>
        <w:autoSpaceDN/>
        <w:bidi w:val="0"/>
        <w:spacing w:line="59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全年</w:t>
      </w:r>
      <w:r>
        <w:rPr>
          <w:rFonts w:hint="default" w:ascii="Times New Roman" w:hAnsi="Times New Roman" w:eastAsia="仿宋_GB2312" w:cs="Times New Roman"/>
          <w:sz w:val="32"/>
          <w:szCs w:val="32"/>
        </w:rPr>
        <w:t>人员经费</w:t>
      </w:r>
      <w:r>
        <w:rPr>
          <w:rFonts w:hint="default" w:ascii="Times New Roman" w:hAnsi="Times New Roman" w:eastAsia="仿宋_GB2312" w:cs="Times New Roman"/>
          <w:bCs/>
          <w:sz w:val="32"/>
          <w:szCs w:val="32"/>
        </w:rPr>
        <w:t>预算总额</w:t>
      </w:r>
      <w:r>
        <w:rPr>
          <w:rFonts w:hint="eastAsia" w:ascii="Times New Roman" w:hAnsi="Times New Roman" w:eastAsia="仿宋_GB2312" w:cs="Times New Roman"/>
          <w:sz w:val="32"/>
          <w:szCs w:val="32"/>
          <w:lang w:val="en-US" w:eastAsia="zh-CN"/>
        </w:rPr>
        <w:t>987.33</w:t>
      </w:r>
      <w:r>
        <w:rPr>
          <w:rFonts w:hint="default" w:ascii="Times New Roman" w:hAnsi="Times New Roman" w:eastAsia="仿宋_GB2312" w:cs="Times New Roman"/>
          <w:sz w:val="32"/>
          <w:szCs w:val="32"/>
          <w:lang w:val="en-US" w:eastAsia="zh-CN"/>
        </w:rPr>
        <w:t>万元</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eastAsia="zh-CN"/>
        </w:rPr>
        <w:t>用于</w:t>
      </w:r>
      <w:r>
        <w:rPr>
          <w:rFonts w:hint="default" w:ascii="Times New Roman" w:hAnsi="Times New Roman" w:eastAsia="仿宋_GB2312" w:cs="Times New Roman"/>
          <w:sz w:val="32"/>
          <w:szCs w:val="32"/>
        </w:rPr>
        <w:t>工资福利支出</w:t>
      </w:r>
      <w:r>
        <w:rPr>
          <w:rFonts w:hint="eastAsia" w:ascii="Times New Roman" w:hAnsi="Times New Roman" w:eastAsia="仿宋_GB2312" w:cs="Times New Roman"/>
          <w:sz w:val="32"/>
          <w:szCs w:val="32"/>
          <w:lang w:val="en-US" w:eastAsia="zh-CN"/>
        </w:rPr>
        <w:t>983.01</w:t>
      </w:r>
      <w:r>
        <w:rPr>
          <w:rFonts w:hint="default" w:ascii="Times New Roman" w:hAnsi="Times New Roman" w:eastAsia="仿宋_GB2312" w:cs="Times New Roman"/>
          <w:sz w:val="32"/>
          <w:szCs w:val="32"/>
        </w:rPr>
        <w:t>万元，对个人和家庭补助支出</w:t>
      </w:r>
      <w:r>
        <w:rPr>
          <w:rFonts w:hint="eastAsia" w:ascii="Times New Roman" w:hAnsi="Times New Roman" w:eastAsia="仿宋_GB2312" w:cs="Times New Roman"/>
          <w:sz w:val="32"/>
          <w:szCs w:val="32"/>
          <w:lang w:val="en-US" w:eastAsia="zh-CN"/>
        </w:rPr>
        <w:t>2.81</w:t>
      </w:r>
      <w:r>
        <w:rPr>
          <w:rFonts w:hint="default" w:ascii="Times New Roman" w:hAnsi="Times New Roman" w:eastAsia="仿宋_GB2312" w:cs="Times New Roman"/>
          <w:sz w:val="32"/>
          <w:szCs w:val="32"/>
        </w:rPr>
        <w:t>万元，资金完成率达到100%。</w:t>
      </w:r>
    </w:p>
    <w:p>
      <w:pPr>
        <w:keepNext w:val="0"/>
        <w:keepLines w:val="0"/>
        <w:pageBreakBefore w:val="0"/>
        <w:kinsoku/>
        <w:wordWrap/>
        <w:overflowPunct/>
        <w:topLinePunct w:val="0"/>
        <w:autoSpaceDE/>
        <w:autoSpaceDN/>
        <w:bidi w:val="0"/>
        <w:spacing w:line="598" w:lineRule="exact"/>
        <w:ind w:firstLine="640" w:firstLineChars="200"/>
        <w:textAlignment w:val="auto"/>
        <w:rPr>
          <w:rFonts w:hint="eastAsia" w:ascii="仿宋_GB2312" w:eastAsia="仿宋_GB2312"/>
          <w:sz w:val="32"/>
          <w:szCs w:val="32"/>
        </w:rPr>
      </w:pPr>
      <w:r>
        <w:rPr>
          <w:rFonts w:hint="eastAsia" w:eastAsia="仿宋_GB2312"/>
          <w:sz w:val="32"/>
          <w:szCs w:val="32"/>
        </w:rPr>
        <w:t>2.</w:t>
      </w:r>
      <w:r>
        <w:rPr>
          <w:rFonts w:hint="eastAsia" w:ascii="仿宋_GB2312" w:eastAsia="仿宋_GB2312"/>
          <w:sz w:val="32"/>
          <w:szCs w:val="32"/>
        </w:rPr>
        <w:t>公用经费</w:t>
      </w:r>
    </w:p>
    <w:p>
      <w:pPr>
        <w:pStyle w:val="6"/>
        <w:keepNext w:val="0"/>
        <w:keepLines w:val="0"/>
        <w:pageBreakBefore w:val="0"/>
        <w:widowControl/>
        <w:kinsoku/>
        <w:wordWrap/>
        <w:overflowPunct/>
        <w:topLinePunct w:val="0"/>
        <w:autoSpaceDE/>
        <w:autoSpaceDN/>
        <w:bidi w:val="0"/>
        <w:spacing w:line="598" w:lineRule="exact"/>
        <w:ind w:firstLine="643"/>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sz w:val="32"/>
          <w:szCs w:val="32"/>
          <w:lang w:eastAsia="zh-CN"/>
        </w:rPr>
        <w:t>全年</w:t>
      </w:r>
      <w:r>
        <w:rPr>
          <w:rFonts w:hint="eastAsia" w:eastAsia="仿宋_GB2312" w:cs="Times New Roman"/>
          <w:sz w:val="32"/>
          <w:szCs w:val="32"/>
          <w:lang w:eastAsia="zh-CN"/>
        </w:rPr>
        <w:t>公用</w:t>
      </w:r>
      <w:r>
        <w:rPr>
          <w:rFonts w:hint="default" w:ascii="Times New Roman" w:hAnsi="Times New Roman" w:eastAsia="仿宋_GB2312" w:cs="Times New Roman"/>
          <w:sz w:val="32"/>
          <w:szCs w:val="32"/>
        </w:rPr>
        <w:t>经费</w:t>
      </w:r>
      <w:r>
        <w:rPr>
          <w:rFonts w:hint="default" w:ascii="Times New Roman" w:hAnsi="Times New Roman" w:eastAsia="仿宋_GB2312" w:cs="Times New Roman"/>
          <w:kern w:val="2"/>
          <w:sz w:val="32"/>
          <w:szCs w:val="32"/>
          <w:lang w:val="en-US" w:eastAsia="zh-CN" w:bidi="ar-SA"/>
        </w:rPr>
        <w:t>预算总额</w:t>
      </w:r>
      <w:r>
        <w:rPr>
          <w:rFonts w:hint="eastAsia" w:ascii="Times New Roman" w:hAnsi="Times New Roman" w:eastAsia="仿宋_GB2312" w:cs="Times New Roman"/>
          <w:kern w:val="2"/>
          <w:sz w:val="32"/>
          <w:szCs w:val="32"/>
          <w:lang w:val="en-US" w:eastAsia="zh-CN" w:bidi="ar-SA"/>
        </w:rPr>
        <w:t>134.3</w:t>
      </w:r>
      <w:r>
        <w:rPr>
          <w:rFonts w:hint="default" w:ascii="Times New Roman" w:hAnsi="Times New Roman" w:eastAsia="仿宋_GB2312" w:cs="Times New Roman"/>
          <w:kern w:val="2"/>
          <w:sz w:val="32"/>
          <w:szCs w:val="32"/>
          <w:lang w:val="en-US" w:eastAsia="zh-CN" w:bidi="ar-SA"/>
        </w:rPr>
        <w:t>万元，用于</w:t>
      </w:r>
      <w:r>
        <w:rPr>
          <w:rFonts w:hint="eastAsia" w:ascii="Times New Roman" w:hAnsi="Times New Roman" w:eastAsia="仿宋_GB2312" w:cs="Times New Roman"/>
          <w:kern w:val="2"/>
          <w:sz w:val="32"/>
          <w:szCs w:val="32"/>
          <w:lang w:val="en-US" w:eastAsia="zh-CN" w:bidi="ar-SA"/>
        </w:rPr>
        <w:t>维持</w:t>
      </w:r>
      <w:r>
        <w:rPr>
          <w:rFonts w:hint="default" w:ascii="Times New Roman" w:hAnsi="Times New Roman" w:eastAsia="仿宋_GB2312" w:cs="Times New Roman"/>
          <w:kern w:val="2"/>
          <w:sz w:val="32"/>
          <w:szCs w:val="32"/>
          <w:lang w:val="en-US" w:eastAsia="zh-CN" w:bidi="ar-SA"/>
        </w:rPr>
        <w:t>我馆的正常运转，资金完成率达到100%。</w:t>
      </w:r>
    </w:p>
    <w:p>
      <w:pPr>
        <w:pStyle w:val="6"/>
        <w:keepNext w:val="0"/>
        <w:keepLines w:val="0"/>
        <w:pageBreakBefore w:val="0"/>
        <w:widowControl/>
        <w:numPr>
          <w:ilvl w:val="0"/>
          <w:numId w:val="2"/>
        </w:numPr>
        <w:kinsoku/>
        <w:wordWrap/>
        <w:overflowPunct/>
        <w:topLinePunct w:val="0"/>
        <w:autoSpaceDE/>
        <w:autoSpaceDN/>
        <w:bidi w:val="0"/>
        <w:spacing w:line="598" w:lineRule="exact"/>
        <w:ind w:left="-13" w:leftChars="0" w:firstLine="643" w:firstLineChars="0"/>
        <w:textAlignment w:val="auto"/>
        <w:rPr>
          <w:rFonts w:ascii="Times New Roman" w:hAnsi="Times New Roman" w:eastAsia="楷体_GB2312" w:cs="Times New Roman"/>
          <w:b/>
          <w:sz w:val="32"/>
          <w:szCs w:val="32"/>
        </w:rPr>
      </w:pPr>
      <w:r>
        <w:rPr>
          <w:rFonts w:ascii="Times New Roman" w:hAnsi="Times New Roman" w:eastAsia="楷体_GB2312" w:cs="Times New Roman"/>
          <w:b/>
          <w:sz w:val="32"/>
          <w:szCs w:val="32"/>
        </w:rPr>
        <w:t>项目支出情况</w:t>
      </w:r>
    </w:p>
    <w:p>
      <w:pPr>
        <w:pStyle w:val="6"/>
        <w:keepNext w:val="0"/>
        <w:keepLines w:val="0"/>
        <w:pageBreakBefore w:val="0"/>
        <w:widowControl/>
        <w:kinsoku/>
        <w:wordWrap/>
        <w:overflowPunct/>
        <w:topLinePunct w:val="0"/>
        <w:autoSpaceDE/>
        <w:autoSpaceDN/>
        <w:bidi w:val="0"/>
        <w:spacing w:line="598" w:lineRule="exact"/>
        <w:ind w:firstLine="640" w:firstLineChars="0"/>
        <w:textAlignment w:val="auto"/>
        <w:rPr>
          <w:rFonts w:hint="default" w:ascii="Times New Roman" w:hAnsi="Times New Roman" w:eastAsia="仿宋" w:cs="Times New Roman"/>
          <w:sz w:val="32"/>
          <w:szCs w:val="32"/>
          <w:highlight w:val="none"/>
          <w:lang w:val="en-US" w:eastAsia="zh-CN"/>
        </w:rPr>
      </w:pPr>
      <w:r>
        <w:rPr>
          <w:rFonts w:hint="default" w:ascii="Times New Roman" w:hAnsi="Times New Roman" w:eastAsia="仿宋_GB2312" w:cs="Times New Roman"/>
          <w:bCs/>
          <w:sz w:val="32"/>
          <w:szCs w:val="32"/>
          <w:lang w:val="en-US" w:eastAsia="zh-CN"/>
        </w:rPr>
        <w:t>202</w:t>
      </w:r>
      <w:r>
        <w:rPr>
          <w:rFonts w:hint="eastAsia" w:ascii="Times New Roman" w:hAnsi="Times New Roman" w:eastAsia="仿宋_GB2312" w:cs="Times New Roman"/>
          <w:bCs/>
          <w:sz w:val="32"/>
          <w:szCs w:val="32"/>
          <w:lang w:val="en-US" w:eastAsia="zh-CN"/>
        </w:rPr>
        <w:t>1</w:t>
      </w:r>
      <w:r>
        <w:rPr>
          <w:rFonts w:hint="default" w:ascii="Times New Roman" w:hAnsi="Times New Roman" w:eastAsia="仿宋_GB2312" w:cs="Times New Roman"/>
          <w:bCs/>
          <w:sz w:val="32"/>
          <w:szCs w:val="32"/>
        </w:rPr>
        <w:t>年我馆一般公共预算支出</w:t>
      </w:r>
      <w:r>
        <w:rPr>
          <w:rFonts w:hint="default" w:ascii="Times New Roman" w:hAnsi="Times New Roman" w:eastAsia="仿宋_GB2312" w:cs="Times New Roman"/>
          <w:bCs/>
          <w:sz w:val="32"/>
          <w:szCs w:val="32"/>
          <w:lang w:eastAsia="zh-CN"/>
        </w:rPr>
        <w:t>中</w:t>
      </w:r>
      <w:r>
        <w:rPr>
          <w:rFonts w:hint="eastAsia" w:ascii="Times New Roman" w:hAnsi="Times New Roman" w:eastAsia="仿宋_GB2312" w:cs="Times New Roman"/>
          <w:bCs/>
          <w:sz w:val="32"/>
          <w:szCs w:val="32"/>
          <w:lang w:eastAsia="zh-CN"/>
        </w:rPr>
        <w:t>项目</w:t>
      </w:r>
      <w:r>
        <w:rPr>
          <w:rFonts w:hint="default" w:ascii="Times New Roman" w:hAnsi="Times New Roman" w:eastAsia="仿宋_GB2312" w:cs="Times New Roman"/>
          <w:bCs/>
          <w:sz w:val="32"/>
          <w:szCs w:val="32"/>
        </w:rPr>
        <w:t>支出预算总额为</w:t>
      </w:r>
      <w:r>
        <w:rPr>
          <w:rFonts w:hint="eastAsia" w:ascii="Times New Roman" w:hAnsi="Times New Roman" w:eastAsia="仿宋" w:cs="Times New Roman"/>
          <w:sz w:val="32"/>
          <w:szCs w:val="32"/>
          <w:highlight w:val="none"/>
          <w:lang w:val="en-US" w:eastAsia="zh-CN"/>
        </w:rPr>
        <w:t>6010.83</w:t>
      </w:r>
      <w:r>
        <w:rPr>
          <w:rFonts w:hint="default" w:ascii="Times New Roman" w:hAnsi="Times New Roman" w:eastAsia="仿宋" w:cs="Times New Roman"/>
          <w:sz w:val="32"/>
          <w:szCs w:val="32"/>
          <w:highlight w:val="none"/>
        </w:rPr>
        <w:t>万元</w:t>
      </w:r>
      <w:r>
        <w:rPr>
          <w:rFonts w:hint="eastAsia" w:ascii="Times New Roman" w:hAnsi="Times New Roman" w:eastAsia="仿宋" w:cs="Times New Roman"/>
          <w:sz w:val="32"/>
          <w:szCs w:val="32"/>
          <w:highlight w:val="none"/>
          <w:lang w:eastAsia="zh-CN"/>
        </w:rPr>
        <w:t>，</w:t>
      </w:r>
      <w:r>
        <w:rPr>
          <w:rFonts w:hint="default" w:ascii="Times New Roman" w:hAnsi="Times New Roman" w:eastAsia="仿宋" w:cs="Times New Roman"/>
          <w:sz w:val="32"/>
          <w:szCs w:val="32"/>
          <w:highlight w:val="none"/>
        </w:rPr>
        <w:t>其中，</w:t>
      </w:r>
      <w:r>
        <w:rPr>
          <w:rFonts w:hint="eastAsia" w:ascii="Times New Roman" w:hAnsi="Times New Roman" w:eastAsia="仿宋" w:cs="Times New Roman"/>
          <w:sz w:val="32"/>
          <w:szCs w:val="32"/>
          <w:highlight w:val="none"/>
          <w:lang w:eastAsia="zh-CN"/>
        </w:rPr>
        <w:t>财政拨款预算总额</w:t>
      </w:r>
      <w:r>
        <w:rPr>
          <w:rFonts w:hint="default" w:ascii="Times New Roman" w:hAnsi="Times New Roman" w:eastAsia="仿宋" w:cs="Times New Roman"/>
          <w:sz w:val="32"/>
          <w:szCs w:val="32"/>
          <w:highlight w:val="none"/>
          <w:lang w:val="en-US" w:eastAsia="zh-CN"/>
        </w:rPr>
        <w:t>5036.48</w:t>
      </w:r>
      <w:r>
        <w:rPr>
          <w:rFonts w:hint="eastAsia" w:ascii="Times New Roman" w:hAnsi="Times New Roman" w:eastAsia="仿宋" w:cs="Times New Roman"/>
          <w:sz w:val="32"/>
          <w:szCs w:val="32"/>
          <w:highlight w:val="none"/>
          <w:lang w:val="en-US" w:eastAsia="zh-CN"/>
        </w:rPr>
        <w:t>万元，非财政拨款预算总额974.35万元</w:t>
      </w:r>
      <w:r>
        <w:rPr>
          <w:rFonts w:hint="default" w:ascii="Times New Roman" w:hAnsi="Times New Roman" w:eastAsia="仿宋" w:cs="Times New Roman"/>
          <w:sz w:val="32"/>
          <w:szCs w:val="32"/>
          <w:highlight w:val="none"/>
          <w:lang w:val="en-US" w:eastAsia="zh-CN"/>
        </w:rPr>
        <w:t>。</w:t>
      </w:r>
      <w:r>
        <w:rPr>
          <w:rFonts w:hint="eastAsia" w:ascii="Times New Roman" w:hAnsi="Times New Roman" w:eastAsia="仿宋_GB2312" w:cs="Times New Roman"/>
          <w:bCs/>
          <w:sz w:val="32"/>
          <w:szCs w:val="32"/>
          <w:lang w:val="en-US" w:eastAsia="zh-CN"/>
        </w:rPr>
        <w:t>全年实际支出</w:t>
      </w:r>
      <w:r>
        <w:rPr>
          <w:rFonts w:hint="eastAsia" w:ascii="Times New Roman" w:hAnsi="Times New Roman" w:eastAsia="仿宋" w:cs="Times New Roman"/>
          <w:kern w:val="2"/>
          <w:sz w:val="32"/>
          <w:szCs w:val="32"/>
          <w:lang w:val="en-US" w:eastAsia="zh-CN" w:bidi="ar-SA"/>
        </w:rPr>
        <w:t>4242.44万元，资金完成率达70.58%。具体项目情况如下：</w:t>
      </w:r>
    </w:p>
    <w:p>
      <w:pPr>
        <w:pStyle w:val="6"/>
        <w:keepNext w:val="0"/>
        <w:keepLines w:val="0"/>
        <w:pageBreakBefore w:val="0"/>
        <w:widowControl/>
        <w:kinsoku/>
        <w:wordWrap/>
        <w:overflowPunct/>
        <w:topLinePunct w:val="0"/>
        <w:autoSpaceDE/>
        <w:autoSpaceDN/>
        <w:bidi w:val="0"/>
        <w:spacing w:line="598" w:lineRule="exact"/>
        <w:ind w:firstLine="640" w:firstLineChars="0"/>
        <w:textAlignment w:val="auto"/>
        <w:rPr>
          <w:rFonts w:hint="default" w:ascii="Times New Roman" w:hAnsi="Times New Roman" w:eastAsia="仿宋" w:cs="Times New Roman"/>
          <w:sz w:val="32"/>
          <w:szCs w:val="32"/>
          <w:highlight w:val="none"/>
          <w:lang w:val="en-US" w:eastAsia="zh-CN"/>
        </w:rPr>
      </w:pPr>
      <w:r>
        <w:rPr>
          <w:rFonts w:hint="eastAsia" w:ascii="Times New Roman" w:hAnsi="Times New Roman" w:eastAsia="仿宋" w:cs="Times New Roman"/>
          <w:sz w:val="32"/>
          <w:szCs w:val="32"/>
          <w:highlight w:val="none"/>
          <w:lang w:val="en-US" w:eastAsia="zh-CN"/>
        </w:rPr>
        <w:t>1.财政拨款项目支出情况</w:t>
      </w:r>
    </w:p>
    <w:p>
      <w:pPr>
        <w:keepNext w:val="0"/>
        <w:keepLines w:val="0"/>
        <w:pageBreakBefore w:val="0"/>
        <w:kinsoku/>
        <w:wordWrap/>
        <w:overflowPunct/>
        <w:topLinePunct w:val="0"/>
        <w:autoSpaceDE/>
        <w:autoSpaceDN/>
        <w:bidi w:val="0"/>
        <w:adjustRightInd w:val="0"/>
        <w:snapToGrid w:val="0"/>
        <w:spacing w:line="598" w:lineRule="exact"/>
        <w:ind w:firstLine="640" w:firstLineChars="200"/>
        <w:textAlignment w:val="auto"/>
        <w:rPr>
          <w:rFonts w:hint="default" w:ascii="Times New Roman" w:hAnsi="Times New Roman" w:eastAsia="仿宋" w:cs="Times New Roman"/>
          <w:sz w:val="32"/>
          <w:szCs w:val="32"/>
          <w:highlight w:val="none"/>
          <w:lang w:val="en-US" w:eastAsia="zh-CN"/>
        </w:rPr>
      </w:pPr>
      <w:r>
        <w:rPr>
          <w:rFonts w:hint="eastAsia" w:ascii="Times New Roman" w:hAnsi="Times New Roman" w:eastAsia="仿宋" w:cs="Times New Roman"/>
          <w:kern w:val="2"/>
          <w:sz w:val="32"/>
          <w:szCs w:val="32"/>
          <w:highlight w:val="none"/>
          <w:lang w:val="en-US" w:eastAsia="zh-CN" w:bidi="ar-SA"/>
        </w:rPr>
        <w:t>（1）</w:t>
      </w:r>
      <w:r>
        <w:rPr>
          <w:rFonts w:hint="default" w:ascii="Times New Roman" w:hAnsi="Times New Roman" w:eastAsia="仿宋" w:cs="Times New Roman"/>
          <w:kern w:val="2"/>
          <w:sz w:val="32"/>
          <w:szCs w:val="32"/>
          <w:highlight w:val="none"/>
          <w:lang w:val="en-US" w:eastAsia="zh-CN" w:bidi="ar-SA"/>
        </w:rPr>
        <w:t>纪念馆安防工程专项资金133万元，用于升级改造两馆安防系统。2021年实际支</w:t>
      </w:r>
      <w:r>
        <w:rPr>
          <w:rFonts w:hint="eastAsia" w:ascii="Times New Roman" w:hAnsi="Times New Roman" w:eastAsia="仿宋" w:cs="Times New Roman"/>
          <w:kern w:val="2"/>
          <w:sz w:val="32"/>
          <w:szCs w:val="32"/>
          <w:highlight w:val="none"/>
          <w:lang w:val="en-US" w:eastAsia="zh-CN" w:bidi="ar-SA"/>
        </w:rPr>
        <w:t>出</w:t>
      </w:r>
      <w:r>
        <w:rPr>
          <w:rFonts w:hint="default" w:ascii="Times New Roman" w:hAnsi="Times New Roman" w:eastAsia="仿宋" w:cs="Times New Roman"/>
          <w:kern w:val="2"/>
          <w:sz w:val="32"/>
          <w:szCs w:val="32"/>
          <w:highlight w:val="none"/>
          <w:lang w:val="en-US" w:eastAsia="zh-CN" w:bidi="ar-SA"/>
        </w:rPr>
        <w:t>0万元，资金完成率达0%。</w:t>
      </w:r>
    </w:p>
    <w:p>
      <w:pPr>
        <w:keepNext w:val="0"/>
        <w:keepLines w:val="0"/>
        <w:pageBreakBefore w:val="0"/>
        <w:kinsoku/>
        <w:wordWrap/>
        <w:overflowPunct/>
        <w:topLinePunct w:val="0"/>
        <w:autoSpaceDE/>
        <w:autoSpaceDN/>
        <w:bidi w:val="0"/>
        <w:adjustRightInd w:val="0"/>
        <w:snapToGrid w:val="0"/>
        <w:spacing w:line="598" w:lineRule="exact"/>
        <w:ind w:firstLine="640" w:firstLineChars="200"/>
        <w:textAlignment w:val="auto"/>
        <w:rPr>
          <w:rFonts w:hint="default" w:ascii="Times New Roman" w:hAnsi="Times New Roman" w:eastAsia="仿宋" w:cs="Times New Roman"/>
          <w:sz w:val="32"/>
          <w:szCs w:val="32"/>
          <w:highlight w:val="none"/>
        </w:rPr>
      </w:pPr>
      <w:r>
        <w:rPr>
          <w:rFonts w:hint="eastAsia" w:ascii="Times New Roman" w:hAnsi="Times New Roman" w:eastAsia="仿宋" w:cs="Times New Roman"/>
          <w:sz w:val="32"/>
          <w:szCs w:val="32"/>
          <w:highlight w:val="none"/>
          <w:lang w:val="en-US" w:eastAsia="zh-CN"/>
        </w:rPr>
        <w:t>（2）</w:t>
      </w:r>
      <w:r>
        <w:rPr>
          <w:rFonts w:hint="default" w:ascii="Times New Roman" w:hAnsi="Times New Roman" w:eastAsia="仿宋" w:cs="Times New Roman"/>
          <w:sz w:val="32"/>
          <w:szCs w:val="32"/>
          <w:highlight w:val="none"/>
          <w:lang w:val="en-US" w:eastAsia="zh-CN"/>
        </w:rPr>
        <w:t>文化产业发展专项资金182.77万元，其中，上年结转132.77万元，本年安排50万元，用于红色基因库建设。2021年实际支</w:t>
      </w:r>
      <w:r>
        <w:rPr>
          <w:rFonts w:hint="eastAsia" w:ascii="Times New Roman" w:hAnsi="Times New Roman" w:eastAsia="仿宋" w:cs="Times New Roman"/>
          <w:sz w:val="32"/>
          <w:szCs w:val="32"/>
          <w:highlight w:val="none"/>
          <w:lang w:val="en-US" w:eastAsia="zh-CN"/>
        </w:rPr>
        <w:t>出</w:t>
      </w:r>
      <w:r>
        <w:rPr>
          <w:rFonts w:hint="default" w:ascii="Times New Roman" w:hAnsi="Times New Roman" w:eastAsia="仿宋" w:cs="Times New Roman"/>
          <w:sz w:val="32"/>
          <w:szCs w:val="32"/>
          <w:highlight w:val="none"/>
          <w:lang w:val="en-US" w:eastAsia="zh-CN"/>
        </w:rPr>
        <w:t>146.45万元，</w:t>
      </w:r>
      <w:r>
        <w:rPr>
          <w:rFonts w:hint="default" w:ascii="Times New Roman" w:hAnsi="Times New Roman" w:eastAsia="仿宋" w:cs="Times New Roman"/>
          <w:sz w:val="32"/>
          <w:szCs w:val="32"/>
          <w:highlight w:val="none"/>
        </w:rPr>
        <w:t>资金完成率达</w:t>
      </w:r>
      <w:r>
        <w:rPr>
          <w:rFonts w:hint="default" w:ascii="Times New Roman" w:hAnsi="Times New Roman" w:eastAsia="仿宋" w:cs="Times New Roman"/>
          <w:sz w:val="32"/>
          <w:szCs w:val="32"/>
          <w:highlight w:val="none"/>
          <w:lang w:val="en-US" w:eastAsia="zh-CN"/>
        </w:rPr>
        <w:t>80.13</w:t>
      </w:r>
      <w:r>
        <w:rPr>
          <w:rFonts w:hint="default" w:ascii="Times New Roman" w:hAnsi="Times New Roman" w:eastAsia="仿宋" w:cs="Times New Roman"/>
          <w:sz w:val="32"/>
          <w:szCs w:val="32"/>
          <w:highlight w:val="none"/>
        </w:rPr>
        <w:t>%。</w:t>
      </w:r>
    </w:p>
    <w:p>
      <w:pPr>
        <w:keepNext w:val="0"/>
        <w:keepLines w:val="0"/>
        <w:pageBreakBefore w:val="0"/>
        <w:widowControl w:val="0"/>
        <w:tabs>
          <w:tab w:val="left" w:pos="779"/>
        </w:tabs>
        <w:kinsoku/>
        <w:wordWrap/>
        <w:overflowPunct/>
        <w:topLinePunct w:val="0"/>
        <w:autoSpaceDE/>
        <w:autoSpaceDN/>
        <w:bidi w:val="0"/>
        <w:adjustRightInd/>
        <w:snapToGrid/>
        <w:spacing w:line="598" w:lineRule="exact"/>
        <w:ind w:firstLine="640" w:firstLineChars="200"/>
        <w:textAlignment w:val="auto"/>
        <w:rPr>
          <w:rFonts w:hint="default" w:ascii="Times New Roman" w:hAnsi="Times New Roman" w:eastAsia="仿宋" w:cs="Times New Roman"/>
          <w:sz w:val="32"/>
          <w:szCs w:val="32"/>
          <w:highlight w:val="none"/>
          <w:lang w:eastAsia="zh-CN"/>
        </w:rPr>
      </w:pPr>
      <w:r>
        <w:rPr>
          <w:rFonts w:hint="eastAsia" w:ascii="Times New Roman" w:hAnsi="Times New Roman" w:eastAsia="仿宋" w:cs="Times New Roman"/>
          <w:sz w:val="32"/>
          <w:szCs w:val="32"/>
          <w:highlight w:val="none"/>
          <w:lang w:val="en-US" w:eastAsia="zh-CN"/>
        </w:rPr>
        <w:t>（3）</w:t>
      </w:r>
      <w:r>
        <w:rPr>
          <w:rFonts w:hint="default" w:ascii="Times New Roman" w:hAnsi="Times New Roman" w:eastAsia="仿宋" w:cs="Times New Roman"/>
          <w:sz w:val="32"/>
          <w:szCs w:val="32"/>
          <w:highlight w:val="none"/>
          <w:lang w:val="en-US" w:eastAsia="zh-CN"/>
        </w:rPr>
        <w:t>博物馆纪念馆逐步免费开放补助</w:t>
      </w:r>
      <w:r>
        <w:rPr>
          <w:rFonts w:hint="default" w:ascii="Times New Roman" w:hAnsi="Times New Roman" w:eastAsia="仿宋" w:cs="Times New Roman"/>
          <w:sz w:val="32"/>
          <w:szCs w:val="32"/>
          <w:highlight w:val="none"/>
          <w:lang w:eastAsia="zh-CN"/>
        </w:rPr>
        <w:t>资金</w:t>
      </w:r>
      <w:r>
        <w:rPr>
          <w:rFonts w:hint="default" w:ascii="Times New Roman" w:hAnsi="Times New Roman" w:eastAsia="仿宋" w:cs="Times New Roman"/>
          <w:sz w:val="32"/>
          <w:szCs w:val="32"/>
          <w:highlight w:val="none"/>
          <w:lang w:val="en-US" w:eastAsia="zh-CN"/>
        </w:rPr>
        <w:t>3842.9万元</w:t>
      </w:r>
      <w:r>
        <w:rPr>
          <w:rFonts w:hint="default" w:ascii="Times New Roman" w:hAnsi="Times New Roman" w:eastAsia="仿宋" w:cs="Times New Roman"/>
          <w:sz w:val="32"/>
          <w:szCs w:val="32"/>
          <w:highlight w:val="none"/>
          <w:lang w:eastAsia="zh-CN"/>
        </w:rPr>
        <w:t>，用于维持馆内正常运转。</w:t>
      </w:r>
      <w:r>
        <w:rPr>
          <w:rFonts w:hint="default" w:ascii="Times New Roman" w:hAnsi="Times New Roman" w:eastAsia="仿宋" w:cs="Times New Roman"/>
          <w:sz w:val="32"/>
          <w:szCs w:val="32"/>
          <w:highlight w:val="none"/>
          <w:lang w:val="en-US" w:eastAsia="zh-CN"/>
        </w:rPr>
        <w:t>2021年实际支</w:t>
      </w:r>
      <w:r>
        <w:rPr>
          <w:rFonts w:hint="eastAsia" w:ascii="Times New Roman" w:hAnsi="Times New Roman" w:eastAsia="仿宋" w:cs="Times New Roman"/>
          <w:sz w:val="32"/>
          <w:szCs w:val="32"/>
          <w:highlight w:val="none"/>
          <w:lang w:val="en-US" w:eastAsia="zh-CN"/>
        </w:rPr>
        <w:t>出</w:t>
      </w:r>
      <w:r>
        <w:rPr>
          <w:rFonts w:hint="default" w:ascii="Times New Roman" w:hAnsi="Times New Roman" w:eastAsia="仿宋" w:cs="Times New Roman"/>
          <w:sz w:val="32"/>
          <w:szCs w:val="32"/>
          <w:highlight w:val="none"/>
          <w:lang w:val="en-US" w:eastAsia="zh-CN"/>
        </w:rPr>
        <w:t>3047.69万元，</w:t>
      </w:r>
      <w:r>
        <w:rPr>
          <w:rFonts w:hint="default" w:ascii="Times New Roman" w:hAnsi="Times New Roman" w:eastAsia="仿宋" w:cs="Times New Roman"/>
          <w:sz w:val="32"/>
          <w:szCs w:val="32"/>
          <w:highlight w:val="none"/>
        </w:rPr>
        <w:t>资金完成率达</w:t>
      </w:r>
      <w:r>
        <w:rPr>
          <w:rFonts w:hint="default" w:ascii="Times New Roman" w:hAnsi="Times New Roman" w:eastAsia="仿宋" w:cs="Times New Roman"/>
          <w:sz w:val="32"/>
          <w:szCs w:val="32"/>
          <w:highlight w:val="none"/>
          <w:lang w:val="en-US" w:eastAsia="zh-CN"/>
        </w:rPr>
        <w:t>79.31</w:t>
      </w:r>
      <w:r>
        <w:rPr>
          <w:rFonts w:hint="default" w:ascii="Times New Roman" w:hAnsi="Times New Roman" w:eastAsia="仿宋" w:cs="Times New Roman"/>
          <w:sz w:val="32"/>
          <w:szCs w:val="32"/>
          <w:highlight w:val="none"/>
        </w:rPr>
        <w:t>%。</w:t>
      </w:r>
    </w:p>
    <w:p>
      <w:pPr>
        <w:keepNext w:val="0"/>
        <w:keepLines w:val="0"/>
        <w:pageBreakBefore w:val="0"/>
        <w:tabs>
          <w:tab w:val="left" w:pos="8280"/>
        </w:tabs>
        <w:kinsoku/>
        <w:wordWrap/>
        <w:overflowPunct/>
        <w:topLinePunct w:val="0"/>
        <w:autoSpaceDE/>
        <w:autoSpaceDN/>
        <w:bidi w:val="0"/>
        <w:spacing w:line="598" w:lineRule="exact"/>
        <w:ind w:firstLine="640" w:firstLineChars="200"/>
        <w:textAlignment w:val="auto"/>
        <w:rPr>
          <w:rFonts w:hint="default" w:ascii="Times New Roman" w:hAnsi="Times New Roman" w:eastAsia="仿宋" w:cs="Times New Roman"/>
          <w:sz w:val="32"/>
          <w:szCs w:val="32"/>
        </w:rPr>
      </w:pPr>
      <w:r>
        <w:rPr>
          <w:rFonts w:hint="eastAsia" w:ascii="Times New Roman" w:hAnsi="Times New Roman" w:eastAsia="仿宋" w:cs="Times New Roman"/>
          <w:sz w:val="32"/>
          <w:szCs w:val="32"/>
          <w:highlight w:val="none"/>
          <w:lang w:val="en-US" w:eastAsia="zh-CN"/>
        </w:rPr>
        <w:t>（4）</w:t>
      </w:r>
      <w:r>
        <w:rPr>
          <w:rFonts w:hint="default" w:ascii="Times New Roman" w:hAnsi="Times New Roman" w:eastAsia="仿宋" w:cs="Times New Roman"/>
          <w:sz w:val="32"/>
          <w:szCs w:val="32"/>
          <w:highlight w:val="none"/>
        </w:rPr>
        <w:t>韶山毛主席旧居之旧居、南岸私塾安防工程</w:t>
      </w:r>
      <w:r>
        <w:rPr>
          <w:rFonts w:hint="default" w:ascii="Times New Roman" w:hAnsi="Times New Roman" w:eastAsia="仿宋" w:cs="Times New Roman"/>
          <w:sz w:val="32"/>
          <w:szCs w:val="32"/>
          <w:highlight w:val="none"/>
          <w:lang w:eastAsia="zh-CN"/>
        </w:rPr>
        <w:t>专项资金</w:t>
      </w:r>
      <w:r>
        <w:rPr>
          <w:rFonts w:hint="default" w:ascii="Times New Roman" w:hAnsi="Times New Roman" w:eastAsia="仿宋" w:cs="Times New Roman"/>
          <w:sz w:val="32"/>
          <w:szCs w:val="32"/>
          <w:highlight w:val="none"/>
          <w:lang w:val="en-US" w:eastAsia="zh-CN"/>
        </w:rPr>
        <w:t>130万元，</w:t>
      </w:r>
      <w:r>
        <w:rPr>
          <w:rFonts w:hint="default" w:ascii="Times New Roman" w:hAnsi="Times New Roman" w:eastAsia="仿宋" w:cs="Times New Roman"/>
          <w:sz w:val="32"/>
          <w:szCs w:val="32"/>
          <w:lang w:val="en-US" w:eastAsia="zh-CN"/>
        </w:rPr>
        <w:t>用于升级改造故居及南岸私塾安防系统。</w:t>
      </w:r>
      <w:r>
        <w:rPr>
          <w:rFonts w:hint="default" w:ascii="Times New Roman" w:hAnsi="Times New Roman" w:eastAsia="仿宋" w:cs="Times New Roman"/>
          <w:kern w:val="2"/>
          <w:sz w:val="32"/>
          <w:szCs w:val="32"/>
          <w:highlight w:val="none"/>
          <w:lang w:val="en-US" w:eastAsia="zh-CN" w:bidi="ar-SA"/>
        </w:rPr>
        <w:t>2021年实际</w:t>
      </w:r>
      <w:r>
        <w:rPr>
          <w:rFonts w:hint="default" w:ascii="Times New Roman" w:hAnsi="Times New Roman" w:eastAsia="仿宋" w:cs="Times New Roman"/>
          <w:sz w:val="32"/>
          <w:szCs w:val="32"/>
          <w:highlight w:val="none"/>
          <w:lang w:val="en-US" w:eastAsia="zh-CN"/>
        </w:rPr>
        <w:t>支</w:t>
      </w:r>
      <w:r>
        <w:rPr>
          <w:rFonts w:hint="eastAsia" w:ascii="Times New Roman" w:hAnsi="Times New Roman" w:eastAsia="仿宋" w:cs="Times New Roman"/>
          <w:sz w:val="32"/>
          <w:szCs w:val="32"/>
          <w:highlight w:val="none"/>
          <w:lang w:val="en-US" w:eastAsia="zh-CN"/>
        </w:rPr>
        <w:t>出</w:t>
      </w:r>
      <w:r>
        <w:rPr>
          <w:rFonts w:hint="default" w:ascii="Times New Roman" w:hAnsi="Times New Roman" w:eastAsia="仿宋" w:cs="Times New Roman"/>
          <w:kern w:val="2"/>
          <w:sz w:val="32"/>
          <w:szCs w:val="32"/>
          <w:highlight w:val="none"/>
          <w:lang w:val="en-US" w:eastAsia="zh-CN" w:bidi="ar-SA"/>
        </w:rPr>
        <w:t>0万元，资金完成率达0%。</w:t>
      </w:r>
    </w:p>
    <w:p>
      <w:pPr>
        <w:keepNext w:val="0"/>
        <w:keepLines w:val="0"/>
        <w:pageBreakBefore w:val="0"/>
        <w:tabs>
          <w:tab w:val="left" w:pos="8280"/>
        </w:tabs>
        <w:kinsoku/>
        <w:wordWrap/>
        <w:overflowPunct/>
        <w:topLinePunct w:val="0"/>
        <w:autoSpaceDE/>
        <w:autoSpaceDN/>
        <w:bidi w:val="0"/>
        <w:spacing w:line="598" w:lineRule="exact"/>
        <w:ind w:firstLine="640" w:firstLineChars="200"/>
        <w:textAlignment w:val="auto"/>
        <w:rPr>
          <w:rFonts w:hint="default" w:ascii="Times New Roman" w:hAnsi="Times New Roman" w:eastAsia="仿宋" w:cs="Times New Roman"/>
          <w:sz w:val="32"/>
          <w:szCs w:val="32"/>
          <w:highlight w:val="yellow"/>
          <w:lang w:val="en-US" w:eastAsia="zh-CN"/>
        </w:rPr>
      </w:pPr>
      <w:r>
        <w:rPr>
          <w:rFonts w:hint="eastAsia" w:ascii="Times New Roman" w:hAnsi="Times New Roman" w:eastAsia="仿宋" w:cs="Times New Roman"/>
          <w:sz w:val="32"/>
          <w:szCs w:val="32"/>
          <w:highlight w:val="none"/>
          <w:lang w:val="en-US" w:eastAsia="zh-CN"/>
        </w:rPr>
        <w:t>（5）</w:t>
      </w:r>
      <w:r>
        <w:rPr>
          <w:rFonts w:hint="default" w:ascii="Times New Roman" w:hAnsi="Times New Roman" w:eastAsia="仿宋" w:cs="Times New Roman"/>
          <w:sz w:val="32"/>
          <w:szCs w:val="32"/>
          <w:highlight w:val="none"/>
        </w:rPr>
        <w:t>韶山冲毛主席旧居修缮</w:t>
      </w:r>
      <w:r>
        <w:rPr>
          <w:rFonts w:hint="default" w:ascii="Times New Roman" w:hAnsi="Times New Roman" w:eastAsia="仿宋" w:cs="Times New Roman"/>
          <w:sz w:val="32"/>
          <w:szCs w:val="32"/>
          <w:highlight w:val="none"/>
          <w:lang w:eastAsia="zh-CN"/>
        </w:rPr>
        <w:t>工程专项资金</w:t>
      </w:r>
      <w:r>
        <w:rPr>
          <w:rFonts w:hint="default" w:ascii="Times New Roman" w:hAnsi="Times New Roman" w:eastAsia="仿宋" w:cs="Times New Roman"/>
          <w:sz w:val="32"/>
          <w:szCs w:val="32"/>
          <w:highlight w:val="none"/>
          <w:lang w:val="en-US" w:eastAsia="zh-CN"/>
        </w:rPr>
        <w:t>563.58万元，</w:t>
      </w:r>
      <w:r>
        <w:rPr>
          <w:rFonts w:hint="default" w:ascii="Times New Roman" w:hAnsi="Times New Roman" w:eastAsia="仿宋" w:cs="Times New Roman"/>
          <w:sz w:val="32"/>
          <w:szCs w:val="32"/>
          <w:highlight w:val="none"/>
          <w:lang w:eastAsia="zh-CN"/>
        </w:rPr>
        <w:t>用于</w:t>
      </w:r>
      <w:r>
        <w:rPr>
          <w:rFonts w:hint="default" w:ascii="Times New Roman" w:hAnsi="Times New Roman" w:eastAsia="仿宋" w:cs="Times New Roman"/>
          <w:sz w:val="32"/>
          <w:szCs w:val="32"/>
          <w:highlight w:val="none"/>
        </w:rPr>
        <w:t>毛泽东同志故居、南岸、毛</w:t>
      </w:r>
      <w:r>
        <w:rPr>
          <w:rFonts w:hint="default" w:ascii="Times New Roman" w:hAnsi="Times New Roman" w:eastAsia="仿宋" w:cs="Times New Roman"/>
          <w:sz w:val="32"/>
          <w:szCs w:val="32"/>
        </w:rPr>
        <w:t>氏宗祠、毛鉴宗祠、毛震公祠</w:t>
      </w:r>
      <w:r>
        <w:rPr>
          <w:rFonts w:hint="eastAsia" w:ascii="Times New Roman" w:hAnsi="Times New Roman" w:eastAsia="仿宋" w:cs="Times New Roman"/>
          <w:sz w:val="32"/>
          <w:szCs w:val="32"/>
          <w:lang w:val="en-US" w:eastAsia="zh-CN"/>
        </w:rPr>
        <w:t>、故园一号楼、滴水洞一号楼等7</w:t>
      </w:r>
      <w:r>
        <w:rPr>
          <w:rFonts w:hint="default" w:ascii="Times New Roman" w:hAnsi="Times New Roman" w:eastAsia="仿宋" w:cs="Times New Roman"/>
          <w:sz w:val="32"/>
          <w:szCs w:val="32"/>
          <w:lang w:val="en-US" w:eastAsia="zh-CN"/>
        </w:rPr>
        <w:t>处</w:t>
      </w:r>
      <w:r>
        <w:rPr>
          <w:rFonts w:hint="default" w:ascii="Times New Roman" w:hAnsi="Times New Roman" w:eastAsia="仿宋" w:cs="Times New Roman"/>
          <w:sz w:val="32"/>
          <w:szCs w:val="32"/>
        </w:rPr>
        <w:t>文物本体的加固</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修缮</w:t>
      </w:r>
      <w:r>
        <w:rPr>
          <w:rFonts w:hint="default" w:ascii="Times New Roman" w:hAnsi="Times New Roman" w:eastAsia="仿宋" w:cs="Times New Roman"/>
          <w:sz w:val="32"/>
          <w:szCs w:val="32"/>
          <w:lang w:eastAsia="zh-CN"/>
        </w:rPr>
        <w:t>和</w:t>
      </w:r>
      <w:r>
        <w:rPr>
          <w:rFonts w:hint="default" w:ascii="Times New Roman" w:hAnsi="Times New Roman" w:eastAsia="仿宋" w:cs="Times New Roman"/>
          <w:sz w:val="32"/>
          <w:szCs w:val="32"/>
        </w:rPr>
        <w:t>完善周边设施，</w:t>
      </w:r>
      <w:r>
        <w:rPr>
          <w:rFonts w:hint="default" w:ascii="Times New Roman" w:hAnsi="Times New Roman" w:eastAsia="仿宋" w:cs="Times New Roman"/>
          <w:sz w:val="32"/>
          <w:szCs w:val="32"/>
          <w:lang w:val="en-US" w:eastAsia="zh-CN"/>
        </w:rPr>
        <w:t>2021年</w:t>
      </w:r>
      <w:r>
        <w:rPr>
          <w:rFonts w:hint="default" w:ascii="Times New Roman" w:hAnsi="Times New Roman" w:eastAsia="仿宋" w:cs="Times New Roman"/>
          <w:sz w:val="32"/>
          <w:szCs w:val="32"/>
        </w:rPr>
        <w:t>实际</w:t>
      </w:r>
      <w:r>
        <w:rPr>
          <w:rFonts w:hint="default" w:ascii="Times New Roman" w:hAnsi="Times New Roman" w:eastAsia="仿宋" w:cs="Times New Roman"/>
          <w:sz w:val="32"/>
          <w:szCs w:val="32"/>
          <w:highlight w:val="none"/>
          <w:lang w:val="en-US" w:eastAsia="zh-CN"/>
        </w:rPr>
        <w:t>支</w:t>
      </w:r>
      <w:r>
        <w:rPr>
          <w:rFonts w:hint="eastAsia" w:ascii="Times New Roman" w:hAnsi="Times New Roman" w:eastAsia="仿宋" w:cs="Times New Roman"/>
          <w:sz w:val="32"/>
          <w:szCs w:val="32"/>
          <w:highlight w:val="none"/>
          <w:lang w:val="en-US" w:eastAsia="zh-CN"/>
        </w:rPr>
        <w:t>出</w:t>
      </w:r>
      <w:r>
        <w:rPr>
          <w:rFonts w:hint="default" w:ascii="Times New Roman" w:hAnsi="Times New Roman" w:eastAsia="仿宋" w:cs="Times New Roman"/>
          <w:sz w:val="32"/>
          <w:szCs w:val="32"/>
          <w:lang w:val="en-US" w:eastAsia="zh-CN"/>
        </w:rPr>
        <w:t>198.25</w:t>
      </w:r>
      <w:r>
        <w:rPr>
          <w:rFonts w:hint="default" w:ascii="Times New Roman" w:hAnsi="Times New Roman" w:eastAsia="仿宋" w:cs="Times New Roman"/>
          <w:sz w:val="32"/>
          <w:szCs w:val="32"/>
        </w:rPr>
        <w:t>万元，资金完成率达</w:t>
      </w:r>
      <w:r>
        <w:rPr>
          <w:rFonts w:hint="default" w:ascii="Times New Roman" w:hAnsi="Times New Roman" w:eastAsia="仿宋" w:cs="Times New Roman"/>
          <w:sz w:val="32"/>
          <w:szCs w:val="32"/>
          <w:lang w:val="en-US" w:eastAsia="zh-CN"/>
        </w:rPr>
        <w:t>35.18</w:t>
      </w:r>
      <w:r>
        <w:rPr>
          <w:rFonts w:hint="default" w:ascii="Times New Roman" w:hAnsi="Times New Roman" w:eastAsia="仿宋" w:cs="Times New Roman"/>
          <w:sz w:val="32"/>
          <w:szCs w:val="32"/>
        </w:rPr>
        <w:t>%。</w:t>
      </w:r>
    </w:p>
    <w:p>
      <w:pPr>
        <w:pStyle w:val="6"/>
        <w:keepNext w:val="0"/>
        <w:keepLines w:val="0"/>
        <w:pageBreakBefore w:val="0"/>
        <w:widowControl/>
        <w:kinsoku/>
        <w:wordWrap/>
        <w:overflowPunct/>
        <w:topLinePunct w:val="0"/>
        <w:autoSpaceDE/>
        <w:autoSpaceDN/>
        <w:bidi w:val="0"/>
        <w:spacing w:line="598" w:lineRule="exact"/>
        <w:ind w:firstLine="640"/>
        <w:textAlignment w:val="auto"/>
        <w:rPr>
          <w:rFonts w:hint="default"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中央支持地方公共文化服务体系建设绩效奖励</w:t>
      </w:r>
      <w:r>
        <w:rPr>
          <w:rFonts w:hint="default" w:ascii="Times New Roman" w:hAnsi="Times New Roman" w:eastAsia="仿宋" w:cs="Times New Roman"/>
          <w:sz w:val="32"/>
          <w:szCs w:val="32"/>
          <w:lang w:eastAsia="zh-CN"/>
        </w:rPr>
        <w:t>专项资金</w:t>
      </w:r>
      <w:r>
        <w:rPr>
          <w:rFonts w:hint="default" w:ascii="Times New Roman" w:hAnsi="Times New Roman" w:eastAsia="仿宋" w:cs="Times New Roman"/>
          <w:sz w:val="32"/>
          <w:szCs w:val="32"/>
          <w:lang w:val="en-US" w:eastAsia="zh-CN"/>
        </w:rPr>
        <w:t>184.23万元，</w:t>
      </w:r>
      <w:r>
        <w:rPr>
          <w:rFonts w:hint="default" w:ascii="Times New Roman" w:hAnsi="Times New Roman" w:eastAsia="仿宋" w:cs="Times New Roman"/>
          <w:sz w:val="32"/>
          <w:szCs w:val="32"/>
        </w:rPr>
        <w:t>是给予我馆</w:t>
      </w:r>
      <w:r>
        <w:rPr>
          <w:rFonts w:hint="default" w:ascii="Times New Roman" w:hAnsi="Times New Roman" w:eastAsia="仿宋" w:cs="Times New Roman"/>
          <w:sz w:val="32"/>
          <w:szCs w:val="32"/>
          <w:lang w:eastAsia="zh-CN"/>
        </w:rPr>
        <w:t>上年</w:t>
      </w:r>
      <w:r>
        <w:rPr>
          <w:rFonts w:hint="default" w:ascii="Times New Roman" w:hAnsi="Times New Roman" w:eastAsia="仿宋" w:cs="Times New Roman"/>
          <w:sz w:val="32"/>
          <w:szCs w:val="32"/>
        </w:rPr>
        <w:t>免费开放运行工作</w:t>
      </w:r>
      <w:r>
        <w:rPr>
          <w:rFonts w:hint="default" w:ascii="Times New Roman" w:hAnsi="Times New Roman" w:eastAsia="仿宋" w:cs="Times New Roman"/>
          <w:sz w:val="32"/>
          <w:szCs w:val="32"/>
          <w:highlight w:val="none"/>
        </w:rPr>
        <w:t>的</w:t>
      </w:r>
      <w:r>
        <w:rPr>
          <w:rFonts w:hint="default" w:ascii="Times New Roman" w:hAnsi="Times New Roman" w:eastAsia="仿宋" w:cs="Times New Roman"/>
          <w:sz w:val="32"/>
          <w:szCs w:val="32"/>
          <w:highlight w:val="none"/>
          <w:lang w:eastAsia="zh-CN"/>
        </w:rPr>
        <w:t>绩效</w:t>
      </w:r>
      <w:r>
        <w:rPr>
          <w:rFonts w:hint="default" w:ascii="Times New Roman" w:hAnsi="Times New Roman" w:eastAsia="仿宋" w:cs="Times New Roman"/>
          <w:sz w:val="32"/>
          <w:szCs w:val="32"/>
          <w:highlight w:val="none"/>
        </w:rPr>
        <w:t>奖励，</w:t>
      </w:r>
      <w:r>
        <w:rPr>
          <w:rFonts w:hint="default" w:ascii="Times New Roman" w:hAnsi="Times New Roman" w:eastAsia="仿宋" w:cs="Times New Roman"/>
          <w:sz w:val="32"/>
          <w:szCs w:val="32"/>
          <w:highlight w:val="none"/>
          <w:lang w:eastAsia="zh-CN"/>
        </w:rPr>
        <w:t>政策要求</w:t>
      </w:r>
      <w:r>
        <w:rPr>
          <w:rFonts w:hint="default" w:ascii="Times New Roman" w:hAnsi="Times New Roman" w:eastAsia="仿宋" w:cs="Times New Roman"/>
          <w:sz w:val="32"/>
          <w:szCs w:val="32"/>
        </w:rPr>
        <w:t>用于全馆公共运行，全年实际</w:t>
      </w:r>
      <w:r>
        <w:rPr>
          <w:rFonts w:hint="default" w:ascii="Times New Roman" w:hAnsi="Times New Roman" w:eastAsia="仿宋" w:cs="Times New Roman"/>
          <w:sz w:val="32"/>
          <w:szCs w:val="32"/>
          <w:highlight w:val="none"/>
          <w:lang w:val="en-US" w:eastAsia="zh-CN"/>
        </w:rPr>
        <w:t>支</w:t>
      </w:r>
      <w:r>
        <w:rPr>
          <w:rFonts w:hint="eastAsia" w:ascii="Times New Roman" w:hAnsi="Times New Roman" w:eastAsia="仿宋" w:cs="Times New Roman"/>
          <w:sz w:val="32"/>
          <w:szCs w:val="32"/>
          <w:highlight w:val="none"/>
          <w:lang w:val="en-US" w:eastAsia="zh-CN"/>
        </w:rPr>
        <w:t>出</w:t>
      </w:r>
      <w:r>
        <w:rPr>
          <w:rFonts w:hint="default" w:ascii="Times New Roman" w:hAnsi="Times New Roman" w:eastAsia="仿宋" w:cs="Times New Roman"/>
          <w:sz w:val="32"/>
          <w:szCs w:val="32"/>
          <w:lang w:val="en-US" w:eastAsia="zh-CN"/>
        </w:rPr>
        <w:t>184.23</w:t>
      </w:r>
      <w:r>
        <w:rPr>
          <w:rFonts w:hint="default" w:ascii="Times New Roman" w:hAnsi="Times New Roman" w:eastAsia="仿宋" w:cs="Times New Roman"/>
          <w:sz w:val="32"/>
          <w:szCs w:val="32"/>
        </w:rPr>
        <w:t>万元，资金完成率达</w:t>
      </w:r>
      <w:r>
        <w:rPr>
          <w:rFonts w:hint="default" w:ascii="Times New Roman" w:hAnsi="Times New Roman" w:eastAsia="仿宋" w:cs="Times New Roman"/>
          <w:sz w:val="32"/>
          <w:szCs w:val="32"/>
          <w:lang w:val="en-US" w:eastAsia="zh-CN"/>
        </w:rPr>
        <w:t>100</w:t>
      </w:r>
      <w:r>
        <w:rPr>
          <w:rFonts w:hint="default" w:ascii="Times New Roman" w:hAnsi="Times New Roman" w:eastAsia="仿宋" w:cs="Times New Roman"/>
          <w:sz w:val="32"/>
          <w:szCs w:val="32"/>
        </w:rPr>
        <w:t>%。</w:t>
      </w:r>
    </w:p>
    <w:p>
      <w:pPr>
        <w:pStyle w:val="6"/>
        <w:keepNext w:val="0"/>
        <w:keepLines w:val="0"/>
        <w:pageBreakBefore w:val="0"/>
        <w:widowControl/>
        <w:kinsoku/>
        <w:wordWrap/>
        <w:overflowPunct/>
        <w:topLinePunct w:val="0"/>
        <w:autoSpaceDE/>
        <w:autoSpaceDN/>
        <w:bidi w:val="0"/>
        <w:spacing w:line="598" w:lineRule="exact"/>
        <w:ind w:firstLine="640"/>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2.非财政拨款项目支出情况</w:t>
      </w:r>
    </w:p>
    <w:p>
      <w:pPr>
        <w:keepNext w:val="0"/>
        <w:keepLines w:val="0"/>
        <w:pageBreakBefore w:val="0"/>
        <w:tabs>
          <w:tab w:val="left" w:pos="8280"/>
        </w:tabs>
        <w:kinsoku/>
        <w:wordWrap/>
        <w:overflowPunct/>
        <w:topLinePunct w:val="0"/>
        <w:autoSpaceDE/>
        <w:autoSpaceDN/>
        <w:bidi w:val="0"/>
        <w:spacing w:line="598" w:lineRule="exact"/>
        <w:ind w:firstLine="640" w:firstLineChars="200"/>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（1）山水林田综合治理资金787.75万元，为韶山市财政局划拨的用于</w:t>
      </w:r>
      <w:r>
        <w:rPr>
          <w:rFonts w:hint="default" w:ascii="Times New Roman" w:hAnsi="Times New Roman" w:eastAsia="仿宋" w:cs="Times New Roman"/>
          <w:sz w:val="32"/>
          <w:szCs w:val="32"/>
          <w:lang w:eastAsia="zh-CN"/>
        </w:rPr>
        <w:t>土地冲山水林田综合治理建设</w:t>
      </w:r>
      <w:r>
        <w:rPr>
          <w:rFonts w:hint="eastAsia" w:eastAsia="仿宋" w:cs="Times New Roman"/>
          <w:sz w:val="32"/>
          <w:szCs w:val="32"/>
          <w:lang w:eastAsia="zh-CN"/>
        </w:rPr>
        <w:t>。</w:t>
      </w:r>
      <w:r>
        <w:rPr>
          <w:rFonts w:hint="default" w:ascii="Times New Roman" w:hAnsi="Times New Roman" w:eastAsia="仿宋" w:cs="Times New Roman"/>
          <w:kern w:val="2"/>
          <w:sz w:val="32"/>
          <w:szCs w:val="32"/>
          <w:highlight w:val="none"/>
          <w:lang w:val="en-US" w:eastAsia="zh-CN" w:bidi="ar-SA"/>
        </w:rPr>
        <w:t>2021年实际</w:t>
      </w:r>
      <w:r>
        <w:rPr>
          <w:rFonts w:hint="default" w:ascii="Times New Roman" w:hAnsi="Times New Roman" w:eastAsia="仿宋" w:cs="Times New Roman"/>
          <w:sz w:val="32"/>
          <w:szCs w:val="32"/>
          <w:highlight w:val="none"/>
          <w:lang w:val="en-US" w:eastAsia="zh-CN"/>
        </w:rPr>
        <w:t>支</w:t>
      </w:r>
      <w:r>
        <w:rPr>
          <w:rFonts w:hint="eastAsia" w:ascii="Times New Roman" w:hAnsi="Times New Roman" w:eastAsia="仿宋" w:cs="Times New Roman"/>
          <w:sz w:val="32"/>
          <w:szCs w:val="32"/>
          <w:highlight w:val="none"/>
          <w:lang w:val="en-US" w:eastAsia="zh-CN"/>
        </w:rPr>
        <w:t>出</w:t>
      </w:r>
      <w:r>
        <w:rPr>
          <w:rFonts w:hint="eastAsia" w:ascii="Times New Roman" w:hAnsi="Times New Roman" w:eastAsia="仿宋" w:cs="Times New Roman"/>
          <w:kern w:val="2"/>
          <w:sz w:val="32"/>
          <w:szCs w:val="32"/>
          <w:highlight w:val="none"/>
          <w:lang w:val="en-US" w:eastAsia="zh-CN" w:bidi="ar-SA"/>
        </w:rPr>
        <w:t>513.14</w:t>
      </w:r>
      <w:r>
        <w:rPr>
          <w:rFonts w:hint="default" w:ascii="Times New Roman" w:hAnsi="Times New Roman" w:eastAsia="仿宋" w:cs="Times New Roman"/>
          <w:kern w:val="2"/>
          <w:sz w:val="32"/>
          <w:szCs w:val="32"/>
          <w:highlight w:val="none"/>
          <w:lang w:val="en-US" w:eastAsia="zh-CN" w:bidi="ar-SA"/>
        </w:rPr>
        <w:t>万元，资金完成率达</w:t>
      </w:r>
      <w:r>
        <w:rPr>
          <w:rFonts w:hint="eastAsia" w:ascii="Times New Roman" w:hAnsi="Times New Roman" w:eastAsia="仿宋" w:cs="Times New Roman"/>
          <w:kern w:val="2"/>
          <w:sz w:val="32"/>
          <w:szCs w:val="32"/>
          <w:highlight w:val="none"/>
          <w:lang w:val="en-US" w:eastAsia="zh-CN" w:bidi="ar-SA"/>
        </w:rPr>
        <w:t>65.14</w:t>
      </w:r>
      <w:r>
        <w:rPr>
          <w:rFonts w:hint="default" w:ascii="Times New Roman" w:hAnsi="Times New Roman" w:eastAsia="仿宋" w:cs="Times New Roman"/>
          <w:kern w:val="2"/>
          <w:sz w:val="32"/>
          <w:szCs w:val="32"/>
          <w:highlight w:val="none"/>
          <w:lang w:val="en-US" w:eastAsia="zh-CN" w:bidi="ar-SA"/>
        </w:rPr>
        <w:t>%。</w:t>
      </w:r>
    </w:p>
    <w:p>
      <w:pPr>
        <w:pStyle w:val="6"/>
        <w:keepNext w:val="0"/>
        <w:keepLines w:val="0"/>
        <w:pageBreakBefore w:val="0"/>
        <w:widowControl/>
        <w:kinsoku/>
        <w:wordWrap/>
        <w:overflowPunct/>
        <w:topLinePunct w:val="0"/>
        <w:autoSpaceDE/>
        <w:autoSpaceDN/>
        <w:bidi w:val="0"/>
        <w:spacing w:line="598" w:lineRule="exact"/>
        <w:ind w:firstLine="64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（2）两馆连廊建设资金26.52，为工商银行捐赠的用于遗物馆纪念馆文化连廊建设。</w:t>
      </w:r>
      <w:r>
        <w:rPr>
          <w:rFonts w:hint="default" w:ascii="Times New Roman" w:hAnsi="Times New Roman" w:eastAsia="仿宋" w:cs="Times New Roman"/>
          <w:kern w:val="2"/>
          <w:sz w:val="32"/>
          <w:szCs w:val="32"/>
          <w:highlight w:val="none"/>
          <w:lang w:val="en-US" w:eastAsia="zh-CN" w:bidi="ar-SA"/>
        </w:rPr>
        <w:t>2021年实际</w:t>
      </w:r>
      <w:r>
        <w:rPr>
          <w:rFonts w:hint="default" w:ascii="Times New Roman" w:hAnsi="Times New Roman" w:eastAsia="仿宋" w:cs="Times New Roman"/>
          <w:sz w:val="32"/>
          <w:szCs w:val="32"/>
          <w:highlight w:val="none"/>
          <w:lang w:val="en-US" w:eastAsia="zh-CN"/>
        </w:rPr>
        <w:t>支</w:t>
      </w:r>
      <w:r>
        <w:rPr>
          <w:rFonts w:hint="eastAsia" w:ascii="Times New Roman" w:hAnsi="Times New Roman" w:eastAsia="仿宋" w:cs="Times New Roman"/>
          <w:sz w:val="32"/>
          <w:szCs w:val="32"/>
          <w:highlight w:val="none"/>
          <w:lang w:val="en-US" w:eastAsia="zh-CN"/>
        </w:rPr>
        <w:t>出</w:t>
      </w:r>
      <w:r>
        <w:rPr>
          <w:rFonts w:hint="eastAsia" w:ascii="Times New Roman" w:hAnsi="Times New Roman" w:eastAsia="仿宋" w:cs="Times New Roman"/>
          <w:kern w:val="2"/>
          <w:sz w:val="32"/>
          <w:szCs w:val="32"/>
          <w:highlight w:val="none"/>
          <w:lang w:val="en-US" w:eastAsia="zh-CN" w:bidi="ar-SA"/>
        </w:rPr>
        <w:t>26.52</w:t>
      </w:r>
      <w:r>
        <w:rPr>
          <w:rFonts w:hint="default" w:ascii="Times New Roman" w:hAnsi="Times New Roman" w:eastAsia="仿宋" w:cs="Times New Roman"/>
          <w:kern w:val="2"/>
          <w:sz w:val="32"/>
          <w:szCs w:val="32"/>
          <w:highlight w:val="none"/>
          <w:lang w:val="en-US" w:eastAsia="zh-CN" w:bidi="ar-SA"/>
        </w:rPr>
        <w:t>万元，资金完成率达</w:t>
      </w:r>
      <w:r>
        <w:rPr>
          <w:rFonts w:hint="eastAsia" w:ascii="Times New Roman" w:hAnsi="Times New Roman" w:eastAsia="仿宋" w:cs="Times New Roman"/>
          <w:kern w:val="2"/>
          <w:sz w:val="32"/>
          <w:szCs w:val="32"/>
          <w:highlight w:val="none"/>
          <w:lang w:val="en-US" w:eastAsia="zh-CN" w:bidi="ar-SA"/>
        </w:rPr>
        <w:t>100</w:t>
      </w:r>
      <w:r>
        <w:rPr>
          <w:rFonts w:hint="default" w:ascii="Times New Roman" w:hAnsi="Times New Roman" w:eastAsia="仿宋" w:cs="Times New Roman"/>
          <w:kern w:val="2"/>
          <w:sz w:val="32"/>
          <w:szCs w:val="32"/>
          <w:highlight w:val="none"/>
          <w:lang w:val="en-US" w:eastAsia="zh-CN" w:bidi="ar-SA"/>
        </w:rPr>
        <w:t>%。</w:t>
      </w:r>
    </w:p>
    <w:p>
      <w:pPr>
        <w:pStyle w:val="6"/>
        <w:keepNext w:val="0"/>
        <w:keepLines w:val="0"/>
        <w:pageBreakBefore w:val="0"/>
        <w:widowControl/>
        <w:kinsoku/>
        <w:wordWrap/>
        <w:overflowPunct/>
        <w:topLinePunct w:val="0"/>
        <w:autoSpaceDE/>
        <w:autoSpaceDN/>
        <w:bidi w:val="0"/>
        <w:spacing w:line="598" w:lineRule="exact"/>
        <w:ind w:firstLine="64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（3）研学送课进校园资金30万元，为中烟工业公司捐赠的用于研学送课进校园专用材料及配套产品的采购。</w:t>
      </w:r>
      <w:r>
        <w:rPr>
          <w:rFonts w:hint="default" w:ascii="Times New Roman" w:hAnsi="Times New Roman" w:eastAsia="仿宋" w:cs="Times New Roman"/>
          <w:kern w:val="2"/>
          <w:sz w:val="32"/>
          <w:szCs w:val="32"/>
          <w:highlight w:val="none"/>
          <w:lang w:val="en-US" w:eastAsia="zh-CN" w:bidi="ar-SA"/>
        </w:rPr>
        <w:t>2021年实际</w:t>
      </w:r>
      <w:r>
        <w:rPr>
          <w:rFonts w:hint="default" w:ascii="Times New Roman" w:hAnsi="Times New Roman" w:eastAsia="仿宋" w:cs="Times New Roman"/>
          <w:sz w:val="32"/>
          <w:szCs w:val="32"/>
          <w:highlight w:val="none"/>
          <w:lang w:val="en-US" w:eastAsia="zh-CN"/>
        </w:rPr>
        <w:t>支</w:t>
      </w:r>
      <w:r>
        <w:rPr>
          <w:rFonts w:hint="eastAsia" w:ascii="Times New Roman" w:hAnsi="Times New Roman" w:eastAsia="仿宋" w:cs="Times New Roman"/>
          <w:sz w:val="32"/>
          <w:szCs w:val="32"/>
          <w:highlight w:val="none"/>
          <w:lang w:val="en-US" w:eastAsia="zh-CN"/>
        </w:rPr>
        <w:t>出</w:t>
      </w:r>
      <w:r>
        <w:rPr>
          <w:rFonts w:hint="eastAsia" w:ascii="Times New Roman" w:hAnsi="Times New Roman" w:eastAsia="仿宋" w:cs="Times New Roman"/>
          <w:kern w:val="2"/>
          <w:sz w:val="32"/>
          <w:szCs w:val="32"/>
          <w:highlight w:val="none"/>
          <w:lang w:val="en-US" w:eastAsia="zh-CN" w:bidi="ar-SA"/>
        </w:rPr>
        <w:t>0</w:t>
      </w:r>
      <w:r>
        <w:rPr>
          <w:rFonts w:hint="default" w:ascii="Times New Roman" w:hAnsi="Times New Roman" w:eastAsia="仿宋" w:cs="Times New Roman"/>
          <w:kern w:val="2"/>
          <w:sz w:val="32"/>
          <w:szCs w:val="32"/>
          <w:highlight w:val="none"/>
          <w:lang w:val="en-US" w:eastAsia="zh-CN" w:bidi="ar-SA"/>
        </w:rPr>
        <w:t>万元，资金完成率达</w:t>
      </w:r>
      <w:r>
        <w:rPr>
          <w:rFonts w:hint="eastAsia" w:ascii="Times New Roman" w:hAnsi="Times New Roman" w:eastAsia="仿宋" w:cs="Times New Roman"/>
          <w:kern w:val="2"/>
          <w:sz w:val="32"/>
          <w:szCs w:val="32"/>
          <w:highlight w:val="none"/>
          <w:lang w:val="en-US" w:eastAsia="zh-CN" w:bidi="ar-SA"/>
        </w:rPr>
        <w:t>0</w:t>
      </w:r>
      <w:r>
        <w:rPr>
          <w:rFonts w:hint="default" w:ascii="Times New Roman" w:hAnsi="Times New Roman" w:eastAsia="仿宋" w:cs="Times New Roman"/>
          <w:kern w:val="2"/>
          <w:sz w:val="32"/>
          <w:szCs w:val="32"/>
          <w:highlight w:val="none"/>
          <w:lang w:val="en-US" w:eastAsia="zh-CN" w:bidi="ar-SA"/>
        </w:rPr>
        <w:t>%。</w:t>
      </w:r>
    </w:p>
    <w:p>
      <w:pPr>
        <w:pStyle w:val="6"/>
        <w:keepNext w:val="0"/>
        <w:keepLines w:val="0"/>
        <w:pageBreakBefore w:val="0"/>
        <w:widowControl/>
        <w:kinsoku/>
        <w:wordWrap/>
        <w:overflowPunct/>
        <w:topLinePunct w:val="0"/>
        <w:autoSpaceDE/>
        <w:autoSpaceDN/>
        <w:bidi w:val="0"/>
        <w:spacing w:line="598" w:lineRule="exact"/>
        <w:ind w:firstLine="64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（4）“四有”新时代革命军人教育实践基地建设维护费3万元，为国防科大补助的用于革命传统教育基地的建设支出。</w:t>
      </w:r>
      <w:r>
        <w:rPr>
          <w:rFonts w:hint="default" w:ascii="Times New Roman" w:hAnsi="Times New Roman" w:eastAsia="仿宋" w:cs="Times New Roman"/>
          <w:kern w:val="2"/>
          <w:sz w:val="32"/>
          <w:szCs w:val="32"/>
          <w:highlight w:val="none"/>
          <w:lang w:val="en-US" w:eastAsia="zh-CN" w:bidi="ar-SA"/>
        </w:rPr>
        <w:t>2021年实际</w:t>
      </w:r>
      <w:r>
        <w:rPr>
          <w:rFonts w:hint="default" w:ascii="Times New Roman" w:hAnsi="Times New Roman" w:eastAsia="仿宋" w:cs="Times New Roman"/>
          <w:sz w:val="32"/>
          <w:szCs w:val="32"/>
          <w:highlight w:val="none"/>
          <w:lang w:val="en-US" w:eastAsia="zh-CN"/>
        </w:rPr>
        <w:t>支</w:t>
      </w:r>
      <w:r>
        <w:rPr>
          <w:rFonts w:hint="eastAsia" w:ascii="Times New Roman" w:hAnsi="Times New Roman" w:eastAsia="仿宋" w:cs="Times New Roman"/>
          <w:sz w:val="32"/>
          <w:szCs w:val="32"/>
          <w:highlight w:val="none"/>
          <w:lang w:val="en-US" w:eastAsia="zh-CN"/>
        </w:rPr>
        <w:t>出</w:t>
      </w:r>
      <w:r>
        <w:rPr>
          <w:rFonts w:hint="eastAsia" w:ascii="Times New Roman" w:hAnsi="Times New Roman" w:eastAsia="仿宋" w:cs="Times New Roman"/>
          <w:kern w:val="2"/>
          <w:sz w:val="32"/>
          <w:szCs w:val="32"/>
          <w:highlight w:val="none"/>
          <w:lang w:val="en-US" w:eastAsia="zh-CN" w:bidi="ar-SA"/>
        </w:rPr>
        <w:t>0</w:t>
      </w:r>
      <w:r>
        <w:rPr>
          <w:rFonts w:hint="default" w:ascii="Times New Roman" w:hAnsi="Times New Roman" w:eastAsia="仿宋" w:cs="Times New Roman"/>
          <w:kern w:val="2"/>
          <w:sz w:val="32"/>
          <w:szCs w:val="32"/>
          <w:highlight w:val="none"/>
          <w:lang w:val="en-US" w:eastAsia="zh-CN" w:bidi="ar-SA"/>
        </w:rPr>
        <w:t>万元，资金完成率达</w:t>
      </w:r>
      <w:r>
        <w:rPr>
          <w:rFonts w:hint="eastAsia" w:ascii="Times New Roman" w:hAnsi="Times New Roman" w:eastAsia="仿宋" w:cs="Times New Roman"/>
          <w:kern w:val="2"/>
          <w:sz w:val="32"/>
          <w:szCs w:val="32"/>
          <w:highlight w:val="none"/>
          <w:lang w:val="en-US" w:eastAsia="zh-CN" w:bidi="ar-SA"/>
        </w:rPr>
        <w:t>0</w:t>
      </w:r>
      <w:r>
        <w:rPr>
          <w:rFonts w:hint="default" w:ascii="Times New Roman" w:hAnsi="Times New Roman" w:eastAsia="仿宋" w:cs="Times New Roman"/>
          <w:kern w:val="2"/>
          <w:sz w:val="32"/>
          <w:szCs w:val="32"/>
          <w:highlight w:val="none"/>
          <w:lang w:val="en-US" w:eastAsia="zh-CN" w:bidi="ar-SA"/>
        </w:rPr>
        <w:t>%。</w:t>
      </w:r>
      <w:r>
        <w:rPr>
          <w:rFonts w:hint="eastAsia" w:ascii="Times New Roman" w:hAnsi="Times New Roman" w:eastAsia="仿宋" w:cs="Times New Roman"/>
          <w:sz w:val="32"/>
          <w:szCs w:val="32"/>
          <w:lang w:val="en-US" w:eastAsia="zh-CN"/>
        </w:rPr>
        <w:t xml:space="preserve"> </w:t>
      </w:r>
    </w:p>
    <w:p>
      <w:pPr>
        <w:pStyle w:val="6"/>
        <w:keepNext w:val="0"/>
        <w:keepLines w:val="0"/>
        <w:pageBreakBefore w:val="0"/>
        <w:widowControl/>
        <w:kinsoku/>
        <w:wordWrap/>
        <w:overflowPunct/>
        <w:topLinePunct w:val="0"/>
        <w:autoSpaceDE/>
        <w:autoSpaceDN/>
        <w:bidi w:val="0"/>
        <w:spacing w:line="598" w:lineRule="exact"/>
        <w:ind w:firstLine="640"/>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（5）实有账户自有资金127.08万元，为我馆根据中央和省关于盘活存量资金管理有关规定，清理出的存量资金，用于弥补日常运行经费缺口。</w:t>
      </w:r>
      <w:r>
        <w:rPr>
          <w:rFonts w:hint="default" w:ascii="Times New Roman" w:hAnsi="Times New Roman" w:eastAsia="仿宋" w:cs="Times New Roman"/>
          <w:kern w:val="2"/>
          <w:sz w:val="32"/>
          <w:szCs w:val="32"/>
          <w:highlight w:val="none"/>
          <w:lang w:val="en-US" w:eastAsia="zh-CN" w:bidi="ar-SA"/>
        </w:rPr>
        <w:t>2021年实际</w:t>
      </w:r>
      <w:r>
        <w:rPr>
          <w:rFonts w:hint="default" w:ascii="Times New Roman" w:hAnsi="Times New Roman" w:eastAsia="仿宋" w:cs="Times New Roman"/>
          <w:sz w:val="32"/>
          <w:szCs w:val="32"/>
          <w:highlight w:val="none"/>
          <w:lang w:val="en-US" w:eastAsia="zh-CN"/>
        </w:rPr>
        <w:t>支</w:t>
      </w:r>
      <w:r>
        <w:rPr>
          <w:rFonts w:hint="eastAsia" w:ascii="Times New Roman" w:hAnsi="Times New Roman" w:eastAsia="仿宋" w:cs="Times New Roman"/>
          <w:sz w:val="32"/>
          <w:szCs w:val="32"/>
          <w:highlight w:val="none"/>
          <w:lang w:val="en-US" w:eastAsia="zh-CN"/>
        </w:rPr>
        <w:t>出</w:t>
      </w:r>
      <w:r>
        <w:rPr>
          <w:rFonts w:hint="eastAsia" w:ascii="Times New Roman" w:hAnsi="Times New Roman" w:eastAsia="仿宋" w:cs="Times New Roman"/>
          <w:kern w:val="2"/>
          <w:sz w:val="32"/>
          <w:szCs w:val="32"/>
          <w:highlight w:val="none"/>
          <w:lang w:val="en-US" w:eastAsia="zh-CN" w:bidi="ar-SA"/>
        </w:rPr>
        <w:t>126.16</w:t>
      </w:r>
      <w:r>
        <w:rPr>
          <w:rFonts w:hint="default" w:ascii="Times New Roman" w:hAnsi="Times New Roman" w:eastAsia="仿宋" w:cs="Times New Roman"/>
          <w:kern w:val="2"/>
          <w:sz w:val="32"/>
          <w:szCs w:val="32"/>
          <w:highlight w:val="none"/>
          <w:lang w:val="en-US" w:eastAsia="zh-CN" w:bidi="ar-SA"/>
        </w:rPr>
        <w:t>万元，资金完成率达</w:t>
      </w:r>
      <w:r>
        <w:rPr>
          <w:rFonts w:hint="eastAsia" w:ascii="Times New Roman" w:hAnsi="Times New Roman" w:eastAsia="仿宋" w:cs="Times New Roman"/>
          <w:kern w:val="2"/>
          <w:sz w:val="32"/>
          <w:szCs w:val="32"/>
          <w:highlight w:val="none"/>
          <w:lang w:val="en-US" w:eastAsia="zh-CN" w:bidi="ar-SA"/>
        </w:rPr>
        <w:t>99.28</w:t>
      </w:r>
      <w:r>
        <w:rPr>
          <w:rFonts w:hint="default" w:ascii="Times New Roman" w:hAnsi="Times New Roman" w:eastAsia="仿宋" w:cs="Times New Roman"/>
          <w:kern w:val="2"/>
          <w:sz w:val="32"/>
          <w:szCs w:val="32"/>
          <w:highlight w:val="none"/>
          <w:lang w:val="en-US" w:eastAsia="zh-CN" w:bidi="ar-SA"/>
        </w:rPr>
        <w:t>%。</w:t>
      </w:r>
    </w:p>
    <w:p>
      <w:pPr>
        <w:pStyle w:val="6"/>
        <w:keepNext w:val="0"/>
        <w:keepLines w:val="0"/>
        <w:pageBreakBefore w:val="0"/>
        <w:widowControl/>
        <w:numPr>
          <w:ilvl w:val="0"/>
          <w:numId w:val="2"/>
        </w:numPr>
        <w:kinsoku/>
        <w:wordWrap/>
        <w:overflowPunct/>
        <w:topLinePunct w:val="0"/>
        <w:autoSpaceDE/>
        <w:autoSpaceDN/>
        <w:bidi w:val="0"/>
        <w:spacing w:line="598" w:lineRule="exact"/>
        <w:ind w:left="-13" w:leftChars="0" w:firstLine="643" w:firstLineChars="0"/>
        <w:textAlignment w:val="auto"/>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lang w:eastAsia="zh-CN"/>
        </w:rPr>
        <w:t>经营</w:t>
      </w:r>
      <w:r>
        <w:rPr>
          <w:rFonts w:ascii="Times New Roman" w:hAnsi="Times New Roman" w:eastAsia="楷体_GB2312" w:cs="Times New Roman"/>
          <w:b/>
          <w:sz w:val="32"/>
          <w:szCs w:val="32"/>
        </w:rPr>
        <w:t>支出情况</w:t>
      </w:r>
    </w:p>
    <w:p>
      <w:pPr>
        <w:pStyle w:val="6"/>
        <w:keepNext w:val="0"/>
        <w:keepLines w:val="0"/>
        <w:pageBreakBefore w:val="0"/>
        <w:widowControl/>
        <w:kinsoku/>
        <w:wordWrap/>
        <w:overflowPunct/>
        <w:topLinePunct w:val="0"/>
        <w:autoSpaceDE/>
        <w:autoSpaceDN/>
        <w:bidi w:val="0"/>
        <w:spacing w:line="598" w:lineRule="exact"/>
        <w:ind w:firstLine="643"/>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_GB2312" w:cs="Times New Roman"/>
          <w:bCs/>
          <w:sz w:val="32"/>
          <w:szCs w:val="32"/>
          <w:lang w:val="en-US" w:eastAsia="zh-CN"/>
        </w:rPr>
        <w:t>202</w:t>
      </w:r>
      <w:r>
        <w:rPr>
          <w:rFonts w:hint="eastAsia" w:ascii="Times New Roman" w:hAnsi="Times New Roman" w:eastAsia="仿宋_GB2312" w:cs="Times New Roman"/>
          <w:bCs/>
          <w:sz w:val="32"/>
          <w:szCs w:val="32"/>
          <w:lang w:val="en-US" w:eastAsia="zh-CN"/>
        </w:rPr>
        <w:t>1</w:t>
      </w:r>
      <w:r>
        <w:rPr>
          <w:rFonts w:hint="default" w:ascii="Times New Roman" w:hAnsi="Times New Roman" w:eastAsia="仿宋_GB2312" w:cs="Times New Roman"/>
          <w:bCs/>
          <w:sz w:val="32"/>
          <w:szCs w:val="32"/>
        </w:rPr>
        <w:t>年我馆一般公共预算支出</w:t>
      </w:r>
      <w:r>
        <w:rPr>
          <w:rFonts w:hint="default" w:ascii="Times New Roman" w:hAnsi="Times New Roman" w:eastAsia="仿宋_GB2312" w:cs="Times New Roman"/>
          <w:bCs/>
          <w:sz w:val="32"/>
          <w:szCs w:val="32"/>
          <w:lang w:eastAsia="zh-CN"/>
        </w:rPr>
        <w:t>中</w:t>
      </w:r>
      <w:r>
        <w:rPr>
          <w:rFonts w:hint="eastAsia" w:ascii="Times New Roman" w:hAnsi="Times New Roman" w:eastAsia="仿宋_GB2312" w:cs="Times New Roman"/>
          <w:bCs/>
          <w:sz w:val="32"/>
          <w:szCs w:val="32"/>
          <w:lang w:eastAsia="zh-CN"/>
        </w:rPr>
        <w:t>经营</w:t>
      </w:r>
      <w:r>
        <w:rPr>
          <w:rFonts w:hint="default" w:ascii="Times New Roman" w:hAnsi="Times New Roman" w:eastAsia="仿宋_GB2312" w:cs="Times New Roman"/>
          <w:bCs/>
          <w:sz w:val="32"/>
          <w:szCs w:val="32"/>
        </w:rPr>
        <w:t>支出预算总额为</w:t>
      </w:r>
      <w:r>
        <w:rPr>
          <w:rFonts w:hint="eastAsia" w:ascii="Times New Roman" w:hAnsi="Times New Roman" w:eastAsia="仿宋_GB2312" w:cs="Times New Roman"/>
          <w:bCs/>
          <w:sz w:val="32"/>
          <w:szCs w:val="32"/>
          <w:lang w:val="en-US" w:eastAsia="zh-CN"/>
        </w:rPr>
        <w:t>70万元，为下属公司上缴的经营资源使用费</w:t>
      </w:r>
      <w:r>
        <w:rPr>
          <w:rFonts w:hint="eastAsia" w:ascii="Times New Roman" w:hAnsi="Times New Roman" w:eastAsia="仿宋_GB2312" w:cs="Times New Roman"/>
          <w:bCs/>
          <w:sz w:val="32"/>
          <w:szCs w:val="32"/>
          <w:lang w:eastAsia="zh-CN"/>
        </w:rPr>
        <w:t>。</w:t>
      </w:r>
      <w:r>
        <w:rPr>
          <w:rFonts w:hint="eastAsia" w:ascii="Times New Roman" w:hAnsi="Times New Roman" w:eastAsia="仿宋_GB2312" w:cs="Times New Roman"/>
          <w:bCs/>
          <w:sz w:val="32"/>
          <w:szCs w:val="32"/>
          <w:lang w:val="en-US" w:eastAsia="zh-CN"/>
        </w:rPr>
        <w:t>全年实际支出</w:t>
      </w:r>
      <w:r>
        <w:rPr>
          <w:rFonts w:hint="eastAsia" w:ascii="Times New Roman" w:hAnsi="Times New Roman" w:eastAsia="仿宋" w:cs="Times New Roman"/>
          <w:kern w:val="2"/>
          <w:sz w:val="32"/>
          <w:szCs w:val="32"/>
          <w:lang w:val="en-US" w:eastAsia="zh-CN" w:bidi="ar-SA"/>
        </w:rPr>
        <w:t>57.59万元，</w:t>
      </w:r>
      <w:r>
        <w:rPr>
          <w:rFonts w:hint="eastAsia" w:ascii="Times New Roman" w:hAnsi="Times New Roman" w:eastAsia="仿宋_GB2312" w:cs="Times New Roman"/>
          <w:sz w:val="32"/>
          <w:szCs w:val="32"/>
          <w:lang w:eastAsia="zh-CN"/>
        </w:rPr>
        <w:t>其中，弥补人员绩效工资</w:t>
      </w:r>
      <w:r>
        <w:rPr>
          <w:rFonts w:hint="eastAsia" w:ascii="Times New Roman" w:hAnsi="Times New Roman" w:eastAsia="仿宋_GB2312" w:cs="Times New Roman"/>
          <w:sz w:val="32"/>
          <w:szCs w:val="32"/>
          <w:lang w:val="en-US" w:eastAsia="zh-CN"/>
        </w:rPr>
        <w:t>8.94</w:t>
      </w:r>
      <w:r>
        <w:rPr>
          <w:rFonts w:hint="default"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保障日常运转</w:t>
      </w:r>
      <w:r>
        <w:rPr>
          <w:rFonts w:hint="eastAsia" w:ascii="Times New Roman" w:hAnsi="Times New Roman" w:eastAsia="仿宋_GB2312" w:cs="Times New Roman"/>
          <w:sz w:val="32"/>
          <w:szCs w:val="32"/>
          <w:lang w:val="en-US" w:eastAsia="zh-CN"/>
        </w:rPr>
        <w:t>48.64</w:t>
      </w:r>
      <w:r>
        <w:rPr>
          <w:rFonts w:hint="default"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资金完成率达到</w:t>
      </w:r>
      <w:r>
        <w:rPr>
          <w:rFonts w:hint="eastAsia" w:ascii="Times New Roman" w:hAnsi="Times New Roman" w:eastAsia="仿宋_GB2312" w:cs="Times New Roman"/>
          <w:sz w:val="32"/>
          <w:szCs w:val="32"/>
          <w:lang w:val="en-US" w:eastAsia="zh-CN"/>
        </w:rPr>
        <w:t>82.27</w:t>
      </w:r>
      <w:r>
        <w:rPr>
          <w:rFonts w:hint="default" w:ascii="Times New Roman" w:hAnsi="Times New Roman" w:eastAsia="仿宋_GB2312" w:cs="Times New Roman"/>
          <w:sz w:val="32"/>
          <w:szCs w:val="32"/>
        </w:rPr>
        <w:t>%。</w:t>
      </w:r>
    </w:p>
    <w:p>
      <w:pPr>
        <w:pStyle w:val="6"/>
        <w:keepNext w:val="0"/>
        <w:keepLines w:val="0"/>
        <w:pageBreakBefore w:val="0"/>
        <w:widowControl/>
        <w:numPr>
          <w:ilvl w:val="0"/>
          <w:numId w:val="3"/>
        </w:numPr>
        <w:kinsoku/>
        <w:wordWrap/>
        <w:overflowPunct/>
        <w:topLinePunct w:val="0"/>
        <w:autoSpaceDE/>
        <w:autoSpaceDN/>
        <w:bidi w:val="0"/>
        <w:spacing w:line="598" w:lineRule="exact"/>
        <w:ind w:firstLine="640"/>
        <w:jc w:val="left"/>
        <w:textAlignment w:val="auto"/>
        <w:rPr>
          <w:rFonts w:hint="default" w:ascii="Times New Roman" w:hAnsi="Times New Roman" w:eastAsia="黑体" w:cs="Times New Roman"/>
          <w:sz w:val="32"/>
          <w:szCs w:val="32"/>
          <w:lang w:val="en-US" w:eastAsia="zh-CN"/>
        </w:rPr>
      </w:pPr>
      <w:r>
        <w:rPr>
          <w:rFonts w:ascii="Times New Roman" w:hAnsi="Times New Roman" w:eastAsia="黑体" w:cs="Times New Roman"/>
          <w:sz w:val="32"/>
          <w:szCs w:val="32"/>
        </w:rPr>
        <w:t>政府性基金预算支出情况</w:t>
      </w:r>
    </w:p>
    <w:p>
      <w:pPr>
        <w:pStyle w:val="6"/>
        <w:keepNext w:val="0"/>
        <w:keepLines w:val="0"/>
        <w:pageBreakBefore w:val="0"/>
        <w:widowControl/>
        <w:numPr>
          <w:ilvl w:val="0"/>
          <w:numId w:val="0"/>
        </w:numPr>
        <w:kinsoku/>
        <w:wordWrap/>
        <w:overflowPunct/>
        <w:topLinePunct w:val="0"/>
        <w:autoSpaceDE/>
        <w:autoSpaceDN/>
        <w:bidi w:val="0"/>
        <w:spacing w:line="598" w:lineRule="exact"/>
        <w:ind w:firstLine="640" w:firstLineChars="200"/>
        <w:jc w:val="left"/>
        <w:textAlignment w:val="auto"/>
        <w:rPr>
          <w:rFonts w:hint="default" w:ascii="Times New Roman" w:hAnsi="Times New Roman" w:eastAsia="黑体" w:cs="Times New Roman"/>
          <w:sz w:val="32"/>
          <w:szCs w:val="32"/>
          <w:lang w:val="en-US" w:eastAsia="zh-CN"/>
        </w:rPr>
      </w:pPr>
      <w:r>
        <w:rPr>
          <w:rFonts w:hint="eastAsia" w:ascii="Times New Roman" w:hAnsi="Times New Roman" w:eastAsia="仿宋" w:cs="Times New Roman"/>
          <w:kern w:val="2"/>
          <w:sz w:val="32"/>
          <w:szCs w:val="32"/>
          <w:highlight w:val="none"/>
          <w:lang w:val="en-US" w:eastAsia="zh-CN" w:bidi="ar-SA"/>
        </w:rPr>
        <w:t>我馆2021年无政府性基金预算支出。</w:t>
      </w:r>
    </w:p>
    <w:p>
      <w:pPr>
        <w:pStyle w:val="6"/>
        <w:keepNext w:val="0"/>
        <w:keepLines w:val="0"/>
        <w:pageBreakBefore w:val="0"/>
        <w:widowControl/>
        <w:numPr>
          <w:ilvl w:val="0"/>
          <w:numId w:val="3"/>
        </w:numPr>
        <w:kinsoku/>
        <w:wordWrap/>
        <w:overflowPunct/>
        <w:topLinePunct w:val="0"/>
        <w:autoSpaceDE/>
        <w:autoSpaceDN/>
        <w:bidi w:val="0"/>
        <w:spacing w:line="598" w:lineRule="exact"/>
        <w:ind w:left="0" w:leftChars="0" w:firstLine="640" w:firstLineChars="200"/>
        <w:jc w:val="left"/>
        <w:textAlignment w:val="auto"/>
        <w:rPr>
          <w:rFonts w:ascii="Times New Roman" w:hAnsi="Times New Roman" w:eastAsia="黑体" w:cs="Times New Roman"/>
          <w:sz w:val="32"/>
          <w:szCs w:val="32"/>
        </w:rPr>
      </w:pPr>
      <w:r>
        <w:rPr>
          <w:rFonts w:ascii="Times New Roman" w:hAnsi="Times New Roman" w:eastAsia="黑体" w:cs="Times New Roman"/>
          <w:sz w:val="32"/>
          <w:szCs w:val="32"/>
        </w:rPr>
        <w:t>国有资本经营预算支出情况</w:t>
      </w:r>
    </w:p>
    <w:p>
      <w:pPr>
        <w:pStyle w:val="6"/>
        <w:keepNext w:val="0"/>
        <w:keepLines w:val="0"/>
        <w:pageBreakBefore w:val="0"/>
        <w:widowControl/>
        <w:numPr>
          <w:ilvl w:val="0"/>
          <w:numId w:val="0"/>
        </w:numPr>
        <w:kinsoku/>
        <w:wordWrap/>
        <w:overflowPunct/>
        <w:topLinePunct w:val="0"/>
        <w:autoSpaceDE/>
        <w:autoSpaceDN/>
        <w:bidi w:val="0"/>
        <w:spacing w:line="598" w:lineRule="exact"/>
        <w:ind w:firstLine="640" w:firstLineChars="200"/>
        <w:jc w:val="left"/>
        <w:textAlignment w:val="auto"/>
        <w:rPr>
          <w:rFonts w:hint="default" w:ascii="Times New Roman" w:hAnsi="Times New Roman" w:eastAsia="黑体" w:cs="Times New Roman"/>
          <w:sz w:val="32"/>
          <w:szCs w:val="32"/>
          <w:lang w:val="en-US" w:eastAsia="zh-CN"/>
        </w:rPr>
      </w:pPr>
      <w:r>
        <w:rPr>
          <w:rFonts w:hint="eastAsia" w:ascii="Times New Roman" w:hAnsi="Times New Roman" w:eastAsia="仿宋" w:cs="Times New Roman"/>
          <w:kern w:val="2"/>
          <w:sz w:val="32"/>
          <w:szCs w:val="32"/>
          <w:highlight w:val="none"/>
          <w:lang w:val="en-US" w:eastAsia="zh-CN" w:bidi="ar-SA"/>
        </w:rPr>
        <w:t>我馆2021年无国有资本经营预算支出。</w:t>
      </w:r>
    </w:p>
    <w:p>
      <w:pPr>
        <w:pStyle w:val="6"/>
        <w:keepNext w:val="0"/>
        <w:keepLines w:val="0"/>
        <w:pageBreakBefore w:val="0"/>
        <w:widowControl/>
        <w:numPr>
          <w:ilvl w:val="0"/>
          <w:numId w:val="3"/>
        </w:numPr>
        <w:kinsoku/>
        <w:wordWrap/>
        <w:overflowPunct/>
        <w:topLinePunct w:val="0"/>
        <w:autoSpaceDE/>
        <w:autoSpaceDN/>
        <w:bidi w:val="0"/>
        <w:spacing w:line="598" w:lineRule="exact"/>
        <w:ind w:left="0" w:leftChars="0" w:firstLine="640" w:firstLineChars="200"/>
        <w:jc w:val="left"/>
        <w:textAlignment w:val="auto"/>
        <w:rPr>
          <w:rFonts w:ascii="Times New Roman" w:hAnsi="Times New Roman" w:eastAsia="黑体" w:cs="Times New Roman"/>
          <w:sz w:val="32"/>
          <w:szCs w:val="32"/>
        </w:rPr>
      </w:pPr>
      <w:r>
        <w:rPr>
          <w:rFonts w:ascii="Times New Roman" w:hAnsi="Times New Roman" w:eastAsia="黑体" w:cs="Times New Roman"/>
          <w:sz w:val="32"/>
          <w:szCs w:val="32"/>
        </w:rPr>
        <w:t>社会保险基金预算支出情况</w:t>
      </w:r>
    </w:p>
    <w:p>
      <w:pPr>
        <w:pStyle w:val="6"/>
        <w:keepNext w:val="0"/>
        <w:keepLines w:val="0"/>
        <w:pageBreakBefore w:val="0"/>
        <w:widowControl/>
        <w:numPr>
          <w:ilvl w:val="0"/>
          <w:numId w:val="0"/>
        </w:numPr>
        <w:kinsoku/>
        <w:wordWrap/>
        <w:overflowPunct/>
        <w:topLinePunct w:val="0"/>
        <w:autoSpaceDE/>
        <w:autoSpaceDN/>
        <w:bidi w:val="0"/>
        <w:spacing w:line="598" w:lineRule="exact"/>
        <w:ind w:firstLine="640" w:firstLineChars="200"/>
        <w:jc w:val="left"/>
        <w:textAlignment w:val="auto"/>
        <w:rPr>
          <w:rFonts w:hint="default" w:eastAsia="仿宋_GB2312" w:cs="Times New Roman"/>
          <w:sz w:val="32"/>
          <w:szCs w:val="32"/>
          <w:lang w:val="en-US" w:eastAsia="zh-CN"/>
        </w:rPr>
      </w:pPr>
      <w:r>
        <w:rPr>
          <w:rFonts w:hint="eastAsia" w:ascii="Times New Roman" w:hAnsi="Times New Roman" w:eastAsia="仿宋" w:cs="Times New Roman"/>
          <w:kern w:val="2"/>
          <w:sz w:val="32"/>
          <w:szCs w:val="32"/>
          <w:highlight w:val="none"/>
          <w:lang w:val="en-US" w:eastAsia="zh-CN" w:bidi="ar-SA"/>
        </w:rPr>
        <w:t>我馆2021年无社会保险基金预算支出。</w:t>
      </w:r>
    </w:p>
    <w:p>
      <w:pPr>
        <w:keepNext w:val="0"/>
        <w:keepLines w:val="0"/>
        <w:pageBreakBefore w:val="0"/>
        <w:widowControl/>
        <w:kinsoku/>
        <w:wordWrap/>
        <w:overflowPunct/>
        <w:topLinePunct w:val="0"/>
        <w:autoSpaceDE/>
        <w:autoSpaceDN/>
        <w:bidi w:val="0"/>
        <w:spacing w:line="598" w:lineRule="exact"/>
        <w:ind w:firstLine="645"/>
        <w:jc w:val="left"/>
        <w:textAlignment w:val="auto"/>
        <w:rPr>
          <w:rFonts w:ascii="Times New Roman" w:hAnsi="Times New Roman" w:eastAsia="黑体" w:cs="Times New Roman"/>
          <w:sz w:val="32"/>
          <w:szCs w:val="32"/>
        </w:rPr>
      </w:pPr>
      <w:r>
        <w:rPr>
          <w:rFonts w:ascii="Times New Roman" w:hAnsi="Times New Roman" w:eastAsia="黑体" w:cs="Times New Roman"/>
          <w:sz w:val="32"/>
          <w:szCs w:val="32"/>
        </w:rPr>
        <w:t>六、部门整体支出绩效情况</w:t>
      </w:r>
    </w:p>
    <w:p>
      <w:pPr>
        <w:keepNext w:val="0"/>
        <w:keepLines w:val="0"/>
        <w:pageBreakBefore w:val="0"/>
        <w:tabs>
          <w:tab w:val="left" w:pos="8280"/>
        </w:tabs>
        <w:kinsoku/>
        <w:wordWrap/>
        <w:overflowPunct/>
        <w:topLinePunct w:val="0"/>
        <w:autoSpaceDE/>
        <w:autoSpaceDN/>
        <w:bidi w:val="0"/>
        <w:spacing w:line="598" w:lineRule="exact"/>
        <w:ind w:firstLine="640" w:firstLineChars="200"/>
        <w:textAlignment w:val="auto"/>
        <w:rPr>
          <w:rFonts w:hint="eastAsia" w:ascii="Times New Roman" w:hAnsi="Times New Roman" w:eastAsia="仿宋" w:cs="Times New Roman"/>
          <w:kern w:val="2"/>
          <w:sz w:val="32"/>
          <w:szCs w:val="32"/>
          <w:highlight w:val="none"/>
          <w:lang w:val="en-US" w:eastAsia="zh-CN" w:bidi="ar-SA"/>
        </w:rPr>
      </w:pPr>
      <w:r>
        <w:rPr>
          <w:rFonts w:hint="eastAsia" w:ascii="Times New Roman" w:hAnsi="Times New Roman" w:eastAsia="仿宋" w:cs="Times New Roman"/>
          <w:kern w:val="2"/>
          <w:sz w:val="32"/>
          <w:szCs w:val="32"/>
          <w:highlight w:val="none"/>
          <w:lang w:val="en-US" w:eastAsia="zh-CN" w:bidi="ar-SA"/>
        </w:rPr>
        <w:t>2021年我馆坚持</w:t>
      </w:r>
      <w:r>
        <w:rPr>
          <w:rFonts w:hint="default" w:ascii="Times New Roman" w:hAnsi="Times New Roman" w:eastAsia="仿宋" w:cs="Times New Roman"/>
          <w:kern w:val="2"/>
          <w:sz w:val="32"/>
          <w:szCs w:val="32"/>
          <w:highlight w:val="none"/>
          <w:lang w:val="en-US" w:eastAsia="zh-CN" w:bidi="ar-SA"/>
        </w:rPr>
        <w:t>政治性、教育性和公益性，与时俱进、抢抓机遇、乘势而上，用心用情用力保护好、管理好、运用好红色资源，巩固拓展全省全国党史学习教育取得的成果，进一步抓好文物保护、</w:t>
      </w:r>
      <w:r>
        <w:rPr>
          <w:rFonts w:hint="eastAsia" w:ascii="Times New Roman" w:hAnsi="Times New Roman" w:eastAsia="仿宋" w:cs="Times New Roman"/>
          <w:kern w:val="2"/>
          <w:sz w:val="32"/>
          <w:szCs w:val="32"/>
          <w:highlight w:val="none"/>
          <w:lang w:val="en-US" w:eastAsia="zh-CN" w:bidi="ar-SA"/>
        </w:rPr>
        <w:t>系统研究、</w:t>
      </w:r>
      <w:r>
        <w:rPr>
          <w:rFonts w:hint="default" w:ascii="Times New Roman" w:hAnsi="Times New Roman" w:eastAsia="仿宋" w:cs="Times New Roman"/>
          <w:kern w:val="2"/>
          <w:sz w:val="32"/>
          <w:szCs w:val="32"/>
          <w:highlight w:val="none"/>
          <w:lang w:val="en-US" w:eastAsia="zh-CN" w:bidi="ar-SA"/>
        </w:rPr>
        <w:t>陈列展览、宣传教育、文化产业、免费开放管理等工作，进一步发挥纪念馆的价值、功能和作用，进一步发挥好韶山革命纪念地的政治影响，提升</w:t>
      </w:r>
      <w:r>
        <w:rPr>
          <w:rFonts w:hint="eastAsia" w:ascii="Times New Roman" w:hAnsi="Times New Roman" w:eastAsia="仿宋" w:cs="Times New Roman"/>
          <w:kern w:val="2"/>
          <w:sz w:val="32"/>
          <w:szCs w:val="32"/>
          <w:highlight w:val="none"/>
          <w:lang w:val="en-US" w:eastAsia="zh-CN" w:bidi="ar-SA"/>
        </w:rPr>
        <w:t>了</w:t>
      </w:r>
      <w:r>
        <w:rPr>
          <w:rFonts w:hint="default" w:ascii="Times New Roman" w:hAnsi="Times New Roman" w:eastAsia="仿宋" w:cs="Times New Roman"/>
          <w:kern w:val="2"/>
          <w:sz w:val="32"/>
          <w:szCs w:val="32"/>
          <w:highlight w:val="none"/>
          <w:lang w:val="en-US" w:eastAsia="zh-CN" w:bidi="ar-SA"/>
        </w:rPr>
        <w:t>社会效益</w:t>
      </w:r>
      <w:r>
        <w:rPr>
          <w:rFonts w:hint="eastAsia" w:ascii="Times New Roman" w:hAnsi="Times New Roman" w:eastAsia="仿宋" w:cs="Times New Roman"/>
          <w:kern w:val="2"/>
          <w:sz w:val="32"/>
          <w:szCs w:val="32"/>
          <w:highlight w:val="none"/>
          <w:lang w:val="en-US" w:eastAsia="zh-CN" w:bidi="ar-SA"/>
        </w:rPr>
        <w:t>、</w:t>
      </w:r>
      <w:r>
        <w:rPr>
          <w:rFonts w:hint="default" w:ascii="Times New Roman" w:hAnsi="Times New Roman" w:eastAsia="仿宋" w:cs="Times New Roman"/>
          <w:kern w:val="2"/>
          <w:sz w:val="32"/>
          <w:szCs w:val="32"/>
          <w:highlight w:val="none"/>
          <w:lang w:val="en-US" w:eastAsia="zh-CN" w:bidi="ar-SA"/>
        </w:rPr>
        <w:t>经济效益</w:t>
      </w:r>
      <w:r>
        <w:rPr>
          <w:rFonts w:hint="eastAsia" w:ascii="Times New Roman" w:hAnsi="Times New Roman" w:eastAsia="仿宋" w:cs="Times New Roman"/>
          <w:kern w:val="2"/>
          <w:sz w:val="32"/>
          <w:szCs w:val="32"/>
          <w:highlight w:val="none"/>
          <w:lang w:val="en-US" w:eastAsia="zh-CN" w:bidi="ar-SA"/>
        </w:rPr>
        <w:t>、生态效益、可持续发展能力和服务对象满意度。</w:t>
      </w:r>
    </w:p>
    <w:p>
      <w:pPr>
        <w:keepNext w:val="0"/>
        <w:keepLines w:val="0"/>
        <w:pageBreakBefore w:val="0"/>
        <w:tabs>
          <w:tab w:val="left" w:pos="8280"/>
        </w:tabs>
        <w:kinsoku/>
        <w:wordWrap/>
        <w:overflowPunct/>
        <w:topLinePunct w:val="0"/>
        <w:autoSpaceDE/>
        <w:autoSpaceDN/>
        <w:bidi w:val="0"/>
        <w:spacing w:line="598" w:lineRule="exact"/>
        <w:ind w:firstLine="640" w:firstLineChars="200"/>
        <w:textAlignment w:val="auto"/>
        <w:rPr>
          <w:rFonts w:hint="eastAsia" w:ascii="Times New Roman" w:hAnsi="Times New Roman" w:eastAsia="仿宋" w:cs="Times New Roman"/>
          <w:kern w:val="2"/>
          <w:sz w:val="32"/>
          <w:szCs w:val="32"/>
          <w:highlight w:val="none"/>
          <w:lang w:val="en-US" w:eastAsia="zh-CN" w:bidi="ar-SA"/>
        </w:rPr>
      </w:pPr>
      <w:r>
        <w:rPr>
          <w:rFonts w:hint="eastAsia" w:ascii="Times New Roman" w:hAnsi="Times New Roman" w:eastAsia="仿宋" w:cs="Times New Roman"/>
          <w:kern w:val="2"/>
          <w:sz w:val="32"/>
          <w:szCs w:val="32"/>
          <w:highlight w:val="none"/>
          <w:lang w:val="en-US" w:eastAsia="zh-CN" w:bidi="ar-SA"/>
        </w:rPr>
        <w:t>我馆高度重视整体支出绩效自评工作，加强了预算绩效管理，完成了年度绩效目标，部门整体支出绩效情况良好。主要体现在以下几个方面：</w:t>
      </w:r>
    </w:p>
    <w:p>
      <w:pPr>
        <w:pStyle w:val="3"/>
        <w:keepNext w:val="0"/>
        <w:keepLines w:val="0"/>
        <w:pageBreakBefore w:val="0"/>
        <w:widowControl/>
        <w:shd w:val="clear" w:color="auto" w:fill="FFFFFF"/>
        <w:kinsoku/>
        <w:wordWrap/>
        <w:overflowPunct/>
        <w:topLinePunct w:val="0"/>
        <w:autoSpaceDE/>
        <w:autoSpaceDN/>
        <w:bidi w:val="0"/>
        <w:spacing w:before="0" w:beforeAutospacing="0" w:after="0" w:afterAutospacing="0" w:line="598" w:lineRule="exact"/>
        <w:ind w:firstLine="640" w:firstLineChars="200"/>
        <w:textAlignment w:val="auto"/>
        <w:rPr>
          <w:rFonts w:hint="eastAsia" w:ascii="Times New Roman" w:hAnsi="Times New Roman" w:eastAsia="仿宋" w:cs="Times New Roman"/>
          <w:kern w:val="2"/>
          <w:sz w:val="32"/>
          <w:szCs w:val="32"/>
          <w:highlight w:val="none"/>
          <w:lang w:val="en-US" w:eastAsia="zh-CN" w:bidi="ar-SA"/>
        </w:rPr>
      </w:pPr>
      <w:r>
        <w:rPr>
          <w:rFonts w:hint="eastAsia" w:ascii="Times New Roman" w:hAnsi="Times New Roman" w:eastAsia="仿宋" w:cs="Times New Roman"/>
          <w:kern w:val="2"/>
          <w:sz w:val="32"/>
          <w:szCs w:val="32"/>
          <w:highlight w:val="none"/>
          <w:lang w:val="en-US" w:eastAsia="zh-CN" w:bidi="ar-SA"/>
        </w:rPr>
        <w:t>1. 资金使用保障足。一是保障了职工工资，津补贴的及时足额发放，没有出现拖欠职工工资，离退休费用等现象；二是保障了各项工作的正常运转，资金支付正常；三是资金使用无虚列支出及随意使用现象，无大额现金支付现象。</w:t>
      </w:r>
    </w:p>
    <w:p>
      <w:pPr>
        <w:keepNext w:val="0"/>
        <w:keepLines w:val="0"/>
        <w:pageBreakBefore w:val="0"/>
        <w:kinsoku/>
        <w:wordWrap/>
        <w:overflowPunct/>
        <w:topLinePunct w:val="0"/>
        <w:autoSpaceDE/>
        <w:autoSpaceDN/>
        <w:bidi w:val="0"/>
        <w:spacing w:line="598" w:lineRule="exact"/>
        <w:ind w:firstLine="640" w:firstLineChars="200"/>
        <w:textAlignment w:val="auto"/>
        <w:rPr>
          <w:rFonts w:hint="eastAsia" w:ascii="Times New Roman" w:hAnsi="Times New Roman" w:eastAsia="仿宋" w:cs="Times New Roman"/>
          <w:kern w:val="2"/>
          <w:sz w:val="32"/>
          <w:szCs w:val="32"/>
          <w:highlight w:val="none"/>
          <w:lang w:val="en-US" w:eastAsia="zh-CN" w:bidi="ar-SA"/>
        </w:rPr>
      </w:pPr>
      <w:r>
        <w:rPr>
          <w:rFonts w:hint="eastAsia" w:ascii="Times New Roman" w:hAnsi="Times New Roman" w:eastAsia="仿宋" w:cs="Times New Roman"/>
          <w:kern w:val="2"/>
          <w:sz w:val="32"/>
          <w:szCs w:val="32"/>
          <w:highlight w:val="none"/>
          <w:lang w:val="en-US" w:eastAsia="zh-CN" w:bidi="ar-SA"/>
        </w:rPr>
        <w:t>2. 资金使用社会效益好。一是保障了我馆接待工作的顺利进行，2021年全年共接待观众518.4万人次，共计完成讲解</w:t>
      </w:r>
      <w:r>
        <w:rPr>
          <w:rFonts w:hint="default" w:ascii="Times New Roman" w:hAnsi="Times New Roman" w:eastAsia="仿宋" w:cs="Times New Roman"/>
          <w:kern w:val="2"/>
          <w:sz w:val="32"/>
          <w:szCs w:val="32"/>
          <w:highlight w:val="none"/>
          <w:lang w:val="en-US" w:eastAsia="zh-CN" w:bidi="ar-SA"/>
        </w:rPr>
        <w:t>10798</w:t>
      </w:r>
      <w:r>
        <w:rPr>
          <w:rFonts w:hint="eastAsia" w:ascii="Times New Roman" w:hAnsi="Times New Roman" w:eastAsia="仿宋" w:cs="Times New Roman"/>
          <w:kern w:val="2"/>
          <w:sz w:val="32"/>
          <w:szCs w:val="32"/>
          <w:highlight w:val="none"/>
          <w:lang w:val="en-US" w:eastAsia="zh-CN" w:bidi="ar-SA"/>
        </w:rPr>
        <w:t>批，观众满意度100%。重宾接待共计完成50余批次，其中包括</w:t>
      </w:r>
      <w:r>
        <w:rPr>
          <w:rFonts w:hint="default" w:ascii="Times New Roman" w:hAnsi="Times New Roman" w:eastAsia="仿宋" w:cs="Times New Roman"/>
          <w:kern w:val="2"/>
          <w:sz w:val="32"/>
          <w:szCs w:val="32"/>
          <w:highlight w:val="none"/>
          <w:lang w:val="en-US" w:eastAsia="zh-CN" w:bidi="ar-SA"/>
        </w:rPr>
        <w:t>中央政治局委员、中央宣传部部长黄坤明、最高人民法院院长周强、全国最高人民检察院院长张军、全国政协副主席陈晓光、新任湖南省委书记张庆伟、原全国妇联主席顾秀莲、中联办、中央巡视组、中纪委、全国妇联副主席、青海省政协</w:t>
      </w:r>
      <w:r>
        <w:rPr>
          <w:rFonts w:hint="eastAsia" w:ascii="Times New Roman" w:hAnsi="Times New Roman" w:eastAsia="仿宋" w:cs="Times New Roman"/>
          <w:kern w:val="2"/>
          <w:sz w:val="32"/>
          <w:szCs w:val="32"/>
          <w:highlight w:val="none"/>
          <w:lang w:val="en-US" w:eastAsia="zh-CN" w:bidi="ar-SA"/>
        </w:rPr>
        <w:t>等。二是</w:t>
      </w:r>
      <w:r>
        <w:rPr>
          <w:rFonts w:hint="default" w:ascii="Times New Roman" w:hAnsi="Times New Roman" w:eastAsia="仿宋" w:cs="Times New Roman"/>
          <w:kern w:val="2"/>
          <w:sz w:val="32"/>
          <w:szCs w:val="32"/>
          <w:highlight w:val="none"/>
          <w:lang w:val="en-US" w:eastAsia="zh-CN" w:bidi="ar-SA"/>
        </w:rPr>
        <w:t>闭馆期间，我馆开辟了网上宣传阵地，上传了网上展览，游客们可以足不出户就体验到伟人风范。</w:t>
      </w:r>
      <w:r>
        <w:rPr>
          <w:rFonts w:hint="eastAsia" w:ascii="Times New Roman" w:hAnsi="Times New Roman" w:eastAsia="仿宋" w:cs="Times New Roman"/>
          <w:kern w:val="2"/>
          <w:sz w:val="32"/>
          <w:szCs w:val="32"/>
          <w:highlight w:val="none"/>
          <w:lang w:val="en-US" w:eastAsia="zh-CN" w:bidi="ar-SA"/>
        </w:rPr>
        <w:t>三是保障了桂东镇沙田镇乡村振兴资金。为宣传毛泽东生平业绩和人格风范，弘扬时代正能量，发挥了极为重要的作用。</w:t>
      </w:r>
    </w:p>
    <w:p>
      <w:pPr>
        <w:keepNext w:val="0"/>
        <w:keepLines w:val="0"/>
        <w:pageBreakBefore w:val="0"/>
        <w:kinsoku/>
        <w:wordWrap/>
        <w:overflowPunct/>
        <w:topLinePunct w:val="0"/>
        <w:autoSpaceDE/>
        <w:autoSpaceDN/>
        <w:bidi w:val="0"/>
        <w:snapToGrid/>
        <w:spacing w:line="598" w:lineRule="exact"/>
        <w:ind w:firstLine="640" w:firstLineChars="200"/>
        <w:textAlignment w:val="auto"/>
        <w:rPr>
          <w:rFonts w:hint="eastAsia" w:ascii="Times New Roman" w:hAnsi="Times New Roman" w:eastAsia="仿宋" w:cs="Times New Roman"/>
          <w:kern w:val="2"/>
          <w:sz w:val="32"/>
          <w:szCs w:val="32"/>
          <w:highlight w:val="none"/>
          <w:lang w:val="en-US" w:eastAsia="zh-CN" w:bidi="ar-SA"/>
        </w:rPr>
      </w:pPr>
      <w:r>
        <w:rPr>
          <w:rFonts w:hint="eastAsia" w:ascii="Times New Roman" w:hAnsi="Times New Roman" w:eastAsia="仿宋" w:cs="Times New Roman"/>
          <w:kern w:val="2"/>
          <w:sz w:val="32"/>
          <w:szCs w:val="32"/>
          <w:highlight w:val="none"/>
          <w:lang w:val="en-US" w:eastAsia="zh-CN" w:bidi="ar-SA"/>
        </w:rPr>
        <w:t>3.资金使用可持续影响长。今年顺利完成了“恰是百年风华——庆祝中国共产党成立100周年主题展”及其巡展、“中国出了个毛泽东”在国防科技大学等地的巡展、“毛泽东家风展”在上海一大纪念馆的巡展、</w:t>
      </w:r>
      <w:r>
        <w:rPr>
          <w:rFonts w:hint="default" w:ascii="Times New Roman" w:hAnsi="Times New Roman" w:eastAsia="仿宋" w:cs="Times New Roman"/>
          <w:kern w:val="2"/>
          <w:sz w:val="32"/>
          <w:szCs w:val="32"/>
          <w:highlight w:val="none"/>
          <w:lang w:val="en-US" w:eastAsia="zh-CN" w:bidi="ar-SA"/>
        </w:rPr>
        <w:t>“列宁时代——列宁生平业绩展”“未来之花，如约绽放——毛泽东故乡儿童画展”跨国线上同步开展仪式</w:t>
      </w:r>
      <w:r>
        <w:rPr>
          <w:rFonts w:hint="eastAsia" w:ascii="Times New Roman" w:hAnsi="Times New Roman" w:eastAsia="仿宋" w:cs="Times New Roman"/>
          <w:kern w:val="2"/>
          <w:sz w:val="32"/>
          <w:szCs w:val="32"/>
          <w:highlight w:val="none"/>
          <w:lang w:val="en-US" w:eastAsia="zh-CN" w:bidi="ar-SA"/>
        </w:rPr>
        <w:t>、“建党100周年</w:t>
      </w:r>
      <w:r>
        <w:rPr>
          <w:rFonts w:hint="default" w:ascii="Times New Roman" w:hAnsi="Times New Roman" w:eastAsia="仿宋" w:cs="Times New Roman"/>
          <w:kern w:val="2"/>
          <w:sz w:val="32"/>
          <w:szCs w:val="32"/>
          <w:highlight w:val="none"/>
          <w:lang w:val="en-US" w:eastAsia="zh-CN" w:bidi="ar-SA"/>
        </w:rPr>
        <w:t>韶山文创设计邀请展”“韶光紫韵——宜兴紫砂名家艺术作品公益展”等临时展览的布展施工并及时撤展</w:t>
      </w:r>
      <w:r>
        <w:rPr>
          <w:rFonts w:hint="eastAsia" w:ascii="Times New Roman" w:hAnsi="Times New Roman" w:eastAsia="仿宋" w:cs="Times New Roman"/>
          <w:kern w:val="2"/>
          <w:sz w:val="32"/>
          <w:szCs w:val="32"/>
          <w:highlight w:val="none"/>
          <w:lang w:val="en-US" w:eastAsia="zh-CN" w:bidi="ar-SA"/>
        </w:rPr>
        <w:t>工作</w:t>
      </w:r>
      <w:r>
        <w:rPr>
          <w:rFonts w:hint="default" w:ascii="Times New Roman" w:hAnsi="Times New Roman" w:eastAsia="仿宋" w:cs="Times New Roman"/>
          <w:kern w:val="2"/>
          <w:sz w:val="32"/>
          <w:szCs w:val="32"/>
          <w:highlight w:val="none"/>
          <w:lang w:val="en-US" w:eastAsia="zh-CN" w:bidi="ar-SA"/>
        </w:rPr>
        <w:t>；</w:t>
      </w:r>
      <w:r>
        <w:rPr>
          <w:rFonts w:hint="eastAsia" w:ascii="Times New Roman" w:hAnsi="Times New Roman" w:eastAsia="仿宋" w:cs="Times New Roman"/>
          <w:kern w:val="2"/>
          <w:sz w:val="32"/>
          <w:szCs w:val="32"/>
          <w:highlight w:val="none"/>
          <w:lang w:val="en-US" w:eastAsia="zh-CN" w:bidi="ar-SA"/>
        </w:rPr>
        <w:t>有序开启了</w:t>
      </w:r>
      <w:r>
        <w:rPr>
          <w:rFonts w:hint="default" w:ascii="Times New Roman" w:hAnsi="Times New Roman" w:eastAsia="仿宋" w:cs="Times New Roman"/>
          <w:kern w:val="2"/>
          <w:sz w:val="32"/>
          <w:szCs w:val="32"/>
          <w:highlight w:val="none"/>
          <w:lang w:val="en-US" w:eastAsia="zh-CN" w:bidi="ar-SA"/>
        </w:rPr>
        <w:t>“中国出了个毛泽东”</w:t>
      </w:r>
      <w:r>
        <w:rPr>
          <w:rFonts w:hint="eastAsia" w:ascii="Times New Roman" w:hAnsi="Times New Roman" w:eastAsia="仿宋" w:cs="Times New Roman"/>
          <w:kern w:val="2"/>
          <w:sz w:val="32"/>
          <w:szCs w:val="32"/>
          <w:highlight w:val="none"/>
          <w:lang w:val="en-US" w:eastAsia="zh-CN" w:bidi="ar-SA"/>
        </w:rPr>
        <w:t>、</w:t>
      </w:r>
      <w:r>
        <w:rPr>
          <w:rFonts w:hint="default" w:ascii="Times New Roman" w:hAnsi="Times New Roman" w:eastAsia="仿宋" w:cs="Times New Roman"/>
          <w:kern w:val="2"/>
          <w:sz w:val="32"/>
          <w:szCs w:val="32"/>
          <w:highlight w:val="none"/>
          <w:lang w:val="en-US" w:eastAsia="zh-CN" w:bidi="ar-SA"/>
        </w:rPr>
        <w:t>“毛泽东与反腐倡廉”提质改造</w:t>
      </w:r>
      <w:r>
        <w:rPr>
          <w:rFonts w:hint="eastAsia" w:ascii="Times New Roman" w:hAnsi="Times New Roman" w:eastAsia="仿宋" w:cs="Times New Roman"/>
          <w:kern w:val="2"/>
          <w:sz w:val="32"/>
          <w:szCs w:val="32"/>
          <w:highlight w:val="none"/>
          <w:lang w:val="en-US" w:eastAsia="zh-CN" w:bidi="ar-SA"/>
        </w:rPr>
        <w:t>工作；高效</w:t>
      </w:r>
      <w:r>
        <w:rPr>
          <w:rFonts w:hint="default" w:ascii="Times New Roman" w:hAnsi="Times New Roman" w:eastAsia="仿宋" w:cs="Times New Roman"/>
          <w:kern w:val="2"/>
          <w:sz w:val="32"/>
          <w:szCs w:val="32"/>
          <w:highlight w:val="none"/>
          <w:lang w:val="en-US" w:eastAsia="zh-CN" w:bidi="ar-SA"/>
        </w:rPr>
        <w:t>完成了公开出版物《红色故事：走进中国100座纪念馆》系列丛书中《红色故事：走进韶山毛泽东同志纪念馆》一书的编撰、配图</w:t>
      </w:r>
      <w:r>
        <w:rPr>
          <w:rFonts w:hint="eastAsia" w:ascii="Times New Roman" w:hAnsi="Times New Roman" w:eastAsia="仿宋" w:cs="Times New Roman"/>
          <w:kern w:val="2"/>
          <w:sz w:val="32"/>
          <w:szCs w:val="32"/>
          <w:highlight w:val="none"/>
          <w:lang w:val="en-US" w:eastAsia="zh-CN" w:bidi="ar-SA"/>
        </w:rPr>
        <w:t>，</w:t>
      </w:r>
      <w:r>
        <w:rPr>
          <w:rFonts w:hint="default" w:ascii="Times New Roman" w:hAnsi="Times New Roman" w:eastAsia="仿宋" w:cs="Times New Roman"/>
          <w:kern w:val="2"/>
          <w:sz w:val="32"/>
          <w:szCs w:val="32"/>
          <w:highlight w:val="none"/>
          <w:lang w:val="en-US" w:eastAsia="zh-CN" w:bidi="ar-SA"/>
        </w:rPr>
        <w:t>公开出版物《毛泽东遗物故事（修订版》一书的编辑、修改</w:t>
      </w:r>
      <w:r>
        <w:rPr>
          <w:rFonts w:hint="eastAsia" w:ascii="Times New Roman" w:hAnsi="Times New Roman" w:eastAsia="仿宋" w:cs="Times New Roman"/>
          <w:kern w:val="2"/>
          <w:sz w:val="32"/>
          <w:szCs w:val="32"/>
          <w:highlight w:val="none"/>
          <w:lang w:val="en-US" w:eastAsia="zh-CN" w:bidi="ar-SA"/>
        </w:rPr>
        <w:t>工作</w:t>
      </w:r>
      <w:r>
        <w:rPr>
          <w:rFonts w:hint="default" w:ascii="Times New Roman" w:hAnsi="Times New Roman" w:eastAsia="仿宋" w:cs="Times New Roman"/>
          <w:kern w:val="2"/>
          <w:sz w:val="32"/>
          <w:szCs w:val="32"/>
          <w:highlight w:val="none"/>
          <w:lang w:val="en-US" w:eastAsia="zh-CN" w:bidi="ar-SA"/>
        </w:rPr>
        <w:t>；</w:t>
      </w:r>
      <w:r>
        <w:rPr>
          <w:rFonts w:hint="eastAsia" w:ascii="Times New Roman" w:hAnsi="Times New Roman" w:eastAsia="仿宋" w:cs="Times New Roman"/>
          <w:kern w:val="2"/>
          <w:sz w:val="32"/>
          <w:szCs w:val="32"/>
          <w:highlight w:val="none"/>
          <w:lang w:val="en-US" w:eastAsia="zh-CN" w:bidi="ar-SA"/>
        </w:rPr>
        <w:t>圆满</w:t>
      </w:r>
      <w:r>
        <w:rPr>
          <w:rFonts w:hint="default" w:ascii="Times New Roman" w:hAnsi="Times New Roman" w:eastAsia="仿宋" w:cs="Times New Roman"/>
          <w:kern w:val="2"/>
          <w:sz w:val="32"/>
          <w:szCs w:val="32"/>
          <w:highlight w:val="none"/>
          <w:lang w:val="en-US" w:eastAsia="zh-CN" w:bidi="ar-SA"/>
        </w:rPr>
        <w:t>完成了“毛泽东与中国共产党的100年”学术研讨会暨毛泽东思想生平研究会2021年年会、湖南省博物馆学会纪念馆专业委员会2021年会员代表大会暨“传承红色基因 弘扬伟大建党精神”主题研讨会、第十四届全国“毛泽东论坛”等研讨工作会议的组织、接待工作；配合做好了局“韶山下的思政课——2021党史博士研学季”</w:t>
      </w:r>
      <w:r>
        <w:rPr>
          <w:rFonts w:hint="eastAsia" w:ascii="Times New Roman" w:hAnsi="Times New Roman" w:eastAsia="仿宋" w:cs="Times New Roman"/>
          <w:kern w:val="2"/>
          <w:sz w:val="32"/>
          <w:szCs w:val="32"/>
          <w:highlight w:val="none"/>
          <w:lang w:val="en-US" w:eastAsia="zh-CN" w:bidi="ar-SA"/>
        </w:rPr>
        <w:t>、</w:t>
      </w:r>
      <w:r>
        <w:rPr>
          <w:rFonts w:hint="default" w:ascii="Times New Roman" w:hAnsi="Times New Roman" w:eastAsia="仿宋" w:cs="Times New Roman"/>
          <w:kern w:val="2"/>
          <w:sz w:val="32"/>
          <w:szCs w:val="32"/>
          <w:highlight w:val="none"/>
          <w:lang w:val="en-US" w:eastAsia="zh-CN" w:bidi="ar-SA"/>
        </w:rPr>
        <w:t>“用好红色资源、赓续红色血脉”“金点子·好创意”作品征集</w:t>
      </w:r>
      <w:r>
        <w:rPr>
          <w:rFonts w:hint="eastAsia" w:ascii="Times New Roman" w:hAnsi="Times New Roman" w:eastAsia="仿宋" w:cs="Times New Roman"/>
          <w:kern w:val="2"/>
          <w:sz w:val="32"/>
          <w:szCs w:val="32"/>
          <w:highlight w:val="none"/>
          <w:lang w:val="en-US" w:eastAsia="zh-CN" w:bidi="ar-SA"/>
        </w:rPr>
        <w:t>、</w:t>
      </w:r>
      <w:r>
        <w:rPr>
          <w:rFonts w:hint="default" w:ascii="Times New Roman" w:hAnsi="Times New Roman" w:eastAsia="仿宋" w:cs="Times New Roman"/>
          <w:kern w:val="2"/>
          <w:sz w:val="32"/>
          <w:szCs w:val="32"/>
          <w:highlight w:val="none"/>
          <w:lang w:val="en-US" w:eastAsia="zh-CN" w:bidi="ar-SA"/>
        </w:rPr>
        <w:t>“万里送教”</w:t>
      </w:r>
      <w:r>
        <w:rPr>
          <w:rFonts w:hint="eastAsia" w:ascii="Times New Roman" w:hAnsi="Times New Roman" w:eastAsia="仿宋" w:cs="Times New Roman"/>
          <w:kern w:val="2"/>
          <w:sz w:val="32"/>
          <w:szCs w:val="32"/>
          <w:highlight w:val="none"/>
          <w:lang w:val="en-US" w:eastAsia="zh-CN" w:bidi="ar-SA"/>
        </w:rPr>
        <w:t>等</w:t>
      </w:r>
      <w:r>
        <w:rPr>
          <w:rFonts w:hint="default" w:ascii="Times New Roman" w:hAnsi="Times New Roman" w:eastAsia="仿宋" w:cs="Times New Roman"/>
          <w:kern w:val="2"/>
          <w:sz w:val="32"/>
          <w:szCs w:val="32"/>
          <w:highlight w:val="none"/>
          <w:lang w:val="en-US" w:eastAsia="zh-CN" w:bidi="ar-SA"/>
        </w:rPr>
        <w:t>活动</w:t>
      </w:r>
      <w:r>
        <w:rPr>
          <w:rFonts w:hint="eastAsia" w:ascii="Times New Roman" w:hAnsi="Times New Roman" w:eastAsia="仿宋" w:cs="Times New Roman"/>
          <w:kern w:val="2"/>
          <w:sz w:val="32"/>
          <w:szCs w:val="32"/>
          <w:highlight w:val="none"/>
          <w:lang w:val="en-US" w:eastAsia="zh-CN" w:bidi="ar-SA"/>
        </w:rPr>
        <w:t>。扎实推进了</w:t>
      </w:r>
      <w:r>
        <w:rPr>
          <w:rFonts w:hint="default" w:ascii="Times New Roman" w:hAnsi="Times New Roman" w:eastAsia="仿宋" w:cs="Times New Roman"/>
          <w:kern w:val="2"/>
          <w:sz w:val="32"/>
          <w:szCs w:val="32"/>
          <w:highlight w:val="none"/>
          <w:lang w:val="en-US" w:eastAsia="zh-CN" w:bidi="ar-SA"/>
        </w:rPr>
        <w:t>旧址群修缮工程</w:t>
      </w:r>
      <w:r>
        <w:rPr>
          <w:rFonts w:hint="eastAsia" w:ascii="Times New Roman" w:hAnsi="Times New Roman" w:eastAsia="仿宋" w:cs="Times New Roman"/>
          <w:kern w:val="2"/>
          <w:sz w:val="32"/>
          <w:szCs w:val="32"/>
          <w:highlight w:val="none"/>
          <w:lang w:val="en-US" w:eastAsia="zh-CN" w:bidi="ar-SA"/>
        </w:rPr>
        <w:t>、</w:t>
      </w:r>
      <w:r>
        <w:rPr>
          <w:rFonts w:hint="default" w:ascii="Times New Roman" w:hAnsi="Times New Roman" w:eastAsia="仿宋" w:cs="Times New Roman"/>
          <w:kern w:val="2"/>
          <w:sz w:val="32"/>
          <w:szCs w:val="32"/>
          <w:highlight w:val="none"/>
          <w:lang w:val="en-US" w:eastAsia="zh-CN" w:bidi="ar-SA"/>
        </w:rPr>
        <w:t>故居环境综合治理项目</w:t>
      </w:r>
      <w:r>
        <w:rPr>
          <w:rFonts w:hint="eastAsia" w:ascii="Times New Roman" w:hAnsi="Times New Roman" w:eastAsia="仿宋" w:cs="Times New Roman"/>
          <w:kern w:val="2"/>
          <w:sz w:val="32"/>
          <w:szCs w:val="32"/>
          <w:highlight w:val="none"/>
          <w:lang w:val="en-US" w:eastAsia="zh-CN" w:bidi="ar-SA"/>
        </w:rPr>
        <w:t>、两馆连廊项目、红色基因库建设项目等项目建设工作。系列活动及工程有效的提高了我馆的综合实力和社会持续影响力。</w:t>
      </w:r>
    </w:p>
    <w:p>
      <w:pPr>
        <w:pStyle w:val="6"/>
        <w:keepNext w:val="0"/>
        <w:keepLines w:val="0"/>
        <w:pageBreakBefore w:val="0"/>
        <w:widowControl/>
        <w:kinsoku/>
        <w:wordWrap/>
        <w:overflowPunct/>
        <w:topLinePunct w:val="0"/>
        <w:autoSpaceDE/>
        <w:autoSpaceDN/>
        <w:bidi w:val="0"/>
        <w:spacing w:line="598" w:lineRule="exact"/>
        <w:ind w:firstLine="640"/>
        <w:jc w:val="left"/>
        <w:textAlignment w:val="auto"/>
        <w:rPr>
          <w:rFonts w:ascii="Times New Roman" w:hAnsi="Times New Roman" w:eastAsia="黑体" w:cs="Times New Roman"/>
          <w:sz w:val="32"/>
          <w:szCs w:val="32"/>
        </w:rPr>
      </w:pPr>
      <w:r>
        <w:rPr>
          <w:rFonts w:ascii="Times New Roman" w:hAnsi="Times New Roman" w:eastAsia="黑体" w:cs="Times New Roman"/>
          <w:sz w:val="32"/>
          <w:szCs w:val="32"/>
        </w:rPr>
        <w:t>七、存在的问题及原因分析</w:t>
      </w:r>
    </w:p>
    <w:p>
      <w:pPr>
        <w:keepNext w:val="0"/>
        <w:keepLines w:val="0"/>
        <w:pageBreakBefore w:val="0"/>
        <w:tabs>
          <w:tab w:val="left" w:pos="8280"/>
        </w:tabs>
        <w:kinsoku/>
        <w:wordWrap/>
        <w:overflowPunct/>
        <w:topLinePunct w:val="0"/>
        <w:autoSpaceDE/>
        <w:autoSpaceDN/>
        <w:bidi w:val="0"/>
        <w:spacing w:line="598" w:lineRule="exact"/>
        <w:ind w:firstLine="640" w:firstLineChars="200"/>
        <w:textAlignment w:val="auto"/>
        <w:rPr>
          <w:rFonts w:hint="eastAsia" w:ascii="Times New Roman" w:hAnsi="Times New Roman" w:eastAsia="仿宋" w:cs="Times New Roman"/>
          <w:kern w:val="2"/>
          <w:sz w:val="32"/>
          <w:szCs w:val="32"/>
          <w:highlight w:val="none"/>
          <w:lang w:val="en-US" w:eastAsia="zh-CN" w:bidi="ar-SA"/>
        </w:rPr>
      </w:pPr>
      <w:r>
        <w:rPr>
          <w:rFonts w:hint="eastAsia" w:ascii="Times New Roman" w:hAnsi="Times New Roman" w:eastAsia="仿宋" w:cs="Times New Roman"/>
          <w:kern w:val="2"/>
          <w:sz w:val="32"/>
          <w:szCs w:val="32"/>
          <w:highlight w:val="none"/>
          <w:lang w:val="en-US" w:eastAsia="zh-CN" w:bidi="ar-SA"/>
        </w:rPr>
        <w:t>我馆存在部分项目支出进度较慢、项目资金结转较多的现象。财政资金年末结转较多，多半部分为我馆不可控因素造成：一是受疫情影响相关工作无法正常推进；二是拨款时间影响，财政年底拨入的资金，单位无法当年使用；三是项目实施合同约定的付款方式和付款进度影响财政项目资金支付进度，项目实施除了实施前预付部分资金外，实施期间资金付款进度一般都慢于项目实施进度，且为保证项目质量，部分资金待完成验收合格，再支付剩余资金。</w:t>
      </w:r>
    </w:p>
    <w:p>
      <w:pPr>
        <w:keepNext w:val="0"/>
        <w:keepLines w:val="0"/>
        <w:pageBreakBefore w:val="0"/>
        <w:widowControl/>
        <w:numPr>
          <w:ilvl w:val="0"/>
          <w:numId w:val="4"/>
        </w:numPr>
        <w:kinsoku/>
        <w:wordWrap/>
        <w:overflowPunct/>
        <w:topLinePunct w:val="0"/>
        <w:autoSpaceDE/>
        <w:autoSpaceDN/>
        <w:bidi w:val="0"/>
        <w:spacing w:line="598" w:lineRule="exact"/>
        <w:ind w:firstLine="640" w:firstLineChars="200"/>
        <w:jc w:val="left"/>
        <w:textAlignment w:val="auto"/>
        <w:rPr>
          <w:rFonts w:ascii="Times New Roman" w:hAnsi="Times New Roman" w:eastAsia="黑体" w:cs="Times New Roman"/>
          <w:sz w:val="32"/>
          <w:szCs w:val="32"/>
        </w:rPr>
      </w:pPr>
      <w:r>
        <w:rPr>
          <w:rFonts w:ascii="Times New Roman" w:hAnsi="Times New Roman" w:eastAsia="黑体" w:cs="Times New Roman"/>
          <w:sz w:val="32"/>
          <w:szCs w:val="32"/>
        </w:rPr>
        <w:t>下一步改进措施</w:t>
      </w:r>
    </w:p>
    <w:p>
      <w:pPr>
        <w:keepNext w:val="0"/>
        <w:keepLines w:val="0"/>
        <w:pageBreakBefore w:val="0"/>
        <w:tabs>
          <w:tab w:val="left" w:pos="8280"/>
        </w:tabs>
        <w:kinsoku/>
        <w:wordWrap/>
        <w:overflowPunct/>
        <w:topLinePunct w:val="0"/>
        <w:autoSpaceDE/>
        <w:autoSpaceDN/>
        <w:bidi w:val="0"/>
        <w:spacing w:line="598" w:lineRule="exact"/>
        <w:ind w:firstLine="640" w:firstLineChars="200"/>
        <w:textAlignment w:val="auto"/>
        <w:rPr>
          <w:rFonts w:hint="eastAsia" w:ascii="Times New Roman" w:hAnsi="Times New Roman" w:eastAsia="仿宋" w:cs="Times New Roman"/>
          <w:kern w:val="2"/>
          <w:sz w:val="32"/>
          <w:szCs w:val="32"/>
          <w:highlight w:val="none"/>
          <w:lang w:val="en-US" w:eastAsia="zh-CN" w:bidi="ar-SA"/>
        </w:rPr>
      </w:pPr>
      <w:r>
        <w:rPr>
          <w:rFonts w:hint="eastAsia" w:ascii="Times New Roman" w:hAnsi="Times New Roman" w:eastAsia="仿宋" w:cs="Times New Roman"/>
          <w:kern w:val="2"/>
          <w:sz w:val="32"/>
          <w:szCs w:val="32"/>
          <w:highlight w:val="none"/>
          <w:lang w:val="en-US" w:eastAsia="zh-CN" w:bidi="ar-SA"/>
        </w:rPr>
        <w:t>毛泽东同志纪念馆安防系统升级改造项目评审通过的原方案中，设备大部分已停产，已不能满足我馆实际工作需求，导致原方案需调整。我馆已重新编制新方案，但未通过省文物局的项目评估，新方案正在修改中。修改完善后的新方案将再次送交省文物局，并积极推进后续工作。</w:t>
      </w:r>
    </w:p>
    <w:p>
      <w:pPr>
        <w:keepNext w:val="0"/>
        <w:keepLines w:val="0"/>
        <w:pageBreakBefore w:val="0"/>
        <w:tabs>
          <w:tab w:val="left" w:pos="8280"/>
        </w:tabs>
        <w:kinsoku/>
        <w:wordWrap/>
        <w:overflowPunct/>
        <w:topLinePunct w:val="0"/>
        <w:autoSpaceDE/>
        <w:autoSpaceDN/>
        <w:bidi w:val="0"/>
        <w:spacing w:line="598" w:lineRule="exact"/>
        <w:ind w:firstLine="640" w:firstLineChars="200"/>
        <w:textAlignment w:val="auto"/>
        <w:rPr>
          <w:rFonts w:hint="default" w:ascii="Times New Roman" w:hAnsi="Times New Roman" w:eastAsia="仿宋" w:cs="Times New Roman"/>
          <w:kern w:val="2"/>
          <w:sz w:val="32"/>
          <w:szCs w:val="32"/>
          <w:highlight w:val="none"/>
          <w:lang w:val="en-US" w:eastAsia="zh-CN" w:bidi="ar-SA"/>
        </w:rPr>
      </w:pPr>
      <w:r>
        <w:rPr>
          <w:rFonts w:hint="eastAsia" w:ascii="Times New Roman" w:hAnsi="Times New Roman" w:eastAsia="仿宋" w:cs="Times New Roman"/>
          <w:kern w:val="2"/>
          <w:sz w:val="32"/>
          <w:szCs w:val="32"/>
          <w:highlight w:val="none"/>
          <w:lang w:val="en-US" w:eastAsia="zh-CN" w:bidi="ar-SA"/>
        </w:rPr>
        <w:t>我馆力争2022年完成韶山毛主席旧居之旧居、南岸私塾安防工程招标、施工、资金支付等后续工作。</w:t>
      </w:r>
    </w:p>
    <w:p>
      <w:pPr>
        <w:keepNext w:val="0"/>
        <w:keepLines w:val="0"/>
        <w:pageBreakBefore w:val="0"/>
        <w:tabs>
          <w:tab w:val="left" w:pos="8280"/>
        </w:tabs>
        <w:kinsoku/>
        <w:wordWrap/>
        <w:overflowPunct/>
        <w:topLinePunct w:val="0"/>
        <w:autoSpaceDE/>
        <w:autoSpaceDN/>
        <w:bidi w:val="0"/>
        <w:spacing w:line="598" w:lineRule="exact"/>
        <w:ind w:firstLine="640" w:firstLineChars="200"/>
        <w:textAlignment w:val="auto"/>
        <w:rPr>
          <w:rFonts w:hint="eastAsia" w:ascii="Times New Roman" w:hAnsi="Times New Roman" w:eastAsia="仿宋" w:cs="Times New Roman"/>
          <w:kern w:val="2"/>
          <w:sz w:val="32"/>
          <w:szCs w:val="32"/>
          <w:highlight w:val="none"/>
          <w:lang w:val="en-US" w:eastAsia="zh-CN" w:bidi="ar-SA"/>
        </w:rPr>
      </w:pPr>
      <w:r>
        <w:rPr>
          <w:rFonts w:hint="eastAsia" w:ascii="Times New Roman" w:hAnsi="Times New Roman" w:eastAsia="仿宋" w:cs="Times New Roman"/>
          <w:kern w:val="2"/>
          <w:sz w:val="32"/>
          <w:szCs w:val="32"/>
          <w:highlight w:val="none"/>
          <w:lang w:val="en-US" w:eastAsia="zh-CN" w:bidi="ar-SA"/>
        </w:rPr>
        <w:t>文化产业发展专项已完成红色基因库数据采集部分的验收工作，验收结果合格。2022年将完成该项目质保金支付工作，15个红色故事视频拍摄、验收、支付工作，2022年完成资金支付任务。</w:t>
      </w:r>
    </w:p>
    <w:p>
      <w:pPr>
        <w:keepNext w:val="0"/>
        <w:keepLines w:val="0"/>
        <w:pageBreakBefore w:val="0"/>
        <w:tabs>
          <w:tab w:val="left" w:pos="8280"/>
        </w:tabs>
        <w:kinsoku/>
        <w:wordWrap/>
        <w:overflowPunct/>
        <w:topLinePunct w:val="0"/>
        <w:autoSpaceDE/>
        <w:autoSpaceDN/>
        <w:bidi w:val="0"/>
        <w:adjustRightInd/>
        <w:snapToGrid/>
        <w:spacing w:line="598" w:lineRule="exact"/>
        <w:ind w:firstLine="640" w:firstLineChars="200"/>
        <w:textAlignment w:val="auto"/>
        <w:rPr>
          <w:rFonts w:hint="eastAsia" w:ascii="Times New Roman" w:hAnsi="Times New Roman" w:eastAsia="仿宋" w:cs="Times New Roman"/>
          <w:kern w:val="2"/>
          <w:sz w:val="32"/>
          <w:szCs w:val="32"/>
          <w:highlight w:val="none"/>
          <w:lang w:val="en-US" w:eastAsia="zh-CN" w:bidi="ar-SA"/>
        </w:rPr>
      </w:pPr>
      <w:r>
        <w:rPr>
          <w:rFonts w:hint="eastAsia" w:ascii="Times New Roman" w:hAnsi="Times New Roman" w:eastAsia="仿宋" w:cs="Times New Roman"/>
          <w:kern w:val="2"/>
          <w:sz w:val="32"/>
          <w:szCs w:val="32"/>
          <w:highlight w:val="none"/>
          <w:lang w:val="en-US" w:eastAsia="zh-CN" w:bidi="ar-SA"/>
        </w:rPr>
        <w:t>博物馆纪念馆逐步免费开放补助资金将继续维护全馆公共运行支出，2022年完成资金支付任务。</w:t>
      </w:r>
    </w:p>
    <w:p>
      <w:pPr>
        <w:keepNext w:val="0"/>
        <w:keepLines w:val="0"/>
        <w:pageBreakBefore w:val="0"/>
        <w:tabs>
          <w:tab w:val="left" w:pos="8280"/>
        </w:tabs>
        <w:kinsoku/>
        <w:wordWrap/>
        <w:overflowPunct/>
        <w:topLinePunct w:val="0"/>
        <w:autoSpaceDE/>
        <w:autoSpaceDN/>
        <w:bidi w:val="0"/>
        <w:adjustRightInd/>
        <w:snapToGrid/>
        <w:spacing w:line="598" w:lineRule="exact"/>
        <w:ind w:firstLine="640" w:firstLineChars="200"/>
        <w:textAlignment w:val="auto"/>
        <w:rPr>
          <w:rFonts w:hint="eastAsia" w:ascii="Times New Roman" w:hAnsi="Times New Roman" w:eastAsia="仿宋" w:cs="Times New Roman"/>
          <w:kern w:val="2"/>
          <w:sz w:val="32"/>
          <w:szCs w:val="32"/>
          <w:highlight w:val="none"/>
          <w:lang w:val="en-US" w:eastAsia="zh-CN" w:bidi="ar-SA"/>
        </w:rPr>
      </w:pPr>
      <w:r>
        <w:rPr>
          <w:rFonts w:hint="default" w:ascii="Times New Roman" w:hAnsi="Times New Roman" w:eastAsia="仿宋" w:cs="Times New Roman"/>
          <w:kern w:val="2"/>
          <w:sz w:val="32"/>
          <w:szCs w:val="32"/>
          <w:highlight w:val="none"/>
          <w:lang w:val="en-US" w:eastAsia="zh-CN" w:bidi="ar-SA"/>
        </w:rPr>
        <w:t>韶山冲毛主席旧居修缮工程</w:t>
      </w:r>
      <w:r>
        <w:rPr>
          <w:rFonts w:hint="eastAsia" w:ascii="Times New Roman" w:hAnsi="Times New Roman" w:eastAsia="仿宋" w:cs="Times New Roman"/>
          <w:kern w:val="2"/>
          <w:sz w:val="32"/>
          <w:szCs w:val="32"/>
          <w:highlight w:val="none"/>
          <w:lang w:val="en-US" w:eastAsia="zh-CN" w:bidi="ar-SA"/>
        </w:rPr>
        <w:t>项目已申请收回结余资金再安排使用，正在与财政厅协调沟通中，争取资金能按需下达。</w:t>
      </w:r>
    </w:p>
    <w:p>
      <w:pPr>
        <w:pStyle w:val="2"/>
        <w:keepNext w:val="0"/>
        <w:keepLines w:val="0"/>
        <w:pageBreakBefore w:val="0"/>
        <w:kinsoku/>
        <w:wordWrap/>
        <w:overflowPunct/>
        <w:topLinePunct w:val="0"/>
        <w:autoSpaceDE/>
        <w:autoSpaceDN/>
        <w:bidi w:val="0"/>
        <w:adjustRightInd/>
        <w:snapToGrid/>
        <w:spacing w:line="598" w:lineRule="exact"/>
        <w:ind w:firstLine="640" w:firstLineChars="200"/>
        <w:textAlignment w:val="auto"/>
        <w:rPr>
          <w:rFonts w:hint="eastAsia"/>
          <w:lang w:val="en-US" w:eastAsia="zh-CN"/>
        </w:rPr>
      </w:pPr>
      <w:r>
        <w:rPr>
          <w:rFonts w:hint="eastAsia" w:ascii="Times New Roman" w:hAnsi="Times New Roman" w:eastAsia="仿宋" w:cs="Times New Roman"/>
          <w:kern w:val="2"/>
          <w:sz w:val="32"/>
          <w:szCs w:val="32"/>
          <w:highlight w:val="none"/>
          <w:lang w:val="en-US" w:eastAsia="zh-CN" w:bidi="ar-SA"/>
        </w:rPr>
        <w:t>其他非财政补助项目也将加快推进建设，并依法依程序完成资金支付任务。</w:t>
      </w:r>
    </w:p>
    <w:p>
      <w:pPr>
        <w:keepNext w:val="0"/>
        <w:keepLines w:val="0"/>
        <w:pageBreakBefore w:val="0"/>
        <w:widowControl/>
        <w:numPr>
          <w:ilvl w:val="0"/>
          <w:numId w:val="4"/>
        </w:numPr>
        <w:kinsoku/>
        <w:wordWrap/>
        <w:overflowPunct/>
        <w:topLinePunct w:val="0"/>
        <w:autoSpaceDE/>
        <w:autoSpaceDN/>
        <w:bidi w:val="0"/>
        <w:adjustRightInd/>
        <w:snapToGrid/>
        <w:spacing w:line="598" w:lineRule="exact"/>
        <w:ind w:left="0" w:leftChars="0" w:firstLine="640" w:firstLineChars="200"/>
        <w:jc w:val="left"/>
        <w:textAlignment w:val="auto"/>
        <w:rPr>
          <w:rFonts w:ascii="Times New Roman" w:hAnsi="Times New Roman" w:eastAsia="黑体" w:cs="Times New Roman"/>
          <w:sz w:val="32"/>
          <w:szCs w:val="32"/>
        </w:rPr>
      </w:pPr>
      <w:r>
        <w:rPr>
          <w:rFonts w:ascii="Times New Roman" w:hAnsi="Times New Roman" w:eastAsia="黑体" w:cs="Times New Roman"/>
          <w:sz w:val="32"/>
          <w:szCs w:val="32"/>
        </w:rPr>
        <w:t>部门整体支出绩效自评结果拟应用和公开情况</w:t>
      </w:r>
    </w:p>
    <w:p>
      <w:pPr>
        <w:keepNext w:val="0"/>
        <w:keepLines w:val="0"/>
        <w:pageBreakBefore w:val="0"/>
        <w:tabs>
          <w:tab w:val="left" w:pos="8280"/>
        </w:tabs>
        <w:kinsoku/>
        <w:wordWrap/>
        <w:overflowPunct/>
        <w:topLinePunct w:val="0"/>
        <w:autoSpaceDE/>
        <w:autoSpaceDN/>
        <w:bidi w:val="0"/>
        <w:adjustRightInd/>
        <w:snapToGrid/>
        <w:spacing w:line="598" w:lineRule="exact"/>
        <w:ind w:firstLine="640" w:firstLineChars="200"/>
        <w:textAlignment w:val="auto"/>
        <w:rPr>
          <w:rFonts w:hint="eastAsia" w:ascii="Times New Roman" w:hAnsi="Times New Roman" w:eastAsia="仿宋" w:cs="Times New Roman"/>
          <w:kern w:val="2"/>
          <w:sz w:val="32"/>
          <w:szCs w:val="32"/>
          <w:highlight w:val="none"/>
          <w:lang w:val="en-US" w:eastAsia="zh-CN" w:bidi="ar-SA"/>
        </w:rPr>
      </w:pPr>
      <w:r>
        <w:rPr>
          <w:rFonts w:hint="eastAsia" w:ascii="Times New Roman" w:hAnsi="Times New Roman" w:eastAsia="仿宋" w:cs="Times New Roman"/>
          <w:kern w:val="2"/>
          <w:sz w:val="32"/>
          <w:szCs w:val="32"/>
          <w:highlight w:val="none"/>
          <w:lang w:val="en-US" w:eastAsia="zh-CN" w:bidi="ar-SA"/>
        </w:rPr>
        <w:t>自评结果将严格按照要求在6月20日前在门户网站公开，接受社会监督。</w:t>
      </w:r>
    </w:p>
    <w:p>
      <w:pPr>
        <w:keepNext w:val="0"/>
        <w:keepLines w:val="0"/>
        <w:pageBreakBefore w:val="0"/>
        <w:widowControl/>
        <w:kinsoku/>
        <w:wordWrap/>
        <w:overflowPunct/>
        <w:topLinePunct w:val="0"/>
        <w:autoSpaceDE/>
        <w:autoSpaceDN/>
        <w:bidi w:val="0"/>
        <w:spacing w:line="598" w:lineRule="exact"/>
        <w:ind w:firstLine="645"/>
        <w:jc w:val="left"/>
        <w:textAlignment w:val="auto"/>
        <w:rPr>
          <w:rFonts w:ascii="Times New Roman" w:hAnsi="Times New Roman" w:eastAsia="仿宋_GB2312" w:cs="Times New Roman"/>
          <w:sz w:val="32"/>
          <w:szCs w:val="32"/>
        </w:rPr>
      </w:pPr>
    </w:p>
    <w:p>
      <w:pPr>
        <w:keepNext w:val="0"/>
        <w:keepLines w:val="0"/>
        <w:pageBreakBefore w:val="0"/>
        <w:widowControl/>
        <w:kinsoku/>
        <w:wordWrap/>
        <w:overflowPunct/>
        <w:topLinePunct w:val="0"/>
        <w:autoSpaceDE/>
        <w:autoSpaceDN/>
        <w:bidi w:val="0"/>
        <w:spacing w:line="598" w:lineRule="exact"/>
        <w:ind w:firstLine="645"/>
        <w:jc w:val="left"/>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附件：1</w:t>
      </w:r>
      <w:r>
        <w:rPr>
          <w:rFonts w:hint="eastAsia" w:ascii="Times New Roman" w:hAnsi="Times New Roman" w:eastAsia="仿宋_GB2312" w:cs="Times New Roman"/>
          <w:sz w:val="32"/>
          <w:szCs w:val="32"/>
          <w:lang w:val="en-US" w:eastAsia="zh-CN"/>
        </w:rPr>
        <w:t>.</w:t>
      </w:r>
      <w:r>
        <w:rPr>
          <w:rFonts w:ascii="Times New Roman" w:hAnsi="Times New Roman" w:eastAsia="仿宋_GB2312" w:cs="Times New Roman"/>
          <w:sz w:val="32"/>
          <w:szCs w:val="32"/>
        </w:rPr>
        <w:t>部门整体支出绩效评价基础数据表</w:t>
      </w:r>
    </w:p>
    <w:p>
      <w:pPr>
        <w:keepNext w:val="0"/>
        <w:keepLines w:val="0"/>
        <w:pageBreakBefore w:val="0"/>
        <w:widowControl/>
        <w:kinsoku/>
        <w:wordWrap/>
        <w:overflowPunct/>
        <w:topLinePunct w:val="0"/>
        <w:autoSpaceDE/>
        <w:autoSpaceDN/>
        <w:bidi w:val="0"/>
        <w:spacing w:line="598" w:lineRule="exact"/>
        <w:ind w:firstLine="1600" w:firstLineChars="500"/>
        <w:jc w:val="left"/>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lang w:val="en-US" w:eastAsia="zh-CN"/>
        </w:rPr>
        <w:t>.</w:t>
      </w:r>
      <w:r>
        <w:rPr>
          <w:rFonts w:ascii="Times New Roman" w:hAnsi="Times New Roman" w:eastAsia="仿宋_GB2312" w:cs="Times New Roman"/>
          <w:sz w:val="32"/>
          <w:szCs w:val="32"/>
        </w:rPr>
        <w:t>部门整体支出绩效自评表</w:t>
      </w:r>
    </w:p>
    <w:p>
      <w:pPr>
        <w:keepNext w:val="0"/>
        <w:keepLines w:val="0"/>
        <w:pageBreakBefore w:val="0"/>
        <w:widowControl/>
        <w:kinsoku/>
        <w:wordWrap/>
        <w:overflowPunct/>
        <w:topLinePunct w:val="0"/>
        <w:autoSpaceDE/>
        <w:autoSpaceDN/>
        <w:bidi w:val="0"/>
        <w:spacing w:line="598" w:lineRule="exact"/>
        <w:ind w:left="1103" w:leftChars="525" w:firstLine="515" w:firstLineChars="161"/>
        <w:jc w:val="left"/>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lang w:val="en-US" w:eastAsia="zh-CN"/>
        </w:rPr>
        <w:t>.</w:t>
      </w:r>
      <w:r>
        <w:rPr>
          <w:rFonts w:ascii="Times New Roman" w:hAnsi="Times New Roman" w:eastAsia="仿宋_GB2312" w:cs="Times New Roman"/>
          <w:sz w:val="32"/>
          <w:szCs w:val="32"/>
        </w:rPr>
        <w:t>项目支出绩效自评表</w:t>
      </w:r>
    </w:p>
    <w:p>
      <w:pPr>
        <w:keepNext w:val="0"/>
        <w:keepLines w:val="0"/>
        <w:pageBreakBefore w:val="0"/>
        <w:kinsoku/>
        <w:wordWrap/>
        <w:overflowPunct/>
        <w:topLinePunct w:val="0"/>
        <w:autoSpaceDE/>
        <w:autoSpaceDN/>
        <w:bidi w:val="0"/>
        <w:spacing w:line="598" w:lineRule="exact"/>
        <w:textAlignment w:val="auto"/>
      </w:pPr>
    </w:p>
    <w:p>
      <w:pPr>
        <w:pStyle w:val="2"/>
        <w:keepNext w:val="0"/>
        <w:keepLines w:val="0"/>
        <w:pageBreakBefore w:val="0"/>
        <w:kinsoku/>
        <w:wordWrap/>
        <w:overflowPunct/>
        <w:topLinePunct w:val="0"/>
        <w:autoSpaceDE/>
        <w:autoSpaceDN/>
        <w:bidi w:val="0"/>
        <w:spacing w:after="0" w:line="598" w:lineRule="exact"/>
        <w:textAlignment w:val="auto"/>
      </w:pPr>
    </w:p>
    <w:p>
      <w:pPr>
        <w:pStyle w:val="2"/>
        <w:keepNext w:val="0"/>
        <w:keepLines w:val="0"/>
        <w:pageBreakBefore w:val="0"/>
        <w:kinsoku/>
        <w:wordWrap/>
        <w:overflowPunct/>
        <w:topLinePunct w:val="0"/>
        <w:autoSpaceDE/>
        <w:autoSpaceDN/>
        <w:bidi w:val="0"/>
        <w:spacing w:after="0" w:line="598" w:lineRule="exact"/>
        <w:ind w:firstLine="4480" w:firstLineChars="1400"/>
        <w:textAlignment w:val="auto"/>
        <w:rPr>
          <w:rFonts w:hint="eastAsia" w:ascii="Times New Roman" w:hAnsi="Times New Roman" w:eastAsia="仿宋" w:cs="Times New Roman"/>
          <w:kern w:val="2"/>
          <w:sz w:val="32"/>
          <w:szCs w:val="32"/>
          <w:highlight w:val="none"/>
          <w:lang w:val="en-US" w:eastAsia="zh-CN" w:bidi="ar-SA"/>
        </w:rPr>
      </w:pPr>
      <w:r>
        <w:rPr>
          <w:rFonts w:hint="eastAsia" w:ascii="Times New Roman" w:hAnsi="Times New Roman" w:eastAsia="仿宋" w:cs="Times New Roman"/>
          <w:kern w:val="2"/>
          <w:sz w:val="32"/>
          <w:szCs w:val="32"/>
          <w:highlight w:val="none"/>
          <w:lang w:val="en-US" w:eastAsia="zh-CN" w:bidi="ar-SA"/>
        </w:rPr>
        <w:t>韶山毛泽东同志纪念馆</w:t>
      </w:r>
    </w:p>
    <w:p>
      <w:pPr>
        <w:pStyle w:val="2"/>
        <w:keepNext w:val="0"/>
        <w:keepLines w:val="0"/>
        <w:pageBreakBefore w:val="0"/>
        <w:kinsoku/>
        <w:wordWrap/>
        <w:overflowPunct/>
        <w:topLinePunct w:val="0"/>
        <w:autoSpaceDE/>
        <w:autoSpaceDN/>
        <w:bidi w:val="0"/>
        <w:spacing w:after="0" w:line="598" w:lineRule="exact"/>
        <w:ind w:firstLine="4800" w:firstLineChars="1500"/>
        <w:textAlignment w:val="auto"/>
        <w:rPr>
          <w:rFonts w:hint="eastAsia" w:ascii="Times New Roman" w:hAnsi="Times New Roman" w:eastAsia="仿宋" w:cs="Times New Roman"/>
          <w:kern w:val="2"/>
          <w:sz w:val="32"/>
          <w:szCs w:val="32"/>
          <w:highlight w:val="none"/>
          <w:lang w:val="en-US" w:eastAsia="zh-CN" w:bidi="ar-SA"/>
        </w:rPr>
      </w:pPr>
      <w:r>
        <w:rPr>
          <w:rFonts w:hint="eastAsia" w:ascii="Times New Roman" w:hAnsi="Times New Roman" w:eastAsia="仿宋" w:cs="Times New Roman"/>
          <w:kern w:val="2"/>
          <w:sz w:val="32"/>
          <w:szCs w:val="32"/>
          <w:highlight w:val="none"/>
          <w:lang w:val="en-US" w:eastAsia="zh-CN" w:bidi="ar-SA"/>
        </w:rPr>
        <w:t>2022年4月25日</w:t>
      </w:r>
    </w:p>
    <w:p>
      <w:pPr>
        <w:pStyle w:val="2"/>
        <w:keepNext w:val="0"/>
        <w:keepLines w:val="0"/>
        <w:pageBreakBefore w:val="0"/>
        <w:kinsoku/>
        <w:wordWrap/>
        <w:overflowPunct/>
        <w:topLinePunct w:val="0"/>
        <w:autoSpaceDE/>
        <w:autoSpaceDN/>
        <w:bidi w:val="0"/>
        <w:spacing w:after="0" w:line="598" w:lineRule="exact"/>
        <w:ind w:firstLine="4800" w:firstLineChars="1500"/>
        <w:textAlignment w:val="auto"/>
        <w:rPr>
          <w:rFonts w:hint="eastAsia" w:ascii="Times New Roman" w:hAnsi="Times New Roman" w:eastAsia="仿宋" w:cs="Times New Roman"/>
          <w:kern w:val="2"/>
          <w:sz w:val="32"/>
          <w:szCs w:val="32"/>
          <w:highlight w:val="none"/>
          <w:lang w:val="en-US" w:eastAsia="zh-CN" w:bidi="ar-SA"/>
        </w:rPr>
        <w:sectPr>
          <w:pgSz w:w="11906" w:h="16838"/>
          <w:pgMar w:top="1984" w:right="1531" w:bottom="1417" w:left="1531" w:header="851" w:footer="992" w:gutter="0"/>
          <w:cols w:space="425" w:num="1"/>
          <w:docGrid w:type="lines" w:linePitch="312" w:charSpace="0"/>
        </w:sectPr>
      </w:pPr>
    </w:p>
    <w:p>
      <w:pPr>
        <w:spacing w:after="120" w:afterLines="50" w:line="600" w:lineRule="exact"/>
        <w:rPr>
          <w:rFonts w:ascii="Times New Roman" w:hAnsi="Times New Roman" w:eastAsia="黑体" w:cs="Times New Roman"/>
          <w:sz w:val="32"/>
          <w:szCs w:val="32"/>
        </w:rPr>
      </w:pPr>
      <w:r>
        <w:rPr>
          <w:rFonts w:ascii="Times New Roman" w:hAnsi="Times New Roman" w:eastAsia="黑体" w:cs="Times New Roman"/>
          <w:sz w:val="32"/>
          <w:szCs w:val="32"/>
        </w:rPr>
        <w:t>附件1</w:t>
      </w:r>
    </w:p>
    <w:p>
      <w:pPr>
        <w:spacing w:after="120" w:afterLines="50" w:line="600" w:lineRule="exact"/>
        <w:jc w:val="center"/>
        <w:rPr>
          <w:rFonts w:ascii="Times New Roman" w:hAnsi="Times New Roman" w:eastAsia="仿宋_GB2312" w:cs="Times New Roman"/>
          <w:sz w:val="24"/>
        </w:rPr>
      </w:pPr>
      <w:r>
        <w:rPr>
          <w:rFonts w:ascii="Times New Roman" w:hAnsi="Times New Roman" w:eastAsia="方正小标宋_GBK" w:cs="Times New Roman"/>
          <w:sz w:val="36"/>
          <w:szCs w:val="36"/>
        </w:rPr>
        <w:t>2021年度部门整体支出绩效评价基础数据表</w:t>
      </w:r>
    </w:p>
    <w:tbl>
      <w:tblPr>
        <w:tblStyle w:val="4"/>
        <w:tblW w:w="9673" w:type="dxa"/>
        <w:jc w:val="center"/>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CellMar>
            <w:top w:w="0" w:type="dxa"/>
            <w:left w:w="108" w:type="dxa"/>
            <w:bottom w:w="0" w:type="dxa"/>
            <w:right w:w="108" w:type="dxa"/>
          </w:tblCellMar>
        </w:tblPrEx>
        <w:trPr>
          <w:trHeight w:val="397"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b/>
                <w:bCs/>
                <w:sz w:val="20"/>
                <w:szCs w:val="20"/>
              </w:rPr>
            </w:pPr>
            <w:r>
              <w:rPr>
                <w:rFonts w:ascii="Times New Roman" w:hAnsi="Times New Roman" w:eastAsia="仿宋_GB2312" w:cs="Times New Roman"/>
                <w:b/>
                <w:bCs/>
                <w:sz w:val="20"/>
                <w:szCs w:val="20"/>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b/>
                <w:bCs/>
                <w:sz w:val="20"/>
                <w:szCs w:val="20"/>
              </w:rPr>
            </w:pPr>
            <w:r>
              <w:rPr>
                <w:rFonts w:ascii="Times New Roman" w:hAnsi="Times New Roman" w:eastAsia="仿宋_GB2312" w:cs="Times New Roman"/>
                <w:b/>
                <w:bCs/>
                <w:sz w:val="20"/>
                <w:szCs w:val="20"/>
              </w:rPr>
              <w:t>2021年实际在职人数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b/>
                <w:bCs/>
                <w:sz w:val="20"/>
                <w:szCs w:val="20"/>
              </w:rPr>
            </w:pPr>
            <w:r>
              <w:rPr>
                <w:rFonts w:ascii="Times New Roman" w:hAnsi="Times New Roman" w:eastAsia="仿宋_GB2312" w:cs="Times New Roman"/>
                <w:b/>
                <w:bCs/>
                <w:sz w:val="20"/>
                <w:szCs w:val="20"/>
              </w:rPr>
              <w:t>控制率</w:t>
            </w:r>
          </w:p>
        </w:tc>
      </w:tr>
      <w:tr>
        <w:tblPrEx>
          <w:tblCellMar>
            <w:top w:w="0" w:type="dxa"/>
            <w:left w:w="108" w:type="dxa"/>
            <w:bottom w:w="0" w:type="dxa"/>
            <w:right w:w="108" w:type="dxa"/>
          </w:tblCellMar>
        </w:tblPrEx>
        <w:trPr>
          <w:trHeight w:val="397" w:hRule="atLeast"/>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cs="Times New Roman"/>
                <w:sz w:val="20"/>
                <w:szCs w:val="20"/>
              </w:rPr>
            </w:pPr>
          </w:p>
        </w:tc>
        <w:tc>
          <w:tcPr>
            <w:tcW w:w="2038"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sz w:val="20"/>
                <w:szCs w:val="20"/>
                <w:lang w:val="en-US" w:eastAsia="zh-CN"/>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110</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97</w:t>
            </w:r>
            <w:r>
              <w:rPr>
                <w:rFonts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88.18%</w:t>
            </w:r>
            <w:r>
              <w:rPr>
                <w:rFonts w:ascii="Times New Roman" w:hAnsi="Times New Roman" w:eastAsia="仿宋_GB2312" w:cs="Times New Roman"/>
                <w:sz w:val="20"/>
                <w:szCs w:val="20"/>
              </w:rPr>
              <w:t>　</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b/>
                <w:bCs/>
                <w:sz w:val="20"/>
                <w:szCs w:val="20"/>
              </w:rPr>
            </w:pPr>
            <w:r>
              <w:rPr>
                <w:rFonts w:ascii="Times New Roman" w:hAnsi="Times New Roman" w:eastAsia="仿宋_GB2312" w:cs="Times New Roman"/>
                <w:b/>
                <w:bCs/>
                <w:sz w:val="20"/>
                <w:szCs w:val="20"/>
              </w:rPr>
              <w:t>2020年决算数</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b/>
                <w:bCs/>
                <w:sz w:val="20"/>
                <w:szCs w:val="20"/>
              </w:rPr>
            </w:pPr>
            <w:r>
              <w:rPr>
                <w:rFonts w:ascii="Times New Roman" w:hAnsi="Times New Roman" w:eastAsia="仿宋_GB2312" w:cs="Times New Roman"/>
                <w:b/>
                <w:bCs/>
                <w:sz w:val="20"/>
                <w:szCs w:val="20"/>
              </w:rPr>
              <w:t>2021年预算数</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b/>
                <w:bCs/>
                <w:sz w:val="20"/>
                <w:szCs w:val="20"/>
              </w:rPr>
            </w:pPr>
            <w:r>
              <w:rPr>
                <w:rFonts w:ascii="Times New Roman" w:hAnsi="Times New Roman" w:eastAsia="仿宋_GB2312" w:cs="Times New Roman"/>
                <w:b/>
                <w:bCs/>
                <w:sz w:val="20"/>
                <w:szCs w:val="20"/>
              </w:rPr>
              <w:t>2021年决算数</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三公经费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22.91</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sz w:val="20"/>
                <w:szCs w:val="20"/>
                <w:lang w:val="en-US"/>
              </w:rPr>
            </w:pPr>
            <w:r>
              <w:rPr>
                <w:rFonts w:hint="eastAsia" w:ascii="Times New Roman" w:hAnsi="Times New Roman" w:eastAsia="仿宋_GB2312" w:cs="Times New Roman"/>
                <w:sz w:val="20"/>
                <w:szCs w:val="20"/>
                <w:lang w:val="en-US" w:eastAsia="zh-CN"/>
              </w:rPr>
              <w:t>23.20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22.91</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15.20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sz w:val="20"/>
                <w:szCs w:val="20"/>
                <w:lang w:val="en-US"/>
              </w:rPr>
            </w:pPr>
            <w:r>
              <w:rPr>
                <w:rFonts w:hint="eastAsia" w:ascii="Times New Roman" w:hAnsi="Times New Roman" w:eastAsia="仿宋_GB2312" w:cs="Times New Roman"/>
                <w:sz w:val="20"/>
                <w:szCs w:val="20"/>
                <w:lang w:val="en-US" w:eastAsia="zh-CN"/>
              </w:rPr>
              <w:t>15.20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sz w:val="20"/>
                <w:szCs w:val="20"/>
                <w:lang w:val="en-US"/>
              </w:rPr>
            </w:pPr>
            <w:r>
              <w:rPr>
                <w:rFonts w:hint="eastAsia" w:ascii="Times New Roman" w:hAnsi="Times New Roman" w:eastAsia="仿宋_GB2312" w:cs="Times New Roman"/>
                <w:sz w:val="20"/>
                <w:szCs w:val="20"/>
                <w:lang w:val="en-US" w:eastAsia="zh-CN"/>
              </w:rPr>
              <w:t>15.20</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sz w:val="20"/>
                <w:szCs w:val="20"/>
                <w:lang w:val="en-US"/>
              </w:rPr>
            </w:pPr>
            <w:r>
              <w:rPr>
                <w:rFonts w:hint="eastAsia" w:ascii="Times New Roman" w:hAnsi="Times New Roman" w:eastAsia="仿宋_GB2312" w:cs="Times New Roman"/>
                <w:sz w:val="20"/>
                <w:szCs w:val="20"/>
                <w:lang w:val="en-US" w:eastAsia="zh-CN"/>
              </w:rPr>
              <w:t>15.20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sz w:val="20"/>
                <w:szCs w:val="20"/>
                <w:lang w:val="en-US"/>
              </w:rPr>
            </w:pPr>
            <w:r>
              <w:rPr>
                <w:rFonts w:hint="eastAsia" w:ascii="Times New Roman" w:hAnsi="Times New Roman" w:eastAsia="仿宋_GB2312" w:cs="Times New Roman"/>
                <w:sz w:val="20"/>
                <w:szCs w:val="20"/>
                <w:lang w:val="en-US" w:eastAsia="zh-CN"/>
              </w:rPr>
              <w:t>15.20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15.20</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7.71</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sz w:val="20"/>
                <w:szCs w:val="20"/>
                <w:lang w:val="en-US"/>
              </w:rPr>
            </w:pPr>
            <w:r>
              <w:rPr>
                <w:rFonts w:hint="eastAsia" w:ascii="Times New Roman" w:hAnsi="Times New Roman" w:eastAsia="仿宋_GB2312" w:cs="Times New Roman"/>
                <w:sz w:val="20"/>
                <w:szCs w:val="20"/>
                <w:lang w:val="en-US" w:eastAsia="zh-CN"/>
              </w:rPr>
              <w:t>8.00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7.71</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2981.48</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sz w:val="20"/>
                <w:szCs w:val="20"/>
                <w:highlight w:val="none"/>
                <w:lang w:val="en-US"/>
              </w:rPr>
            </w:pPr>
            <w:r>
              <w:rPr>
                <w:rFonts w:hint="eastAsia" w:ascii="Times New Roman" w:hAnsi="Times New Roman" w:eastAsia="仿宋_GB2312" w:cs="Times New Roman"/>
                <w:sz w:val="20"/>
                <w:szCs w:val="20"/>
                <w:highlight w:val="none"/>
                <w:lang w:val="en-US" w:eastAsia="zh-CN"/>
              </w:rPr>
              <w:t>6010.83</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sz w:val="20"/>
                <w:szCs w:val="20"/>
                <w:highlight w:val="none"/>
                <w:lang w:val="en-US"/>
              </w:rPr>
            </w:pPr>
            <w:r>
              <w:rPr>
                <w:rFonts w:hint="eastAsia" w:ascii="Times New Roman" w:hAnsi="Times New Roman" w:eastAsia="仿宋_GB2312" w:cs="Times New Roman"/>
                <w:sz w:val="20"/>
                <w:szCs w:val="20"/>
                <w:highlight w:val="none"/>
                <w:lang w:val="en-US" w:eastAsia="zh-CN"/>
              </w:rPr>
              <w:t>4242.44</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495.01</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sz w:val="20"/>
                <w:szCs w:val="20"/>
                <w:highlight w:val="none"/>
                <w:lang w:val="en-US"/>
              </w:rPr>
            </w:pPr>
            <w:r>
              <w:rPr>
                <w:rFonts w:hint="eastAsia" w:ascii="Times New Roman" w:hAnsi="Times New Roman" w:eastAsia="仿宋_GB2312" w:cs="Times New Roman"/>
                <w:sz w:val="20"/>
                <w:szCs w:val="20"/>
                <w:highlight w:val="none"/>
                <w:lang w:val="en-US" w:eastAsia="zh-CN"/>
              </w:rPr>
              <w:t>1537.85</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sz w:val="20"/>
                <w:szCs w:val="20"/>
                <w:highlight w:val="none"/>
                <w:lang w:val="en-US"/>
              </w:rPr>
            </w:pPr>
            <w:r>
              <w:rPr>
                <w:rFonts w:hint="eastAsia" w:ascii="Times New Roman" w:hAnsi="Times New Roman" w:eastAsia="仿宋_GB2312" w:cs="Times New Roman"/>
                <w:sz w:val="20"/>
                <w:szCs w:val="20"/>
                <w:highlight w:val="none"/>
                <w:lang w:val="en-US" w:eastAsia="zh-CN"/>
              </w:rPr>
              <w:t>737.92</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sz w:val="20"/>
                <w:szCs w:val="20"/>
                <w:lang w:val="en-US"/>
              </w:rPr>
            </w:pPr>
            <w:r>
              <w:rPr>
                <w:rFonts w:hint="eastAsia" w:ascii="Times New Roman" w:hAnsi="Times New Roman" w:eastAsia="仿宋_GB2312" w:cs="Times New Roman"/>
                <w:sz w:val="20"/>
                <w:szCs w:val="20"/>
                <w:lang w:val="en-US" w:eastAsia="zh-CN"/>
              </w:rPr>
              <w:t>2322.22</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sz w:val="20"/>
                <w:szCs w:val="20"/>
                <w:highlight w:val="none"/>
                <w:lang w:val="en-US"/>
              </w:rPr>
            </w:pPr>
            <w:r>
              <w:rPr>
                <w:rFonts w:hint="eastAsia" w:ascii="Times New Roman" w:hAnsi="Times New Roman" w:eastAsia="仿宋_GB2312" w:cs="Times New Roman"/>
                <w:sz w:val="20"/>
                <w:szCs w:val="20"/>
                <w:highlight w:val="none"/>
                <w:lang w:val="en-US" w:eastAsia="zh-CN"/>
              </w:rPr>
              <w:t>4157.21</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sz w:val="20"/>
                <w:szCs w:val="20"/>
                <w:highlight w:val="none"/>
                <w:lang w:val="en-US"/>
              </w:rPr>
            </w:pPr>
            <w:r>
              <w:rPr>
                <w:rFonts w:hint="eastAsia" w:ascii="Times New Roman" w:hAnsi="Times New Roman" w:eastAsia="仿宋_GB2312" w:cs="Times New Roman"/>
                <w:sz w:val="20"/>
                <w:szCs w:val="20"/>
                <w:highlight w:val="none"/>
                <w:lang w:val="en-US" w:eastAsia="zh-CN"/>
              </w:rPr>
              <w:t>3358.07</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cs="Times New Roman"/>
                <w:kern w:val="2"/>
                <w:sz w:val="20"/>
                <w:szCs w:val="20"/>
                <w:lang w:val="en-US" w:eastAsia="zh-CN" w:bidi="ar-SA"/>
              </w:rPr>
            </w:pPr>
            <w:r>
              <w:rPr>
                <w:rFonts w:ascii="Times New Roman" w:hAnsi="Times New Roman" w:eastAsia="仿宋_GB2312" w:cs="Times New Roman"/>
                <w:sz w:val="20"/>
                <w:szCs w:val="20"/>
              </w:rPr>
              <w:t>3、省级专项资金（一个专项一行）</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kern w:val="2"/>
                <w:sz w:val="20"/>
                <w:szCs w:val="20"/>
                <w:lang w:val="en-US" w:eastAsia="zh-CN" w:bidi="ar-SA"/>
              </w:rPr>
            </w:pPr>
            <w:r>
              <w:rPr>
                <w:rFonts w:hint="eastAsia" w:ascii="Times New Roman" w:hAnsi="Times New Roman" w:eastAsia="仿宋_GB2312" w:cs="Times New Roman"/>
                <w:sz w:val="20"/>
                <w:szCs w:val="20"/>
                <w:lang w:val="en-US" w:eastAsia="zh-CN"/>
              </w:rPr>
              <w:t>164.25</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315.77</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146.45</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ind w:firstLine="420" w:firstLineChars="200"/>
              <w:jc w:val="left"/>
              <w:rPr>
                <w:rFonts w:ascii="Times New Roman" w:hAnsi="Times New Roman" w:eastAsia="仿宋_GB2312" w:cs="Times New Roman"/>
                <w:sz w:val="20"/>
                <w:szCs w:val="20"/>
              </w:rPr>
            </w:pPr>
            <w:r>
              <w:rPr>
                <w:rFonts w:hint="eastAsia" w:ascii="Times New Roman" w:hAnsi="Times New Roman" w:eastAsia="仿宋_GB2312" w:cs="Times New Roman"/>
                <w:kern w:val="0"/>
                <w:szCs w:val="21"/>
                <w:lang w:eastAsia="zh-CN"/>
              </w:rPr>
              <w:t>旅游发展专项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sz w:val="20"/>
                <w:szCs w:val="20"/>
              </w:rPr>
            </w:pPr>
            <w:r>
              <w:rPr>
                <w:rFonts w:hint="eastAsia" w:ascii="Times New Roman" w:hAnsi="Times New Roman" w:eastAsia="仿宋_GB2312" w:cs="Times New Roman"/>
                <w:kern w:val="0"/>
                <w:szCs w:val="21"/>
                <w:lang w:val="en-US" w:eastAsia="zh-CN"/>
              </w:rPr>
              <w:t>97.02</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ind w:firstLine="420" w:firstLineChars="200"/>
              <w:jc w:val="both"/>
              <w:rPr>
                <w:rFonts w:ascii="Times New Roman" w:hAnsi="Times New Roman" w:eastAsia="仿宋_GB2312" w:cs="Times New Roman"/>
                <w:sz w:val="20"/>
                <w:szCs w:val="20"/>
              </w:rPr>
            </w:pPr>
            <w:r>
              <w:rPr>
                <w:rFonts w:hint="eastAsia" w:ascii="Times New Roman" w:hAnsi="Times New Roman" w:eastAsia="仿宋_GB2312" w:cs="Times New Roman"/>
                <w:kern w:val="0"/>
                <w:szCs w:val="21"/>
                <w:lang w:eastAsia="zh-CN"/>
              </w:rPr>
              <w:t>文化产业发展专项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sz w:val="20"/>
                <w:szCs w:val="20"/>
              </w:rPr>
            </w:pPr>
            <w:r>
              <w:rPr>
                <w:rFonts w:hint="eastAsia" w:ascii="Times New Roman" w:hAnsi="Times New Roman" w:eastAsia="仿宋_GB2312" w:cs="Times New Roman"/>
                <w:kern w:val="0"/>
                <w:szCs w:val="21"/>
                <w:lang w:val="en-US" w:eastAsia="zh-CN"/>
              </w:rPr>
              <w:t>67.23</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182.77</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146.45</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hint="eastAsia" w:ascii="Times New Roman" w:hAnsi="Times New Roman" w:eastAsia="仿宋_GB2312" w:cs="Times New Roman"/>
                <w:sz w:val="20"/>
                <w:szCs w:val="20"/>
                <w:lang w:eastAsia="zh-CN"/>
              </w:rPr>
            </w:pPr>
            <w:r>
              <w:rPr>
                <w:rFonts w:hint="eastAsia" w:ascii="Times New Roman" w:hAnsi="Times New Roman" w:eastAsia="仿宋_GB2312" w:cs="Times New Roman"/>
                <w:sz w:val="20"/>
                <w:szCs w:val="20"/>
                <w:lang w:eastAsia="zh-CN"/>
              </w:rPr>
              <w:t>纪念馆安防工程</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eastAsia" w:ascii="Times New Roman" w:hAnsi="Times New Roman" w:eastAsia="仿宋_GB2312" w:cs="Times New Roman"/>
                <w:sz w:val="20"/>
                <w:szCs w:val="20"/>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133.00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2085.20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sz w:val="20"/>
                <w:szCs w:val="20"/>
                <w:lang w:val="en-US"/>
              </w:rPr>
            </w:pPr>
            <w:r>
              <w:rPr>
                <w:rFonts w:hint="eastAsia" w:ascii="Times New Roman" w:hAnsi="Times New Roman" w:eastAsia="仿宋_GB2312" w:cs="Times New Roman"/>
                <w:sz w:val="20"/>
                <w:szCs w:val="20"/>
                <w:lang w:val="en-US" w:eastAsia="zh-CN"/>
              </w:rPr>
              <w:t>134.30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sz w:val="20"/>
                <w:szCs w:val="20"/>
                <w:lang w:val="en-US"/>
              </w:rPr>
            </w:pPr>
            <w:r>
              <w:rPr>
                <w:rFonts w:hint="eastAsia" w:ascii="Times New Roman" w:hAnsi="Times New Roman" w:eastAsia="仿宋_GB2312" w:cs="Times New Roman"/>
                <w:sz w:val="20"/>
                <w:szCs w:val="20"/>
                <w:lang w:val="en-US" w:eastAsia="zh-CN"/>
              </w:rPr>
              <w:t>134.30</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color w:val="FF0000"/>
                <w:sz w:val="20"/>
                <w:szCs w:val="20"/>
                <w:lang w:val="en-US"/>
              </w:rPr>
            </w:pPr>
            <w:r>
              <w:rPr>
                <w:rFonts w:hint="eastAsia" w:ascii="Times New Roman" w:hAnsi="Times New Roman" w:eastAsia="仿宋_GB2312" w:cs="Times New Roman"/>
                <w:color w:val="FF0000"/>
                <w:sz w:val="20"/>
                <w:szCs w:val="20"/>
                <w:lang w:val="en-US" w:eastAsia="zh-CN"/>
              </w:rPr>
              <w:t>31.06</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color w:val="FF0000"/>
                <w:sz w:val="20"/>
                <w:szCs w:val="20"/>
              </w:rPr>
            </w:pPr>
            <w:r>
              <w:rPr>
                <w:rFonts w:hint="eastAsia" w:ascii="Times New Roman" w:hAnsi="Times New Roman" w:eastAsia="仿宋_GB2312" w:cs="Times New Roman"/>
                <w:color w:val="FF0000"/>
                <w:sz w:val="20"/>
                <w:szCs w:val="20"/>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color w:val="FF0000"/>
                <w:sz w:val="20"/>
                <w:szCs w:val="20"/>
              </w:rPr>
            </w:pPr>
            <w:r>
              <w:rPr>
                <w:rFonts w:hint="eastAsia" w:ascii="Times New Roman" w:hAnsi="Times New Roman" w:eastAsia="仿宋_GB2312" w:cs="Times New Roman"/>
                <w:color w:val="FF0000"/>
                <w:sz w:val="20"/>
                <w:szCs w:val="20"/>
                <w:lang w:val="en-US" w:eastAsia="zh-CN"/>
              </w:rPr>
              <w:t>0.78</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color w:val="FF0000"/>
                <w:sz w:val="20"/>
                <w:szCs w:val="20"/>
              </w:rPr>
            </w:pPr>
            <w:r>
              <w:rPr>
                <w:rFonts w:hint="eastAsia" w:ascii="Times New Roman" w:hAnsi="Times New Roman" w:eastAsia="仿宋_GB2312" w:cs="Times New Roman"/>
                <w:color w:val="FF0000"/>
                <w:sz w:val="20"/>
                <w:szCs w:val="20"/>
                <w:lang w:val="en-US" w:eastAsia="zh-CN"/>
              </w:rPr>
              <w:t>340.83</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color w:val="FF0000"/>
                <w:sz w:val="20"/>
                <w:szCs w:val="20"/>
              </w:rPr>
            </w:pPr>
            <w:r>
              <w:rPr>
                <w:rFonts w:hint="eastAsia" w:ascii="Times New Roman" w:hAnsi="Times New Roman" w:eastAsia="仿宋_GB2312" w:cs="Times New Roman"/>
                <w:color w:val="FF0000"/>
                <w:sz w:val="20"/>
                <w:szCs w:val="20"/>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color w:val="FF0000"/>
                <w:sz w:val="20"/>
                <w:szCs w:val="20"/>
              </w:rPr>
            </w:pPr>
            <w:r>
              <w:rPr>
                <w:rFonts w:hint="eastAsia" w:ascii="Times New Roman" w:hAnsi="Times New Roman" w:eastAsia="仿宋_GB2312" w:cs="Times New Roman"/>
                <w:color w:val="FF0000"/>
                <w:sz w:val="20"/>
                <w:szCs w:val="20"/>
                <w:lang w:val="en-US" w:eastAsia="zh-CN"/>
              </w:rPr>
              <w:t>0</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color w:val="FF0000"/>
                <w:sz w:val="20"/>
                <w:szCs w:val="20"/>
              </w:rPr>
            </w:pPr>
            <w:r>
              <w:rPr>
                <w:rFonts w:hint="eastAsia" w:ascii="Times New Roman" w:hAnsi="Times New Roman" w:eastAsia="仿宋_GB2312" w:cs="Times New Roman"/>
                <w:color w:val="FF0000"/>
                <w:sz w:val="20"/>
                <w:szCs w:val="20"/>
                <w:lang w:val="en-US" w:eastAsia="zh-CN"/>
              </w:rPr>
              <w:t>8.42</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color w:val="FF0000"/>
                <w:sz w:val="20"/>
                <w:szCs w:val="20"/>
              </w:rPr>
            </w:pPr>
            <w:r>
              <w:rPr>
                <w:rFonts w:hint="eastAsia" w:ascii="Times New Roman" w:hAnsi="Times New Roman" w:eastAsia="仿宋_GB2312" w:cs="Times New Roman"/>
                <w:color w:val="FF0000"/>
                <w:sz w:val="20"/>
                <w:szCs w:val="20"/>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eastAsia" w:ascii="Times New Roman" w:hAnsi="Times New Roman" w:eastAsia="仿宋_GB2312" w:cs="Times New Roman"/>
                <w:color w:val="FF0000"/>
                <w:sz w:val="20"/>
                <w:szCs w:val="20"/>
                <w:lang w:val="en-US" w:eastAsia="zh-CN"/>
              </w:rPr>
            </w:pPr>
            <w:r>
              <w:rPr>
                <w:rFonts w:hint="eastAsia" w:ascii="Times New Roman" w:hAnsi="Times New Roman" w:eastAsia="仿宋_GB2312" w:cs="Times New Roman"/>
                <w:color w:val="FF0000"/>
                <w:sz w:val="20"/>
                <w:szCs w:val="20"/>
                <w:lang w:val="en-US" w:eastAsia="zh-CN"/>
              </w:rPr>
              <w:t>0</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1130.49</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1130.49</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90.54</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sz w:val="20"/>
                <w:szCs w:val="20"/>
                <w:lang w:val="en-US"/>
              </w:rPr>
            </w:pPr>
            <w:r>
              <w:rPr>
                <w:rFonts w:hint="eastAsia" w:ascii="Times New Roman" w:hAnsi="Times New Roman" w:eastAsia="仿宋_GB2312" w:cs="Times New Roman"/>
                <w:sz w:val="20"/>
                <w:szCs w:val="20"/>
                <w:lang w:val="en-US" w:eastAsia="zh-CN"/>
              </w:rPr>
              <w:t>90.54</w:t>
            </w:r>
          </w:p>
        </w:tc>
      </w:tr>
      <w:tr>
        <w:tblPrEx>
          <w:tblCellMar>
            <w:top w:w="0" w:type="dxa"/>
            <w:left w:w="108" w:type="dxa"/>
            <w:bottom w:w="0" w:type="dxa"/>
            <w:right w:w="108" w:type="dxa"/>
          </w:tblCellMar>
        </w:tblPrEx>
        <w:trPr>
          <w:trHeight w:val="777" w:hRule="atLeast"/>
          <w:jc w:val="center"/>
        </w:trPr>
        <w:tc>
          <w:tcPr>
            <w:tcW w:w="3354"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楼堂馆所控制情况</w:t>
            </w:r>
            <w:r>
              <w:rPr>
                <w:rFonts w:ascii="Times New Roman" w:hAnsi="Times New Roman" w:eastAsia="仿宋_GB2312" w:cs="Times New Roman"/>
                <w:sz w:val="20"/>
                <w:szCs w:val="20"/>
              </w:rPr>
              <w:br w:type="textWrapping"/>
            </w:r>
            <w:r>
              <w:rPr>
                <w:rFonts w:ascii="Times New Roman" w:hAnsi="Times New Roman" w:eastAsia="仿宋_GB2312" w:cs="Times New Roman"/>
                <w:sz w:val="20"/>
                <w:szCs w:val="20"/>
              </w:rPr>
              <w:t>（2021年完工项目）</w:t>
            </w:r>
          </w:p>
        </w:tc>
        <w:tc>
          <w:tcPr>
            <w:tcW w:w="1189"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s="Times New Roman"/>
                <w:bCs/>
                <w:sz w:val="20"/>
                <w:szCs w:val="20"/>
              </w:rPr>
            </w:pPr>
            <w:r>
              <w:rPr>
                <w:rFonts w:ascii="Times New Roman" w:hAnsi="Times New Roman" w:eastAsia="仿宋_GB2312" w:cs="Times New Roman"/>
                <w:bCs/>
                <w:sz w:val="20"/>
                <w:szCs w:val="20"/>
              </w:rPr>
              <w:t>批复规模</w:t>
            </w:r>
            <w:r>
              <w:rPr>
                <w:rFonts w:ascii="Times New Roman" w:hAnsi="Times New Roman" w:eastAsia="仿宋_GB2312" w:cs="Times New Roman"/>
                <w:bCs/>
                <w:sz w:val="20"/>
                <w:szCs w:val="20"/>
              </w:rPr>
              <w:br w:type="textWrapping"/>
            </w:r>
            <w:r>
              <w:rPr>
                <w:rFonts w:ascii="Times New Roman" w:hAnsi="Times New Roman" w:eastAsia="仿宋_GB2312" w:cs="Times New Roman"/>
                <w:bCs/>
                <w:sz w:val="20"/>
                <w:szCs w:val="20"/>
              </w:rPr>
              <w:t>（</w:t>
            </w:r>
            <w:r>
              <w:rPr>
                <w:rFonts w:ascii="Times New Roman" w:hAnsi="Times New Roman" w:cs="Times New Roman"/>
                <w:bCs/>
                <w:sz w:val="20"/>
                <w:szCs w:val="20"/>
              </w:rPr>
              <w:t>㎡</w:t>
            </w:r>
            <w:r>
              <w:rPr>
                <w:rFonts w:ascii="Times New Roman" w:hAnsi="Times New Roman" w:eastAsia="仿宋_GB2312" w:cs="Times New Roman"/>
                <w:bCs/>
                <w:sz w:val="20"/>
                <w:szCs w:val="20"/>
              </w:rPr>
              <w:t>）</w:t>
            </w:r>
          </w:p>
        </w:tc>
        <w:tc>
          <w:tcPr>
            <w:tcW w:w="849"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s="Times New Roman"/>
                <w:bCs/>
                <w:sz w:val="20"/>
                <w:szCs w:val="20"/>
              </w:rPr>
            </w:pPr>
            <w:r>
              <w:rPr>
                <w:rFonts w:ascii="Times New Roman" w:hAnsi="Times New Roman" w:eastAsia="仿宋_GB2312" w:cs="Times New Roman"/>
                <w:bCs/>
                <w:sz w:val="20"/>
                <w:szCs w:val="20"/>
              </w:rPr>
              <w:t>实际规模（</w:t>
            </w:r>
            <w:r>
              <w:rPr>
                <w:rFonts w:ascii="Times New Roman" w:hAnsi="Times New Roman" w:cs="Times New Roman"/>
                <w:bCs/>
                <w:sz w:val="20"/>
                <w:szCs w:val="20"/>
              </w:rPr>
              <w:t>㎡</w:t>
            </w:r>
            <w:r>
              <w:rPr>
                <w:rFonts w:ascii="Times New Roman" w:hAnsi="Times New Roman" w:eastAsia="仿宋_GB2312" w:cs="Times New Roman"/>
                <w:bCs/>
                <w:sz w:val="20"/>
                <w:szCs w:val="20"/>
              </w:rPr>
              <w:t>）</w:t>
            </w:r>
          </w:p>
        </w:tc>
        <w:tc>
          <w:tcPr>
            <w:tcW w:w="1129"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s="Times New Roman"/>
                <w:bCs/>
                <w:sz w:val="20"/>
                <w:szCs w:val="20"/>
              </w:rPr>
            </w:pPr>
            <w:r>
              <w:rPr>
                <w:rFonts w:ascii="Times New Roman" w:hAnsi="Times New Roman" w:eastAsia="仿宋_GB2312" w:cs="Times New Roman"/>
                <w:bCs/>
                <w:sz w:val="20"/>
                <w:szCs w:val="20"/>
              </w:rPr>
              <w:t>规模控制率</w:t>
            </w:r>
          </w:p>
        </w:tc>
        <w:tc>
          <w:tcPr>
            <w:tcW w:w="1111"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s="Times New Roman"/>
                <w:bCs/>
                <w:sz w:val="20"/>
                <w:szCs w:val="20"/>
              </w:rPr>
            </w:pPr>
            <w:r>
              <w:rPr>
                <w:rFonts w:ascii="Times New Roman" w:hAnsi="Times New Roman" w:eastAsia="仿宋_GB2312" w:cs="Times New Roman"/>
                <w:bCs/>
                <w:sz w:val="20"/>
                <w:szCs w:val="20"/>
              </w:rPr>
              <w:t>预算投资（万元）</w:t>
            </w:r>
          </w:p>
        </w:tc>
        <w:tc>
          <w:tcPr>
            <w:tcW w:w="1081"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s="Times New Roman"/>
                <w:bCs/>
                <w:sz w:val="20"/>
                <w:szCs w:val="20"/>
              </w:rPr>
            </w:pPr>
            <w:r>
              <w:rPr>
                <w:rFonts w:ascii="Times New Roman" w:hAnsi="Times New Roman" w:eastAsia="仿宋_GB2312" w:cs="Times New Roman"/>
                <w:bCs/>
                <w:sz w:val="20"/>
                <w:szCs w:val="20"/>
              </w:rPr>
              <w:t>实际投资（万元）</w:t>
            </w:r>
          </w:p>
        </w:tc>
        <w:tc>
          <w:tcPr>
            <w:tcW w:w="96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s="Times New Roman"/>
                <w:bCs/>
                <w:sz w:val="20"/>
                <w:szCs w:val="20"/>
              </w:rPr>
            </w:pPr>
            <w:r>
              <w:rPr>
                <w:rFonts w:ascii="Times New Roman" w:hAnsi="Times New Roman" w:eastAsia="仿宋_GB2312" w:cs="Times New Roman"/>
                <w:bCs/>
                <w:sz w:val="20"/>
                <w:szCs w:val="20"/>
              </w:rPr>
              <w:t>投资概算控制率</w:t>
            </w:r>
          </w:p>
        </w:tc>
      </w:tr>
      <w:tr>
        <w:tblPrEx>
          <w:tblCellMar>
            <w:top w:w="0" w:type="dxa"/>
            <w:left w:w="108" w:type="dxa"/>
            <w:bottom w:w="0" w:type="dxa"/>
            <w:right w:w="108" w:type="dxa"/>
          </w:tblCellMar>
        </w:tblPrEx>
        <w:trPr>
          <w:trHeight w:val="454" w:hRule="atLeast"/>
          <w:jc w:val="center"/>
        </w:trPr>
        <w:tc>
          <w:tcPr>
            <w:tcW w:w="3354"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cs="Times New Roman"/>
                <w:sz w:val="20"/>
                <w:szCs w:val="20"/>
              </w:rPr>
            </w:pPr>
          </w:p>
        </w:tc>
        <w:tc>
          <w:tcPr>
            <w:tcW w:w="1189"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p>
        </w:tc>
        <w:tc>
          <w:tcPr>
            <w:tcW w:w="849"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w:t>
            </w:r>
          </w:p>
        </w:tc>
        <w:tc>
          <w:tcPr>
            <w:tcW w:w="1129"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w:t>
            </w:r>
          </w:p>
        </w:tc>
        <w:tc>
          <w:tcPr>
            <w:tcW w:w="1111"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w:t>
            </w:r>
          </w:p>
        </w:tc>
        <w:tc>
          <w:tcPr>
            <w:tcW w:w="1081"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w:t>
            </w:r>
          </w:p>
        </w:tc>
        <w:tc>
          <w:tcPr>
            <w:tcW w:w="960"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w:t>
            </w:r>
          </w:p>
        </w:tc>
      </w:tr>
      <w:tr>
        <w:tblPrEx>
          <w:tblCellMar>
            <w:top w:w="0" w:type="dxa"/>
            <w:left w:w="108" w:type="dxa"/>
            <w:bottom w:w="0" w:type="dxa"/>
            <w:right w:w="108" w:type="dxa"/>
          </w:tblCellMar>
        </w:tblPrEx>
        <w:trPr>
          <w:trHeight w:val="756"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pPr>
              <w:widowControl/>
              <w:jc w:val="center"/>
              <w:rPr>
                <w:rFonts w:hint="eastAsia" w:ascii="Times New Roman" w:hAnsi="Times New Roman" w:eastAsia="仿宋_GB2312" w:cs="Times New Roman"/>
                <w:sz w:val="20"/>
                <w:szCs w:val="20"/>
                <w:lang w:eastAsia="zh-CN"/>
              </w:rPr>
            </w:pPr>
            <w:r>
              <w:rPr>
                <w:rFonts w:hint="eastAsia" w:eastAsia="仿宋_GB2312"/>
                <w:kern w:val="0"/>
                <w:szCs w:val="21"/>
                <w:lang w:eastAsia="zh-CN"/>
              </w:rPr>
              <w:t>《馆财务审批管理制度》、</w:t>
            </w:r>
            <w:r>
              <w:rPr>
                <w:rFonts w:hint="eastAsia" w:ascii="Times New Roman" w:hAnsi="Times New Roman" w:eastAsia="仿宋_GB2312" w:cs="Times New Roman"/>
                <w:sz w:val="20"/>
                <w:szCs w:val="20"/>
                <w:lang w:eastAsia="zh-CN"/>
              </w:rPr>
              <w:t>《国有资产管理制度》、《采购管理办法》</w:t>
            </w:r>
          </w:p>
        </w:tc>
      </w:tr>
    </w:tbl>
    <w:p>
      <w:pPr>
        <w:widowControl/>
        <w:jc w:val="left"/>
        <w:rPr>
          <w:rFonts w:ascii="Times New Roman" w:hAnsi="Times New Roman" w:eastAsia="仿宋_GB2312" w:cs="Times New Roman"/>
          <w:sz w:val="22"/>
        </w:rPr>
      </w:pPr>
    </w:p>
    <w:p>
      <w:pPr>
        <w:widowControl/>
        <w:jc w:val="left"/>
        <w:rPr>
          <w:rFonts w:ascii="Times New Roman" w:hAnsi="Times New Roman" w:eastAsia="仿宋_GB2312" w:cs="Times New Roman"/>
          <w:sz w:val="22"/>
        </w:rPr>
      </w:pPr>
      <w:r>
        <w:rPr>
          <w:rFonts w:ascii="Times New Roman" w:hAnsi="Times New Roman" w:eastAsia="仿宋_GB2312" w:cs="Times New Roman"/>
          <w:sz w:val="22"/>
        </w:rPr>
        <w:t>说明：“项目支出”需要填报基本支出以外的所有项目支出情况，“公用经费”填报基本支出中的一般商品和服务支出。</w:t>
      </w:r>
    </w:p>
    <w:p>
      <w:pPr>
        <w:rPr>
          <w:rFonts w:ascii="Times New Roman" w:hAnsi="Times New Roman" w:eastAsia="仿宋_GB2312" w:cs="Times New Roman"/>
          <w:sz w:val="22"/>
        </w:rPr>
        <w:sectPr>
          <w:pgSz w:w="11906" w:h="16838"/>
          <w:pgMar w:top="1440" w:right="1800" w:bottom="1440" w:left="1800" w:header="851" w:footer="992" w:gutter="0"/>
          <w:cols w:space="425" w:num="1"/>
          <w:docGrid w:type="lines" w:linePitch="312" w:charSpace="0"/>
        </w:sectPr>
      </w:pPr>
      <w:r>
        <w:rPr>
          <w:rFonts w:ascii="Times New Roman" w:hAnsi="Times New Roman" w:eastAsia="仿宋_GB2312" w:cs="Times New Roman"/>
          <w:sz w:val="22"/>
        </w:rPr>
        <w:t>填表人：</w:t>
      </w:r>
      <w:r>
        <w:rPr>
          <w:rFonts w:hint="eastAsia" w:ascii="Times New Roman" w:hAnsi="Times New Roman" w:eastAsia="仿宋_GB2312" w:cs="Times New Roman"/>
          <w:sz w:val="22"/>
          <w:lang w:eastAsia="zh-CN"/>
        </w:rPr>
        <w:t>章睿</w:t>
      </w:r>
      <w:r>
        <w:rPr>
          <w:rFonts w:hint="eastAsia" w:ascii="Times New Roman" w:hAnsi="Times New Roman" w:eastAsia="仿宋_GB2312" w:cs="Times New Roman"/>
          <w:sz w:val="22"/>
          <w:lang w:val="en-US" w:eastAsia="zh-CN"/>
        </w:rPr>
        <w:t xml:space="preserve"> </w:t>
      </w:r>
      <w:r>
        <w:rPr>
          <w:rFonts w:ascii="Times New Roman" w:hAnsi="Times New Roman" w:eastAsia="仿宋_GB2312" w:cs="Times New Roman"/>
          <w:sz w:val="22"/>
        </w:rPr>
        <w:t xml:space="preserve"> 填报日期：</w:t>
      </w:r>
      <w:r>
        <w:rPr>
          <w:rFonts w:hint="eastAsia" w:ascii="Times New Roman" w:hAnsi="Times New Roman" w:eastAsia="仿宋_GB2312" w:cs="Times New Roman"/>
          <w:sz w:val="22"/>
          <w:lang w:val="en-US" w:eastAsia="zh-CN"/>
        </w:rPr>
        <w:t>2022.4.28</w:t>
      </w:r>
      <w:r>
        <w:rPr>
          <w:rFonts w:ascii="Times New Roman" w:hAnsi="Times New Roman" w:eastAsia="仿宋_GB2312" w:cs="Times New Roman"/>
          <w:sz w:val="22"/>
        </w:rPr>
        <w:t xml:space="preserve">  联系电话：</w:t>
      </w:r>
      <w:r>
        <w:rPr>
          <w:rFonts w:hint="eastAsia" w:ascii="Times New Roman" w:hAnsi="Times New Roman" w:eastAsia="仿宋_GB2312" w:cs="Times New Roman"/>
          <w:sz w:val="22"/>
          <w:lang w:val="en-US" w:eastAsia="zh-CN"/>
        </w:rPr>
        <w:t>18673230666</w:t>
      </w:r>
      <w:r>
        <w:rPr>
          <w:rFonts w:ascii="Times New Roman" w:hAnsi="Times New Roman" w:eastAsia="仿宋_GB2312" w:cs="Times New Roman"/>
          <w:sz w:val="22"/>
        </w:rPr>
        <w:t xml:space="preserve">  单位负责人签字：</w:t>
      </w:r>
    </w:p>
    <w:p>
      <w:pPr>
        <w:widowControl/>
        <w:spacing w:after="120" w:afterLines="50"/>
        <w:jc w:val="left"/>
        <w:rPr>
          <w:rFonts w:ascii="Times New Roman" w:hAnsi="Times New Roman" w:eastAsia="黑体" w:cs="Times New Roman"/>
          <w:sz w:val="32"/>
          <w:szCs w:val="32"/>
        </w:rPr>
      </w:pPr>
      <w:r>
        <w:rPr>
          <w:rFonts w:ascii="Times New Roman" w:hAnsi="Times New Roman" w:eastAsia="黑体" w:cs="Times New Roman"/>
          <w:sz w:val="32"/>
          <w:szCs w:val="32"/>
        </w:rPr>
        <w:t>附件2</w:t>
      </w:r>
    </w:p>
    <w:p>
      <w:pPr>
        <w:keepNext w:val="0"/>
        <w:keepLines w:val="0"/>
        <w:pageBreakBefore w:val="0"/>
        <w:widowControl/>
        <w:kinsoku/>
        <w:wordWrap/>
        <w:overflowPunct/>
        <w:topLinePunct w:val="0"/>
        <w:autoSpaceDE/>
        <w:autoSpaceDN/>
        <w:bidi w:val="0"/>
        <w:adjustRightInd/>
        <w:snapToGrid/>
        <w:jc w:val="center"/>
        <w:textAlignment w:val="auto"/>
        <w:rPr>
          <w:rFonts w:ascii="Times New Roman" w:hAnsi="Times New Roman" w:eastAsia="方正小标宋_GBK" w:cs="Times New Roman"/>
          <w:color w:val="000000"/>
          <w:sz w:val="36"/>
          <w:szCs w:val="36"/>
        </w:rPr>
      </w:pPr>
      <w:r>
        <w:rPr>
          <w:rFonts w:ascii="Times New Roman" w:hAnsi="Times New Roman" w:eastAsia="方正小标宋_GBK" w:cs="Times New Roman"/>
          <w:color w:val="000000"/>
          <w:sz w:val="36"/>
          <w:szCs w:val="36"/>
        </w:rPr>
        <w:t>2021年度部门整体支出绩效自评表</w:t>
      </w:r>
    </w:p>
    <w:tbl>
      <w:tblPr>
        <w:tblStyle w:val="4"/>
        <w:tblW w:w="10079" w:type="dxa"/>
        <w:jc w:val="center"/>
        <w:tblLayout w:type="fixed"/>
        <w:tblCellMar>
          <w:top w:w="0" w:type="dxa"/>
          <w:left w:w="108" w:type="dxa"/>
          <w:bottom w:w="0" w:type="dxa"/>
          <w:right w:w="108" w:type="dxa"/>
        </w:tblCellMar>
      </w:tblPr>
      <w:tblGrid>
        <w:gridCol w:w="1080"/>
        <w:gridCol w:w="1080"/>
        <w:gridCol w:w="953"/>
        <w:gridCol w:w="1256"/>
        <w:gridCol w:w="95"/>
        <w:gridCol w:w="1311"/>
        <w:gridCol w:w="1418"/>
        <w:gridCol w:w="750"/>
        <w:gridCol w:w="795"/>
        <w:gridCol w:w="1341"/>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省级预算部门名称</w:t>
            </w:r>
          </w:p>
        </w:tc>
        <w:tc>
          <w:tcPr>
            <w:tcW w:w="8999" w:type="dxa"/>
            <w:gridSpan w:val="9"/>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eastAsia="zh-CN"/>
              </w:rPr>
              <w:t>韶山毛泽东同志纪念馆</w:t>
            </w: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年度预</w:t>
            </w:r>
          </w:p>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算申请</w:t>
            </w:r>
            <w:r>
              <w:rPr>
                <w:rFonts w:ascii="Times New Roman" w:hAnsi="Times New Roman" w:eastAsia="仿宋_GB2312" w:cs="Times New Roman"/>
                <w:color w:val="000000"/>
                <w:sz w:val="20"/>
                <w:szCs w:val="20"/>
              </w:rPr>
              <w:br w:type="textWrapping"/>
            </w:r>
            <w:r>
              <w:rPr>
                <w:rFonts w:ascii="Times New Roman" w:hAnsi="Times New Roman" w:eastAsia="仿宋_GB2312" w:cs="Times New Roman"/>
                <w:color w:val="000000"/>
                <w:sz w:val="20"/>
                <w:szCs w:val="20"/>
              </w:rPr>
              <w:t>（万元）</w:t>
            </w:r>
          </w:p>
        </w:tc>
        <w:tc>
          <w:tcPr>
            <w:tcW w:w="2033" w:type="dxa"/>
            <w:gridSpan w:val="2"/>
            <w:tcBorders>
              <w:top w:val="nil"/>
              <w:left w:val="nil"/>
              <w:bottom w:val="single" w:color="auto" w:sz="4" w:space="0"/>
              <w:right w:val="single" w:color="auto" w:sz="4" w:space="0"/>
            </w:tcBorders>
            <w:noWrap w:val="0"/>
            <w:vAlign w:val="center"/>
          </w:tcPr>
          <w:p>
            <w:pPr>
              <w:spacing w:line="240" w:lineRule="exact"/>
              <w:jc w:val="center"/>
              <w:rPr>
                <w:rFonts w:ascii="Times New Roman" w:hAnsi="Times New Roman" w:eastAsia="仿宋_GB2312" w:cs="Times New Roman"/>
                <w:sz w:val="20"/>
                <w:szCs w:val="20"/>
              </w:rPr>
            </w:pPr>
          </w:p>
        </w:tc>
        <w:tc>
          <w:tcPr>
            <w:tcW w:w="1256" w:type="dxa"/>
            <w:tcBorders>
              <w:top w:val="nil"/>
              <w:left w:val="nil"/>
              <w:bottom w:val="single" w:color="auto" w:sz="4" w:space="0"/>
              <w:right w:val="single" w:color="auto" w:sz="4" w:space="0"/>
            </w:tcBorders>
            <w:noWrap w:val="0"/>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年初预算数</w:t>
            </w:r>
          </w:p>
        </w:tc>
        <w:tc>
          <w:tcPr>
            <w:tcW w:w="1406" w:type="dxa"/>
            <w:gridSpan w:val="2"/>
            <w:tcBorders>
              <w:top w:val="nil"/>
              <w:left w:val="nil"/>
              <w:bottom w:val="single" w:color="auto" w:sz="4" w:space="0"/>
              <w:right w:val="single" w:color="auto" w:sz="4" w:space="0"/>
            </w:tcBorders>
            <w:noWrap w:val="0"/>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全年预算数</w:t>
            </w:r>
          </w:p>
        </w:tc>
        <w:tc>
          <w:tcPr>
            <w:tcW w:w="1418" w:type="dxa"/>
            <w:tcBorders>
              <w:top w:val="nil"/>
              <w:left w:val="nil"/>
              <w:bottom w:val="single" w:color="auto" w:sz="4" w:space="0"/>
              <w:right w:val="single" w:color="auto" w:sz="4" w:space="0"/>
            </w:tcBorders>
            <w:noWrap w:val="0"/>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全年执行数</w:t>
            </w:r>
          </w:p>
        </w:tc>
        <w:tc>
          <w:tcPr>
            <w:tcW w:w="750" w:type="dxa"/>
            <w:tcBorders>
              <w:top w:val="nil"/>
              <w:left w:val="nil"/>
              <w:bottom w:val="single" w:color="auto" w:sz="4" w:space="0"/>
              <w:right w:val="single" w:color="auto" w:sz="4" w:space="0"/>
            </w:tcBorders>
            <w:noWrap w:val="0"/>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分值</w:t>
            </w:r>
          </w:p>
        </w:tc>
        <w:tc>
          <w:tcPr>
            <w:tcW w:w="795" w:type="dxa"/>
            <w:tcBorders>
              <w:top w:val="nil"/>
              <w:left w:val="nil"/>
              <w:bottom w:val="single" w:color="auto" w:sz="4" w:space="0"/>
              <w:right w:val="single" w:color="auto" w:sz="4" w:space="0"/>
            </w:tcBorders>
            <w:noWrap w:val="0"/>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执行率</w:t>
            </w:r>
          </w:p>
        </w:tc>
        <w:tc>
          <w:tcPr>
            <w:tcW w:w="1341" w:type="dxa"/>
            <w:tcBorders>
              <w:top w:val="nil"/>
              <w:left w:val="nil"/>
              <w:bottom w:val="single" w:color="auto" w:sz="4" w:space="0"/>
              <w:right w:val="single" w:color="auto" w:sz="4" w:space="0"/>
            </w:tcBorders>
            <w:noWrap w:val="0"/>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s="Times New Roman"/>
                <w:color w:val="000000"/>
                <w:sz w:val="20"/>
                <w:szCs w:val="20"/>
              </w:rPr>
            </w:pPr>
          </w:p>
        </w:tc>
        <w:tc>
          <w:tcPr>
            <w:tcW w:w="2033" w:type="dxa"/>
            <w:gridSpan w:val="2"/>
            <w:tcBorders>
              <w:top w:val="nil"/>
              <w:left w:val="nil"/>
              <w:bottom w:val="single" w:color="auto" w:sz="4" w:space="0"/>
              <w:right w:val="single" w:color="auto" w:sz="4" w:space="0"/>
            </w:tcBorders>
            <w:noWrap w:val="0"/>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color w:val="000000"/>
                <w:sz w:val="20"/>
                <w:szCs w:val="20"/>
              </w:rPr>
              <w:t>年度资金总额</w:t>
            </w:r>
          </w:p>
        </w:tc>
        <w:tc>
          <w:tcPr>
            <w:tcW w:w="1256"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2481.99</w:t>
            </w:r>
          </w:p>
        </w:tc>
        <w:tc>
          <w:tcPr>
            <w:tcW w:w="1406"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7202.46</w:t>
            </w:r>
          </w:p>
        </w:tc>
        <w:tc>
          <w:tcPr>
            <w:tcW w:w="1418"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5421.66</w:t>
            </w:r>
          </w:p>
        </w:tc>
        <w:tc>
          <w:tcPr>
            <w:tcW w:w="750" w:type="dxa"/>
            <w:tcBorders>
              <w:top w:val="nil"/>
              <w:left w:val="nil"/>
              <w:bottom w:val="single" w:color="auto" w:sz="4" w:space="0"/>
              <w:right w:val="single" w:color="auto" w:sz="4" w:space="0"/>
            </w:tcBorders>
            <w:noWrap w:val="0"/>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10</w:t>
            </w:r>
          </w:p>
        </w:tc>
        <w:tc>
          <w:tcPr>
            <w:tcW w:w="795"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75.28%</w:t>
            </w:r>
          </w:p>
        </w:tc>
        <w:tc>
          <w:tcPr>
            <w:tcW w:w="1341"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7.53</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ascii="Times New Roman" w:hAnsi="Times New Roman" w:eastAsia="仿宋_GB2312" w:cs="Times New Roman"/>
                <w:color w:val="000000"/>
                <w:sz w:val="20"/>
                <w:szCs w:val="20"/>
              </w:rPr>
            </w:pPr>
          </w:p>
        </w:tc>
        <w:tc>
          <w:tcPr>
            <w:tcW w:w="4695" w:type="dxa"/>
            <w:gridSpan w:val="5"/>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按收入性质分：</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按支出性质分：</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ascii="Times New Roman" w:hAnsi="Times New Roman" w:eastAsia="仿宋_GB2312" w:cs="Times New Roman"/>
                <w:color w:val="000000"/>
                <w:sz w:val="20"/>
                <w:szCs w:val="20"/>
              </w:rPr>
            </w:pPr>
          </w:p>
        </w:tc>
        <w:tc>
          <w:tcPr>
            <w:tcW w:w="4695" w:type="dxa"/>
            <w:gridSpan w:val="5"/>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xml:space="preserve">  其中：  一般公共预算：</w:t>
            </w:r>
            <w:r>
              <w:rPr>
                <w:rFonts w:hint="eastAsia" w:ascii="Times New Roman" w:hAnsi="Times New Roman" w:eastAsia="仿宋_GB2312" w:cs="Times New Roman"/>
                <w:color w:val="000000"/>
                <w:sz w:val="20"/>
                <w:szCs w:val="20"/>
                <w:lang w:val="en-US" w:eastAsia="zh-CN"/>
              </w:rPr>
              <w:t>7202.46</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其中：基本支出：</w:t>
            </w:r>
            <w:r>
              <w:rPr>
                <w:rFonts w:hint="eastAsia" w:ascii="Times New Roman" w:hAnsi="Times New Roman" w:eastAsia="仿宋_GB2312" w:cs="Times New Roman"/>
                <w:color w:val="000000"/>
                <w:sz w:val="20"/>
                <w:szCs w:val="20"/>
                <w:lang w:val="en-US" w:eastAsia="zh-CN"/>
              </w:rPr>
              <w:t>1121.63</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ascii="Times New Roman" w:hAnsi="Times New Roman" w:eastAsia="仿宋_GB2312" w:cs="Times New Roman"/>
                <w:color w:val="000000"/>
                <w:sz w:val="20"/>
                <w:szCs w:val="20"/>
              </w:rPr>
            </w:pPr>
          </w:p>
        </w:tc>
        <w:tc>
          <w:tcPr>
            <w:tcW w:w="4695" w:type="dxa"/>
            <w:gridSpan w:val="5"/>
            <w:tcBorders>
              <w:top w:val="nil"/>
              <w:left w:val="nil"/>
              <w:bottom w:val="single" w:color="auto" w:sz="4" w:space="0"/>
              <w:right w:val="single" w:color="auto" w:sz="4" w:space="0"/>
            </w:tcBorders>
            <w:noWrap w:val="0"/>
            <w:vAlign w:val="center"/>
          </w:tcPr>
          <w:p>
            <w:pPr>
              <w:widowControl/>
              <w:spacing w:line="240" w:lineRule="exact"/>
              <w:ind w:firstLine="800" w:firstLineChars="400"/>
              <w:jc w:val="left"/>
              <w:rPr>
                <w:rFonts w:hint="eastAsia"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政府性基金拨款：</w:t>
            </w:r>
            <w:r>
              <w:rPr>
                <w:rFonts w:hint="eastAsia" w:ascii="Times New Roman" w:hAnsi="Times New Roman" w:eastAsia="仿宋_GB2312" w:cs="Times New Roman"/>
                <w:color w:val="000000"/>
                <w:sz w:val="20"/>
                <w:szCs w:val="20"/>
                <w:lang w:val="en-US" w:eastAsia="zh-CN"/>
              </w:rPr>
              <w:t>0</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ind w:firstLine="600" w:firstLineChars="300"/>
              <w:jc w:val="left"/>
              <w:rPr>
                <w:rFonts w:hint="default"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项目支出：</w:t>
            </w:r>
            <w:r>
              <w:rPr>
                <w:rFonts w:hint="eastAsia" w:ascii="Times New Roman" w:hAnsi="Times New Roman" w:eastAsia="仿宋_GB2312" w:cs="Times New Roman"/>
                <w:color w:val="000000"/>
                <w:sz w:val="20"/>
                <w:szCs w:val="20"/>
                <w:lang w:val="en-US" w:eastAsia="zh-CN"/>
              </w:rPr>
              <w:t>4242.44</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ascii="Times New Roman" w:hAnsi="Times New Roman" w:eastAsia="仿宋_GB2312" w:cs="Times New Roman"/>
                <w:color w:val="000000"/>
                <w:sz w:val="20"/>
                <w:szCs w:val="20"/>
              </w:rPr>
            </w:pPr>
          </w:p>
        </w:tc>
        <w:tc>
          <w:tcPr>
            <w:tcW w:w="4695" w:type="dxa"/>
            <w:gridSpan w:val="5"/>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纳入专户管理的非税收入拨款：</w:t>
            </w:r>
            <w:r>
              <w:rPr>
                <w:rFonts w:hint="eastAsia" w:ascii="Times New Roman" w:hAnsi="Times New Roman" w:eastAsia="仿宋_GB2312" w:cs="Times New Roman"/>
                <w:color w:val="000000"/>
                <w:sz w:val="20"/>
                <w:szCs w:val="20"/>
                <w:lang w:val="en-US" w:eastAsia="zh-CN"/>
              </w:rPr>
              <w:t>0</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Times New Roman" w:hAnsi="Times New Roman" w:eastAsia="仿宋_GB2312" w:cs="Times New Roman"/>
                <w:color w:val="000000"/>
                <w:sz w:val="20"/>
                <w:szCs w:val="20"/>
              </w:rPr>
            </w:pPr>
          </w:p>
        </w:tc>
        <w:tc>
          <w:tcPr>
            <w:tcW w:w="4695" w:type="dxa"/>
            <w:gridSpan w:val="5"/>
            <w:tcBorders>
              <w:top w:val="nil"/>
              <w:left w:val="nil"/>
              <w:bottom w:val="single" w:color="auto" w:sz="4" w:space="0"/>
              <w:right w:val="single" w:color="auto" w:sz="4" w:space="0"/>
            </w:tcBorders>
            <w:noWrap w:val="0"/>
            <w:vAlign w:val="center"/>
          </w:tcPr>
          <w:p>
            <w:pPr>
              <w:widowControl/>
              <w:spacing w:line="240" w:lineRule="exact"/>
              <w:ind w:firstLine="1400" w:firstLineChars="700"/>
              <w:jc w:val="left"/>
              <w:rPr>
                <w:rFonts w:hint="eastAsia"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其他资金：</w:t>
            </w:r>
            <w:r>
              <w:rPr>
                <w:rFonts w:hint="eastAsia" w:ascii="Times New Roman" w:hAnsi="Times New Roman" w:eastAsia="仿宋_GB2312" w:cs="Times New Roman"/>
                <w:color w:val="000000"/>
                <w:sz w:val="20"/>
                <w:szCs w:val="20"/>
                <w:lang w:val="en-US" w:eastAsia="zh-CN"/>
              </w:rPr>
              <w:t>0</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年度总体目标</w:t>
            </w:r>
          </w:p>
        </w:tc>
        <w:tc>
          <w:tcPr>
            <w:tcW w:w="4695" w:type="dxa"/>
            <w:gridSpan w:val="5"/>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预期目标</w:t>
            </w:r>
          </w:p>
        </w:tc>
        <w:tc>
          <w:tcPr>
            <w:tcW w:w="430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Times New Roman" w:hAnsi="Times New Roman" w:eastAsia="仿宋_GB2312" w:cs="Times New Roman"/>
                <w:color w:val="000000"/>
                <w:sz w:val="20"/>
                <w:szCs w:val="20"/>
              </w:rPr>
            </w:pPr>
          </w:p>
        </w:tc>
        <w:tc>
          <w:tcPr>
            <w:tcW w:w="4695" w:type="dxa"/>
            <w:gridSpan w:val="5"/>
            <w:tcBorders>
              <w:top w:val="single" w:color="auto" w:sz="4" w:space="0"/>
              <w:left w:val="nil"/>
              <w:bottom w:val="single" w:color="auto" w:sz="4" w:space="0"/>
              <w:right w:val="single" w:color="000000" w:sz="4" w:space="0"/>
            </w:tcBorders>
            <w:noWrap w:val="0"/>
            <w:vAlign w:val="center"/>
          </w:tcPr>
          <w:p>
            <w:pPr>
              <w:widowControl/>
              <w:spacing w:line="240" w:lineRule="exact"/>
              <w:ind w:firstLine="420" w:firstLineChars="200"/>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kern w:val="0"/>
                <w:szCs w:val="21"/>
                <w:lang w:eastAsia="zh-CN"/>
              </w:rPr>
              <w:t>通过预算执行，</w:t>
            </w:r>
            <w:r>
              <w:rPr>
                <w:rFonts w:hint="eastAsia" w:ascii="Times New Roman" w:hAnsi="Times New Roman" w:eastAsia="仿宋_GB2312" w:cs="Times New Roman"/>
                <w:color w:val="000000"/>
                <w:kern w:val="0"/>
                <w:szCs w:val="21"/>
                <w:lang w:val="en-US" w:eastAsia="zh-CN"/>
              </w:rPr>
              <w:t>保障我馆日常工作正常运转、业务工作顺利实施、项目工作有序推进。</w:t>
            </w:r>
            <w:r>
              <w:rPr>
                <w:rFonts w:hint="eastAsia" w:ascii="Times New Roman" w:hAnsi="Times New Roman" w:eastAsia="仿宋_GB2312" w:cs="Times New Roman"/>
                <w:color w:val="000000"/>
                <w:kern w:val="0"/>
                <w:szCs w:val="21"/>
                <w:lang w:eastAsia="zh-CN"/>
              </w:rPr>
              <w:t>我馆将继续</w:t>
            </w:r>
            <w:r>
              <w:rPr>
                <w:rFonts w:ascii="Times New Roman" w:hAnsi="Times New Roman" w:eastAsia="仿宋_GB2312" w:cs="Times New Roman"/>
                <w:color w:val="000000"/>
                <w:kern w:val="0"/>
                <w:szCs w:val="21"/>
              </w:rPr>
              <w:t>凭借丰富的馆藏资源，挖掘文物内涵，形成全国独一无二的、富有韶山特色的陈列展示体系</w:t>
            </w:r>
            <w:r>
              <w:rPr>
                <w:rFonts w:hint="eastAsia" w:ascii="Times New Roman" w:hAnsi="Times New Roman" w:eastAsia="仿宋_GB2312" w:cs="Times New Roman"/>
                <w:color w:val="000000"/>
                <w:kern w:val="0"/>
                <w:szCs w:val="21"/>
              </w:rPr>
              <w:t>。</w:t>
            </w:r>
            <w:r>
              <w:rPr>
                <w:rFonts w:hint="eastAsia" w:ascii="Times New Roman" w:hAnsi="Times New Roman" w:eastAsia="仿宋_GB2312" w:cs="Times New Roman"/>
                <w:color w:val="000000"/>
                <w:kern w:val="0"/>
                <w:szCs w:val="21"/>
                <w:lang w:eastAsia="zh-CN"/>
              </w:rPr>
              <w:t>同时</w:t>
            </w:r>
            <w:r>
              <w:rPr>
                <w:rFonts w:ascii="Times New Roman" w:hAnsi="Times New Roman" w:eastAsia="仿宋_GB2312" w:cs="Times New Roman"/>
                <w:color w:val="000000"/>
                <w:kern w:val="0"/>
                <w:szCs w:val="21"/>
              </w:rPr>
              <w:t>增强社会教育效果，提升爱国主义教育基地的覆盖面、影响力</w:t>
            </w:r>
            <w:r>
              <w:rPr>
                <w:rFonts w:hint="eastAsia" w:ascii="Times New Roman" w:hAnsi="Times New Roman" w:eastAsia="仿宋_GB2312" w:cs="Times New Roman"/>
                <w:color w:val="000000"/>
                <w:kern w:val="0"/>
                <w:szCs w:val="21"/>
              </w:rPr>
              <w:t>。</w:t>
            </w:r>
            <w:r>
              <w:rPr>
                <w:rFonts w:hint="eastAsia" w:ascii="Times New Roman" w:hAnsi="Times New Roman" w:eastAsia="仿宋_GB2312" w:cs="Times New Roman"/>
                <w:color w:val="000000"/>
                <w:kern w:val="0"/>
                <w:szCs w:val="21"/>
                <w:lang w:eastAsia="zh-CN"/>
              </w:rPr>
              <w:t>争取</w:t>
            </w:r>
            <w:r>
              <w:rPr>
                <w:rFonts w:ascii="Times New Roman" w:hAnsi="Times New Roman" w:eastAsia="仿宋_GB2312" w:cs="Times New Roman"/>
                <w:color w:val="000000"/>
                <w:kern w:val="0"/>
                <w:szCs w:val="21"/>
              </w:rPr>
              <w:t>打造国内外毛泽东生平和思想研究、毛泽东遗物研究、韶山地方史研究的资料中心和研究基地。</w:t>
            </w:r>
            <w:r>
              <w:rPr>
                <w:rFonts w:eastAsia="仿宋_GB2312"/>
                <w:color w:val="000000"/>
                <w:kern w:val="0"/>
                <w:szCs w:val="21"/>
              </w:rPr>
              <w:t>　　</w:t>
            </w:r>
            <w:r>
              <w:rPr>
                <w:rFonts w:ascii="Times New Roman" w:hAnsi="Times New Roman" w:eastAsia="仿宋_GB2312" w:cs="Times New Roman"/>
                <w:color w:val="000000"/>
                <w:sz w:val="20"/>
                <w:szCs w:val="20"/>
              </w:rPr>
              <w:t>　　</w:t>
            </w:r>
          </w:p>
        </w:tc>
        <w:tc>
          <w:tcPr>
            <w:tcW w:w="430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ind w:firstLine="420" w:firstLineChars="200"/>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kern w:val="0"/>
                <w:szCs w:val="21"/>
                <w:lang w:val="en-US" w:eastAsia="zh-CN"/>
              </w:rPr>
              <w:t>我馆紧紧围绕文博业务中心工作，认真履行宣传、接待、保护、开发等职能职责；不断加强年初预算的统领规划功能，将管好资金阵线前移，严格按财经法规及制度使用、管理资金，成效明显</w:t>
            </w:r>
            <w:r>
              <w:rPr>
                <w:rFonts w:hint="eastAsia" w:ascii="Times New Roman" w:hAnsi="Times New Roman" w:eastAsia="仿宋_GB2312" w:cs="Times New Roman"/>
                <w:color w:val="000000"/>
                <w:kern w:val="0"/>
                <w:szCs w:val="21"/>
                <w:lang w:eastAsia="zh-CN"/>
              </w:rPr>
              <w:t>；</w:t>
            </w:r>
            <w:r>
              <w:rPr>
                <w:rFonts w:hint="eastAsia" w:ascii="Times New Roman" w:hAnsi="Times New Roman" w:eastAsia="仿宋_GB2312" w:cs="Times New Roman"/>
                <w:color w:val="000000"/>
                <w:kern w:val="0"/>
                <w:szCs w:val="21"/>
                <w:lang w:val="en-US" w:eastAsia="zh-CN"/>
              </w:rPr>
              <w:t>全面推进局、馆重点任务，扩大了政治影响，提升了社会效益。达到了资金使用效益高 、社会效益好，可持续影响长的效果。</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绩</w:t>
            </w:r>
          </w:p>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效</w:t>
            </w:r>
          </w:p>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指</w:t>
            </w:r>
          </w:p>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标</w:t>
            </w:r>
          </w:p>
          <w:p>
            <w:pPr>
              <w:widowControl/>
              <w:spacing w:line="240" w:lineRule="exact"/>
              <w:jc w:val="center"/>
              <w:rPr>
                <w:rFonts w:ascii="Times New Roman" w:hAnsi="Times New Roman" w:eastAsia="仿宋_GB2312" w:cs="Times New Roman"/>
                <w:color w:val="000000"/>
                <w:sz w:val="20"/>
                <w:szCs w:val="20"/>
              </w:rPr>
            </w:pP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一级指标</w:t>
            </w:r>
          </w:p>
        </w:tc>
        <w:tc>
          <w:tcPr>
            <w:tcW w:w="953"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二级指标</w:t>
            </w: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三级指标</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both"/>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年度指标值</w:t>
            </w:r>
          </w:p>
        </w:tc>
        <w:tc>
          <w:tcPr>
            <w:tcW w:w="1418" w:type="dxa"/>
            <w:tcBorders>
              <w:top w:val="nil"/>
              <w:left w:val="nil"/>
              <w:bottom w:val="single" w:color="auto" w:sz="4" w:space="0"/>
              <w:right w:val="single" w:color="auto" w:sz="4" w:space="0"/>
            </w:tcBorders>
            <w:noWrap w:val="0"/>
            <w:vAlign w:val="center"/>
          </w:tcPr>
          <w:p>
            <w:pPr>
              <w:widowControl/>
              <w:spacing w:line="240" w:lineRule="exac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实际完成值</w:t>
            </w:r>
          </w:p>
        </w:tc>
        <w:tc>
          <w:tcPr>
            <w:tcW w:w="75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分值</w:t>
            </w:r>
          </w:p>
        </w:tc>
        <w:tc>
          <w:tcPr>
            <w:tcW w:w="795"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得分</w:t>
            </w:r>
          </w:p>
        </w:tc>
        <w:tc>
          <w:tcPr>
            <w:tcW w:w="1341" w:type="dxa"/>
            <w:tcBorders>
              <w:top w:val="nil"/>
              <w:left w:val="nil"/>
              <w:bottom w:val="single" w:color="auto" w:sz="4" w:space="0"/>
              <w:right w:val="single" w:color="auto" w:sz="4" w:space="0"/>
            </w:tcBorders>
            <w:noWrap w:val="0"/>
            <w:vAlign w:val="center"/>
          </w:tcPr>
          <w:p>
            <w:pPr>
              <w:widowControl/>
              <w:spacing w:line="240" w:lineRule="exact"/>
              <w:jc w:val="both"/>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偏差原因分析及改进措施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产出指标</w:t>
            </w:r>
          </w:p>
          <w:p>
            <w:pPr>
              <w:widowControl/>
              <w:spacing w:line="240" w:lineRule="exact"/>
              <w:jc w:val="center"/>
              <w:rPr>
                <w:rFonts w:ascii="Times New Roman" w:hAnsi="Times New Roman" w:eastAsia="仿宋_GB2312" w:cs="Times New Roman"/>
                <w:color w:val="000000"/>
                <w:sz w:val="20"/>
                <w:szCs w:val="20"/>
              </w:rPr>
            </w:pPr>
          </w:p>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(50分)</w:t>
            </w:r>
          </w:p>
        </w:tc>
        <w:tc>
          <w:tcPr>
            <w:tcW w:w="95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数量指标</w:t>
            </w:r>
          </w:p>
        </w:tc>
        <w:tc>
          <w:tcPr>
            <w:tcW w:w="135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eastAsia="zh-CN"/>
              </w:rPr>
              <w:t>资金到位率</w:t>
            </w:r>
          </w:p>
        </w:tc>
        <w:tc>
          <w:tcPr>
            <w:tcW w:w="131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val="en-US" w:eastAsia="zh-CN"/>
              </w:rPr>
              <w:t>100%</w:t>
            </w:r>
          </w:p>
        </w:tc>
        <w:tc>
          <w:tcPr>
            <w:tcW w:w="141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val="en-US" w:eastAsia="zh-CN"/>
              </w:rPr>
              <w:t>100%</w:t>
            </w:r>
          </w:p>
        </w:tc>
        <w:tc>
          <w:tcPr>
            <w:tcW w:w="75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795"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kern w:val="2"/>
                <w:sz w:val="20"/>
                <w:szCs w:val="20"/>
                <w:lang w:val="en-US" w:eastAsia="zh-CN" w:bidi="ar-SA"/>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1341"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ascii="Times New Roman" w:hAnsi="Times New Roman" w:eastAsia="仿宋_GB2312" w:cs="Times New Roman"/>
                <w:color w:val="000000"/>
                <w:sz w:val="20"/>
                <w:szCs w:val="20"/>
              </w:rPr>
            </w:pPr>
          </w:p>
        </w:tc>
        <w:tc>
          <w:tcPr>
            <w:tcW w:w="95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Times New Roman" w:hAnsi="Times New Roman" w:eastAsia="仿宋_GB2312" w:cs="Times New Roman"/>
                <w:color w:val="000000"/>
                <w:sz w:val="20"/>
                <w:szCs w:val="20"/>
              </w:rPr>
            </w:pPr>
          </w:p>
        </w:tc>
        <w:tc>
          <w:tcPr>
            <w:tcW w:w="135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highlight w:val="yellow"/>
                <w:lang w:val="en-US" w:eastAsia="zh-CN" w:bidi="ar-SA"/>
              </w:rPr>
            </w:pPr>
            <w:r>
              <w:rPr>
                <w:rFonts w:hint="eastAsia" w:ascii="仿宋_GB2312" w:hAnsi="宋体" w:eastAsia="仿宋_GB2312" w:cs="宋体"/>
                <w:color w:val="000000"/>
                <w:kern w:val="0"/>
                <w:sz w:val="18"/>
                <w:szCs w:val="18"/>
                <w:highlight w:val="none"/>
                <w:lang w:eastAsia="zh-CN"/>
              </w:rPr>
              <w:t>展览数量</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26个</w:t>
            </w:r>
          </w:p>
        </w:tc>
        <w:tc>
          <w:tcPr>
            <w:tcW w:w="141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26个</w:t>
            </w:r>
          </w:p>
        </w:tc>
        <w:tc>
          <w:tcPr>
            <w:tcW w:w="7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79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1341"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ascii="Times New Roman" w:hAnsi="Times New Roman" w:eastAsia="仿宋_GB2312" w:cs="Times New Roman"/>
                <w:color w:val="000000"/>
                <w:sz w:val="20"/>
                <w:szCs w:val="20"/>
              </w:rPr>
            </w:pPr>
          </w:p>
        </w:tc>
        <w:tc>
          <w:tcPr>
            <w:tcW w:w="95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质量指标</w:t>
            </w:r>
          </w:p>
        </w:tc>
        <w:tc>
          <w:tcPr>
            <w:tcW w:w="135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val="en-US" w:eastAsia="zh-CN" w:bidi="ar-SA"/>
              </w:rPr>
              <w:t>预决算公开率</w:t>
            </w:r>
          </w:p>
        </w:tc>
        <w:tc>
          <w:tcPr>
            <w:tcW w:w="131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val="en-US" w:eastAsia="zh-CN" w:bidi="ar-SA"/>
              </w:rPr>
              <w:t>100%</w:t>
            </w:r>
          </w:p>
        </w:tc>
        <w:tc>
          <w:tcPr>
            <w:tcW w:w="141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val="en-US" w:eastAsia="zh-CN" w:bidi="ar-SA"/>
              </w:rPr>
              <w:t>100%</w:t>
            </w:r>
          </w:p>
        </w:tc>
        <w:tc>
          <w:tcPr>
            <w:tcW w:w="75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795"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kern w:val="2"/>
                <w:sz w:val="20"/>
                <w:szCs w:val="20"/>
                <w:lang w:val="en-US" w:eastAsia="zh-CN" w:bidi="ar-SA"/>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1341"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ascii="Times New Roman" w:hAnsi="Times New Roman" w:eastAsia="仿宋_GB2312" w:cs="Times New Roman"/>
                <w:color w:val="000000"/>
                <w:sz w:val="20"/>
                <w:szCs w:val="20"/>
              </w:rPr>
            </w:pPr>
          </w:p>
        </w:tc>
        <w:tc>
          <w:tcPr>
            <w:tcW w:w="95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Times New Roman" w:hAnsi="Times New Roman" w:eastAsia="仿宋_GB2312" w:cs="Times New Roman"/>
                <w:color w:val="000000"/>
                <w:sz w:val="20"/>
                <w:szCs w:val="20"/>
              </w:rPr>
            </w:pPr>
          </w:p>
        </w:tc>
        <w:tc>
          <w:tcPr>
            <w:tcW w:w="135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eastAsia="zh-CN"/>
              </w:rPr>
              <w:t>已完工项目验收合格率</w:t>
            </w:r>
          </w:p>
        </w:tc>
        <w:tc>
          <w:tcPr>
            <w:tcW w:w="131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val="en-US" w:eastAsia="zh-CN"/>
              </w:rPr>
              <w:t>100%</w:t>
            </w:r>
          </w:p>
        </w:tc>
        <w:tc>
          <w:tcPr>
            <w:tcW w:w="141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val="en-US" w:eastAsia="zh-CN"/>
              </w:rPr>
              <w:t>100%</w:t>
            </w:r>
          </w:p>
        </w:tc>
        <w:tc>
          <w:tcPr>
            <w:tcW w:w="7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79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5</w:t>
            </w:r>
          </w:p>
        </w:tc>
        <w:tc>
          <w:tcPr>
            <w:tcW w:w="1341"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ascii="Times New Roman" w:hAnsi="Times New Roman" w:eastAsia="仿宋_GB2312" w:cs="Times New Roman"/>
                <w:color w:val="000000"/>
                <w:sz w:val="20"/>
                <w:szCs w:val="20"/>
              </w:rPr>
            </w:pPr>
          </w:p>
        </w:tc>
        <w:tc>
          <w:tcPr>
            <w:tcW w:w="95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Times New Roman" w:hAnsi="Times New Roman" w:eastAsia="仿宋_GB2312" w:cs="Times New Roman"/>
                <w:color w:val="000000"/>
                <w:sz w:val="20"/>
                <w:szCs w:val="20"/>
              </w:rPr>
            </w:pPr>
          </w:p>
        </w:tc>
        <w:tc>
          <w:tcPr>
            <w:tcW w:w="135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eastAsia="zh-CN"/>
              </w:rPr>
              <w:t>资金专款专用率</w:t>
            </w:r>
          </w:p>
        </w:tc>
        <w:tc>
          <w:tcPr>
            <w:tcW w:w="131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val="en-US" w:eastAsia="zh-CN"/>
              </w:rPr>
              <w:t>100%</w:t>
            </w:r>
          </w:p>
        </w:tc>
        <w:tc>
          <w:tcPr>
            <w:tcW w:w="141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val="en-US" w:eastAsia="zh-CN"/>
              </w:rPr>
              <w:t>100%</w:t>
            </w:r>
          </w:p>
        </w:tc>
        <w:tc>
          <w:tcPr>
            <w:tcW w:w="75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795"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kern w:val="2"/>
                <w:sz w:val="20"/>
                <w:szCs w:val="20"/>
                <w:lang w:val="en-US" w:eastAsia="zh-CN" w:bidi="ar-SA"/>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1341"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ascii="Times New Roman" w:hAnsi="Times New Roman" w:eastAsia="仿宋_GB2312" w:cs="Times New Roman"/>
                <w:color w:val="000000"/>
                <w:sz w:val="20"/>
                <w:szCs w:val="20"/>
              </w:rPr>
            </w:pPr>
          </w:p>
        </w:tc>
        <w:tc>
          <w:tcPr>
            <w:tcW w:w="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时效指标</w:t>
            </w:r>
          </w:p>
        </w:tc>
        <w:tc>
          <w:tcPr>
            <w:tcW w:w="135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eastAsia="zh-CN"/>
              </w:rPr>
              <w:t>基本支出</w:t>
            </w:r>
            <w:r>
              <w:rPr>
                <w:rFonts w:hint="eastAsia" w:ascii="仿宋_GB2312" w:hAnsi="宋体" w:eastAsia="仿宋_GB2312" w:cs="宋体"/>
                <w:color w:val="000000"/>
                <w:kern w:val="0"/>
                <w:sz w:val="18"/>
                <w:szCs w:val="18"/>
                <w:lang w:val="en-US" w:eastAsia="zh-CN"/>
              </w:rPr>
              <w:t>全部</w:t>
            </w:r>
            <w:r>
              <w:rPr>
                <w:rFonts w:hint="eastAsia" w:ascii="仿宋_GB2312" w:hAnsi="宋体" w:eastAsia="仿宋_GB2312" w:cs="宋体"/>
                <w:color w:val="000000"/>
                <w:kern w:val="0"/>
                <w:sz w:val="18"/>
                <w:szCs w:val="18"/>
                <w:lang w:eastAsia="zh-CN"/>
              </w:rPr>
              <w:t>完成支付时间</w:t>
            </w:r>
          </w:p>
        </w:tc>
        <w:tc>
          <w:tcPr>
            <w:tcW w:w="131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val="en-US" w:eastAsia="zh-CN" w:bidi="ar-SA"/>
              </w:rPr>
              <w:t>12月31日</w:t>
            </w:r>
          </w:p>
        </w:tc>
        <w:tc>
          <w:tcPr>
            <w:tcW w:w="141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val="en-US" w:eastAsia="zh-CN" w:bidi="ar-SA"/>
              </w:rPr>
              <w:t>12月28日</w:t>
            </w:r>
          </w:p>
        </w:tc>
        <w:tc>
          <w:tcPr>
            <w:tcW w:w="75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795"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1341"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ascii="Times New Roman" w:hAnsi="Times New Roman" w:eastAsia="仿宋_GB2312" w:cs="Times New Roman"/>
                <w:color w:val="000000"/>
                <w:sz w:val="20"/>
                <w:szCs w:val="20"/>
              </w:rPr>
            </w:pPr>
          </w:p>
        </w:tc>
        <w:tc>
          <w:tcPr>
            <w:tcW w:w="953"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成本指标</w:t>
            </w: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仿宋_GB2312" w:hAnsi="宋体" w:eastAsia="仿宋_GB2312" w:cs="宋体"/>
                <w:color w:val="000000"/>
                <w:kern w:val="0"/>
                <w:sz w:val="18"/>
                <w:szCs w:val="18"/>
                <w:lang w:eastAsia="zh-CN"/>
              </w:rPr>
              <w:t>预设总量成本控制率</w:t>
            </w:r>
          </w:p>
        </w:tc>
        <w:tc>
          <w:tcPr>
            <w:tcW w:w="1311" w:type="dxa"/>
            <w:tcBorders>
              <w:top w:val="nil"/>
              <w:left w:val="nil"/>
              <w:bottom w:val="single" w:color="auto" w:sz="4" w:space="0"/>
              <w:right w:val="single" w:color="auto" w:sz="4" w:space="0"/>
            </w:tcBorders>
            <w:noWrap w:val="0"/>
            <w:vAlign w:val="center"/>
          </w:tcPr>
          <w:p>
            <w:pPr>
              <w:widowControl/>
              <w:jc w:val="center"/>
              <w:rPr>
                <w:rFonts w:hint="default" w:ascii="Calibri" w:hAnsi="Calibri" w:eastAsia="仿宋_GB2312" w:cs="Times New Roman"/>
                <w:color w:val="000000"/>
                <w:kern w:val="0"/>
                <w:sz w:val="18"/>
                <w:szCs w:val="18"/>
                <w:lang w:val="en-US" w:eastAsia="zh-CN" w:bidi="ar-SA"/>
              </w:rPr>
            </w:pPr>
            <w:r>
              <w:rPr>
                <w:rFonts w:hint="eastAsia" w:ascii="仿宋_GB2312" w:hAnsi="宋体" w:eastAsia="仿宋_GB2312" w:cs="宋体"/>
                <w:color w:val="000000"/>
                <w:kern w:val="0"/>
                <w:sz w:val="18"/>
                <w:szCs w:val="18"/>
                <w:lang w:val="en-US" w:eastAsia="zh-CN"/>
              </w:rPr>
              <w:t>100%</w:t>
            </w:r>
          </w:p>
        </w:tc>
        <w:tc>
          <w:tcPr>
            <w:tcW w:w="1418" w:type="dxa"/>
            <w:tcBorders>
              <w:top w:val="nil"/>
              <w:left w:val="nil"/>
              <w:bottom w:val="single" w:color="auto" w:sz="4" w:space="0"/>
              <w:right w:val="single" w:color="auto" w:sz="4" w:space="0"/>
            </w:tcBorders>
            <w:noWrap w:val="0"/>
            <w:vAlign w:val="center"/>
          </w:tcPr>
          <w:p>
            <w:pPr>
              <w:widowControl/>
              <w:jc w:val="center"/>
              <w:rPr>
                <w:rFonts w:hint="default" w:ascii="Calibri" w:hAnsi="Calibri" w:eastAsia="仿宋_GB2312" w:cs="Times New Roman"/>
                <w:color w:val="000000"/>
                <w:kern w:val="0"/>
                <w:sz w:val="18"/>
                <w:szCs w:val="18"/>
                <w:lang w:val="en-US" w:eastAsia="zh-CN" w:bidi="ar-SA"/>
              </w:rPr>
            </w:pPr>
            <w:r>
              <w:rPr>
                <w:rFonts w:hint="eastAsia" w:ascii="仿宋_GB2312" w:hAnsi="宋体" w:eastAsia="仿宋_GB2312" w:cs="宋体"/>
                <w:color w:val="000000"/>
                <w:kern w:val="0"/>
                <w:sz w:val="18"/>
                <w:szCs w:val="18"/>
                <w:lang w:val="en-US" w:eastAsia="zh-CN"/>
              </w:rPr>
              <w:t>100%</w:t>
            </w:r>
          </w:p>
        </w:tc>
        <w:tc>
          <w:tcPr>
            <w:tcW w:w="7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795"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1341"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效益指标</w:t>
            </w:r>
          </w:p>
          <w:p>
            <w:pPr>
              <w:widowControl/>
              <w:spacing w:line="240" w:lineRule="exact"/>
              <w:jc w:val="left"/>
              <w:rPr>
                <w:rFonts w:ascii="Times New Roman" w:hAnsi="Times New Roman" w:eastAsia="仿宋_GB2312" w:cs="Times New Roman"/>
                <w:color w:val="000000"/>
                <w:sz w:val="20"/>
                <w:szCs w:val="20"/>
              </w:rPr>
            </w:pPr>
          </w:p>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（30分）</w:t>
            </w:r>
          </w:p>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9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lang w:eastAsia="zh-CN"/>
              </w:rPr>
            </w:pPr>
            <w:r>
              <w:rPr>
                <w:rFonts w:hint="eastAsia" w:ascii="仿宋_GB2312" w:hAnsi="宋体" w:eastAsia="仿宋_GB2312" w:cs="宋体"/>
                <w:color w:val="000000"/>
                <w:kern w:val="0"/>
                <w:sz w:val="18"/>
                <w:szCs w:val="18"/>
                <w:lang w:eastAsia="zh-CN"/>
              </w:rPr>
              <w:t>经济效</w:t>
            </w:r>
          </w:p>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lang w:eastAsia="zh-CN"/>
              </w:rPr>
            </w:pPr>
            <w:r>
              <w:rPr>
                <w:rFonts w:hint="eastAsia" w:ascii="仿宋_GB2312" w:hAnsi="宋体" w:eastAsia="仿宋_GB2312" w:cs="宋体"/>
                <w:color w:val="000000"/>
                <w:kern w:val="0"/>
                <w:sz w:val="18"/>
                <w:szCs w:val="18"/>
                <w:lang w:eastAsia="zh-CN"/>
              </w:rPr>
              <w:t>益指标</w:t>
            </w:r>
          </w:p>
        </w:tc>
        <w:tc>
          <w:tcPr>
            <w:tcW w:w="135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lang w:eastAsia="zh-CN"/>
              </w:rPr>
            </w:pPr>
            <w:r>
              <w:rPr>
                <w:rFonts w:hint="eastAsia" w:ascii="仿宋_GB2312" w:hAnsi="宋体" w:eastAsia="仿宋_GB2312" w:cs="宋体"/>
                <w:color w:val="000000"/>
                <w:kern w:val="0"/>
                <w:sz w:val="18"/>
                <w:szCs w:val="18"/>
                <w:lang w:val="en-US" w:eastAsia="zh-CN"/>
              </w:rPr>
              <w:t>吸引和带动周边行业发展</w:t>
            </w:r>
          </w:p>
        </w:tc>
        <w:tc>
          <w:tcPr>
            <w:tcW w:w="131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公益性为主，带动周边行业发展</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疫情期间仍是带动周边行业发展的主力</w:t>
            </w:r>
          </w:p>
        </w:tc>
        <w:tc>
          <w:tcPr>
            <w:tcW w:w="7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79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1341"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ascii="Times New Roman" w:hAnsi="Times New Roman" w:eastAsia="仿宋_GB2312" w:cs="Times New Roman"/>
                <w:color w:val="000000"/>
                <w:sz w:val="20"/>
                <w:szCs w:val="20"/>
              </w:rPr>
            </w:pPr>
          </w:p>
        </w:tc>
        <w:tc>
          <w:tcPr>
            <w:tcW w:w="95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社会效</w:t>
            </w:r>
          </w:p>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益指标</w:t>
            </w:r>
          </w:p>
        </w:tc>
        <w:tc>
          <w:tcPr>
            <w:tcW w:w="135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cs="Times New Roman"/>
                <w:color w:val="000000"/>
                <w:sz w:val="20"/>
                <w:szCs w:val="20"/>
              </w:rPr>
            </w:pPr>
            <w:r>
              <w:rPr>
                <w:rFonts w:hint="eastAsia" w:ascii="仿宋_GB2312" w:hAnsi="宋体" w:eastAsia="仿宋_GB2312" w:cs="宋体"/>
                <w:color w:val="000000"/>
                <w:kern w:val="0"/>
                <w:sz w:val="18"/>
                <w:szCs w:val="18"/>
                <w:lang w:eastAsia="zh-CN"/>
              </w:rPr>
              <w:t>接待观众数</w:t>
            </w:r>
          </w:p>
        </w:tc>
        <w:tc>
          <w:tcPr>
            <w:tcW w:w="131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120" w:lineRule="auto"/>
              <w:jc w:val="center"/>
              <w:textAlignment w:val="auto"/>
              <w:rPr>
                <w:rFonts w:hint="default" w:ascii="仿宋_GB2312" w:hAnsi="宋体" w:eastAsia="仿宋_GB2312" w:cs="宋体"/>
                <w:color w:val="000000"/>
                <w:kern w:val="0"/>
                <w:sz w:val="18"/>
                <w:szCs w:val="18"/>
                <w:highlight w:val="none"/>
                <w:lang w:val="en-US" w:eastAsia="zh-CN"/>
              </w:rPr>
            </w:pPr>
            <w:r>
              <w:rPr>
                <w:rFonts w:hint="eastAsia" w:ascii="仿宋_GB2312" w:hAnsi="宋体" w:eastAsia="仿宋_GB2312" w:cs="宋体"/>
                <w:color w:val="000000"/>
                <w:kern w:val="0"/>
                <w:sz w:val="18"/>
                <w:szCs w:val="18"/>
                <w:highlight w:val="none"/>
                <w:lang w:val="en-US" w:eastAsia="zh-CN"/>
              </w:rPr>
              <w:t>400万人次</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120" w:lineRule="auto"/>
              <w:jc w:val="center"/>
              <w:textAlignment w:val="auto"/>
              <w:rPr>
                <w:rFonts w:hint="eastAsia" w:ascii="仿宋_GB2312" w:hAnsi="宋体" w:eastAsia="仿宋_GB2312" w:cs="宋体"/>
                <w:color w:val="000000"/>
                <w:kern w:val="0"/>
                <w:sz w:val="18"/>
                <w:szCs w:val="18"/>
                <w:highlight w:val="none"/>
                <w:lang w:val="en-US" w:eastAsia="zh-CN"/>
              </w:rPr>
            </w:pPr>
            <w:r>
              <w:rPr>
                <w:rFonts w:hint="default" w:ascii="仿宋_GB2312" w:hAnsi="宋体" w:eastAsia="仿宋_GB2312" w:cs="宋体"/>
                <w:color w:val="000000"/>
                <w:kern w:val="0"/>
                <w:sz w:val="18"/>
                <w:szCs w:val="18"/>
                <w:highlight w:val="none"/>
                <w:lang w:val="en-US" w:eastAsia="zh-CN"/>
              </w:rPr>
              <w:t>518.4</w:t>
            </w:r>
            <w:r>
              <w:rPr>
                <w:rFonts w:hint="eastAsia" w:ascii="仿宋_GB2312" w:hAnsi="宋体" w:eastAsia="仿宋_GB2312" w:cs="宋体"/>
                <w:color w:val="000000"/>
                <w:kern w:val="0"/>
                <w:sz w:val="18"/>
                <w:szCs w:val="18"/>
                <w:highlight w:val="none"/>
                <w:lang w:val="en-US" w:eastAsia="zh-CN"/>
              </w:rPr>
              <w:t>万人次</w:t>
            </w:r>
          </w:p>
        </w:tc>
        <w:tc>
          <w:tcPr>
            <w:tcW w:w="7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79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1341"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ascii="Times New Roman" w:hAnsi="Times New Roman" w:eastAsia="仿宋_GB2312" w:cs="Times New Roman"/>
                <w:color w:val="000000"/>
                <w:sz w:val="20"/>
                <w:szCs w:val="20"/>
              </w:rPr>
            </w:pPr>
          </w:p>
        </w:tc>
        <w:tc>
          <w:tcPr>
            <w:tcW w:w="95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Times New Roman" w:hAnsi="Times New Roman" w:eastAsia="仿宋_GB2312" w:cs="Times New Roman"/>
                <w:color w:val="000000"/>
                <w:sz w:val="20"/>
                <w:szCs w:val="20"/>
              </w:rPr>
            </w:pPr>
          </w:p>
        </w:tc>
        <w:tc>
          <w:tcPr>
            <w:tcW w:w="1351" w:type="dxa"/>
            <w:gridSpan w:val="2"/>
            <w:tcBorders>
              <w:top w:val="nil"/>
              <w:left w:val="nil"/>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2"/>
                <w:sz w:val="20"/>
                <w:szCs w:val="20"/>
                <w:lang w:val="en-US" w:eastAsia="zh-CN" w:bidi="ar-SA"/>
              </w:rPr>
            </w:pPr>
            <w:r>
              <w:rPr>
                <w:rFonts w:hint="eastAsia" w:ascii="仿宋_GB2312" w:hAnsi="宋体" w:eastAsia="仿宋_GB2312" w:cs="宋体"/>
                <w:color w:val="000000"/>
                <w:kern w:val="0"/>
                <w:sz w:val="18"/>
                <w:szCs w:val="18"/>
                <w:lang w:val="en-US" w:eastAsia="zh-CN"/>
              </w:rPr>
              <w:t>讲解批次</w:t>
            </w:r>
          </w:p>
        </w:tc>
        <w:tc>
          <w:tcPr>
            <w:tcW w:w="131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120" w:lineRule="auto"/>
              <w:jc w:val="center"/>
              <w:textAlignment w:val="auto"/>
              <w:rPr>
                <w:rFonts w:hint="eastAsia" w:ascii="仿宋_GB2312" w:hAnsi="宋体" w:eastAsia="仿宋_GB2312" w:cs="宋体"/>
                <w:color w:val="000000"/>
                <w:kern w:val="0"/>
                <w:sz w:val="18"/>
                <w:szCs w:val="18"/>
                <w:highlight w:val="none"/>
                <w:lang w:val="en-US" w:eastAsia="zh-CN" w:bidi="ar-SA"/>
              </w:rPr>
            </w:pPr>
            <w:r>
              <w:rPr>
                <w:rFonts w:hint="eastAsia" w:ascii="仿宋_GB2312" w:hAnsi="宋体" w:eastAsia="仿宋_GB2312" w:cs="宋体"/>
                <w:color w:val="000000"/>
                <w:kern w:val="0"/>
                <w:sz w:val="18"/>
                <w:szCs w:val="18"/>
                <w:highlight w:val="none"/>
                <w:lang w:val="en-US" w:eastAsia="zh-CN"/>
              </w:rPr>
              <w:t>10000批次</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120" w:lineRule="auto"/>
              <w:jc w:val="center"/>
              <w:textAlignment w:val="auto"/>
              <w:rPr>
                <w:rFonts w:hint="eastAsia" w:ascii="仿宋_GB2312" w:hAnsi="宋体" w:eastAsia="仿宋_GB2312" w:cs="宋体"/>
                <w:color w:val="000000"/>
                <w:kern w:val="0"/>
                <w:sz w:val="18"/>
                <w:szCs w:val="18"/>
                <w:highlight w:val="none"/>
                <w:lang w:val="en-US" w:eastAsia="zh-CN" w:bidi="ar-SA"/>
              </w:rPr>
            </w:pPr>
            <w:r>
              <w:rPr>
                <w:rFonts w:hint="eastAsia" w:ascii="仿宋_GB2312" w:hAnsi="宋体" w:eastAsia="仿宋_GB2312" w:cs="宋体"/>
                <w:color w:val="000000"/>
                <w:kern w:val="0"/>
                <w:sz w:val="18"/>
                <w:szCs w:val="18"/>
                <w:highlight w:val="none"/>
                <w:lang w:val="en-US" w:eastAsia="zh-CN"/>
              </w:rPr>
              <w:t>10798批次</w:t>
            </w:r>
          </w:p>
        </w:tc>
        <w:tc>
          <w:tcPr>
            <w:tcW w:w="7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79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1341"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ascii="Times New Roman" w:hAnsi="Times New Roman" w:eastAsia="仿宋_GB2312" w:cs="Times New Roman"/>
                <w:color w:val="000000"/>
                <w:sz w:val="20"/>
                <w:szCs w:val="20"/>
              </w:rPr>
            </w:pPr>
          </w:p>
        </w:tc>
        <w:tc>
          <w:tcPr>
            <w:tcW w:w="95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Times New Roman" w:hAnsi="Times New Roman" w:eastAsia="仿宋_GB2312" w:cs="Times New Roman"/>
                <w:color w:val="000000"/>
                <w:sz w:val="20"/>
                <w:szCs w:val="20"/>
              </w:rPr>
            </w:pPr>
          </w:p>
        </w:tc>
        <w:tc>
          <w:tcPr>
            <w:tcW w:w="1351" w:type="dxa"/>
            <w:gridSpan w:val="2"/>
            <w:tcBorders>
              <w:top w:val="nil"/>
              <w:left w:val="nil"/>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sz w:val="20"/>
                <w:szCs w:val="20"/>
                <w:lang w:eastAsia="zh-CN"/>
              </w:rPr>
            </w:pPr>
            <w:r>
              <w:rPr>
                <w:rFonts w:hint="eastAsia" w:ascii="仿宋_GB2312" w:hAnsi="宋体" w:eastAsia="仿宋_GB2312" w:cs="宋体"/>
                <w:color w:val="000000"/>
                <w:kern w:val="0"/>
                <w:sz w:val="18"/>
                <w:szCs w:val="18"/>
                <w:lang w:eastAsia="zh-CN"/>
              </w:rPr>
              <w:t>网站访问量</w:t>
            </w:r>
          </w:p>
        </w:tc>
        <w:tc>
          <w:tcPr>
            <w:tcW w:w="131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120" w:lineRule="auto"/>
              <w:jc w:val="center"/>
              <w:textAlignment w:val="auto"/>
              <w:rPr>
                <w:rFonts w:hint="default" w:ascii="仿宋_GB2312" w:hAnsi="宋体" w:eastAsia="仿宋_GB2312" w:cs="宋体"/>
                <w:color w:val="000000"/>
                <w:kern w:val="0"/>
                <w:sz w:val="18"/>
                <w:szCs w:val="18"/>
                <w:highlight w:val="none"/>
                <w:lang w:val="en-US" w:eastAsia="zh-CN"/>
              </w:rPr>
            </w:pPr>
            <w:r>
              <w:rPr>
                <w:rFonts w:hint="eastAsia" w:ascii="仿宋_GB2312" w:hAnsi="宋体" w:eastAsia="仿宋_GB2312" w:cs="宋体"/>
                <w:color w:val="000000"/>
                <w:kern w:val="0"/>
                <w:sz w:val="18"/>
                <w:szCs w:val="18"/>
                <w:highlight w:val="none"/>
                <w:lang w:val="en-US" w:eastAsia="zh-CN"/>
              </w:rPr>
              <w:t>200万人次</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120" w:lineRule="auto"/>
              <w:jc w:val="center"/>
              <w:textAlignment w:val="auto"/>
              <w:rPr>
                <w:rFonts w:hint="default" w:ascii="仿宋_GB2312" w:hAnsi="宋体" w:eastAsia="仿宋_GB2312" w:cs="宋体"/>
                <w:color w:val="000000"/>
                <w:kern w:val="0"/>
                <w:sz w:val="18"/>
                <w:szCs w:val="18"/>
                <w:highlight w:val="none"/>
                <w:lang w:val="en-US" w:eastAsia="zh-CN"/>
              </w:rPr>
            </w:pPr>
            <w:r>
              <w:rPr>
                <w:rFonts w:hint="eastAsia" w:ascii="仿宋_GB2312" w:hAnsi="宋体" w:eastAsia="仿宋_GB2312" w:cs="宋体"/>
                <w:color w:val="000000"/>
                <w:kern w:val="0"/>
                <w:sz w:val="18"/>
                <w:szCs w:val="18"/>
                <w:highlight w:val="none"/>
                <w:lang w:val="en-US" w:eastAsia="zh-CN"/>
              </w:rPr>
              <w:t>227.75万人次</w:t>
            </w:r>
          </w:p>
        </w:tc>
        <w:tc>
          <w:tcPr>
            <w:tcW w:w="7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79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1341"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right w:val="single" w:color="auto" w:sz="4" w:space="0"/>
            </w:tcBorders>
            <w:noWrap w:val="0"/>
            <w:vAlign w:val="center"/>
          </w:tcPr>
          <w:p>
            <w:pPr>
              <w:spacing w:line="240" w:lineRule="exact"/>
              <w:jc w:val="left"/>
              <w:rPr>
                <w:rFonts w:ascii="Times New Roman" w:hAnsi="Times New Roman" w:eastAsia="仿宋_GB2312" w:cs="Times New Roman"/>
                <w:color w:val="000000"/>
                <w:sz w:val="20"/>
                <w:szCs w:val="20"/>
              </w:rPr>
            </w:pPr>
          </w:p>
        </w:tc>
        <w:tc>
          <w:tcPr>
            <w:tcW w:w="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生态效</w:t>
            </w:r>
          </w:p>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益指标</w:t>
            </w: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仿宋_GB2312" w:hAnsi="宋体" w:eastAsia="仿宋_GB2312" w:cs="宋体"/>
                <w:color w:val="000000"/>
                <w:kern w:val="0"/>
                <w:sz w:val="18"/>
                <w:szCs w:val="18"/>
              </w:rPr>
              <w:t>对周边生态环境</w:t>
            </w:r>
            <w:r>
              <w:rPr>
                <w:rFonts w:hint="eastAsia" w:ascii="仿宋_GB2312" w:hAnsi="宋体" w:eastAsia="仿宋_GB2312" w:cs="宋体"/>
                <w:color w:val="000000"/>
                <w:kern w:val="0"/>
                <w:sz w:val="18"/>
                <w:szCs w:val="18"/>
                <w:lang w:eastAsia="zh-CN"/>
              </w:rPr>
              <w:t>的</w:t>
            </w:r>
            <w:r>
              <w:rPr>
                <w:rFonts w:hint="eastAsia" w:ascii="仿宋_GB2312" w:hAnsi="宋体" w:eastAsia="仿宋_GB2312" w:cs="宋体"/>
                <w:color w:val="000000"/>
                <w:kern w:val="0"/>
                <w:sz w:val="18"/>
                <w:szCs w:val="18"/>
              </w:rPr>
              <w:t>影响</w:t>
            </w:r>
          </w:p>
        </w:tc>
        <w:tc>
          <w:tcPr>
            <w:tcW w:w="131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eastAsia="zh-CN"/>
              </w:rPr>
              <w:t>对周边生态环境产生有利影响</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eastAsia="zh-CN"/>
              </w:rPr>
              <w:t>优化了周边环境</w:t>
            </w:r>
          </w:p>
        </w:tc>
        <w:tc>
          <w:tcPr>
            <w:tcW w:w="7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79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1341"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trHeight w:val="290" w:hRule="atLeast"/>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s="Times New Roman"/>
                <w:color w:val="000000"/>
                <w:sz w:val="20"/>
                <w:szCs w:val="20"/>
              </w:rPr>
            </w:pPr>
          </w:p>
        </w:tc>
        <w:tc>
          <w:tcPr>
            <w:tcW w:w="1080"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s="Times New Roman"/>
                <w:color w:val="000000"/>
                <w:sz w:val="20"/>
                <w:szCs w:val="20"/>
              </w:rPr>
            </w:pPr>
          </w:p>
        </w:tc>
        <w:tc>
          <w:tcPr>
            <w:tcW w:w="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可持续影响指标</w:t>
            </w:r>
          </w:p>
        </w:tc>
        <w:tc>
          <w:tcPr>
            <w:tcW w:w="135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仿宋_GB2312" w:hAnsi="宋体" w:eastAsia="仿宋_GB2312" w:cs="宋体"/>
                <w:color w:val="000000"/>
                <w:kern w:val="0"/>
                <w:sz w:val="18"/>
                <w:szCs w:val="18"/>
                <w:lang w:eastAsia="zh-CN"/>
              </w:rPr>
              <w:t>对我馆发展持续影响性</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val="en-US" w:eastAsia="zh-CN"/>
              </w:rPr>
              <w:t>长久性</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val="en-US" w:eastAsia="zh-CN"/>
              </w:rPr>
              <w:t>长久性</w:t>
            </w:r>
          </w:p>
        </w:tc>
        <w:tc>
          <w:tcPr>
            <w:tcW w:w="75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134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ascii="Times New Roman" w:hAnsi="Times New Roman" w:eastAsia="仿宋_GB2312" w:cs="Times New Roman"/>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满意度</w:t>
            </w:r>
          </w:p>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指标</w:t>
            </w:r>
          </w:p>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（10分）</w:t>
            </w:r>
          </w:p>
        </w:tc>
        <w:tc>
          <w:tcPr>
            <w:tcW w:w="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服务对象满意度指标</w:t>
            </w: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仿宋_GB2312" w:hAnsi="宋体" w:eastAsia="仿宋_GB2312" w:cs="宋体"/>
                <w:color w:val="000000"/>
                <w:kern w:val="0"/>
                <w:sz w:val="18"/>
                <w:szCs w:val="18"/>
                <w:lang w:eastAsia="zh-CN"/>
              </w:rPr>
              <w:t>游客</w:t>
            </w:r>
            <w:r>
              <w:rPr>
                <w:rFonts w:hint="eastAsia" w:ascii="仿宋_GB2312" w:hAnsi="宋体" w:eastAsia="仿宋_GB2312" w:cs="宋体"/>
                <w:color w:val="000000"/>
                <w:kern w:val="0"/>
                <w:sz w:val="18"/>
                <w:szCs w:val="18"/>
              </w:rPr>
              <w:t>及周边居民的满意度</w:t>
            </w:r>
          </w:p>
        </w:tc>
        <w:tc>
          <w:tcPr>
            <w:tcW w:w="1311" w:type="dxa"/>
            <w:tcBorders>
              <w:top w:val="nil"/>
              <w:left w:val="nil"/>
              <w:bottom w:val="single" w:color="auto" w:sz="4" w:space="0"/>
              <w:right w:val="single" w:color="auto" w:sz="4" w:space="0"/>
            </w:tcBorders>
            <w:noWrap w:val="0"/>
            <w:vAlign w:val="center"/>
          </w:tcPr>
          <w:p>
            <w:pPr>
              <w:widowControl/>
              <w:jc w:val="center"/>
              <w:rPr>
                <w:rFonts w:ascii="Calibri" w:hAnsi="Calibri" w:eastAsia="仿宋_GB2312" w:cs="Times New Roman"/>
                <w:color w:val="000000"/>
                <w:kern w:val="0"/>
                <w:sz w:val="18"/>
                <w:szCs w:val="18"/>
                <w:lang w:val="en-US" w:eastAsia="zh-CN" w:bidi="ar-SA"/>
              </w:rPr>
            </w:pPr>
            <w:r>
              <w:rPr>
                <w:rFonts w:hint="eastAsia" w:ascii="仿宋_GB2312" w:hAnsi="宋体" w:eastAsia="仿宋_GB2312" w:cs="宋体"/>
                <w:color w:val="000000"/>
                <w:kern w:val="0"/>
                <w:sz w:val="18"/>
                <w:szCs w:val="18"/>
                <w:lang w:eastAsia="zh-CN"/>
              </w:rPr>
              <w:t>大于</w:t>
            </w:r>
            <w:r>
              <w:rPr>
                <w:rFonts w:hint="eastAsia" w:ascii="仿宋_GB2312" w:hAnsi="宋体" w:eastAsia="仿宋_GB2312" w:cs="宋体"/>
                <w:color w:val="000000"/>
                <w:kern w:val="0"/>
                <w:sz w:val="18"/>
                <w:szCs w:val="18"/>
                <w:lang w:val="en-US" w:eastAsia="zh-CN"/>
              </w:rPr>
              <w:t>95%</w:t>
            </w:r>
          </w:p>
        </w:tc>
        <w:tc>
          <w:tcPr>
            <w:tcW w:w="1418" w:type="dxa"/>
            <w:tcBorders>
              <w:top w:val="nil"/>
              <w:left w:val="nil"/>
              <w:bottom w:val="single" w:color="auto" w:sz="4" w:space="0"/>
              <w:right w:val="single" w:color="auto" w:sz="4" w:space="0"/>
            </w:tcBorders>
            <w:noWrap w:val="0"/>
            <w:vAlign w:val="center"/>
          </w:tcPr>
          <w:p>
            <w:pPr>
              <w:widowControl/>
              <w:jc w:val="center"/>
              <w:rPr>
                <w:rFonts w:hint="default" w:ascii="Calibri" w:hAnsi="Calibri"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98%</w:t>
            </w:r>
          </w:p>
        </w:tc>
        <w:tc>
          <w:tcPr>
            <w:tcW w:w="75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795"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1341"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trHeight w:val="270" w:hRule="atLeast"/>
          <w:jc w:val="center"/>
        </w:trPr>
        <w:tc>
          <w:tcPr>
            <w:tcW w:w="7193" w:type="dxa"/>
            <w:gridSpan w:val="7"/>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总分</w:t>
            </w:r>
          </w:p>
        </w:tc>
        <w:tc>
          <w:tcPr>
            <w:tcW w:w="75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100</w:t>
            </w:r>
          </w:p>
        </w:tc>
        <w:tc>
          <w:tcPr>
            <w:tcW w:w="79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97.5</w:t>
            </w:r>
            <w:bookmarkStart w:id="0" w:name="_GoBack"/>
            <w:bookmarkEnd w:id="0"/>
            <w:r>
              <w:rPr>
                <w:rFonts w:hint="eastAsia" w:ascii="Times New Roman" w:hAnsi="Times New Roman" w:eastAsia="仿宋_GB2312" w:cs="Times New Roman"/>
                <w:color w:val="000000"/>
                <w:sz w:val="20"/>
                <w:szCs w:val="20"/>
                <w:lang w:val="en-US" w:eastAsia="zh-CN"/>
              </w:rPr>
              <w:t>3</w:t>
            </w:r>
          </w:p>
        </w:tc>
        <w:tc>
          <w:tcPr>
            <w:tcW w:w="1341"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bl>
    <w:p>
      <w:pPr>
        <w:rPr>
          <w:rFonts w:ascii="Times New Roman" w:hAnsi="Times New Roman" w:eastAsia="仿宋_GB2312" w:cs="Times New Roman"/>
          <w:sz w:val="22"/>
          <w:szCs w:val="22"/>
        </w:rPr>
      </w:pPr>
    </w:p>
    <w:p>
      <w:pPr>
        <w:rPr>
          <w:rFonts w:ascii="Times New Roman" w:hAnsi="Times New Roman" w:eastAsia="仿宋_GB2312" w:cs="Times New Roman"/>
          <w:sz w:val="22"/>
          <w:szCs w:val="22"/>
        </w:rPr>
        <w:sectPr>
          <w:pgSz w:w="11906" w:h="16838"/>
          <w:pgMar w:top="1134" w:right="1800" w:bottom="567" w:left="1800" w:header="851" w:footer="992" w:gutter="0"/>
          <w:cols w:space="425" w:num="1"/>
          <w:docGrid w:type="lines" w:linePitch="312" w:charSpace="0"/>
        </w:sectPr>
      </w:pPr>
      <w:r>
        <w:rPr>
          <w:rFonts w:ascii="Times New Roman" w:hAnsi="Times New Roman" w:eastAsia="仿宋_GB2312" w:cs="Times New Roman"/>
          <w:sz w:val="22"/>
          <w:szCs w:val="22"/>
        </w:rPr>
        <w:t>填表人：</w:t>
      </w:r>
      <w:r>
        <w:rPr>
          <w:rFonts w:hint="eastAsia" w:ascii="Times New Roman" w:hAnsi="Times New Roman" w:eastAsia="仿宋_GB2312" w:cs="Times New Roman"/>
          <w:sz w:val="22"/>
          <w:szCs w:val="22"/>
          <w:lang w:eastAsia="zh-CN"/>
        </w:rPr>
        <w:t>章睿</w:t>
      </w:r>
      <w:r>
        <w:rPr>
          <w:rFonts w:ascii="Times New Roman" w:hAnsi="Times New Roman" w:eastAsia="仿宋_GB2312" w:cs="Times New Roman"/>
          <w:sz w:val="22"/>
          <w:szCs w:val="22"/>
        </w:rPr>
        <w:t xml:space="preserve"> </w:t>
      </w:r>
      <w:r>
        <w:rPr>
          <w:rFonts w:hint="eastAsia" w:ascii="Times New Roman" w:hAnsi="Times New Roman" w:eastAsia="仿宋_GB2312" w:cs="Times New Roman"/>
          <w:sz w:val="22"/>
          <w:szCs w:val="22"/>
          <w:lang w:val="en-US" w:eastAsia="zh-CN"/>
        </w:rPr>
        <w:t xml:space="preserve"> </w:t>
      </w:r>
      <w:r>
        <w:rPr>
          <w:rFonts w:ascii="Times New Roman" w:hAnsi="Times New Roman" w:eastAsia="仿宋_GB2312" w:cs="Times New Roman"/>
          <w:sz w:val="22"/>
          <w:szCs w:val="22"/>
        </w:rPr>
        <w:t xml:space="preserve"> 填报日期：</w:t>
      </w:r>
      <w:r>
        <w:rPr>
          <w:rFonts w:hint="eastAsia" w:ascii="Times New Roman" w:hAnsi="Times New Roman" w:eastAsia="仿宋_GB2312" w:cs="Times New Roman"/>
          <w:sz w:val="22"/>
          <w:szCs w:val="22"/>
          <w:lang w:val="en-US" w:eastAsia="zh-CN"/>
        </w:rPr>
        <w:t>2022.4.28</w:t>
      </w:r>
      <w:r>
        <w:rPr>
          <w:rFonts w:ascii="Times New Roman" w:hAnsi="Times New Roman" w:eastAsia="仿宋_GB2312" w:cs="Times New Roman"/>
          <w:sz w:val="22"/>
          <w:szCs w:val="22"/>
        </w:rPr>
        <w:t xml:space="preserve"> </w:t>
      </w:r>
      <w:r>
        <w:rPr>
          <w:rFonts w:hint="eastAsia" w:ascii="Times New Roman" w:hAnsi="Times New Roman" w:eastAsia="仿宋_GB2312" w:cs="Times New Roman"/>
          <w:sz w:val="22"/>
          <w:szCs w:val="22"/>
          <w:lang w:val="en-US" w:eastAsia="zh-CN"/>
        </w:rPr>
        <w:t xml:space="preserve"> </w:t>
      </w:r>
      <w:r>
        <w:rPr>
          <w:rFonts w:ascii="Times New Roman" w:hAnsi="Times New Roman" w:eastAsia="仿宋_GB2312" w:cs="Times New Roman"/>
          <w:sz w:val="22"/>
          <w:szCs w:val="22"/>
        </w:rPr>
        <w:t xml:space="preserve"> 联系电话：</w:t>
      </w:r>
      <w:r>
        <w:rPr>
          <w:rFonts w:hint="eastAsia" w:ascii="Times New Roman" w:hAnsi="Times New Roman" w:eastAsia="仿宋_GB2312" w:cs="Times New Roman"/>
          <w:sz w:val="22"/>
          <w:szCs w:val="22"/>
          <w:lang w:val="en-US" w:eastAsia="zh-CN"/>
        </w:rPr>
        <w:t>18673230666</w:t>
      </w:r>
      <w:r>
        <w:rPr>
          <w:rFonts w:ascii="Times New Roman" w:hAnsi="Times New Roman" w:eastAsia="仿宋_GB2312" w:cs="Times New Roman"/>
          <w:sz w:val="22"/>
          <w:szCs w:val="22"/>
        </w:rPr>
        <w:t xml:space="preserve"> </w:t>
      </w:r>
      <w:r>
        <w:rPr>
          <w:rFonts w:hint="eastAsia" w:ascii="Times New Roman" w:hAnsi="Times New Roman" w:eastAsia="仿宋_GB2312" w:cs="Times New Roman"/>
          <w:sz w:val="22"/>
          <w:szCs w:val="22"/>
          <w:lang w:val="en-US" w:eastAsia="zh-CN"/>
        </w:rPr>
        <w:t xml:space="preserve"> </w:t>
      </w:r>
      <w:r>
        <w:rPr>
          <w:rFonts w:ascii="Times New Roman" w:hAnsi="Times New Roman" w:eastAsia="仿宋_GB2312" w:cs="Times New Roman"/>
          <w:sz w:val="22"/>
          <w:szCs w:val="22"/>
        </w:rPr>
        <w:t>单位负责人签字：</w:t>
      </w:r>
    </w:p>
    <w:p>
      <w:pPr>
        <w:widowControl/>
        <w:spacing w:line="600" w:lineRule="exact"/>
        <w:jc w:val="left"/>
        <w:rPr>
          <w:rFonts w:hint="default" w:ascii="Times New Roman" w:hAnsi="Times New Roman" w:eastAsia="黑体" w:cs="Times New Roman"/>
          <w:sz w:val="32"/>
          <w:szCs w:val="32"/>
          <w:lang w:val="en-US" w:eastAsia="zh-CN"/>
        </w:rPr>
      </w:pPr>
      <w:r>
        <w:rPr>
          <w:rFonts w:ascii="Times New Roman" w:hAnsi="Times New Roman" w:eastAsia="黑体" w:cs="Times New Roman"/>
          <w:sz w:val="32"/>
          <w:szCs w:val="32"/>
        </w:rPr>
        <w:t>附件3</w:t>
      </w:r>
      <w:r>
        <w:rPr>
          <w:rFonts w:hint="eastAsia" w:ascii="Times New Roman" w:hAnsi="Times New Roman" w:eastAsia="黑体" w:cs="Times New Roman"/>
          <w:sz w:val="32"/>
          <w:szCs w:val="32"/>
          <w:lang w:val="en-US" w:eastAsia="zh-CN"/>
        </w:rPr>
        <w:t>-1</w:t>
      </w:r>
    </w:p>
    <w:p>
      <w:pPr>
        <w:widowControl/>
        <w:spacing w:line="600" w:lineRule="exact"/>
        <w:jc w:val="center"/>
        <w:rPr>
          <w:rFonts w:ascii="Times New Roman" w:hAnsi="Times New Roman" w:eastAsia="方正小标宋_GBK" w:cs="Times New Roman"/>
          <w:color w:val="000000"/>
          <w:sz w:val="36"/>
          <w:szCs w:val="36"/>
        </w:rPr>
      </w:pPr>
      <w:r>
        <w:rPr>
          <w:rFonts w:ascii="Times New Roman" w:hAnsi="Times New Roman" w:eastAsia="方正小标宋_GBK" w:cs="Times New Roman"/>
          <w:color w:val="000000"/>
          <w:sz w:val="36"/>
          <w:szCs w:val="36"/>
        </w:rPr>
        <w:t>2021年度项目支出绩效自评表</w:t>
      </w:r>
    </w:p>
    <w:tbl>
      <w:tblPr>
        <w:tblStyle w:val="4"/>
        <w:tblW w:w="9851" w:type="dxa"/>
        <w:jc w:val="center"/>
        <w:tblLayout w:type="autofit"/>
        <w:tblCellMar>
          <w:top w:w="0" w:type="dxa"/>
          <w:left w:w="108" w:type="dxa"/>
          <w:bottom w:w="0" w:type="dxa"/>
          <w:right w:w="108" w:type="dxa"/>
        </w:tblCellMar>
      </w:tblPr>
      <w:tblGrid>
        <w:gridCol w:w="1080"/>
        <w:gridCol w:w="1080"/>
        <w:gridCol w:w="1080"/>
        <w:gridCol w:w="1224"/>
        <w:gridCol w:w="1134"/>
        <w:gridCol w:w="1272"/>
        <w:gridCol w:w="690"/>
        <w:gridCol w:w="873"/>
        <w:gridCol w:w="1418"/>
      </w:tblGrid>
      <w:tr>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项目支</w:t>
            </w:r>
          </w:p>
          <w:p>
            <w:pPr>
              <w:widowControl/>
              <w:spacing w:line="26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eastAsia="zh-CN"/>
              </w:rPr>
              <w:t>博物馆纪念馆逐步免费开放补助资金</w:t>
            </w:r>
            <w:r>
              <w:rPr>
                <w:rFonts w:ascii="Times New Roman" w:hAnsi="Times New Roman" w:eastAsia="仿宋_GB2312" w:cs="Times New Roman"/>
                <w:color w:val="000000"/>
                <w:sz w:val="20"/>
                <w:szCs w:val="20"/>
              </w:rPr>
              <w:t>　</w:t>
            </w:r>
          </w:p>
        </w:tc>
      </w:tr>
      <w:tr>
        <w:trPr>
          <w:jc w:val="center"/>
        </w:trPr>
        <w:tc>
          <w:tcPr>
            <w:tcW w:w="1080" w:type="dxa"/>
            <w:tcBorders>
              <w:top w:val="nil"/>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sz w:val="20"/>
                <w:szCs w:val="20"/>
                <w:lang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eastAsia="zh-CN"/>
              </w:rPr>
              <w:t>湖南省韶山管理局</w:t>
            </w:r>
          </w:p>
        </w:tc>
        <w:tc>
          <w:tcPr>
            <w:tcW w:w="1272" w:type="dxa"/>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实施单位</w:t>
            </w:r>
          </w:p>
        </w:tc>
        <w:tc>
          <w:tcPr>
            <w:tcW w:w="2981" w:type="dxa"/>
            <w:gridSpan w:val="3"/>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eastAsia="zh-CN"/>
              </w:rPr>
              <w:t>韶山毛泽东同志纪念馆</w:t>
            </w:r>
          </w:p>
        </w:tc>
      </w:tr>
      <w:tr>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项目资金</w:t>
            </w:r>
            <w:r>
              <w:rPr>
                <w:rFonts w:ascii="Times New Roman" w:hAnsi="Times New Roman" w:eastAsia="仿宋_GB2312" w:cs="Times New Roman"/>
                <w:color w:val="000000"/>
                <w:sz w:val="20"/>
                <w:szCs w:val="20"/>
              </w:rPr>
              <w:br w:type="textWrapping"/>
            </w:r>
            <w:r>
              <w:rPr>
                <w:rFonts w:ascii="Times New Roman" w:hAnsi="Times New Roman" w:eastAsia="仿宋_GB2312" w:cs="Times New Roman"/>
                <w:color w:val="000000"/>
                <w:sz w:val="20"/>
                <w:szCs w:val="20"/>
              </w:rPr>
              <w:t>（万元）</w:t>
            </w:r>
          </w:p>
        </w:tc>
        <w:tc>
          <w:tcPr>
            <w:tcW w:w="2160" w:type="dxa"/>
            <w:gridSpan w:val="2"/>
            <w:tcBorders>
              <w:top w:val="nil"/>
              <w:left w:val="nil"/>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1224"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年初</w:t>
            </w:r>
          </w:p>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预算数</w:t>
            </w:r>
          </w:p>
        </w:tc>
        <w:tc>
          <w:tcPr>
            <w:tcW w:w="1134"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全年</w:t>
            </w:r>
          </w:p>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预算数</w:t>
            </w:r>
          </w:p>
        </w:tc>
        <w:tc>
          <w:tcPr>
            <w:tcW w:w="1272" w:type="dxa"/>
            <w:tcBorders>
              <w:top w:val="nil"/>
              <w:left w:val="nil"/>
              <w:bottom w:val="single" w:color="auto" w:sz="4" w:space="0"/>
              <w:right w:val="single" w:color="auto" w:sz="4" w:space="0"/>
            </w:tcBorders>
            <w:noWrap w:val="0"/>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全年</w:t>
            </w:r>
          </w:p>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执行数</w:t>
            </w:r>
          </w:p>
        </w:tc>
        <w:tc>
          <w:tcPr>
            <w:tcW w:w="690" w:type="dxa"/>
            <w:tcBorders>
              <w:top w:val="nil"/>
              <w:left w:val="nil"/>
              <w:bottom w:val="single" w:color="auto" w:sz="4" w:space="0"/>
              <w:right w:val="single" w:color="auto" w:sz="4" w:space="0"/>
            </w:tcBorders>
            <w:noWrap w:val="0"/>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分值</w:t>
            </w:r>
          </w:p>
        </w:tc>
        <w:tc>
          <w:tcPr>
            <w:tcW w:w="873" w:type="dxa"/>
            <w:tcBorders>
              <w:top w:val="nil"/>
              <w:left w:val="nil"/>
              <w:bottom w:val="single" w:color="auto" w:sz="4" w:space="0"/>
              <w:right w:val="single" w:color="auto" w:sz="4" w:space="0"/>
            </w:tcBorders>
            <w:noWrap w:val="0"/>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执行率</w:t>
            </w:r>
          </w:p>
        </w:tc>
        <w:tc>
          <w:tcPr>
            <w:tcW w:w="1418" w:type="dxa"/>
            <w:tcBorders>
              <w:top w:val="nil"/>
              <w:left w:val="nil"/>
              <w:bottom w:val="single" w:color="auto" w:sz="4" w:space="0"/>
              <w:right w:val="single" w:color="auto" w:sz="4" w:space="0"/>
            </w:tcBorders>
            <w:noWrap w:val="0"/>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Times New Roman" w:hAnsi="Times New Roman" w:eastAsia="仿宋_GB2312" w:cs="Times New Roman"/>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年度资金总额　</w:t>
            </w:r>
          </w:p>
        </w:tc>
        <w:tc>
          <w:tcPr>
            <w:tcW w:w="1224"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0</w:t>
            </w:r>
          </w:p>
        </w:tc>
        <w:tc>
          <w:tcPr>
            <w:tcW w:w="113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3842.9</w:t>
            </w:r>
          </w:p>
        </w:tc>
        <w:tc>
          <w:tcPr>
            <w:tcW w:w="127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3047.69</w:t>
            </w:r>
          </w:p>
        </w:tc>
        <w:tc>
          <w:tcPr>
            <w:tcW w:w="690"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10</w:t>
            </w:r>
          </w:p>
        </w:tc>
        <w:tc>
          <w:tcPr>
            <w:tcW w:w="8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79.31%</w:t>
            </w:r>
          </w:p>
        </w:tc>
        <w:tc>
          <w:tcPr>
            <w:tcW w:w="141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7.9</w:t>
            </w:r>
          </w:p>
        </w:tc>
      </w:tr>
      <w:tr>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Times New Roman" w:hAnsi="Times New Roman" w:eastAsia="仿宋_GB2312" w:cs="Times New Roman"/>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其中：当年财政拨款　</w:t>
            </w:r>
          </w:p>
        </w:tc>
        <w:tc>
          <w:tcPr>
            <w:tcW w:w="1224"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0</w:t>
            </w:r>
          </w:p>
        </w:tc>
        <w:tc>
          <w:tcPr>
            <w:tcW w:w="113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3010</w:t>
            </w:r>
          </w:p>
        </w:tc>
        <w:tc>
          <w:tcPr>
            <w:tcW w:w="127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2214.79</w:t>
            </w:r>
          </w:p>
        </w:tc>
        <w:tc>
          <w:tcPr>
            <w:tcW w:w="690"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p>
        </w:tc>
        <w:tc>
          <w:tcPr>
            <w:tcW w:w="8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p>
        </w:tc>
        <w:tc>
          <w:tcPr>
            <w:tcW w:w="1418"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Times New Roman" w:hAnsi="Times New Roman" w:eastAsia="仿宋_GB2312" w:cs="Times New Roman"/>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widowControl/>
              <w:ind w:firstLine="600" w:firstLineChars="300"/>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上年结转资金　</w:t>
            </w:r>
          </w:p>
        </w:tc>
        <w:tc>
          <w:tcPr>
            <w:tcW w:w="1224"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0</w:t>
            </w:r>
          </w:p>
        </w:tc>
        <w:tc>
          <w:tcPr>
            <w:tcW w:w="113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832.90</w:t>
            </w:r>
          </w:p>
        </w:tc>
        <w:tc>
          <w:tcPr>
            <w:tcW w:w="127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832.90</w:t>
            </w:r>
          </w:p>
        </w:tc>
        <w:tc>
          <w:tcPr>
            <w:tcW w:w="690"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p>
        </w:tc>
        <w:tc>
          <w:tcPr>
            <w:tcW w:w="8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p>
        </w:tc>
        <w:tc>
          <w:tcPr>
            <w:tcW w:w="1418"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Times New Roman" w:hAnsi="Times New Roman" w:eastAsia="仿宋_GB2312" w:cs="Times New Roman"/>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widowControl/>
              <w:ind w:firstLine="600" w:firstLineChars="300"/>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其他资金</w:t>
            </w:r>
          </w:p>
        </w:tc>
        <w:tc>
          <w:tcPr>
            <w:tcW w:w="1224"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0</w:t>
            </w:r>
          </w:p>
        </w:tc>
        <w:tc>
          <w:tcPr>
            <w:tcW w:w="1134"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0</w:t>
            </w:r>
          </w:p>
        </w:tc>
        <w:tc>
          <w:tcPr>
            <w:tcW w:w="1272"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p>
        </w:tc>
        <w:tc>
          <w:tcPr>
            <w:tcW w:w="690"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p>
        </w:tc>
        <w:tc>
          <w:tcPr>
            <w:tcW w:w="8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p>
        </w:tc>
        <w:tc>
          <w:tcPr>
            <w:tcW w:w="1418"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Times New Roman" w:hAnsi="Times New Roman" w:eastAsia="仿宋_GB2312" w:cs="Times New Roman"/>
                <w:color w:val="000000"/>
                <w:sz w:val="20"/>
                <w:szCs w:val="20"/>
              </w:rPr>
            </w:pPr>
          </w:p>
        </w:tc>
        <w:tc>
          <w:tcPr>
            <w:tcW w:w="4518"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ind w:firstLine="420" w:firstLineChars="200"/>
              <w:jc w:val="left"/>
              <w:rPr>
                <w:rFonts w:ascii="Times New Roman" w:hAnsi="Times New Roman" w:eastAsia="仿宋_GB2312" w:cs="Times New Roman"/>
                <w:color w:val="000000"/>
                <w:kern w:val="2"/>
                <w:sz w:val="20"/>
                <w:szCs w:val="20"/>
                <w:highlight w:val="none"/>
                <w:lang w:val="en-US" w:eastAsia="zh-CN" w:bidi="ar-SA"/>
              </w:rPr>
            </w:pPr>
            <w:r>
              <w:rPr>
                <w:rFonts w:hint="eastAsia" w:ascii="Times New Roman" w:hAnsi="Times New Roman" w:eastAsia="仿宋_GB2312" w:cs="Times New Roman"/>
                <w:color w:val="000000"/>
                <w:kern w:val="0"/>
                <w:szCs w:val="21"/>
                <w:highlight w:val="none"/>
                <w:lang w:val="en-US" w:eastAsia="zh-CN"/>
              </w:rPr>
              <w:t>保障我馆正常运转、完成日常工作任务。</w:t>
            </w:r>
            <w:r>
              <w:rPr>
                <w:rFonts w:eastAsia="仿宋_GB2312"/>
                <w:color w:val="000000"/>
                <w:kern w:val="0"/>
                <w:szCs w:val="21"/>
                <w:highlight w:val="none"/>
              </w:rPr>
              <w:t>　　</w:t>
            </w:r>
            <w:r>
              <w:rPr>
                <w:rFonts w:ascii="Times New Roman" w:hAnsi="Times New Roman" w:eastAsia="仿宋_GB2312" w:cs="Times New Roman"/>
                <w:color w:val="000000"/>
                <w:sz w:val="20"/>
                <w:szCs w:val="20"/>
                <w:highlight w:val="none"/>
              </w:rPr>
              <w:t>　　</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s="Times New Roman"/>
                <w:color w:val="000000"/>
                <w:kern w:val="2"/>
                <w:sz w:val="20"/>
                <w:szCs w:val="20"/>
                <w:highlight w:val="none"/>
                <w:lang w:val="en-US" w:eastAsia="zh-CN" w:bidi="ar-SA"/>
              </w:rPr>
            </w:pPr>
            <w:r>
              <w:rPr>
                <w:rFonts w:hint="default" w:ascii="Times New Roman" w:hAnsi="Times New Roman" w:eastAsia="仿宋_GB2312" w:cs="Times New Roman"/>
                <w:color w:val="000000"/>
                <w:kern w:val="0"/>
                <w:szCs w:val="21"/>
                <w:highlight w:val="none"/>
                <w:lang w:val="en-US" w:eastAsia="zh-CN"/>
              </w:rPr>
              <w:t>切实做好</w:t>
            </w:r>
            <w:r>
              <w:rPr>
                <w:rFonts w:hint="eastAsia" w:ascii="Times New Roman" w:hAnsi="Times New Roman" w:eastAsia="仿宋_GB2312" w:cs="Times New Roman"/>
                <w:color w:val="000000"/>
                <w:kern w:val="0"/>
                <w:szCs w:val="21"/>
                <w:highlight w:val="none"/>
                <w:lang w:val="en-US" w:eastAsia="zh-CN"/>
              </w:rPr>
              <w:t>了</w:t>
            </w:r>
            <w:r>
              <w:rPr>
                <w:rFonts w:hint="default" w:ascii="Times New Roman" w:hAnsi="Times New Roman" w:eastAsia="仿宋_GB2312" w:cs="Times New Roman"/>
                <w:color w:val="000000"/>
                <w:kern w:val="0"/>
                <w:szCs w:val="21"/>
                <w:highlight w:val="none"/>
                <w:lang w:val="en-US" w:eastAsia="zh-CN"/>
              </w:rPr>
              <w:t>文物保护、编研传播、陈列展示、</w:t>
            </w:r>
            <w:r>
              <w:rPr>
                <w:rFonts w:hint="eastAsia" w:ascii="Times New Roman" w:hAnsi="Times New Roman" w:eastAsia="仿宋_GB2312" w:cs="Times New Roman"/>
                <w:color w:val="000000"/>
                <w:kern w:val="0"/>
                <w:szCs w:val="21"/>
                <w:highlight w:val="none"/>
                <w:lang w:val="en-US" w:eastAsia="zh-CN"/>
              </w:rPr>
              <w:t>宣传</w:t>
            </w:r>
            <w:r>
              <w:rPr>
                <w:rFonts w:hint="default" w:ascii="Times New Roman" w:hAnsi="Times New Roman" w:eastAsia="仿宋_GB2312" w:cs="Times New Roman"/>
                <w:color w:val="000000"/>
                <w:kern w:val="0"/>
                <w:szCs w:val="21"/>
                <w:highlight w:val="none"/>
                <w:lang w:val="en-US" w:eastAsia="zh-CN"/>
              </w:rPr>
              <w:t>教育、智慧管服等</w:t>
            </w:r>
            <w:r>
              <w:rPr>
                <w:rFonts w:hint="eastAsia" w:ascii="Times New Roman" w:hAnsi="Times New Roman" w:eastAsia="仿宋_GB2312" w:cs="Times New Roman"/>
                <w:color w:val="000000"/>
                <w:kern w:val="0"/>
                <w:szCs w:val="21"/>
                <w:highlight w:val="none"/>
                <w:lang w:val="en-US" w:eastAsia="zh-CN"/>
              </w:rPr>
              <w:t>日常</w:t>
            </w:r>
            <w:r>
              <w:rPr>
                <w:rFonts w:hint="default" w:ascii="Times New Roman" w:hAnsi="Times New Roman" w:eastAsia="仿宋_GB2312" w:cs="Times New Roman"/>
                <w:color w:val="000000"/>
                <w:kern w:val="0"/>
                <w:szCs w:val="21"/>
                <w:highlight w:val="none"/>
                <w:lang w:val="en-US" w:eastAsia="zh-CN"/>
              </w:rPr>
              <w:t>工作，较好地实现了</w:t>
            </w:r>
            <w:r>
              <w:rPr>
                <w:rFonts w:hint="eastAsia" w:ascii="Times New Roman" w:hAnsi="Times New Roman" w:eastAsia="仿宋_GB2312" w:cs="Times New Roman"/>
                <w:color w:val="000000"/>
                <w:kern w:val="0"/>
                <w:szCs w:val="21"/>
                <w:highlight w:val="none"/>
                <w:lang w:val="en-US" w:eastAsia="zh-CN"/>
              </w:rPr>
              <w:t>预期</w:t>
            </w:r>
            <w:r>
              <w:rPr>
                <w:rFonts w:hint="default" w:ascii="Times New Roman" w:hAnsi="Times New Roman" w:eastAsia="仿宋_GB2312" w:cs="Times New Roman"/>
                <w:color w:val="000000"/>
                <w:kern w:val="0"/>
                <w:szCs w:val="21"/>
                <w:highlight w:val="none"/>
                <w:lang w:val="en-US" w:eastAsia="zh-CN"/>
              </w:rPr>
              <w:t>目标</w:t>
            </w:r>
            <w:r>
              <w:rPr>
                <w:rFonts w:hint="eastAsia" w:ascii="Times New Roman" w:hAnsi="Times New Roman" w:eastAsia="仿宋_GB2312" w:cs="Times New Roman"/>
                <w:color w:val="000000"/>
                <w:kern w:val="0"/>
                <w:szCs w:val="21"/>
                <w:highlight w:val="none"/>
                <w:lang w:val="en-US" w:eastAsia="zh-CN"/>
              </w:rPr>
              <w:t>。</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绩</w:t>
            </w:r>
          </w:p>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效</w:t>
            </w:r>
          </w:p>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指</w:t>
            </w:r>
          </w:p>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一级指标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二级指标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三级指标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年度</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指标值</w:t>
            </w:r>
          </w:p>
        </w:tc>
        <w:tc>
          <w:tcPr>
            <w:tcW w:w="127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实际</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完成值</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得分</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偏差原因</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分析及</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ascii="Times New Roman" w:hAnsi="Times New Roman" w:eastAsia="仿宋_GB2312" w:cs="Times New Roman"/>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产出指标</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(50分)</w:t>
            </w: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数量指标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en-US" w:eastAsia="zh-CN" w:bidi="zh-CN"/>
              </w:rPr>
              <w:t>当年资金下达数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3010</w:t>
            </w:r>
          </w:p>
        </w:tc>
        <w:tc>
          <w:tcPr>
            <w:tcW w:w="127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3010</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p>
        </w:tc>
        <w:tc>
          <w:tcPr>
            <w:tcW w:w="1224" w:type="dxa"/>
            <w:tcBorders>
              <w:top w:val="nil"/>
              <w:left w:val="nil"/>
              <w:bottom w:val="single" w:color="auto" w:sz="4" w:space="0"/>
              <w:right w:val="single" w:color="auto" w:sz="4" w:space="0"/>
            </w:tcBorders>
            <w:noWrap w:val="0"/>
            <w:vAlign w:val="center"/>
          </w:tcPr>
          <w:p>
            <w:pPr>
              <w:pStyle w:val="7"/>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en-US" w:eastAsia="zh-CN" w:bidi="zh-CN"/>
              </w:rPr>
              <w:t>上年结转资金下达数额</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eastAsia="zh-CN"/>
              </w:rPr>
              <w:t>832.9</w:t>
            </w:r>
          </w:p>
        </w:tc>
        <w:tc>
          <w:tcPr>
            <w:tcW w:w="127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832.9</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质量指标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18"/>
                <w:szCs w:val="18"/>
              </w:rPr>
            </w:pPr>
            <w:r>
              <w:rPr>
                <w:rFonts w:hint="eastAsia" w:ascii="Times New Roman" w:hAnsi="Times New Roman" w:eastAsia="仿宋_GB2312" w:cs="Times New Roman"/>
                <w:kern w:val="0"/>
                <w:sz w:val="18"/>
                <w:szCs w:val="18"/>
                <w:lang w:val="en-US" w:eastAsia="zh-CN" w:bidi="zh-CN"/>
              </w:rPr>
              <w:t>资金专款专用率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100%</w:t>
            </w:r>
          </w:p>
        </w:tc>
        <w:tc>
          <w:tcPr>
            <w:tcW w:w="127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100%</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p>
        </w:tc>
        <w:tc>
          <w:tcPr>
            <w:tcW w:w="1080"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lang w:eastAsia="zh-CN"/>
              </w:rPr>
              <w:t>时效指标</w:t>
            </w:r>
          </w:p>
        </w:tc>
        <w:tc>
          <w:tcPr>
            <w:tcW w:w="1224" w:type="dxa"/>
            <w:tcBorders>
              <w:top w:val="nil"/>
              <w:left w:val="nil"/>
              <w:bottom w:val="single" w:color="auto" w:sz="4" w:space="0"/>
              <w:right w:val="single" w:color="auto" w:sz="4" w:space="0"/>
            </w:tcBorders>
            <w:noWrap w:val="0"/>
            <w:vAlign w:val="center"/>
          </w:tcPr>
          <w:p>
            <w:pPr>
              <w:pStyle w:val="7"/>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en-US" w:eastAsia="zh-CN" w:bidi="zh-CN"/>
              </w:rPr>
              <w:t>完成结转资金支付时间</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12月31日前</w:t>
            </w:r>
          </w:p>
        </w:tc>
        <w:tc>
          <w:tcPr>
            <w:tcW w:w="127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12月28日</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p>
        </w:tc>
        <w:tc>
          <w:tcPr>
            <w:tcW w:w="1080"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eastAsia="zh-CN"/>
              </w:rPr>
              <w:t>项目资金按进度支付情况</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eastAsia="zh-CN"/>
              </w:rPr>
              <w:t>依合同进度支付</w:t>
            </w:r>
          </w:p>
        </w:tc>
        <w:tc>
          <w:tcPr>
            <w:tcW w:w="127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eastAsia="zh-CN"/>
              </w:rPr>
              <w:t>依合同进度支付</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成本指标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en-US" w:eastAsia="zh-CN" w:bidi="zh-CN"/>
              </w:rPr>
              <w:t>预设总量成本控制率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100%</w:t>
            </w:r>
          </w:p>
        </w:tc>
        <w:tc>
          <w:tcPr>
            <w:tcW w:w="127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100%</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ascii="Times New Roman" w:hAnsi="Times New Roman" w:eastAsia="仿宋_GB2312" w:cs="Times New Roman"/>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效益指标</w:t>
            </w:r>
          </w:p>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p>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（30分）</w:t>
            </w:r>
          </w:p>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经济效</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益指标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en-US" w:eastAsia="zh-CN" w:bidi="zh-CN"/>
              </w:rPr>
              <w:t>吸引和带动周边行业发展</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en-US" w:eastAsia="zh-CN" w:bidi="zh-CN"/>
              </w:rPr>
              <w:t>公益性为主，带动周边行业发展</w:t>
            </w:r>
          </w:p>
        </w:tc>
        <w:tc>
          <w:tcPr>
            <w:tcW w:w="127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en-US" w:eastAsia="zh-CN" w:bidi="zh-CN"/>
              </w:rPr>
              <w:t>疫情期间仍是带动周边行业发展的主力</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p>
        </w:tc>
        <w:tc>
          <w:tcPr>
            <w:tcW w:w="1080" w:type="dxa"/>
            <w:vMerge w:val="restar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社会效</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益指标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en-US" w:eastAsia="zh-CN" w:bidi="zh-CN"/>
              </w:rPr>
              <w:t>接待观众数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en-US" w:eastAsia="zh-CN" w:bidi="zh-CN"/>
              </w:rPr>
              <w:t>400万人次</w:t>
            </w:r>
          </w:p>
        </w:tc>
        <w:tc>
          <w:tcPr>
            <w:tcW w:w="127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kern w:val="0"/>
                <w:sz w:val="18"/>
                <w:szCs w:val="18"/>
                <w:lang w:val="en-US" w:eastAsia="zh-CN" w:bidi="zh-CN"/>
              </w:rPr>
            </w:pPr>
            <w:r>
              <w:rPr>
                <w:rFonts w:hint="default" w:ascii="Times New Roman" w:hAnsi="Times New Roman" w:eastAsia="仿宋_GB2312" w:cs="Times New Roman"/>
                <w:kern w:val="0"/>
                <w:sz w:val="18"/>
                <w:szCs w:val="18"/>
                <w:lang w:val="en-US" w:eastAsia="zh-CN" w:bidi="zh-CN"/>
              </w:rPr>
              <w:t>518.4</w:t>
            </w:r>
            <w:r>
              <w:rPr>
                <w:rFonts w:hint="eastAsia" w:ascii="Times New Roman" w:hAnsi="Times New Roman" w:eastAsia="仿宋_GB2312" w:cs="Times New Roman"/>
                <w:kern w:val="0"/>
                <w:sz w:val="18"/>
                <w:szCs w:val="18"/>
                <w:lang w:val="en-US" w:eastAsia="zh-CN" w:bidi="zh-CN"/>
              </w:rPr>
              <w:t>万人次</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p>
        </w:tc>
        <w:tc>
          <w:tcPr>
            <w:tcW w:w="108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en-US" w:eastAsia="zh-CN" w:bidi="zh-CN"/>
              </w:rPr>
              <w:t>讲解批次</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en-US" w:eastAsia="zh-CN" w:bidi="zh-CN"/>
              </w:rPr>
              <w:t>10000批次</w:t>
            </w:r>
          </w:p>
        </w:tc>
        <w:tc>
          <w:tcPr>
            <w:tcW w:w="127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en-US" w:eastAsia="zh-CN" w:bidi="zh-CN"/>
              </w:rPr>
              <w:t>10798批次</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p>
        </w:tc>
        <w:tc>
          <w:tcPr>
            <w:tcW w:w="108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生态效</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益指标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Times New Roman"/>
                <w:kern w:val="0"/>
                <w:sz w:val="18"/>
                <w:szCs w:val="18"/>
                <w:lang w:val="zh-CN" w:eastAsia="zh-CN" w:bidi="zh-CN"/>
              </w:rPr>
            </w:pPr>
            <w:r>
              <w:rPr>
                <w:rFonts w:hint="eastAsia" w:ascii="Times New Roman" w:hAnsi="Times New Roman" w:eastAsia="仿宋_GB2312" w:cs="Times New Roman"/>
                <w:kern w:val="0"/>
                <w:sz w:val="18"/>
                <w:szCs w:val="18"/>
                <w:lang w:val="zh-CN" w:eastAsia="zh-CN" w:bidi="zh-CN"/>
              </w:rPr>
              <w:t>对周边生态环境的影响</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kern w:val="0"/>
                <w:sz w:val="18"/>
                <w:szCs w:val="18"/>
                <w:lang w:val="zh-CN" w:eastAsia="zh-CN" w:bidi="zh-CN"/>
              </w:rPr>
            </w:pPr>
            <w:r>
              <w:rPr>
                <w:rFonts w:hint="eastAsia" w:ascii="Times New Roman" w:hAnsi="Times New Roman" w:eastAsia="仿宋_GB2312" w:cs="Times New Roman"/>
                <w:kern w:val="0"/>
                <w:sz w:val="18"/>
                <w:szCs w:val="18"/>
                <w:lang w:val="zh-CN" w:eastAsia="zh-CN" w:bidi="zh-CN"/>
              </w:rPr>
              <w:t>保护管辖环境</w:t>
            </w:r>
          </w:p>
        </w:tc>
        <w:tc>
          <w:tcPr>
            <w:tcW w:w="127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kern w:val="0"/>
                <w:sz w:val="18"/>
                <w:szCs w:val="18"/>
                <w:lang w:val="zh-CN" w:eastAsia="zh-CN" w:bidi="zh-CN"/>
              </w:rPr>
            </w:pPr>
            <w:r>
              <w:rPr>
                <w:rFonts w:hint="eastAsia" w:ascii="Times New Roman" w:hAnsi="Times New Roman" w:eastAsia="仿宋_GB2312" w:cs="Times New Roman"/>
                <w:kern w:val="0"/>
                <w:sz w:val="18"/>
                <w:szCs w:val="18"/>
                <w:lang w:val="zh-CN" w:eastAsia="zh-CN" w:bidi="zh-CN"/>
              </w:rPr>
              <w:t>保护并提升了管辖环境</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zh-CN" w:eastAsia="zh-CN" w:bidi="zh-CN"/>
              </w:rPr>
              <w:t>对我馆发展持续影响性</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en-US" w:eastAsia="zh-CN" w:bidi="zh-CN"/>
              </w:rPr>
              <w:t>长久性</w:t>
            </w:r>
          </w:p>
        </w:tc>
        <w:tc>
          <w:tcPr>
            <w:tcW w:w="12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en-US" w:eastAsia="zh-CN" w:bidi="zh-CN"/>
              </w:rPr>
              <w:t>长久性</w:t>
            </w:r>
          </w:p>
        </w:tc>
        <w:tc>
          <w:tcPr>
            <w:tcW w:w="6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ascii="Times New Roman" w:hAnsi="Times New Roman" w:eastAsia="仿宋_GB2312" w:cs="Times New Roman"/>
                <w:color w:val="000000"/>
                <w:sz w:val="20"/>
                <w:szCs w:val="20"/>
              </w:rPr>
            </w:pPr>
          </w:p>
        </w:tc>
        <w:tc>
          <w:tcPr>
            <w:tcW w:w="108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满意度</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指标</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（10分）</w:t>
            </w:r>
          </w:p>
        </w:tc>
        <w:tc>
          <w:tcPr>
            <w:tcW w:w="108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服务对象满意度指标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zh-CN" w:eastAsia="zh-CN" w:bidi="zh-CN"/>
              </w:rPr>
              <w:t>服务对象满意度指标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zh-CN" w:eastAsia="zh-CN" w:bidi="zh-CN"/>
              </w:rPr>
              <w:t>游客满意程度达</w:t>
            </w:r>
            <w:r>
              <w:rPr>
                <w:rFonts w:hint="eastAsia" w:ascii="Times New Roman" w:hAnsi="Times New Roman" w:eastAsia="仿宋_GB2312" w:cs="Times New Roman"/>
                <w:kern w:val="0"/>
                <w:sz w:val="18"/>
                <w:szCs w:val="18"/>
                <w:lang w:val="en-US" w:eastAsia="zh-CN" w:bidi="zh-CN"/>
              </w:rPr>
              <w:t>95%</w:t>
            </w:r>
          </w:p>
        </w:tc>
        <w:tc>
          <w:tcPr>
            <w:tcW w:w="127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en-US" w:eastAsia="zh-CN" w:bidi="zh-CN"/>
              </w:rPr>
              <w:t>98%</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6870"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总分</w:t>
            </w:r>
          </w:p>
        </w:tc>
        <w:tc>
          <w:tcPr>
            <w:tcW w:w="690"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100</w:t>
            </w:r>
          </w:p>
        </w:tc>
        <w:tc>
          <w:tcPr>
            <w:tcW w:w="8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97.9</w:t>
            </w:r>
          </w:p>
        </w:tc>
        <w:tc>
          <w:tcPr>
            <w:tcW w:w="1418" w:type="dxa"/>
            <w:tcBorders>
              <w:top w:val="nil"/>
              <w:left w:val="nil"/>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bl>
    <w:p>
      <w:pPr>
        <w:rPr>
          <w:rFonts w:ascii="Times New Roman" w:hAnsi="Times New Roman" w:eastAsia="仿宋_GB2312" w:cs="Times New Roman"/>
          <w:sz w:val="20"/>
          <w:szCs w:val="20"/>
        </w:rPr>
      </w:pPr>
      <w:r>
        <w:rPr>
          <w:rFonts w:ascii="Times New Roman" w:hAnsi="Times New Roman" w:eastAsia="仿宋_GB2312" w:cs="Times New Roman"/>
          <w:sz w:val="20"/>
          <w:szCs w:val="20"/>
        </w:rPr>
        <w:t>备注：一个一级项目支出一张表。鉴于2022年开展省级专项资金三年（2019年-2021年）整体绩效评价，故本次可以不填报该自评表。</w:t>
      </w:r>
    </w:p>
    <w:p>
      <w:pPr>
        <w:rPr>
          <w:rFonts w:ascii="Times New Roman" w:hAnsi="Times New Roman" w:eastAsia="仿宋_GB2312" w:cs="Times New Roman"/>
          <w:szCs w:val="21"/>
        </w:rPr>
      </w:pPr>
    </w:p>
    <w:p>
      <w:r>
        <w:rPr>
          <w:rFonts w:ascii="Times New Roman" w:hAnsi="Times New Roman" w:eastAsia="仿宋_GB2312" w:cs="Times New Roman"/>
          <w:sz w:val="22"/>
          <w:szCs w:val="22"/>
        </w:rPr>
        <w:t>填表人：</w:t>
      </w:r>
      <w:r>
        <w:rPr>
          <w:rFonts w:hint="eastAsia" w:ascii="Times New Roman" w:hAnsi="Times New Roman" w:eastAsia="仿宋_GB2312" w:cs="Times New Roman"/>
          <w:sz w:val="22"/>
          <w:szCs w:val="22"/>
          <w:lang w:eastAsia="zh-CN"/>
        </w:rPr>
        <w:t>章睿</w:t>
      </w:r>
      <w:r>
        <w:rPr>
          <w:rFonts w:ascii="Times New Roman" w:hAnsi="Times New Roman" w:eastAsia="仿宋_GB2312" w:cs="Times New Roman"/>
          <w:sz w:val="22"/>
          <w:szCs w:val="22"/>
        </w:rPr>
        <w:t xml:space="preserve">  填报日期：</w:t>
      </w:r>
      <w:r>
        <w:rPr>
          <w:rFonts w:hint="eastAsia" w:ascii="Times New Roman" w:hAnsi="Times New Roman" w:eastAsia="仿宋_GB2312" w:cs="Times New Roman"/>
          <w:sz w:val="22"/>
          <w:szCs w:val="22"/>
          <w:lang w:val="en-US" w:eastAsia="zh-CN"/>
        </w:rPr>
        <w:t>2022.4.12</w:t>
      </w:r>
      <w:r>
        <w:rPr>
          <w:rFonts w:ascii="Times New Roman" w:hAnsi="Times New Roman" w:eastAsia="仿宋_GB2312" w:cs="Times New Roman"/>
          <w:sz w:val="22"/>
          <w:szCs w:val="22"/>
        </w:rPr>
        <w:t xml:space="preserve">   联系电话：</w:t>
      </w:r>
      <w:r>
        <w:rPr>
          <w:rFonts w:hint="eastAsia" w:ascii="Times New Roman" w:hAnsi="Times New Roman" w:eastAsia="仿宋_GB2312" w:cs="Times New Roman"/>
          <w:sz w:val="22"/>
          <w:szCs w:val="22"/>
          <w:lang w:val="en-US" w:eastAsia="zh-CN"/>
        </w:rPr>
        <w:t>18673230666</w:t>
      </w:r>
      <w:r>
        <w:rPr>
          <w:rFonts w:ascii="Times New Roman" w:hAnsi="Times New Roman" w:eastAsia="仿宋_GB2312" w:cs="Times New Roman"/>
          <w:sz w:val="22"/>
          <w:szCs w:val="22"/>
        </w:rPr>
        <w:t xml:space="preserve">   单位负责人签字：</w:t>
      </w:r>
    </w:p>
    <w:p>
      <w:pPr>
        <w:widowControl/>
        <w:spacing w:line="600" w:lineRule="exact"/>
        <w:jc w:val="left"/>
        <w:rPr>
          <w:rFonts w:hint="default" w:ascii="Times New Roman" w:hAnsi="Times New Roman" w:eastAsia="黑体" w:cs="Times New Roman"/>
          <w:sz w:val="32"/>
          <w:szCs w:val="32"/>
          <w:lang w:val="en-US" w:eastAsia="zh-CN"/>
        </w:rPr>
      </w:pPr>
      <w:r>
        <w:rPr>
          <w:rFonts w:ascii="Times New Roman" w:hAnsi="Times New Roman" w:eastAsia="黑体" w:cs="Times New Roman"/>
          <w:sz w:val="32"/>
          <w:szCs w:val="32"/>
        </w:rPr>
        <w:t>附件3</w:t>
      </w:r>
      <w:r>
        <w:rPr>
          <w:rFonts w:hint="eastAsia" w:ascii="Times New Roman" w:hAnsi="Times New Roman" w:eastAsia="黑体" w:cs="Times New Roman"/>
          <w:sz w:val="32"/>
          <w:szCs w:val="32"/>
          <w:lang w:val="en-US" w:eastAsia="zh-CN"/>
        </w:rPr>
        <w:t>-2</w:t>
      </w:r>
    </w:p>
    <w:p>
      <w:pPr>
        <w:widowControl/>
        <w:spacing w:line="600" w:lineRule="exact"/>
        <w:jc w:val="center"/>
        <w:rPr>
          <w:rFonts w:ascii="Times New Roman" w:hAnsi="Times New Roman" w:eastAsia="方正小标宋_GBK" w:cs="Times New Roman"/>
          <w:color w:val="000000"/>
          <w:sz w:val="36"/>
          <w:szCs w:val="36"/>
        </w:rPr>
      </w:pPr>
      <w:r>
        <w:rPr>
          <w:rFonts w:ascii="Times New Roman" w:hAnsi="Times New Roman" w:eastAsia="方正小标宋_GBK" w:cs="Times New Roman"/>
          <w:color w:val="000000"/>
          <w:sz w:val="36"/>
          <w:szCs w:val="36"/>
        </w:rPr>
        <w:t>2021年度项目支出绩效自评表</w:t>
      </w:r>
    </w:p>
    <w:tbl>
      <w:tblPr>
        <w:tblStyle w:val="4"/>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项目支</w:t>
            </w:r>
          </w:p>
          <w:p>
            <w:pPr>
              <w:widowControl/>
              <w:spacing w:line="26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eastAsia="zh-CN"/>
              </w:rPr>
              <w:t>公共文化服务体系建设绩效奖励</w:t>
            </w: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sz w:val="20"/>
                <w:szCs w:val="20"/>
                <w:lang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eastAsia="zh-CN"/>
              </w:rPr>
              <w:t>湖南省韶山管理局</w:t>
            </w:r>
          </w:p>
        </w:tc>
        <w:tc>
          <w:tcPr>
            <w:tcW w:w="1134" w:type="dxa"/>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sz w:val="20"/>
                <w:szCs w:val="20"/>
                <w:lang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eastAsia="zh-CN"/>
              </w:rPr>
              <w:t>韶山毛泽东同志纪念馆</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项目资金</w:t>
            </w:r>
            <w:r>
              <w:rPr>
                <w:rFonts w:ascii="Times New Roman" w:hAnsi="Times New Roman" w:eastAsia="仿宋_GB2312" w:cs="Times New Roman"/>
                <w:color w:val="000000"/>
                <w:sz w:val="20"/>
                <w:szCs w:val="20"/>
              </w:rPr>
              <w:br w:type="textWrapping"/>
            </w:r>
            <w:r>
              <w:rPr>
                <w:rFonts w:ascii="Times New Roman" w:hAnsi="Times New Roman" w:eastAsia="仿宋_GB2312" w:cs="Times New Roman"/>
                <w:color w:val="000000"/>
                <w:sz w:val="20"/>
                <w:szCs w:val="20"/>
              </w:rPr>
              <w:t>（万元）</w:t>
            </w:r>
          </w:p>
        </w:tc>
        <w:tc>
          <w:tcPr>
            <w:tcW w:w="2160" w:type="dxa"/>
            <w:gridSpan w:val="2"/>
            <w:tcBorders>
              <w:top w:val="nil"/>
              <w:left w:val="nil"/>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1224"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年初</w:t>
            </w:r>
          </w:p>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预算数</w:t>
            </w:r>
          </w:p>
        </w:tc>
        <w:tc>
          <w:tcPr>
            <w:tcW w:w="1134"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全年</w:t>
            </w:r>
          </w:p>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预算数</w:t>
            </w:r>
          </w:p>
        </w:tc>
        <w:tc>
          <w:tcPr>
            <w:tcW w:w="1134" w:type="dxa"/>
            <w:tcBorders>
              <w:top w:val="nil"/>
              <w:left w:val="nil"/>
              <w:bottom w:val="single" w:color="auto" w:sz="4" w:space="0"/>
              <w:right w:val="single" w:color="auto" w:sz="4" w:space="0"/>
            </w:tcBorders>
            <w:noWrap w:val="0"/>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全年</w:t>
            </w:r>
          </w:p>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执行数</w:t>
            </w:r>
          </w:p>
        </w:tc>
        <w:tc>
          <w:tcPr>
            <w:tcW w:w="828" w:type="dxa"/>
            <w:tcBorders>
              <w:top w:val="nil"/>
              <w:left w:val="nil"/>
              <w:bottom w:val="single" w:color="auto" w:sz="4" w:space="0"/>
              <w:right w:val="single" w:color="auto" w:sz="4" w:space="0"/>
            </w:tcBorders>
            <w:noWrap w:val="0"/>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分值</w:t>
            </w:r>
          </w:p>
        </w:tc>
        <w:tc>
          <w:tcPr>
            <w:tcW w:w="873" w:type="dxa"/>
            <w:tcBorders>
              <w:top w:val="nil"/>
              <w:left w:val="nil"/>
              <w:bottom w:val="single" w:color="auto" w:sz="4" w:space="0"/>
              <w:right w:val="single" w:color="auto" w:sz="4" w:space="0"/>
            </w:tcBorders>
            <w:noWrap w:val="0"/>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执行率</w:t>
            </w:r>
          </w:p>
        </w:tc>
        <w:tc>
          <w:tcPr>
            <w:tcW w:w="1418" w:type="dxa"/>
            <w:tcBorders>
              <w:top w:val="nil"/>
              <w:left w:val="nil"/>
              <w:bottom w:val="single" w:color="auto" w:sz="4" w:space="0"/>
              <w:right w:val="single" w:color="auto" w:sz="4" w:space="0"/>
            </w:tcBorders>
            <w:noWrap w:val="0"/>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Times New Roman" w:hAnsi="Times New Roman" w:eastAsia="仿宋_GB2312" w:cs="Times New Roman"/>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年度资金总额　</w:t>
            </w:r>
          </w:p>
        </w:tc>
        <w:tc>
          <w:tcPr>
            <w:tcW w:w="1224"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0</w:t>
            </w:r>
          </w:p>
        </w:tc>
        <w:tc>
          <w:tcPr>
            <w:tcW w:w="113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184.23</w:t>
            </w:r>
          </w:p>
        </w:tc>
        <w:tc>
          <w:tcPr>
            <w:tcW w:w="113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184.23</w:t>
            </w:r>
          </w:p>
        </w:tc>
        <w:tc>
          <w:tcPr>
            <w:tcW w:w="828"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10</w:t>
            </w:r>
          </w:p>
        </w:tc>
        <w:tc>
          <w:tcPr>
            <w:tcW w:w="8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100%</w:t>
            </w:r>
          </w:p>
        </w:tc>
        <w:tc>
          <w:tcPr>
            <w:tcW w:w="141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Times New Roman" w:hAnsi="Times New Roman" w:eastAsia="仿宋_GB2312" w:cs="Times New Roman"/>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其中：当年财政拨款　</w:t>
            </w:r>
          </w:p>
        </w:tc>
        <w:tc>
          <w:tcPr>
            <w:tcW w:w="1224"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0</w:t>
            </w:r>
          </w:p>
        </w:tc>
        <w:tc>
          <w:tcPr>
            <w:tcW w:w="113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120</w:t>
            </w:r>
          </w:p>
        </w:tc>
        <w:tc>
          <w:tcPr>
            <w:tcW w:w="1134"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p>
        </w:tc>
        <w:tc>
          <w:tcPr>
            <w:tcW w:w="828"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p>
        </w:tc>
        <w:tc>
          <w:tcPr>
            <w:tcW w:w="8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p>
        </w:tc>
        <w:tc>
          <w:tcPr>
            <w:tcW w:w="1418"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Times New Roman" w:hAnsi="Times New Roman" w:eastAsia="仿宋_GB2312" w:cs="Times New Roman"/>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widowControl/>
              <w:ind w:firstLine="600" w:firstLineChars="300"/>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上年结转资金　</w:t>
            </w:r>
          </w:p>
        </w:tc>
        <w:tc>
          <w:tcPr>
            <w:tcW w:w="1224"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0</w:t>
            </w:r>
          </w:p>
        </w:tc>
        <w:tc>
          <w:tcPr>
            <w:tcW w:w="113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64.23</w:t>
            </w:r>
          </w:p>
        </w:tc>
        <w:tc>
          <w:tcPr>
            <w:tcW w:w="1134"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p>
        </w:tc>
        <w:tc>
          <w:tcPr>
            <w:tcW w:w="828"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p>
        </w:tc>
        <w:tc>
          <w:tcPr>
            <w:tcW w:w="8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p>
        </w:tc>
        <w:tc>
          <w:tcPr>
            <w:tcW w:w="1418"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Times New Roman" w:hAnsi="Times New Roman" w:eastAsia="仿宋_GB2312" w:cs="Times New Roman"/>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widowControl/>
              <w:ind w:firstLine="600" w:firstLineChars="300"/>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其他资金</w:t>
            </w:r>
          </w:p>
        </w:tc>
        <w:tc>
          <w:tcPr>
            <w:tcW w:w="1224"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0</w:t>
            </w:r>
          </w:p>
        </w:tc>
        <w:tc>
          <w:tcPr>
            <w:tcW w:w="1134"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0</w:t>
            </w:r>
          </w:p>
        </w:tc>
        <w:tc>
          <w:tcPr>
            <w:tcW w:w="1134"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p>
        </w:tc>
        <w:tc>
          <w:tcPr>
            <w:tcW w:w="828"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p>
        </w:tc>
        <w:tc>
          <w:tcPr>
            <w:tcW w:w="8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p>
        </w:tc>
        <w:tc>
          <w:tcPr>
            <w:tcW w:w="1418"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Times New Roman" w:hAnsi="Times New Roman" w:eastAsia="仿宋_GB2312" w:cs="Times New Roman"/>
                <w:color w:val="000000"/>
                <w:sz w:val="20"/>
                <w:szCs w:val="20"/>
              </w:rPr>
            </w:pP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eastAsia="zh-CN"/>
              </w:rPr>
              <w:t>促进我馆公共文化服务体系发展</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21"/>
                <w:szCs w:val="21"/>
                <w:lang w:val="en-US" w:eastAsia="zh-CN" w:bidi="ar-SA"/>
              </w:rPr>
            </w:pPr>
            <w:r>
              <w:rPr>
                <w:rFonts w:hint="eastAsia" w:ascii="仿宋_GB2312" w:hAnsi="宋体" w:eastAsia="仿宋_GB2312" w:cs="宋体"/>
                <w:color w:val="000000"/>
                <w:kern w:val="0"/>
                <w:sz w:val="18"/>
                <w:szCs w:val="18"/>
                <w:lang w:val="en-US" w:eastAsia="zh-CN"/>
              </w:rPr>
              <w:t>该资金保障了我馆的日常运转，对提升我馆公共文化服务体系建设起到了巨大作用</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绩</w:t>
            </w:r>
          </w:p>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效</w:t>
            </w:r>
          </w:p>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指</w:t>
            </w:r>
          </w:p>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一级指标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二级指标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三级指标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年度</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指标值</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实际</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完成值</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得分</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偏差原因</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分析及</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ascii="Times New Roman" w:hAnsi="Times New Roman" w:eastAsia="仿宋_GB2312" w:cs="Times New Roman"/>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产出指标</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(50分)</w:t>
            </w: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en-US" w:eastAsia="zh-CN" w:bidi="zh-CN"/>
              </w:rPr>
              <w:t>当年资金下达数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120</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120</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pStyle w:val="7"/>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en-US" w:eastAsia="zh-CN" w:bidi="zh-CN"/>
              </w:rPr>
              <w:t>上年结转资金下达数额</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64.23</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64.23</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pStyle w:val="7"/>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en-US" w:eastAsia="zh-CN" w:bidi="zh-CN"/>
              </w:rPr>
              <w:t>资金专款专用率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100%</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100%</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pStyle w:val="7"/>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en-US" w:eastAsia="zh-CN" w:bidi="zh-CN"/>
              </w:rPr>
              <w:t>完成资金支付时间</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12月31日前</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11月</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eastAsia="zh-CN"/>
              </w:rPr>
              <w:t>项目资金按进度支付情况</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eastAsia="zh-CN"/>
              </w:rPr>
              <w:t>依合同进度支付</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eastAsia="zh-CN"/>
              </w:rPr>
              <w:t>均依合同进度支付</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r>
              <w:rPr>
                <w:rFonts w:hint="eastAsia" w:ascii="Times New Roman" w:hAnsi="Times New Roman" w:eastAsia="仿宋_GB2312" w:cs="Times New Roman"/>
                <w:kern w:val="0"/>
                <w:sz w:val="18"/>
                <w:szCs w:val="18"/>
                <w:lang w:val="en-US" w:eastAsia="zh-CN" w:bidi="zh-CN"/>
              </w:rPr>
              <w:t>预设总量成本控制率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100%</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100%</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ascii="Times New Roman" w:hAnsi="Times New Roman" w:eastAsia="仿宋_GB2312" w:cs="Times New Roman"/>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效益指标</w:t>
            </w:r>
          </w:p>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p>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（30分）</w:t>
            </w:r>
          </w:p>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经济效</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en-US" w:eastAsia="zh-CN" w:bidi="zh-CN"/>
              </w:rPr>
              <w:t>吸引和带动周边行业发展</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en-US" w:eastAsia="zh-CN" w:bidi="zh-CN"/>
              </w:rPr>
              <w:t>公益性为主，带动周边行业发展</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en-US" w:eastAsia="zh-CN" w:bidi="zh-CN"/>
              </w:rPr>
              <w:t>疫情期间仍是带动周边行业发展的主力</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社会效</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Times New Roman"/>
                <w:kern w:val="0"/>
                <w:sz w:val="18"/>
                <w:szCs w:val="18"/>
                <w:lang w:val="zh-CN" w:eastAsia="zh-CN" w:bidi="zh-CN"/>
              </w:rPr>
            </w:pPr>
            <w:r>
              <w:rPr>
                <w:rFonts w:hint="eastAsia" w:ascii="Times New Roman" w:hAnsi="Times New Roman" w:eastAsia="仿宋_GB2312" w:cs="Times New Roman"/>
                <w:kern w:val="0"/>
                <w:sz w:val="18"/>
                <w:szCs w:val="18"/>
                <w:lang w:val="en-US" w:eastAsia="zh-CN" w:bidi="zh-CN"/>
              </w:rPr>
              <w:t>接待观众数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kern w:val="0"/>
                <w:sz w:val="18"/>
                <w:szCs w:val="18"/>
                <w:lang w:val="zh-CN" w:eastAsia="zh-CN" w:bidi="zh-CN"/>
              </w:rPr>
            </w:pPr>
            <w:r>
              <w:rPr>
                <w:rFonts w:hint="eastAsia" w:ascii="Times New Roman" w:hAnsi="Times New Roman" w:eastAsia="仿宋_GB2312" w:cs="Times New Roman"/>
                <w:kern w:val="0"/>
                <w:sz w:val="18"/>
                <w:szCs w:val="18"/>
                <w:lang w:val="en-US" w:eastAsia="zh-CN" w:bidi="zh-CN"/>
              </w:rPr>
              <w:t>400万人次</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kern w:val="0"/>
                <w:sz w:val="18"/>
                <w:szCs w:val="18"/>
                <w:lang w:val="zh-CN" w:eastAsia="zh-CN" w:bidi="zh-CN"/>
              </w:rPr>
            </w:pPr>
            <w:r>
              <w:rPr>
                <w:rFonts w:hint="default" w:ascii="Times New Roman" w:hAnsi="Times New Roman" w:eastAsia="仿宋_GB2312" w:cs="Times New Roman"/>
                <w:kern w:val="0"/>
                <w:sz w:val="18"/>
                <w:szCs w:val="18"/>
                <w:lang w:val="en-US" w:eastAsia="zh-CN" w:bidi="zh-CN"/>
              </w:rPr>
              <w:t>518.4</w:t>
            </w:r>
            <w:r>
              <w:rPr>
                <w:rFonts w:hint="eastAsia" w:ascii="Times New Roman" w:hAnsi="Times New Roman" w:eastAsia="仿宋_GB2312" w:cs="Times New Roman"/>
                <w:kern w:val="0"/>
                <w:sz w:val="18"/>
                <w:szCs w:val="18"/>
                <w:lang w:val="en-US" w:eastAsia="zh-CN" w:bidi="zh-CN"/>
              </w:rPr>
              <w:t>万人次</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en-US" w:eastAsia="zh-CN" w:bidi="zh-CN"/>
              </w:rPr>
              <w:t>讲解批次</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en-US" w:eastAsia="zh-CN" w:bidi="zh-CN"/>
              </w:rPr>
              <w:t>10000批次</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en-US" w:eastAsia="zh-CN" w:bidi="zh-CN"/>
              </w:rPr>
              <w:t>10798批次</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生态效</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Times New Roman"/>
                <w:kern w:val="0"/>
                <w:sz w:val="18"/>
                <w:szCs w:val="18"/>
                <w:lang w:val="zh-CN" w:eastAsia="zh-CN" w:bidi="zh-CN"/>
              </w:rPr>
            </w:pPr>
            <w:r>
              <w:rPr>
                <w:rFonts w:hint="eastAsia" w:ascii="Times New Roman" w:hAnsi="Times New Roman" w:eastAsia="仿宋_GB2312" w:cs="Times New Roman"/>
                <w:kern w:val="0"/>
                <w:sz w:val="18"/>
                <w:szCs w:val="18"/>
                <w:lang w:val="zh-CN" w:eastAsia="zh-CN" w:bidi="zh-CN"/>
              </w:rPr>
              <w:t>对周边生态环境的影响</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kern w:val="0"/>
                <w:sz w:val="18"/>
                <w:szCs w:val="18"/>
                <w:lang w:val="zh-CN" w:eastAsia="zh-CN" w:bidi="zh-CN"/>
              </w:rPr>
            </w:pPr>
            <w:r>
              <w:rPr>
                <w:rFonts w:hint="eastAsia" w:ascii="Times New Roman" w:hAnsi="Times New Roman" w:eastAsia="仿宋_GB2312" w:cs="Times New Roman"/>
                <w:kern w:val="0"/>
                <w:sz w:val="18"/>
                <w:szCs w:val="18"/>
                <w:lang w:val="zh-CN" w:eastAsia="zh-CN" w:bidi="zh-CN"/>
              </w:rPr>
              <w:t>保护管辖环境</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kern w:val="0"/>
                <w:sz w:val="18"/>
                <w:szCs w:val="18"/>
                <w:lang w:val="zh-CN" w:eastAsia="zh-CN" w:bidi="zh-CN"/>
              </w:rPr>
            </w:pPr>
            <w:r>
              <w:rPr>
                <w:rFonts w:hint="eastAsia" w:ascii="Times New Roman" w:hAnsi="Times New Roman" w:eastAsia="仿宋_GB2312" w:cs="Times New Roman"/>
                <w:kern w:val="0"/>
                <w:sz w:val="18"/>
                <w:szCs w:val="18"/>
                <w:lang w:val="zh-CN" w:eastAsia="zh-CN" w:bidi="zh-CN"/>
              </w:rPr>
              <w:t>保护并提升了管辖环境</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zh-CN" w:eastAsia="zh-CN" w:bidi="zh-CN"/>
              </w:rPr>
              <w:t>对我馆发展持续影响性</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en-US" w:eastAsia="zh-CN" w:bidi="zh-CN"/>
              </w:rPr>
              <w:t>长久性</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en-US" w:eastAsia="zh-CN" w:bidi="zh-CN"/>
              </w:rPr>
              <w:t>长久性</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ascii="Times New Roman" w:hAnsi="Times New Roman" w:eastAsia="仿宋_GB2312" w:cs="Times New Roman"/>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满意度</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指标</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zh-CN" w:eastAsia="zh-CN" w:bidi="zh-CN"/>
              </w:rPr>
              <w:t>服务对象满意度指标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zh-CN" w:eastAsia="zh-CN" w:bidi="zh-CN"/>
              </w:rPr>
              <w:t>游客满意程度达</w:t>
            </w:r>
            <w:r>
              <w:rPr>
                <w:rFonts w:hint="eastAsia" w:ascii="Times New Roman" w:hAnsi="Times New Roman" w:eastAsia="仿宋_GB2312" w:cs="Times New Roman"/>
                <w:kern w:val="0"/>
                <w:sz w:val="18"/>
                <w:szCs w:val="18"/>
                <w:lang w:val="en-US" w:eastAsia="zh-CN" w:bidi="zh-CN"/>
              </w:rPr>
              <w:t>95%</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kern w:val="0"/>
                <w:sz w:val="18"/>
                <w:szCs w:val="18"/>
                <w:lang w:val="en-US" w:eastAsia="zh-CN" w:bidi="zh-CN"/>
              </w:rPr>
            </w:pPr>
            <w:r>
              <w:rPr>
                <w:rFonts w:hint="eastAsia" w:ascii="Times New Roman" w:hAnsi="Times New Roman" w:eastAsia="仿宋_GB2312" w:cs="Times New Roman"/>
                <w:kern w:val="0"/>
                <w:sz w:val="18"/>
                <w:szCs w:val="18"/>
                <w:lang w:val="en-US" w:eastAsia="zh-CN" w:bidi="zh-CN"/>
              </w:rPr>
              <w:t>985%</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总分</w:t>
            </w:r>
          </w:p>
        </w:tc>
        <w:tc>
          <w:tcPr>
            <w:tcW w:w="828"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100</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100</w:t>
            </w:r>
          </w:p>
        </w:tc>
        <w:tc>
          <w:tcPr>
            <w:tcW w:w="1418" w:type="dxa"/>
            <w:tcBorders>
              <w:top w:val="nil"/>
              <w:left w:val="nil"/>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bl>
    <w:p>
      <w:pPr>
        <w:rPr>
          <w:rFonts w:ascii="Times New Roman" w:hAnsi="Times New Roman" w:eastAsia="仿宋_GB2312" w:cs="Times New Roman"/>
          <w:szCs w:val="21"/>
        </w:rPr>
      </w:pPr>
      <w:r>
        <w:rPr>
          <w:rFonts w:ascii="Times New Roman" w:hAnsi="Times New Roman" w:eastAsia="仿宋_GB2312" w:cs="Times New Roman"/>
          <w:sz w:val="20"/>
          <w:szCs w:val="20"/>
        </w:rPr>
        <w:t>备注：一个一级项目支出一张表。鉴于2022年开展省级专项资金三年（2019年-2021年）整体绩效评价，故本次可以不填报该自评表。</w:t>
      </w:r>
    </w:p>
    <w:p>
      <w:pPr>
        <w:rPr>
          <w:rFonts w:ascii="Times New Roman" w:hAnsi="Times New Roman" w:eastAsia="仿宋_GB2312" w:cs="Times New Roman"/>
          <w:sz w:val="22"/>
          <w:szCs w:val="22"/>
        </w:rPr>
      </w:pPr>
    </w:p>
    <w:p>
      <w:r>
        <w:rPr>
          <w:rFonts w:ascii="Times New Roman" w:hAnsi="Times New Roman" w:eastAsia="仿宋_GB2312" w:cs="Times New Roman"/>
          <w:sz w:val="22"/>
          <w:szCs w:val="22"/>
        </w:rPr>
        <w:t>填表人：</w:t>
      </w:r>
      <w:r>
        <w:rPr>
          <w:rFonts w:hint="eastAsia" w:ascii="Times New Roman" w:hAnsi="Times New Roman" w:eastAsia="仿宋_GB2312" w:cs="Times New Roman"/>
          <w:sz w:val="22"/>
          <w:szCs w:val="22"/>
          <w:lang w:eastAsia="zh-CN"/>
        </w:rPr>
        <w:t>章睿</w:t>
      </w:r>
      <w:r>
        <w:rPr>
          <w:rFonts w:ascii="Times New Roman" w:hAnsi="Times New Roman" w:eastAsia="仿宋_GB2312" w:cs="Times New Roman"/>
          <w:sz w:val="22"/>
          <w:szCs w:val="22"/>
        </w:rPr>
        <w:t xml:space="preserve">  填报日期：</w:t>
      </w:r>
      <w:r>
        <w:rPr>
          <w:rFonts w:hint="eastAsia" w:ascii="Times New Roman" w:hAnsi="Times New Roman" w:eastAsia="仿宋_GB2312" w:cs="Times New Roman"/>
          <w:sz w:val="22"/>
          <w:szCs w:val="22"/>
          <w:lang w:val="en-US" w:eastAsia="zh-CN"/>
        </w:rPr>
        <w:t>2022.4.12</w:t>
      </w:r>
      <w:r>
        <w:rPr>
          <w:rFonts w:ascii="Times New Roman" w:hAnsi="Times New Roman" w:eastAsia="仿宋_GB2312" w:cs="Times New Roman"/>
          <w:sz w:val="22"/>
          <w:szCs w:val="22"/>
        </w:rPr>
        <w:t xml:space="preserve">   联系电话：</w:t>
      </w:r>
      <w:r>
        <w:rPr>
          <w:rFonts w:hint="eastAsia" w:ascii="Times New Roman" w:hAnsi="Times New Roman" w:eastAsia="仿宋_GB2312" w:cs="Times New Roman"/>
          <w:sz w:val="22"/>
          <w:szCs w:val="22"/>
          <w:lang w:val="en-US" w:eastAsia="zh-CN"/>
        </w:rPr>
        <w:t>18673230666</w:t>
      </w:r>
      <w:r>
        <w:rPr>
          <w:rFonts w:ascii="Times New Roman" w:hAnsi="Times New Roman" w:eastAsia="仿宋_GB2312" w:cs="Times New Roman"/>
          <w:sz w:val="22"/>
          <w:szCs w:val="22"/>
        </w:rPr>
        <w:t xml:space="preserve">   单位负责人签字：</w:t>
      </w:r>
    </w:p>
    <w:p>
      <w:pPr>
        <w:widowControl/>
        <w:spacing w:line="600" w:lineRule="exact"/>
        <w:jc w:val="left"/>
        <w:rPr>
          <w:rFonts w:hint="default" w:ascii="Times New Roman" w:hAnsi="Times New Roman" w:eastAsia="黑体" w:cs="Times New Roman"/>
          <w:sz w:val="32"/>
          <w:szCs w:val="32"/>
          <w:lang w:val="en-US" w:eastAsia="zh-CN"/>
        </w:rPr>
      </w:pPr>
      <w:r>
        <w:rPr>
          <w:rFonts w:ascii="Times New Roman" w:hAnsi="Times New Roman" w:eastAsia="黑体" w:cs="Times New Roman"/>
          <w:sz w:val="32"/>
          <w:szCs w:val="32"/>
        </w:rPr>
        <w:t>附件3</w:t>
      </w:r>
      <w:r>
        <w:rPr>
          <w:rFonts w:hint="eastAsia" w:ascii="Times New Roman" w:hAnsi="Times New Roman" w:eastAsia="黑体" w:cs="Times New Roman"/>
          <w:sz w:val="32"/>
          <w:szCs w:val="32"/>
          <w:lang w:val="en-US" w:eastAsia="zh-CN"/>
        </w:rPr>
        <w:t>-3</w:t>
      </w:r>
    </w:p>
    <w:p>
      <w:pPr>
        <w:widowControl/>
        <w:spacing w:line="600" w:lineRule="exact"/>
        <w:jc w:val="center"/>
        <w:rPr>
          <w:rFonts w:ascii="Times New Roman" w:hAnsi="Times New Roman" w:eastAsia="方正小标宋_GBK" w:cs="Times New Roman"/>
          <w:color w:val="000000"/>
          <w:sz w:val="36"/>
          <w:szCs w:val="36"/>
        </w:rPr>
      </w:pPr>
      <w:r>
        <w:rPr>
          <w:rFonts w:ascii="Times New Roman" w:hAnsi="Times New Roman" w:eastAsia="方正小标宋_GBK" w:cs="Times New Roman"/>
          <w:color w:val="000000"/>
          <w:sz w:val="36"/>
          <w:szCs w:val="36"/>
        </w:rPr>
        <w:t>2021年度项目支出绩效自评表</w:t>
      </w:r>
    </w:p>
    <w:tbl>
      <w:tblPr>
        <w:tblStyle w:val="4"/>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项目支</w:t>
            </w:r>
          </w:p>
          <w:p>
            <w:pPr>
              <w:widowControl/>
              <w:spacing w:line="26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eastAsia="zh-CN"/>
              </w:rPr>
              <w:t>韶山毛主席旧居之旧居、南岸私塾安防工程</w:t>
            </w:r>
            <w:r>
              <w:rPr>
                <w:rFonts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sz w:val="20"/>
                <w:szCs w:val="20"/>
                <w:lang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eastAsia="zh-CN"/>
              </w:rPr>
              <w:t>湖南省韶山管理局</w:t>
            </w:r>
          </w:p>
        </w:tc>
        <w:tc>
          <w:tcPr>
            <w:tcW w:w="1134" w:type="dxa"/>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sz w:val="20"/>
                <w:szCs w:val="20"/>
                <w:lang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eastAsia="zh-CN"/>
              </w:rPr>
              <w:t>韶山毛泽东同志纪念馆</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项目资金</w:t>
            </w:r>
            <w:r>
              <w:rPr>
                <w:rFonts w:ascii="Times New Roman" w:hAnsi="Times New Roman" w:eastAsia="仿宋_GB2312" w:cs="Times New Roman"/>
                <w:color w:val="000000"/>
                <w:sz w:val="20"/>
                <w:szCs w:val="20"/>
              </w:rPr>
              <w:br w:type="textWrapping"/>
            </w:r>
            <w:r>
              <w:rPr>
                <w:rFonts w:ascii="Times New Roman" w:hAnsi="Times New Roman" w:eastAsia="仿宋_GB2312" w:cs="Times New Roman"/>
                <w:color w:val="000000"/>
                <w:sz w:val="20"/>
                <w:szCs w:val="20"/>
              </w:rPr>
              <w:t>（万元）</w:t>
            </w:r>
          </w:p>
        </w:tc>
        <w:tc>
          <w:tcPr>
            <w:tcW w:w="2160" w:type="dxa"/>
            <w:gridSpan w:val="2"/>
            <w:tcBorders>
              <w:top w:val="nil"/>
              <w:left w:val="nil"/>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1224"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年初</w:t>
            </w:r>
          </w:p>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预算数</w:t>
            </w:r>
          </w:p>
        </w:tc>
        <w:tc>
          <w:tcPr>
            <w:tcW w:w="1134"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全年</w:t>
            </w:r>
          </w:p>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预算数</w:t>
            </w:r>
          </w:p>
        </w:tc>
        <w:tc>
          <w:tcPr>
            <w:tcW w:w="1134" w:type="dxa"/>
            <w:tcBorders>
              <w:top w:val="nil"/>
              <w:left w:val="nil"/>
              <w:bottom w:val="single" w:color="auto" w:sz="4" w:space="0"/>
              <w:right w:val="single" w:color="auto" w:sz="4" w:space="0"/>
            </w:tcBorders>
            <w:noWrap w:val="0"/>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全年</w:t>
            </w:r>
          </w:p>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执行数</w:t>
            </w:r>
          </w:p>
        </w:tc>
        <w:tc>
          <w:tcPr>
            <w:tcW w:w="828" w:type="dxa"/>
            <w:tcBorders>
              <w:top w:val="nil"/>
              <w:left w:val="nil"/>
              <w:bottom w:val="single" w:color="auto" w:sz="4" w:space="0"/>
              <w:right w:val="single" w:color="auto" w:sz="4" w:space="0"/>
            </w:tcBorders>
            <w:noWrap w:val="0"/>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分值</w:t>
            </w:r>
          </w:p>
        </w:tc>
        <w:tc>
          <w:tcPr>
            <w:tcW w:w="873" w:type="dxa"/>
            <w:tcBorders>
              <w:top w:val="nil"/>
              <w:left w:val="nil"/>
              <w:bottom w:val="single" w:color="auto" w:sz="4" w:space="0"/>
              <w:right w:val="single" w:color="auto" w:sz="4" w:space="0"/>
            </w:tcBorders>
            <w:noWrap w:val="0"/>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执行率</w:t>
            </w:r>
          </w:p>
        </w:tc>
        <w:tc>
          <w:tcPr>
            <w:tcW w:w="1418" w:type="dxa"/>
            <w:tcBorders>
              <w:top w:val="nil"/>
              <w:left w:val="nil"/>
              <w:bottom w:val="single" w:color="auto" w:sz="4" w:space="0"/>
              <w:right w:val="single" w:color="auto" w:sz="4" w:space="0"/>
            </w:tcBorders>
            <w:noWrap w:val="0"/>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Times New Roman" w:hAnsi="Times New Roman" w:eastAsia="仿宋_GB2312" w:cs="Times New Roman"/>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年度资金总额　</w:t>
            </w:r>
          </w:p>
        </w:tc>
        <w:tc>
          <w:tcPr>
            <w:tcW w:w="1224"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0</w:t>
            </w:r>
          </w:p>
        </w:tc>
        <w:tc>
          <w:tcPr>
            <w:tcW w:w="113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130</w:t>
            </w:r>
          </w:p>
        </w:tc>
        <w:tc>
          <w:tcPr>
            <w:tcW w:w="113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130</w:t>
            </w:r>
          </w:p>
        </w:tc>
        <w:tc>
          <w:tcPr>
            <w:tcW w:w="828"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10</w:t>
            </w:r>
          </w:p>
        </w:tc>
        <w:tc>
          <w:tcPr>
            <w:tcW w:w="8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0%</w:t>
            </w:r>
          </w:p>
        </w:tc>
        <w:tc>
          <w:tcPr>
            <w:tcW w:w="1418"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0</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Times New Roman" w:hAnsi="Times New Roman" w:eastAsia="仿宋_GB2312" w:cs="Times New Roman"/>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其中：当年财政拨款　</w:t>
            </w:r>
          </w:p>
        </w:tc>
        <w:tc>
          <w:tcPr>
            <w:tcW w:w="1224"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0</w:t>
            </w:r>
          </w:p>
        </w:tc>
        <w:tc>
          <w:tcPr>
            <w:tcW w:w="113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130</w:t>
            </w:r>
          </w:p>
        </w:tc>
        <w:tc>
          <w:tcPr>
            <w:tcW w:w="1134"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130</w:t>
            </w:r>
          </w:p>
        </w:tc>
        <w:tc>
          <w:tcPr>
            <w:tcW w:w="828"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p>
        </w:tc>
        <w:tc>
          <w:tcPr>
            <w:tcW w:w="8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0%</w:t>
            </w:r>
          </w:p>
        </w:tc>
        <w:tc>
          <w:tcPr>
            <w:tcW w:w="1418"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0</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Times New Roman" w:hAnsi="Times New Roman" w:eastAsia="仿宋_GB2312" w:cs="Times New Roman"/>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widowControl/>
              <w:ind w:firstLine="600" w:firstLineChars="300"/>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上年结转资金　</w:t>
            </w:r>
          </w:p>
        </w:tc>
        <w:tc>
          <w:tcPr>
            <w:tcW w:w="1224"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0</w:t>
            </w:r>
          </w:p>
        </w:tc>
        <w:tc>
          <w:tcPr>
            <w:tcW w:w="1134"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0</w:t>
            </w:r>
          </w:p>
        </w:tc>
        <w:tc>
          <w:tcPr>
            <w:tcW w:w="1134"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0</w:t>
            </w:r>
          </w:p>
        </w:tc>
        <w:tc>
          <w:tcPr>
            <w:tcW w:w="828"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p>
        </w:tc>
        <w:tc>
          <w:tcPr>
            <w:tcW w:w="8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p>
        </w:tc>
        <w:tc>
          <w:tcPr>
            <w:tcW w:w="1418"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Times New Roman" w:hAnsi="Times New Roman" w:eastAsia="仿宋_GB2312" w:cs="Times New Roman"/>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widowControl/>
              <w:ind w:firstLine="600" w:firstLineChars="300"/>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其他资金</w:t>
            </w:r>
          </w:p>
        </w:tc>
        <w:tc>
          <w:tcPr>
            <w:tcW w:w="1224"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0</w:t>
            </w:r>
          </w:p>
        </w:tc>
        <w:tc>
          <w:tcPr>
            <w:tcW w:w="1134"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0</w:t>
            </w:r>
          </w:p>
        </w:tc>
        <w:tc>
          <w:tcPr>
            <w:tcW w:w="1134"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0</w:t>
            </w:r>
          </w:p>
        </w:tc>
        <w:tc>
          <w:tcPr>
            <w:tcW w:w="828"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p>
        </w:tc>
        <w:tc>
          <w:tcPr>
            <w:tcW w:w="8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p>
        </w:tc>
        <w:tc>
          <w:tcPr>
            <w:tcW w:w="1418"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Times New Roman" w:hAnsi="Times New Roman" w:eastAsia="仿宋_GB2312" w:cs="Times New Roman"/>
                <w:color w:val="000000"/>
                <w:sz w:val="20"/>
                <w:szCs w:val="20"/>
              </w:rPr>
            </w:pPr>
          </w:p>
        </w:tc>
        <w:tc>
          <w:tcPr>
            <w:tcW w:w="4518" w:type="dxa"/>
            <w:gridSpan w:val="4"/>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完成招标与合同的签订</w:t>
            </w:r>
            <w:r>
              <w:rPr>
                <w:rFonts w:ascii="Times New Roman" w:hAnsi="Times New Roman" w:eastAsia="仿宋_GB2312" w:cs="Times New Roman"/>
                <w:color w:val="000000"/>
                <w:sz w:val="20"/>
                <w:szCs w:val="20"/>
              </w:rPr>
              <w:t>　　</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完成供应商考察及预算评审工作</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绩</w:t>
            </w:r>
          </w:p>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效</w:t>
            </w:r>
          </w:p>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指</w:t>
            </w:r>
          </w:p>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一级指标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二级指标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三级指标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年度</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指标值</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实际</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完成值</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得分</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偏差原因</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分析及</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ascii="Times New Roman" w:hAnsi="Times New Roman" w:eastAsia="仿宋_GB2312" w:cs="Times New Roman"/>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产出指标</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数量指标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考察供货商</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考察3家</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3家</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30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30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质量指标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无</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p>
        </w:tc>
        <w:tc>
          <w:tcPr>
            <w:tcW w:w="1080" w:type="dxa"/>
            <w:vMerge w:val="restar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时效指标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完成工程项目省财政厅预算评审</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2021年7月完成</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2021年6月完成</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p>
        </w:tc>
        <w:tc>
          <w:tcPr>
            <w:tcW w:w="108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完成招标与合同的签订</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2021年年底</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0</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rPr>
              <w:t>疫情影响及需与纪念馆安防兼容性问题</w:t>
            </w:r>
            <w:r>
              <w:rPr>
                <w:rFonts w:hint="eastAsia" w:ascii="Times New Roman" w:hAnsi="Times New Roman" w:eastAsia="仿宋_GB2312" w:cs="Times New Roman"/>
                <w:color w:val="000000"/>
                <w:sz w:val="20"/>
                <w:szCs w:val="20"/>
                <w:lang w:eastAsia="zh-CN"/>
              </w:rPr>
              <w:t>造成未完成年度任务，将与纪念馆安防工程同时推进</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p>
        </w:tc>
        <w:tc>
          <w:tcPr>
            <w:tcW w:w="108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成本指标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lang w:eastAsia="zh-CN"/>
              </w:rPr>
              <w:t>无</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color w:val="000000"/>
                <w:sz w:val="20"/>
                <w:szCs w:val="20"/>
                <w:lang w:val="en-US" w:eastAsia="zh-CN"/>
              </w:rPr>
            </w:pP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color w:val="000000"/>
                <w:sz w:val="20"/>
                <w:szCs w:val="20"/>
                <w:lang w:val="en-US" w:eastAsia="zh-CN"/>
              </w:rPr>
            </w:pP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ascii="Times New Roman" w:hAnsi="Times New Roman" w:eastAsia="仿宋_GB2312" w:cs="Times New Roman"/>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效益指标</w:t>
            </w:r>
          </w:p>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p>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（30分）</w:t>
            </w:r>
          </w:p>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108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经济效</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益指标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无</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color w:val="000000"/>
                <w:sz w:val="20"/>
                <w:szCs w:val="20"/>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color w:val="000000"/>
                <w:sz w:val="20"/>
                <w:szCs w:val="20"/>
                <w:lang w:val="en-US" w:eastAsia="zh-CN"/>
              </w:rPr>
            </w:pP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color w:val="000000"/>
                <w:sz w:val="20"/>
                <w:szCs w:val="20"/>
                <w:lang w:val="en-US" w:eastAsia="zh-CN"/>
              </w:rPr>
            </w:pP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p>
        </w:tc>
        <w:tc>
          <w:tcPr>
            <w:tcW w:w="108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社会效</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益指标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kern w:val="2"/>
                <w:sz w:val="20"/>
                <w:szCs w:val="20"/>
                <w:lang w:val="en-US" w:eastAsia="zh-CN" w:bidi="ar-SA"/>
              </w:rPr>
              <w:t>无</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color w:val="000000"/>
                <w:kern w:val="2"/>
                <w:sz w:val="20"/>
                <w:szCs w:val="20"/>
                <w:lang w:val="en-US" w:eastAsia="zh-CN" w:bidi="ar-SA"/>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color w:val="000000"/>
                <w:kern w:val="2"/>
                <w:sz w:val="20"/>
                <w:szCs w:val="20"/>
                <w:lang w:val="en-US" w:eastAsia="zh-CN" w:bidi="ar-SA"/>
              </w:rPr>
            </w:pP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kern w:val="2"/>
                <w:sz w:val="20"/>
                <w:szCs w:val="20"/>
                <w:lang w:val="en-US" w:eastAsia="zh-CN" w:bidi="ar-SA"/>
              </w:rPr>
            </w:pP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color w:val="000000"/>
                <w:kern w:val="2"/>
                <w:sz w:val="20"/>
                <w:szCs w:val="20"/>
                <w:lang w:val="en-US" w:eastAsia="zh-CN" w:bidi="ar-SA"/>
              </w:rPr>
            </w:pP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kern w:val="2"/>
                <w:sz w:val="20"/>
                <w:szCs w:val="20"/>
                <w:lang w:val="en-US" w:eastAsia="zh-CN" w:bidi="ar-SA"/>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p>
        </w:tc>
        <w:tc>
          <w:tcPr>
            <w:tcW w:w="108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生态效</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益指标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eastAsia="zh-CN"/>
              </w:rPr>
              <w:t>周边环境破坏率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0%</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0%</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30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30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s="Times New Roman"/>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无</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color w:val="000000"/>
                <w:sz w:val="20"/>
                <w:szCs w:val="20"/>
                <w:lang w:val="en-US" w:eastAsia="zh-CN"/>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color w:val="000000"/>
                <w:sz w:val="20"/>
                <w:szCs w:val="20"/>
                <w:lang w:val="en-US" w:eastAsia="zh-CN"/>
              </w:rPr>
            </w:pP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color w:val="000000"/>
                <w:sz w:val="20"/>
                <w:szCs w:val="20"/>
                <w:lang w:val="en-US" w:eastAsia="zh-CN"/>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ascii="Times New Roman" w:hAnsi="Times New Roman" w:eastAsia="仿宋_GB2312" w:cs="Times New Roman"/>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满意度</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指标</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（10分）</w:t>
            </w:r>
          </w:p>
        </w:tc>
        <w:tc>
          <w:tcPr>
            <w:tcW w:w="108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服务对象满意度指标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项目联系人满意度</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100%</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100%</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总分</w:t>
            </w:r>
          </w:p>
        </w:tc>
        <w:tc>
          <w:tcPr>
            <w:tcW w:w="828"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100</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sz w:val="20"/>
                <w:szCs w:val="20"/>
                <w:lang w:val="en-US" w:eastAsia="zh-CN"/>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80</w:t>
            </w:r>
          </w:p>
        </w:tc>
        <w:tc>
          <w:tcPr>
            <w:tcW w:w="1418" w:type="dxa"/>
            <w:tcBorders>
              <w:top w:val="nil"/>
              <w:left w:val="nil"/>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bl>
    <w:p>
      <w:pPr>
        <w:rPr>
          <w:rFonts w:ascii="Times New Roman" w:hAnsi="Times New Roman" w:eastAsia="仿宋_GB2312" w:cs="Times New Roman"/>
          <w:sz w:val="20"/>
          <w:szCs w:val="20"/>
        </w:rPr>
      </w:pPr>
      <w:r>
        <w:rPr>
          <w:rFonts w:ascii="Times New Roman" w:hAnsi="Times New Roman" w:eastAsia="仿宋_GB2312" w:cs="Times New Roman"/>
          <w:sz w:val="20"/>
          <w:szCs w:val="20"/>
        </w:rPr>
        <w:t>备注：一个一级项目支出一张表。鉴于2022年开展省级专项资金三年（2019年-2021年）整体绩效评价，故本次可以不填报该自评表。</w:t>
      </w:r>
    </w:p>
    <w:p>
      <w:pPr>
        <w:rPr>
          <w:rFonts w:ascii="Times New Roman" w:hAnsi="Times New Roman" w:eastAsia="仿宋_GB2312" w:cs="Times New Roman"/>
          <w:szCs w:val="21"/>
        </w:rPr>
      </w:pPr>
    </w:p>
    <w:p>
      <w:r>
        <w:rPr>
          <w:rFonts w:ascii="Times New Roman" w:hAnsi="Times New Roman" w:eastAsia="仿宋_GB2312" w:cs="Times New Roman"/>
          <w:sz w:val="22"/>
          <w:szCs w:val="22"/>
        </w:rPr>
        <w:t>填表人：</w:t>
      </w:r>
      <w:r>
        <w:rPr>
          <w:rFonts w:hint="eastAsia" w:ascii="Times New Roman" w:hAnsi="Times New Roman" w:eastAsia="仿宋_GB2312" w:cs="Times New Roman"/>
          <w:sz w:val="22"/>
          <w:szCs w:val="22"/>
          <w:lang w:val="en-US" w:eastAsia="zh-CN"/>
        </w:rPr>
        <w:t>高源</w:t>
      </w:r>
      <w:r>
        <w:rPr>
          <w:rFonts w:ascii="Times New Roman" w:hAnsi="Times New Roman" w:eastAsia="仿宋_GB2312" w:cs="Times New Roman"/>
          <w:sz w:val="22"/>
          <w:szCs w:val="22"/>
        </w:rPr>
        <w:t xml:space="preserve">  填报日期：</w:t>
      </w:r>
      <w:r>
        <w:rPr>
          <w:rFonts w:hint="eastAsia" w:ascii="Times New Roman" w:hAnsi="Times New Roman" w:eastAsia="仿宋_GB2312" w:cs="Times New Roman"/>
          <w:sz w:val="22"/>
          <w:szCs w:val="22"/>
          <w:lang w:val="en-US" w:eastAsia="zh-CN"/>
        </w:rPr>
        <w:t xml:space="preserve">2022.4.12 </w:t>
      </w:r>
      <w:r>
        <w:rPr>
          <w:rFonts w:ascii="Times New Roman" w:hAnsi="Times New Roman" w:eastAsia="仿宋_GB2312" w:cs="Times New Roman"/>
          <w:sz w:val="22"/>
          <w:szCs w:val="22"/>
        </w:rPr>
        <w:t xml:space="preserve">  联系电话：</w:t>
      </w:r>
      <w:r>
        <w:rPr>
          <w:rFonts w:hint="eastAsia" w:ascii="Times New Roman" w:hAnsi="Times New Roman" w:eastAsia="仿宋_GB2312" w:cs="Times New Roman"/>
          <w:sz w:val="22"/>
          <w:szCs w:val="22"/>
          <w:lang w:val="en-US" w:eastAsia="zh-CN"/>
        </w:rPr>
        <w:t>15273203561</w:t>
      </w:r>
      <w:r>
        <w:rPr>
          <w:rFonts w:ascii="Times New Roman" w:hAnsi="Times New Roman" w:eastAsia="仿宋_GB2312" w:cs="Times New Roman"/>
          <w:sz w:val="22"/>
          <w:szCs w:val="22"/>
        </w:rPr>
        <w:t xml:space="preserve">  单位负责人签字：</w:t>
      </w:r>
    </w:p>
    <w:p/>
    <w:p/>
    <w:p/>
    <w:p>
      <w:pPr>
        <w:widowControl/>
        <w:spacing w:line="600" w:lineRule="exact"/>
        <w:jc w:val="left"/>
        <w:rPr>
          <w:rFonts w:hint="default" w:ascii="Times New Roman" w:hAnsi="Times New Roman" w:eastAsia="黑体"/>
          <w:sz w:val="32"/>
          <w:szCs w:val="32"/>
          <w:lang w:val="en-US" w:eastAsia="zh-CN"/>
        </w:rPr>
      </w:pPr>
      <w:r>
        <w:rPr>
          <w:rFonts w:ascii="Times New Roman" w:hAnsi="Times New Roman" w:eastAsia="黑体"/>
          <w:sz w:val="32"/>
          <w:szCs w:val="32"/>
        </w:rPr>
        <w:t>附件3</w:t>
      </w:r>
      <w:r>
        <w:rPr>
          <w:rFonts w:hint="eastAsia" w:ascii="Times New Roman" w:hAnsi="Times New Roman" w:eastAsia="黑体"/>
          <w:sz w:val="32"/>
          <w:szCs w:val="32"/>
          <w:lang w:val="en-US" w:eastAsia="zh-CN"/>
        </w:rPr>
        <w:t>-4</w:t>
      </w:r>
    </w:p>
    <w:p>
      <w:pPr>
        <w:widowControl/>
        <w:spacing w:line="600" w:lineRule="exact"/>
        <w:jc w:val="center"/>
        <w:rPr>
          <w:rFonts w:ascii="Times New Roman" w:hAnsi="Times New Roman" w:eastAsia="方正小标宋_GBK"/>
          <w:color w:val="000000"/>
          <w:sz w:val="36"/>
          <w:szCs w:val="36"/>
        </w:rPr>
      </w:pPr>
      <w:r>
        <w:rPr>
          <w:rFonts w:ascii="Times New Roman" w:hAnsi="Times New Roman" w:eastAsia="方正小标宋_GBK"/>
          <w:color w:val="000000"/>
          <w:sz w:val="36"/>
          <w:szCs w:val="36"/>
        </w:rPr>
        <w:t>2021年度项目支出绩效自评表</w:t>
      </w:r>
    </w:p>
    <w:tbl>
      <w:tblPr>
        <w:tblStyle w:val="4"/>
        <w:tblW w:w="9851" w:type="dxa"/>
        <w:jc w:val="center"/>
        <w:tblLayout w:type="fixed"/>
        <w:tblCellMar>
          <w:top w:w="0" w:type="dxa"/>
          <w:left w:w="108" w:type="dxa"/>
          <w:bottom w:w="0" w:type="dxa"/>
          <w:right w:w="108" w:type="dxa"/>
        </w:tblCellMar>
      </w:tblPr>
      <w:tblGrid>
        <w:gridCol w:w="1080"/>
        <w:gridCol w:w="1080"/>
        <w:gridCol w:w="1080"/>
        <w:gridCol w:w="1304"/>
        <w:gridCol w:w="1054"/>
        <w:gridCol w:w="1226"/>
        <w:gridCol w:w="825"/>
        <w:gridCol w:w="825"/>
        <w:gridCol w:w="1377"/>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项目支</w:t>
            </w:r>
          </w:p>
          <w:p>
            <w:pPr>
              <w:widowControl/>
              <w:spacing w:line="26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出名称</w:t>
            </w:r>
          </w:p>
        </w:tc>
        <w:tc>
          <w:tcPr>
            <w:tcW w:w="8771" w:type="dxa"/>
            <w:gridSpan w:val="8"/>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韶山冲毛主席旧居修缮工程</w:t>
            </w:r>
            <w:r>
              <w:rPr>
                <w:rFonts w:ascii="Times New Roman" w:hAnsi="Times New Roman" w:eastAsia="仿宋_GB2312"/>
                <w:color w:val="000000"/>
                <w:sz w:val="20"/>
                <w:szCs w:val="20"/>
              </w:rPr>
              <w:t>　</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ign w:val="center"/>
          </w:tcPr>
          <w:p>
            <w:pPr>
              <w:widowControl/>
              <w:jc w:val="left"/>
              <w:rPr>
                <w:rFonts w:ascii="Times New Roman" w:hAnsi="Times New Roman" w:eastAsia="仿宋_GB2312"/>
                <w:color w:val="000000"/>
                <w:sz w:val="20"/>
                <w:szCs w:val="20"/>
              </w:rPr>
            </w:pPr>
            <w:r>
              <w:rPr>
                <w:rFonts w:ascii="Times New Roman" w:hAnsi="Times New Roman" w:eastAsia="仿宋_GB2312"/>
                <w:color w:val="000000"/>
                <w:sz w:val="20"/>
                <w:szCs w:val="20"/>
              </w:rPr>
              <w:t>主管部门</w:t>
            </w:r>
          </w:p>
        </w:tc>
        <w:tc>
          <w:tcPr>
            <w:tcW w:w="4518" w:type="dxa"/>
            <w:gridSpan w:val="4"/>
            <w:tcBorders>
              <w:top w:val="single" w:color="auto" w:sz="4" w:space="0"/>
              <w:left w:val="nil"/>
              <w:bottom w:val="single" w:color="auto" w:sz="4" w:space="0"/>
              <w:right w:val="single" w:color="auto" w:sz="4" w:space="0"/>
            </w:tcBorders>
            <w:noWrap/>
            <w:vAlign w:val="center"/>
          </w:tcPr>
          <w:p>
            <w:pPr>
              <w:widowControl/>
              <w:jc w:val="left"/>
              <w:rPr>
                <w:rFonts w:ascii="Times New Roman" w:hAnsi="Times New Roman" w:eastAsia="仿宋_GB2312"/>
                <w:color w:val="000000"/>
                <w:sz w:val="20"/>
                <w:szCs w:val="20"/>
              </w:rPr>
            </w:pPr>
            <w:r>
              <w:rPr>
                <w:rFonts w:ascii="Times New Roman" w:hAnsi="Times New Roman" w:eastAsia="仿宋_GB2312"/>
                <w:color w:val="000000"/>
                <w:sz w:val="20"/>
                <w:szCs w:val="20"/>
              </w:rPr>
              <w:t>　</w:t>
            </w:r>
            <w:r>
              <w:rPr>
                <w:rFonts w:hint="eastAsia" w:ascii="Times New Roman" w:hAnsi="Times New Roman" w:eastAsia="仿宋_GB2312"/>
                <w:color w:val="000000"/>
                <w:sz w:val="20"/>
                <w:szCs w:val="20"/>
              </w:rPr>
              <w:t>湖南省韶山管理局</w:t>
            </w:r>
          </w:p>
        </w:tc>
        <w:tc>
          <w:tcPr>
            <w:tcW w:w="1226" w:type="dxa"/>
            <w:tcBorders>
              <w:top w:val="single" w:color="auto" w:sz="4" w:space="0"/>
              <w:left w:val="nil"/>
              <w:bottom w:val="single" w:color="auto" w:sz="4" w:space="0"/>
              <w:right w:val="single" w:color="000000" w:sz="4" w:space="0"/>
            </w:tcBorders>
            <w:noWrap/>
            <w:vAlign w:val="center"/>
          </w:tcPr>
          <w:p>
            <w:pPr>
              <w:widowControl/>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实施单位</w:t>
            </w:r>
          </w:p>
        </w:tc>
        <w:tc>
          <w:tcPr>
            <w:tcW w:w="3027" w:type="dxa"/>
            <w:gridSpan w:val="3"/>
            <w:tcBorders>
              <w:top w:val="single" w:color="auto" w:sz="4" w:space="0"/>
              <w:left w:val="nil"/>
              <w:bottom w:val="single" w:color="auto" w:sz="4" w:space="0"/>
              <w:right w:val="single" w:color="auto" w:sz="4" w:space="0"/>
            </w:tcBorders>
            <w:noWrap/>
            <w:vAlign w:val="center"/>
          </w:tcPr>
          <w:p>
            <w:pPr>
              <w:widowControl/>
              <w:jc w:val="left"/>
              <w:rPr>
                <w:rFonts w:ascii="Times New Roman" w:hAnsi="Times New Roman" w:eastAsia="仿宋_GB2312"/>
                <w:color w:val="000000"/>
                <w:sz w:val="20"/>
                <w:szCs w:val="20"/>
              </w:rPr>
            </w:pPr>
            <w:r>
              <w:rPr>
                <w:rFonts w:ascii="Times New Roman" w:hAnsi="Times New Roman" w:eastAsia="仿宋_GB2312"/>
                <w:color w:val="000000"/>
                <w:sz w:val="20"/>
                <w:szCs w:val="20"/>
              </w:rPr>
              <w:t>　</w:t>
            </w:r>
            <w:r>
              <w:rPr>
                <w:rFonts w:hint="eastAsia" w:ascii="Times New Roman" w:hAnsi="Times New Roman" w:eastAsia="仿宋_GB2312"/>
                <w:color w:val="000000"/>
                <w:sz w:val="20"/>
                <w:szCs w:val="20"/>
              </w:rPr>
              <w:t>韶山毛泽东同志纪念馆</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项目资金</w:t>
            </w:r>
            <w:r>
              <w:rPr>
                <w:rFonts w:ascii="Times New Roman" w:hAnsi="Times New Roman" w:eastAsia="仿宋_GB2312"/>
                <w:color w:val="000000"/>
                <w:sz w:val="20"/>
                <w:szCs w:val="20"/>
              </w:rPr>
              <w:br w:type="textWrapping"/>
            </w:r>
            <w:r>
              <w:rPr>
                <w:rFonts w:ascii="Times New Roman" w:hAnsi="Times New Roman" w:eastAsia="仿宋_GB2312"/>
                <w:color w:val="000000"/>
                <w:sz w:val="20"/>
                <w:szCs w:val="20"/>
              </w:rPr>
              <w:t>（万元）</w:t>
            </w:r>
          </w:p>
        </w:tc>
        <w:tc>
          <w:tcPr>
            <w:tcW w:w="2160" w:type="dxa"/>
            <w:gridSpan w:val="2"/>
            <w:tcBorders>
              <w:top w:val="nil"/>
              <w:left w:val="nil"/>
              <w:bottom w:val="single" w:color="auto" w:sz="4" w:space="0"/>
              <w:right w:val="single" w:color="auto" w:sz="4" w:space="0"/>
            </w:tcBorders>
            <w:noWrap/>
            <w:vAlign w:val="center"/>
          </w:tcPr>
          <w:p>
            <w:pPr>
              <w:widowControl/>
              <w:jc w:val="left"/>
              <w:rPr>
                <w:rFonts w:ascii="Times New Roman" w:hAnsi="Times New Roman" w:eastAsia="仿宋_GB2312"/>
                <w:color w:val="000000"/>
                <w:sz w:val="20"/>
                <w:szCs w:val="20"/>
              </w:rPr>
            </w:pPr>
            <w:r>
              <w:rPr>
                <w:rFonts w:ascii="Times New Roman" w:hAnsi="Times New Roman" w:eastAsia="仿宋_GB2312"/>
                <w:color w:val="000000"/>
                <w:sz w:val="20"/>
                <w:szCs w:val="20"/>
              </w:rPr>
              <w:t>　</w:t>
            </w:r>
          </w:p>
        </w:tc>
        <w:tc>
          <w:tcPr>
            <w:tcW w:w="1304"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年初</w:t>
            </w:r>
          </w:p>
          <w:p>
            <w:pPr>
              <w:widowControl/>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预算数</w:t>
            </w:r>
          </w:p>
        </w:tc>
        <w:tc>
          <w:tcPr>
            <w:tcW w:w="1054"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全年</w:t>
            </w:r>
          </w:p>
          <w:p>
            <w:pPr>
              <w:widowControl/>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预算数</w:t>
            </w:r>
          </w:p>
        </w:tc>
        <w:tc>
          <w:tcPr>
            <w:tcW w:w="1226" w:type="dxa"/>
            <w:tcBorders>
              <w:top w:val="nil"/>
              <w:left w:val="nil"/>
              <w:bottom w:val="single" w:color="auto" w:sz="4" w:space="0"/>
              <w:right w:val="single" w:color="auto" w:sz="4" w:space="0"/>
            </w:tcBorders>
            <w:noWrap/>
            <w:vAlign w:val="center"/>
          </w:tcPr>
          <w:p>
            <w:pPr>
              <w:jc w:val="center"/>
              <w:rPr>
                <w:rFonts w:ascii="Times New Roman" w:hAnsi="Times New Roman" w:eastAsia="仿宋_GB2312"/>
                <w:sz w:val="20"/>
                <w:szCs w:val="20"/>
              </w:rPr>
            </w:pPr>
            <w:r>
              <w:rPr>
                <w:rFonts w:ascii="Times New Roman" w:hAnsi="Times New Roman" w:eastAsia="仿宋_GB2312"/>
                <w:sz w:val="20"/>
                <w:szCs w:val="20"/>
              </w:rPr>
              <w:t>全年</w:t>
            </w:r>
          </w:p>
          <w:p>
            <w:pPr>
              <w:jc w:val="center"/>
              <w:rPr>
                <w:rFonts w:ascii="Times New Roman" w:hAnsi="Times New Roman" w:eastAsia="仿宋_GB2312"/>
                <w:sz w:val="20"/>
                <w:szCs w:val="20"/>
              </w:rPr>
            </w:pPr>
            <w:r>
              <w:rPr>
                <w:rFonts w:ascii="Times New Roman" w:hAnsi="Times New Roman" w:eastAsia="仿宋_GB2312"/>
                <w:sz w:val="20"/>
                <w:szCs w:val="20"/>
              </w:rPr>
              <w:t>执行数</w:t>
            </w:r>
          </w:p>
        </w:tc>
        <w:tc>
          <w:tcPr>
            <w:tcW w:w="825" w:type="dxa"/>
            <w:tcBorders>
              <w:top w:val="nil"/>
              <w:left w:val="nil"/>
              <w:bottom w:val="single" w:color="auto" w:sz="4" w:space="0"/>
              <w:right w:val="single" w:color="auto" w:sz="4" w:space="0"/>
            </w:tcBorders>
            <w:noWrap/>
            <w:vAlign w:val="center"/>
          </w:tcPr>
          <w:p>
            <w:pPr>
              <w:jc w:val="center"/>
              <w:rPr>
                <w:rFonts w:ascii="Times New Roman" w:hAnsi="Times New Roman" w:eastAsia="仿宋_GB2312"/>
                <w:sz w:val="20"/>
                <w:szCs w:val="20"/>
              </w:rPr>
            </w:pPr>
            <w:r>
              <w:rPr>
                <w:rFonts w:ascii="Times New Roman" w:hAnsi="Times New Roman" w:eastAsia="仿宋_GB2312"/>
                <w:sz w:val="20"/>
                <w:szCs w:val="20"/>
              </w:rPr>
              <w:t>分值</w:t>
            </w:r>
          </w:p>
        </w:tc>
        <w:tc>
          <w:tcPr>
            <w:tcW w:w="825" w:type="dxa"/>
            <w:tcBorders>
              <w:top w:val="nil"/>
              <w:left w:val="nil"/>
              <w:bottom w:val="single" w:color="auto" w:sz="4" w:space="0"/>
              <w:right w:val="single" w:color="auto" w:sz="4" w:space="0"/>
            </w:tcBorders>
            <w:noWrap/>
            <w:vAlign w:val="center"/>
          </w:tcPr>
          <w:p>
            <w:pPr>
              <w:jc w:val="center"/>
              <w:rPr>
                <w:rFonts w:ascii="Times New Roman" w:hAnsi="Times New Roman" w:eastAsia="仿宋_GB2312"/>
                <w:sz w:val="20"/>
                <w:szCs w:val="20"/>
              </w:rPr>
            </w:pPr>
            <w:r>
              <w:rPr>
                <w:rFonts w:ascii="Times New Roman" w:hAnsi="Times New Roman" w:eastAsia="仿宋_GB2312"/>
                <w:sz w:val="20"/>
                <w:szCs w:val="20"/>
              </w:rPr>
              <w:t>执行率</w:t>
            </w:r>
          </w:p>
        </w:tc>
        <w:tc>
          <w:tcPr>
            <w:tcW w:w="1377" w:type="dxa"/>
            <w:tcBorders>
              <w:top w:val="nil"/>
              <w:left w:val="nil"/>
              <w:bottom w:val="single" w:color="auto" w:sz="4" w:space="0"/>
              <w:right w:val="single" w:color="auto" w:sz="4" w:space="0"/>
            </w:tcBorders>
            <w:noWrap/>
            <w:vAlign w:val="center"/>
          </w:tcPr>
          <w:p>
            <w:pPr>
              <w:jc w:val="center"/>
              <w:rPr>
                <w:rFonts w:ascii="Times New Roman" w:hAnsi="Times New Roman" w:eastAsia="仿宋_GB2312"/>
                <w:sz w:val="20"/>
                <w:szCs w:val="20"/>
              </w:rPr>
            </w:pPr>
            <w:r>
              <w:rPr>
                <w:rFonts w:ascii="Times New Roman" w:hAnsi="Times New Roman" w:eastAsia="仿宋_GB2312"/>
                <w:sz w:val="20"/>
                <w:szCs w:val="20"/>
              </w:rPr>
              <w:t>得分</w:t>
            </w:r>
          </w:p>
        </w:tc>
      </w:tr>
      <w:tr>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jc w:val="left"/>
              <w:rPr>
                <w:rFonts w:ascii="Times New Roman" w:hAnsi="Times New Roman" w:eastAsia="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jc w:val="left"/>
              <w:rPr>
                <w:rFonts w:ascii="Times New Roman" w:hAnsi="Times New Roman" w:eastAsia="仿宋_GB2312"/>
                <w:color w:val="000000"/>
                <w:sz w:val="20"/>
                <w:szCs w:val="20"/>
              </w:rPr>
            </w:pPr>
            <w:r>
              <w:rPr>
                <w:rFonts w:ascii="Times New Roman" w:hAnsi="Times New Roman" w:eastAsia="仿宋_GB2312"/>
                <w:color w:val="000000"/>
                <w:sz w:val="20"/>
                <w:szCs w:val="20"/>
              </w:rPr>
              <w:t>年度资金总额　</w:t>
            </w:r>
          </w:p>
        </w:tc>
        <w:tc>
          <w:tcPr>
            <w:tcW w:w="1304"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0</w:t>
            </w:r>
          </w:p>
        </w:tc>
        <w:tc>
          <w:tcPr>
            <w:tcW w:w="1054"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563.58</w:t>
            </w:r>
          </w:p>
        </w:tc>
        <w:tc>
          <w:tcPr>
            <w:tcW w:w="1226"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198.25</w:t>
            </w:r>
          </w:p>
        </w:tc>
        <w:tc>
          <w:tcPr>
            <w:tcW w:w="825"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10</w:t>
            </w:r>
          </w:p>
        </w:tc>
        <w:tc>
          <w:tcPr>
            <w:tcW w:w="825"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35.18%</w:t>
            </w:r>
          </w:p>
        </w:tc>
        <w:tc>
          <w:tcPr>
            <w:tcW w:w="1377"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3.5</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jc w:val="left"/>
              <w:rPr>
                <w:rFonts w:ascii="Times New Roman" w:hAnsi="Times New Roman" w:eastAsia="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jc w:val="left"/>
              <w:rPr>
                <w:rFonts w:ascii="Times New Roman" w:hAnsi="Times New Roman" w:eastAsia="仿宋_GB2312"/>
                <w:color w:val="000000"/>
                <w:sz w:val="20"/>
                <w:szCs w:val="20"/>
              </w:rPr>
            </w:pPr>
            <w:r>
              <w:rPr>
                <w:rFonts w:ascii="Times New Roman" w:hAnsi="Times New Roman" w:eastAsia="仿宋_GB2312"/>
                <w:color w:val="000000"/>
                <w:sz w:val="20"/>
                <w:szCs w:val="20"/>
              </w:rPr>
              <w:t>其中：当年财政拨款　</w:t>
            </w:r>
          </w:p>
        </w:tc>
        <w:tc>
          <w:tcPr>
            <w:tcW w:w="1304"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0</w:t>
            </w:r>
          </w:p>
        </w:tc>
        <w:tc>
          <w:tcPr>
            <w:tcW w:w="1054"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0</w:t>
            </w:r>
          </w:p>
        </w:tc>
        <w:tc>
          <w:tcPr>
            <w:tcW w:w="1226"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0</w:t>
            </w:r>
          </w:p>
        </w:tc>
        <w:tc>
          <w:tcPr>
            <w:tcW w:w="825"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p>
        </w:tc>
        <w:tc>
          <w:tcPr>
            <w:tcW w:w="825"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p>
        </w:tc>
        <w:tc>
          <w:tcPr>
            <w:tcW w:w="1377"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jc w:val="left"/>
              <w:rPr>
                <w:rFonts w:ascii="Times New Roman" w:hAnsi="Times New Roman" w:eastAsia="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ind w:firstLine="600" w:firstLineChars="300"/>
              <w:jc w:val="left"/>
              <w:rPr>
                <w:rFonts w:ascii="Times New Roman" w:hAnsi="Times New Roman" w:eastAsia="仿宋_GB2312"/>
                <w:color w:val="000000"/>
                <w:sz w:val="20"/>
                <w:szCs w:val="20"/>
              </w:rPr>
            </w:pPr>
            <w:r>
              <w:rPr>
                <w:rFonts w:ascii="Times New Roman" w:hAnsi="Times New Roman" w:eastAsia="仿宋_GB2312"/>
                <w:color w:val="000000"/>
                <w:sz w:val="20"/>
                <w:szCs w:val="20"/>
              </w:rPr>
              <w:t>上年结转资金　</w:t>
            </w:r>
          </w:p>
        </w:tc>
        <w:tc>
          <w:tcPr>
            <w:tcW w:w="1304"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563.58</w:t>
            </w:r>
          </w:p>
        </w:tc>
        <w:tc>
          <w:tcPr>
            <w:tcW w:w="1054"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563.58</w:t>
            </w:r>
          </w:p>
        </w:tc>
        <w:tc>
          <w:tcPr>
            <w:tcW w:w="1226"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198.25</w:t>
            </w:r>
          </w:p>
        </w:tc>
        <w:tc>
          <w:tcPr>
            <w:tcW w:w="825"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p>
        </w:tc>
        <w:tc>
          <w:tcPr>
            <w:tcW w:w="825"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p>
        </w:tc>
        <w:tc>
          <w:tcPr>
            <w:tcW w:w="1377"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jc w:val="left"/>
              <w:rPr>
                <w:rFonts w:ascii="Times New Roman" w:hAnsi="Times New Roman" w:eastAsia="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ind w:firstLine="600" w:firstLineChars="300"/>
              <w:jc w:val="left"/>
              <w:rPr>
                <w:rFonts w:ascii="Times New Roman" w:hAnsi="Times New Roman" w:eastAsia="仿宋_GB2312"/>
                <w:color w:val="000000"/>
                <w:sz w:val="20"/>
                <w:szCs w:val="20"/>
              </w:rPr>
            </w:pPr>
            <w:r>
              <w:rPr>
                <w:rFonts w:ascii="Times New Roman" w:hAnsi="Times New Roman" w:eastAsia="仿宋_GB2312"/>
                <w:color w:val="000000"/>
                <w:sz w:val="20"/>
                <w:szCs w:val="20"/>
              </w:rPr>
              <w:t>其他资金</w:t>
            </w:r>
          </w:p>
        </w:tc>
        <w:tc>
          <w:tcPr>
            <w:tcW w:w="1304"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0</w:t>
            </w:r>
          </w:p>
        </w:tc>
        <w:tc>
          <w:tcPr>
            <w:tcW w:w="1054"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0</w:t>
            </w:r>
          </w:p>
        </w:tc>
        <w:tc>
          <w:tcPr>
            <w:tcW w:w="1226"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0</w:t>
            </w:r>
          </w:p>
        </w:tc>
        <w:tc>
          <w:tcPr>
            <w:tcW w:w="825"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p>
        </w:tc>
        <w:tc>
          <w:tcPr>
            <w:tcW w:w="825"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p>
        </w:tc>
        <w:tc>
          <w:tcPr>
            <w:tcW w:w="1377"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ign w:val="center"/>
          </w:tcPr>
          <w:p>
            <w:pPr>
              <w:widowControl/>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noWrap/>
            <w:vAlign w:val="center"/>
          </w:tcPr>
          <w:p>
            <w:pPr>
              <w:widowControl/>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jc w:val="left"/>
              <w:rPr>
                <w:rFonts w:ascii="Times New Roman" w:hAnsi="Times New Roman" w:eastAsia="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noWrap/>
            <w:vAlign w:val="center"/>
          </w:tcPr>
          <w:p>
            <w:pPr>
              <w:widowControl/>
              <w:jc w:val="center"/>
              <w:rPr>
                <w:rFonts w:ascii="Times New Roman" w:hAnsi="Times New Roman" w:eastAsia="仿宋_GB2312"/>
                <w:color w:val="000000"/>
                <w:sz w:val="20"/>
                <w:szCs w:val="20"/>
                <w:highlight w:val="none"/>
              </w:rPr>
            </w:pPr>
            <w:r>
              <w:rPr>
                <w:rFonts w:hint="eastAsia" w:ascii="Times New Roman" w:hAnsi="Times New Roman" w:eastAsia="仿宋_GB2312"/>
                <w:color w:val="000000"/>
                <w:sz w:val="20"/>
                <w:szCs w:val="20"/>
                <w:highlight w:val="none"/>
              </w:rPr>
              <w:t>完成七栋旧址的修缮，并完成初步验收</w:t>
            </w:r>
          </w:p>
        </w:tc>
        <w:tc>
          <w:tcPr>
            <w:tcW w:w="4253" w:type="dxa"/>
            <w:gridSpan w:val="4"/>
            <w:tcBorders>
              <w:top w:val="single" w:color="auto" w:sz="4" w:space="0"/>
              <w:left w:val="nil"/>
              <w:bottom w:val="single" w:color="auto" w:sz="4" w:space="0"/>
              <w:right w:val="single" w:color="auto" w:sz="4" w:space="0"/>
            </w:tcBorders>
            <w:noWrap/>
            <w:vAlign w:val="center"/>
          </w:tcPr>
          <w:p>
            <w:pPr>
              <w:widowControl/>
              <w:jc w:val="left"/>
              <w:rPr>
                <w:rFonts w:hint="eastAsia" w:ascii="Times New Roman" w:hAnsi="Times New Roman" w:eastAsia="仿宋_GB2312"/>
                <w:color w:val="000000"/>
                <w:sz w:val="20"/>
                <w:szCs w:val="20"/>
                <w:highlight w:val="none"/>
                <w:lang w:eastAsia="zh-CN"/>
              </w:rPr>
            </w:pPr>
            <w:r>
              <w:rPr>
                <w:rFonts w:ascii="Times New Roman" w:hAnsi="Times New Roman" w:eastAsia="仿宋_GB2312"/>
                <w:color w:val="000000"/>
                <w:sz w:val="20"/>
                <w:szCs w:val="20"/>
                <w:highlight w:val="none"/>
              </w:rPr>
              <w:t>　</w:t>
            </w:r>
            <w:r>
              <w:rPr>
                <w:rFonts w:hint="eastAsia" w:ascii="Times New Roman" w:hAnsi="Times New Roman" w:eastAsia="仿宋_GB2312"/>
                <w:color w:val="000000"/>
                <w:sz w:val="20"/>
                <w:szCs w:val="20"/>
                <w:highlight w:val="none"/>
                <w:lang w:eastAsia="zh-CN"/>
              </w:rPr>
              <w:t>已</w:t>
            </w:r>
            <w:r>
              <w:rPr>
                <w:rFonts w:hint="eastAsia" w:ascii="Times New Roman" w:hAnsi="Times New Roman" w:eastAsia="仿宋_GB2312"/>
                <w:color w:val="000000"/>
                <w:sz w:val="20"/>
                <w:szCs w:val="20"/>
                <w:highlight w:val="none"/>
              </w:rPr>
              <w:t>完成七栋旧址的修缮</w:t>
            </w:r>
            <w:r>
              <w:rPr>
                <w:rFonts w:hint="eastAsia" w:ascii="Times New Roman" w:hAnsi="Times New Roman" w:eastAsia="仿宋_GB2312"/>
                <w:color w:val="000000"/>
                <w:sz w:val="20"/>
                <w:szCs w:val="20"/>
                <w:highlight w:val="none"/>
                <w:lang w:eastAsia="zh-CN"/>
              </w:rPr>
              <w:t>及</w:t>
            </w:r>
            <w:r>
              <w:rPr>
                <w:rFonts w:hint="eastAsia" w:ascii="Times New Roman" w:hAnsi="Times New Roman" w:eastAsia="仿宋_GB2312"/>
                <w:color w:val="000000"/>
                <w:sz w:val="20"/>
                <w:szCs w:val="20"/>
                <w:highlight w:val="none"/>
              </w:rPr>
              <w:t>初步验收</w:t>
            </w:r>
            <w:r>
              <w:rPr>
                <w:rFonts w:hint="eastAsia" w:ascii="Times New Roman" w:hAnsi="Times New Roman" w:eastAsia="仿宋_GB2312"/>
                <w:color w:val="000000"/>
                <w:sz w:val="20"/>
                <w:szCs w:val="20"/>
                <w:highlight w:val="none"/>
                <w:lang w:eastAsia="zh-CN"/>
              </w:rPr>
              <w:t>工作</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绩</w:t>
            </w:r>
          </w:p>
          <w:p>
            <w:pPr>
              <w:widowControl/>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效</w:t>
            </w:r>
          </w:p>
          <w:p>
            <w:pPr>
              <w:widowControl/>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指</w:t>
            </w:r>
          </w:p>
          <w:p>
            <w:pPr>
              <w:widowControl/>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标</w:t>
            </w:r>
          </w:p>
        </w:tc>
        <w:tc>
          <w:tcPr>
            <w:tcW w:w="1080"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一级指标</w:t>
            </w:r>
          </w:p>
        </w:tc>
        <w:tc>
          <w:tcPr>
            <w:tcW w:w="1080"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二级指标</w:t>
            </w:r>
          </w:p>
        </w:tc>
        <w:tc>
          <w:tcPr>
            <w:tcW w:w="130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三级指标</w:t>
            </w:r>
          </w:p>
        </w:tc>
        <w:tc>
          <w:tcPr>
            <w:tcW w:w="105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年度</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指标值</w:t>
            </w:r>
          </w:p>
        </w:tc>
        <w:tc>
          <w:tcPr>
            <w:tcW w:w="122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实际</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完成值</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分值</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得分</w:t>
            </w:r>
          </w:p>
        </w:tc>
        <w:tc>
          <w:tcPr>
            <w:tcW w:w="137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偏差原因</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分析及</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jc w:val="left"/>
              <w:rPr>
                <w:rFonts w:ascii="Times New Roman" w:hAnsi="Times New Roman" w:eastAsia="仿宋_GB2312"/>
                <w:color w:val="000000"/>
                <w:sz w:val="20"/>
                <w:szCs w:val="20"/>
              </w:rPr>
            </w:pPr>
          </w:p>
        </w:tc>
        <w:tc>
          <w:tcPr>
            <w:tcW w:w="1080" w:type="dxa"/>
            <w:vMerge w:val="restart"/>
            <w:tcBorders>
              <w:top w:val="nil"/>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产出指标</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(50分)</w:t>
            </w:r>
          </w:p>
        </w:tc>
        <w:tc>
          <w:tcPr>
            <w:tcW w:w="1080" w:type="dxa"/>
            <w:vMerge w:val="restart"/>
            <w:tcBorders>
              <w:top w:val="nil"/>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数量指标</w:t>
            </w:r>
          </w:p>
        </w:tc>
        <w:tc>
          <w:tcPr>
            <w:tcW w:w="130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资金到位率</w:t>
            </w:r>
          </w:p>
        </w:tc>
        <w:tc>
          <w:tcPr>
            <w:tcW w:w="105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kern w:val="0"/>
                <w:szCs w:val="21"/>
              </w:rPr>
            </w:pPr>
            <w:r>
              <w:rPr>
                <w:rFonts w:hint="eastAsia" w:ascii="Times New Roman" w:hAnsi="Times New Roman" w:eastAsia="仿宋_GB2312"/>
                <w:color w:val="000000"/>
                <w:kern w:val="0"/>
                <w:szCs w:val="21"/>
              </w:rPr>
              <w:t>100%</w:t>
            </w:r>
          </w:p>
        </w:tc>
        <w:tc>
          <w:tcPr>
            <w:tcW w:w="122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kern w:val="0"/>
                <w:szCs w:val="21"/>
              </w:rPr>
            </w:pPr>
            <w:r>
              <w:rPr>
                <w:rFonts w:hint="eastAsia" w:ascii="Times New Roman" w:hAnsi="Times New Roman" w:eastAsia="仿宋_GB2312"/>
                <w:color w:val="000000"/>
                <w:kern w:val="0"/>
                <w:szCs w:val="21"/>
              </w:rPr>
              <w:t>100%</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olor w:val="000000"/>
                <w:sz w:val="20"/>
                <w:szCs w:val="20"/>
                <w:lang w:eastAsia="zh-CN"/>
              </w:rPr>
            </w:pPr>
            <w:r>
              <w:rPr>
                <w:rFonts w:hint="eastAsia" w:ascii="Times New Roman" w:hAnsi="Times New Roman" w:eastAsia="仿宋_GB2312"/>
                <w:color w:val="000000"/>
                <w:sz w:val="20"/>
                <w:szCs w:val="20"/>
                <w:lang w:val="en-US" w:eastAsia="zh-CN"/>
              </w:rPr>
              <w:t>5</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olor w:val="000000"/>
                <w:sz w:val="20"/>
                <w:szCs w:val="20"/>
                <w:lang w:eastAsia="zh-CN"/>
              </w:rPr>
            </w:pPr>
            <w:r>
              <w:rPr>
                <w:rFonts w:hint="eastAsia" w:ascii="Times New Roman" w:hAnsi="Times New Roman" w:eastAsia="仿宋_GB2312"/>
                <w:color w:val="000000"/>
                <w:sz w:val="20"/>
                <w:szCs w:val="20"/>
                <w:lang w:val="en-US" w:eastAsia="zh-CN"/>
              </w:rPr>
              <w:t>5</w:t>
            </w:r>
          </w:p>
        </w:tc>
        <w:tc>
          <w:tcPr>
            <w:tcW w:w="137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jc w:val="left"/>
              <w:rPr>
                <w:rFonts w:ascii="Times New Roman" w:hAnsi="Times New Roman" w:eastAsia="仿宋_GB2312"/>
                <w:color w:val="000000"/>
                <w:sz w:val="20"/>
                <w:szCs w:val="20"/>
              </w:rPr>
            </w:pPr>
          </w:p>
        </w:tc>
        <w:tc>
          <w:tcPr>
            <w:tcW w:w="1080" w:type="dxa"/>
            <w:vMerge w:val="continue"/>
            <w:tcBorders>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olor w:val="000000"/>
                <w:sz w:val="20"/>
                <w:szCs w:val="20"/>
              </w:rPr>
            </w:pPr>
          </w:p>
        </w:tc>
        <w:tc>
          <w:tcPr>
            <w:tcW w:w="1080" w:type="dxa"/>
            <w:vMerge w:val="continue"/>
            <w:tcBorders>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c>
          <w:tcPr>
            <w:tcW w:w="1304" w:type="dxa"/>
            <w:vMerge w:val="restart"/>
            <w:tcBorders>
              <w:top w:val="nil"/>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kern w:val="0"/>
                <w:szCs w:val="21"/>
              </w:rPr>
              <w:t>修缮文物建筑本体数</w:t>
            </w:r>
          </w:p>
        </w:tc>
        <w:tc>
          <w:tcPr>
            <w:tcW w:w="1054" w:type="dxa"/>
            <w:vMerge w:val="restart"/>
            <w:tcBorders>
              <w:top w:val="nil"/>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7</w:t>
            </w:r>
          </w:p>
        </w:tc>
        <w:tc>
          <w:tcPr>
            <w:tcW w:w="1226" w:type="dxa"/>
            <w:vMerge w:val="restart"/>
            <w:tcBorders>
              <w:top w:val="nil"/>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7</w:t>
            </w:r>
          </w:p>
        </w:tc>
        <w:tc>
          <w:tcPr>
            <w:tcW w:w="825" w:type="dxa"/>
            <w:vMerge w:val="restart"/>
            <w:tcBorders>
              <w:top w:val="nil"/>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5</w:t>
            </w:r>
          </w:p>
        </w:tc>
        <w:tc>
          <w:tcPr>
            <w:tcW w:w="825" w:type="dxa"/>
            <w:vMerge w:val="restart"/>
            <w:tcBorders>
              <w:top w:val="nil"/>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5</w:t>
            </w:r>
          </w:p>
        </w:tc>
        <w:tc>
          <w:tcPr>
            <w:tcW w:w="1377" w:type="dxa"/>
            <w:tcBorders>
              <w:top w:val="single" w:color="auto" w:sz="4" w:space="0"/>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jc w:val="left"/>
              <w:rPr>
                <w:rFonts w:ascii="Times New Roman" w:hAnsi="Times New Roman" w:eastAsia="仿宋_GB2312"/>
                <w:color w:val="000000"/>
                <w:sz w:val="20"/>
                <w:szCs w:val="20"/>
              </w:rPr>
            </w:pPr>
          </w:p>
        </w:tc>
        <w:tc>
          <w:tcPr>
            <w:tcW w:w="1080" w:type="dxa"/>
            <w:vMerge w:val="continue"/>
            <w:tcBorders>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olor w:val="000000"/>
                <w:sz w:val="20"/>
                <w:szCs w:val="20"/>
              </w:rPr>
            </w:pPr>
          </w:p>
        </w:tc>
        <w:tc>
          <w:tcPr>
            <w:tcW w:w="1080" w:type="dxa"/>
            <w:vMerge w:val="continue"/>
            <w:tcBorders>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c>
          <w:tcPr>
            <w:tcW w:w="1304" w:type="dxa"/>
            <w:vMerge w:val="continue"/>
            <w:tcBorders>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c>
          <w:tcPr>
            <w:tcW w:w="1054" w:type="dxa"/>
            <w:vMerge w:val="continue"/>
            <w:tcBorders>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c>
          <w:tcPr>
            <w:tcW w:w="1226" w:type="dxa"/>
            <w:vMerge w:val="continue"/>
            <w:tcBorders>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c>
          <w:tcPr>
            <w:tcW w:w="825" w:type="dxa"/>
            <w:vMerge w:val="continue"/>
            <w:tcBorders>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c>
          <w:tcPr>
            <w:tcW w:w="825" w:type="dxa"/>
            <w:vMerge w:val="continue"/>
            <w:tcBorders>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c>
          <w:tcPr>
            <w:tcW w:w="1377"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r>
      <w:tr>
        <w:tblPrEx>
          <w:tblCellMar>
            <w:top w:w="0" w:type="dxa"/>
            <w:left w:w="108" w:type="dxa"/>
            <w:bottom w:w="0" w:type="dxa"/>
            <w:right w:w="108" w:type="dxa"/>
          </w:tblCellMar>
        </w:tblPrEx>
        <w:trPr>
          <w:trHeight w:val="624" w:hRule="atLeast"/>
          <w:jc w:val="center"/>
        </w:trPr>
        <w:tc>
          <w:tcPr>
            <w:tcW w:w="1080" w:type="dxa"/>
            <w:vMerge w:val="continue"/>
            <w:tcBorders>
              <w:left w:val="single" w:color="auto" w:sz="4" w:space="0"/>
              <w:right w:val="single" w:color="auto" w:sz="4" w:space="0"/>
            </w:tcBorders>
            <w:noWrap/>
            <w:vAlign w:val="center"/>
          </w:tcPr>
          <w:p>
            <w:pPr>
              <w:jc w:val="left"/>
              <w:rPr>
                <w:rFonts w:ascii="Times New Roman" w:hAnsi="Times New Roman" w:eastAsia="仿宋_GB2312"/>
                <w:color w:val="000000"/>
                <w:sz w:val="20"/>
                <w:szCs w:val="20"/>
              </w:rPr>
            </w:pPr>
          </w:p>
        </w:tc>
        <w:tc>
          <w:tcPr>
            <w:tcW w:w="1080" w:type="dxa"/>
            <w:vMerge w:val="continue"/>
            <w:tcBorders>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olor w:val="000000"/>
                <w:sz w:val="20"/>
                <w:szCs w:val="20"/>
              </w:rPr>
            </w:pPr>
          </w:p>
        </w:tc>
        <w:tc>
          <w:tcPr>
            <w:tcW w:w="1080" w:type="dxa"/>
            <w:vMerge w:val="restart"/>
            <w:tcBorders>
              <w:top w:val="nil"/>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质量指标</w:t>
            </w:r>
          </w:p>
        </w:tc>
        <w:tc>
          <w:tcPr>
            <w:tcW w:w="1304" w:type="dxa"/>
            <w:vMerge w:val="restart"/>
            <w:tcBorders>
              <w:top w:val="nil"/>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kern w:val="0"/>
                <w:szCs w:val="21"/>
              </w:rPr>
              <w:t>资金专款专用，专项核算比率</w:t>
            </w:r>
          </w:p>
        </w:tc>
        <w:tc>
          <w:tcPr>
            <w:tcW w:w="1054" w:type="dxa"/>
            <w:vMerge w:val="restart"/>
            <w:tcBorders>
              <w:top w:val="nil"/>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100%</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c>
          <w:tcPr>
            <w:tcW w:w="1226" w:type="dxa"/>
            <w:vMerge w:val="restart"/>
            <w:tcBorders>
              <w:top w:val="nil"/>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100%</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c>
          <w:tcPr>
            <w:tcW w:w="825" w:type="dxa"/>
            <w:vMerge w:val="restart"/>
            <w:tcBorders>
              <w:top w:val="nil"/>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olor w:val="000000"/>
                <w:sz w:val="20"/>
                <w:szCs w:val="20"/>
              </w:rPr>
            </w:pP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olor w:val="000000"/>
                <w:sz w:val="20"/>
                <w:szCs w:val="20"/>
                <w:lang w:val="en-US" w:eastAsia="zh-CN"/>
              </w:rPr>
            </w:pPr>
            <w:r>
              <w:rPr>
                <w:rFonts w:hint="eastAsia" w:ascii="Times New Roman" w:hAnsi="Times New Roman" w:eastAsia="仿宋_GB2312"/>
                <w:color w:val="000000"/>
                <w:sz w:val="20"/>
                <w:szCs w:val="20"/>
                <w:lang w:val="en-US" w:eastAsia="zh-CN"/>
              </w:rPr>
              <w:t>10</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c>
          <w:tcPr>
            <w:tcW w:w="825" w:type="dxa"/>
            <w:vMerge w:val="restart"/>
            <w:tcBorders>
              <w:top w:val="nil"/>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ind w:firstLine="200" w:firstLineChars="100"/>
              <w:jc w:val="center"/>
              <w:textAlignment w:val="auto"/>
              <w:rPr>
                <w:rFonts w:hint="default" w:ascii="Times New Roman" w:hAnsi="Times New Roman" w:eastAsia="仿宋_GB2312"/>
                <w:color w:val="000000"/>
                <w:sz w:val="20"/>
                <w:szCs w:val="20"/>
                <w:lang w:val="en-US" w:eastAsia="zh-CN"/>
              </w:rPr>
            </w:pPr>
            <w:r>
              <w:rPr>
                <w:rFonts w:hint="eastAsia" w:ascii="Times New Roman" w:hAnsi="Times New Roman" w:eastAsia="仿宋_GB2312"/>
                <w:color w:val="000000"/>
                <w:sz w:val="20"/>
                <w:szCs w:val="20"/>
                <w:lang w:val="en-US" w:eastAsia="zh-CN"/>
              </w:rPr>
              <w:t>10</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c>
          <w:tcPr>
            <w:tcW w:w="1377" w:type="dxa"/>
            <w:tcBorders>
              <w:top w:val="single" w:color="auto" w:sz="4" w:space="0"/>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jc w:val="left"/>
              <w:rPr>
                <w:rFonts w:ascii="Times New Roman" w:hAnsi="Times New Roman" w:eastAsia="仿宋_GB2312"/>
                <w:color w:val="000000"/>
                <w:sz w:val="20"/>
                <w:szCs w:val="20"/>
              </w:rPr>
            </w:pPr>
          </w:p>
        </w:tc>
        <w:tc>
          <w:tcPr>
            <w:tcW w:w="1080" w:type="dxa"/>
            <w:vMerge w:val="continue"/>
            <w:tcBorders>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olor w:val="000000"/>
                <w:sz w:val="20"/>
                <w:szCs w:val="20"/>
              </w:rPr>
            </w:pPr>
          </w:p>
        </w:tc>
        <w:tc>
          <w:tcPr>
            <w:tcW w:w="1080" w:type="dxa"/>
            <w:vMerge w:val="continue"/>
            <w:tcBorders>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c>
          <w:tcPr>
            <w:tcW w:w="1304" w:type="dxa"/>
            <w:vMerge w:val="continue"/>
            <w:tcBorders>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c>
          <w:tcPr>
            <w:tcW w:w="1054" w:type="dxa"/>
            <w:vMerge w:val="continue"/>
            <w:tcBorders>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c>
          <w:tcPr>
            <w:tcW w:w="1226" w:type="dxa"/>
            <w:vMerge w:val="continue"/>
            <w:tcBorders>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c>
          <w:tcPr>
            <w:tcW w:w="825" w:type="dxa"/>
            <w:vMerge w:val="continue"/>
            <w:tcBorders>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c>
          <w:tcPr>
            <w:tcW w:w="825" w:type="dxa"/>
            <w:vMerge w:val="continue"/>
            <w:tcBorders>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c>
          <w:tcPr>
            <w:tcW w:w="137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jc w:val="left"/>
              <w:rPr>
                <w:rFonts w:ascii="Times New Roman" w:hAnsi="Times New Roman" w:eastAsia="仿宋_GB2312"/>
                <w:color w:val="000000"/>
                <w:sz w:val="20"/>
                <w:szCs w:val="20"/>
              </w:rPr>
            </w:pPr>
          </w:p>
        </w:tc>
        <w:tc>
          <w:tcPr>
            <w:tcW w:w="1080" w:type="dxa"/>
            <w:vMerge w:val="continue"/>
            <w:tcBorders>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olor w:val="000000"/>
                <w:sz w:val="20"/>
                <w:szCs w:val="20"/>
              </w:rPr>
            </w:pPr>
          </w:p>
        </w:tc>
        <w:tc>
          <w:tcPr>
            <w:tcW w:w="1080" w:type="dxa"/>
            <w:vMerge w:val="restart"/>
            <w:tcBorders>
              <w:top w:val="nil"/>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时效指标</w:t>
            </w:r>
          </w:p>
        </w:tc>
        <w:tc>
          <w:tcPr>
            <w:tcW w:w="130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施工完成时间</w:t>
            </w:r>
          </w:p>
        </w:tc>
        <w:tc>
          <w:tcPr>
            <w:tcW w:w="105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2021年12月</w:t>
            </w:r>
          </w:p>
        </w:tc>
        <w:tc>
          <w:tcPr>
            <w:tcW w:w="122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2021年12月20日</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w:t>
            </w:r>
          </w:p>
        </w:tc>
        <w:tc>
          <w:tcPr>
            <w:tcW w:w="137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jc w:val="left"/>
              <w:rPr>
                <w:rFonts w:ascii="Times New Roman" w:hAnsi="Times New Roman" w:eastAsia="仿宋_GB2312"/>
                <w:color w:val="000000"/>
                <w:sz w:val="20"/>
                <w:szCs w:val="20"/>
              </w:rPr>
            </w:pPr>
          </w:p>
        </w:tc>
        <w:tc>
          <w:tcPr>
            <w:tcW w:w="1080" w:type="dxa"/>
            <w:vMerge w:val="continue"/>
            <w:tcBorders>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olor w:val="000000"/>
                <w:sz w:val="20"/>
                <w:szCs w:val="20"/>
              </w:rPr>
            </w:pPr>
          </w:p>
        </w:tc>
        <w:tc>
          <w:tcPr>
            <w:tcW w:w="1080" w:type="dxa"/>
            <w:vMerge w:val="continue"/>
            <w:tcBorders>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c>
          <w:tcPr>
            <w:tcW w:w="130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初步验收时间</w:t>
            </w:r>
          </w:p>
        </w:tc>
        <w:tc>
          <w:tcPr>
            <w:tcW w:w="105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2021年12月</w:t>
            </w:r>
          </w:p>
        </w:tc>
        <w:tc>
          <w:tcPr>
            <w:tcW w:w="122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2021年12月30日</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w:t>
            </w:r>
          </w:p>
        </w:tc>
        <w:tc>
          <w:tcPr>
            <w:tcW w:w="137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r>
      <w:tr>
        <w:tblPrEx>
          <w:tblCellMar>
            <w:top w:w="0" w:type="dxa"/>
            <w:left w:w="108" w:type="dxa"/>
            <w:bottom w:w="0" w:type="dxa"/>
            <w:right w:w="108" w:type="dxa"/>
          </w:tblCellMar>
        </w:tblPrEx>
        <w:trPr>
          <w:trHeight w:val="700" w:hRule="atLeast"/>
          <w:jc w:val="center"/>
        </w:trPr>
        <w:tc>
          <w:tcPr>
            <w:tcW w:w="1080" w:type="dxa"/>
            <w:vMerge w:val="continue"/>
            <w:tcBorders>
              <w:left w:val="single" w:color="auto" w:sz="4" w:space="0"/>
              <w:right w:val="single" w:color="auto" w:sz="4" w:space="0"/>
            </w:tcBorders>
            <w:noWrap/>
            <w:vAlign w:val="center"/>
          </w:tcPr>
          <w:p>
            <w:pPr>
              <w:jc w:val="left"/>
              <w:rPr>
                <w:rFonts w:ascii="Times New Roman" w:hAnsi="Times New Roman" w:eastAsia="仿宋_GB2312"/>
                <w:color w:val="000000"/>
                <w:sz w:val="20"/>
                <w:szCs w:val="20"/>
              </w:rPr>
            </w:pPr>
          </w:p>
        </w:tc>
        <w:tc>
          <w:tcPr>
            <w:tcW w:w="1080" w:type="dxa"/>
            <w:vMerge w:val="continue"/>
            <w:tcBorders>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olor w:val="000000"/>
                <w:sz w:val="20"/>
                <w:szCs w:val="20"/>
              </w:rPr>
            </w:pPr>
          </w:p>
        </w:tc>
        <w:tc>
          <w:tcPr>
            <w:tcW w:w="108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成本指标</w:t>
            </w:r>
          </w:p>
        </w:tc>
        <w:tc>
          <w:tcPr>
            <w:tcW w:w="130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预设总量成本空置率</w:t>
            </w:r>
          </w:p>
        </w:tc>
        <w:tc>
          <w:tcPr>
            <w:tcW w:w="105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100%</w:t>
            </w:r>
          </w:p>
        </w:tc>
        <w:tc>
          <w:tcPr>
            <w:tcW w:w="122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100%</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w:t>
            </w:r>
          </w:p>
        </w:tc>
        <w:tc>
          <w:tcPr>
            <w:tcW w:w="137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jc w:val="left"/>
              <w:rPr>
                <w:rFonts w:ascii="Times New Roman" w:hAnsi="Times New Roman" w:eastAsia="仿宋_GB2312"/>
                <w:color w:val="000000"/>
                <w:sz w:val="20"/>
                <w:szCs w:val="20"/>
              </w:rPr>
            </w:pPr>
          </w:p>
        </w:tc>
        <w:tc>
          <w:tcPr>
            <w:tcW w:w="1080" w:type="dxa"/>
            <w:vMerge w:val="restart"/>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效益指标</w:t>
            </w:r>
          </w:p>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olor w:val="000000"/>
                <w:sz w:val="20"/>
                <w:szCs w:val="20"/>
              </w:rPr>
            </w:pPr>
          </w:p>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（30分）</w:t>
            </w:r>
          </w:p>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　</w:t>
            </w:r>
          </w:p>
        </w:tc>
        <w:tc>
          <w:tcPr>
            <w:tcW w:w="108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经济效</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益指标</w:t>
            </w:r>
          </w:p>
        </w:tc>
        <w:tc>
          <w:tcPr>
            <w:tcW w:w="1304"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无</w:t>
            </w:r>
          </w:p>
        </w:tc>
        <w:tc>
          <w:tcPr>
            <w:tcW w:w="1054"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无</w:t>
            </w:r>
          </w:p>
        </w:tc>
        <w:tc>
          <w:tcPr>
            <w:tcW w:w="1226"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0</w:t>
            </w:r>
          </w:p>
        </w:tc>
        <w:tc>
          <w:tcPr>
            <w:tcW w:w="825"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0</w:t>
            </w:r>
          </w:p>
        </w:tc>
        <w:tc>
          <w:tcPr>
            <w:tcW w:w="825"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0</w:t>
            </w:r>
          </w:p>
        </w:tc>
        <w:tc>
          <w:tcPr>
            <w:tcW w:w="1377"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jc w:val="left"/>
              <w:rPr>
                <w:rFonts w:ascii="Times New Roman" w:hAnsi="Times New Roman" w:eastAsia="仿宋_GB2312"/>
                <w:color w:val="000000"/>
                <w:sz w:val="20"/>
                <w:szCs w:val="20"/>
              </w:rPr>
            </w:pPr>
          </w:p>
        </w:tc>
        <w:tc>
          <w:tcPr>
            <w:tcW w:w="1080" w:type="dxa"/>
            <w:vMerge w:val="continue"/>
            <w:tcBorders>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社会效</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益指标</w:t>
            </w:r>
          </w:p>
        </w:tc>
        <w:tc>
          <w:tcPr>
            <w:tcW w:w="130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博物馆教育功能拓展与延伸</w:t>
            </w:r>
          </w:p>
        </w:tc>
        <w:tc>
          <w:tcPr>
            <w:tcW w:w="105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充分拓展延伸本馆教育功能</w:t>
            </w:r>
          </w:p>
        </w:tc>
        <w:tc>
          <w:tcPr>
            <w:tcW w:w="122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保护好文物建筑的真实性，保存和展示其历史、艺术和科学价值</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w:t>
            </w:r>
          </w:p>
        </w:tc>
        <w:tc>
          <w:tcPr>
            <w:tcW w:w="137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jc w:val="left"/>
              <w:rPr>
                <w:rFonts w:ascii="Times New Roman" w:hAnsi="Times New Roman" w:eastAsia="仿宋_GB2312"/>
                <w:color w:val="000000"/>
                <w:sz w:val="20"/>
                <w:szCs w:val="20"/>
              </w:rPr>
            </w:pPr>
          </w:p>
        </w:tc>
        <w:tc>
          <w:tcPr>
            <w:tcW w:w="1080" w:type="dxa"/>
            <w:vMerge w:val="continue"/>
            <w:tcBorders>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olor w:val="000000"/>
                <w:sz w:val="20"/>
                <w:szCs w:val="20"/>
              </w:rPr>
            </w:pPr>
          </w:p>
        </w:tc>
        <w:tc>
          <w:tcPr>
            <w:tcW w:w="1080" w:type="dxa"/>
            <w:tcBorders>
              <w:top w:val="single" w:color="auto" w:sz="4" w:space="0"/>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生态效</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益指标</w:t>
            </w:r>
          </w:p>
        </w:tc>
        <w:tc>
          <w:tcPr>
            <w:tcW w:w="130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周边山水林田破坏率</w:t>
            </w:r>
          </w:p>
        </w:tc>
        <w:tc>
          <w:tcPr>
            <w:tcW w:w="105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0%</w:t>
            </w:r>
          </w:p>
        </w:tc>
        <w:tc>
          <w:tcPr>
            <w:tcW w:w="122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0%</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w:t>
            </w:r>
          </w:p>
        </w:tc>
        <w:tc>
          <w:tcPr>
            <w:tcW w:w="137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p>
        </w:tc>
        <w:tc>
          <w:tcPr>
            <w:tcW w:w="1080" w:type="dxa"/>
            <w:vMerge w:val="continue"/>
            <w:tcBorders>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可持续影响指标</w:t>
            </w:r>
          </w:p>
        </w:tc>
        <w:tc>
          <w:tcPr>
            <w:tcW w:w="130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对我馆持续影响性</w:t>
            </w:r>
          </w:p>
        </w:tc>
        <w:tc>
          <w:tcPr>
            <w:tcW w:w="105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长久性</w:t>
            </w:r>
          </w:p>
        </w:tc>
        <w:tc>
          <w:tcPr>
            <w:tcW w:w="1226"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长久性</w:t>
            </w:r>
          </w:p>
        </w:tc>
        <w:tc>
          <w:tcPr>
            <w:tcW w:w="82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w:t>
            </w:r>
          </w:p>
        </w:tc>
        <w:tc>
          <w:tcPr>
            <w:tcW w:w="82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w:t>
            </w:r>
          </w:p>
        </w:tc>
        <w:tc>
          <w:tcPr>
            <w:tcW w:w="137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jc w:val="left"/>
              <w:rPr>
                <w:rFonts w:ascii="Times New Roman" w:hAnsi="Times New Roman" w:eastAsia="仿宋_GB2312"/>
                <w:color w:val="000000"/>
                <w:sz w:val="20"/>
                <w:szCs w:val="20"/>
              </w:rPr>
            </w:pPr>
          </w:p>
        </w:tc>
        <w:tc>
          <w:tcPr>
            <w:tcW w:w="1080" w:type="dxa"/>
            <w:tcBorders>
              <w:top w:val="nil"/>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满意度</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指标</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（10分）</w:t>
            </w:r>
          </w:p>
        </w:tc>
        <w:tc>
          <w:tcPr>
            <w:tcW w:w="108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服务对象满意度指标</w:t>
            </w:r>
          </w:p>
        </w:tc>
        <w:tc>
          <w:tcPr>
            <w:tcW w:w="130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项目受益人满意度</w:t>
            </w:r>
          </w:p>
        </w:tc>
        <w:tc>
          <w:tcPr>
            <w:tcW w:w="105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大于95%</w:t>
            </w:r>
          </w:p>
        </w:tc>
        <w:tc>
          <w:tcPr>
            <w:tcW w:w="122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98%</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w:t>
            </w:r>
          </w:p>
        </w:tc>
        <w:tc>
          <w:tcPr>
            <w:tcW w:w="137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r>
      <w:tr>
        <w:tblPrEx>
          <w:tblCellMar>
            <w:top w:w="0" w:type="dxa"/>
            <w:left w:w="108" w:type="dxa"/>
            <w:bottom w:w="0" w:type="dxa"/>
            <w:right w:w="108" w:type="dxa"/>
          </w:tblCellMar>
        </w:tblPrEx>
        <w:trPr>
          <w:jc w:val="center"/>
        </w:trPr>
        <w:tc>
          <w:tcPr>
            <w:tcW w:w="6824" w:type="dxa"/>
            <w:gridSpan w:val="6"/>
            <w:tcBorders>
              <w:top w:val="single" w:color="auto" w:sz="4" w:space="0"/>
              <w:left w:val="single" w:color="auto" w:sz="4" w:space="0"/>
              <w:bottom w:val="single" w:color="auto" w:sz="4" w:space="0"/>
              <w:right w:val="single" w:color="000000" w:sz="4" w:space="0"/>
            </w:tcBorders>
            <w:noWrap/>
            <w:vAlign w:val="center"/>
          </w:tcPr>
          <w:p>
            <w:pPr>
              <w:widowControl/>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总分</w:t>
            </w:r>
          </w:p>
        </w:tc>
        <w:tc>
          <w:tcPr>
            <w:tcW w:w="825"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100</w:t>
            </w:r>
          </w:p>
        </w:tc>
        <w:tc>
          <w:tcPr>
            <w:tcW w:w="825" w:type="dxa"/>
            <w:tcBorders>
              <w:top w:val="nil"/>
              <w:left w:val="nil"/>
              <w:bottom w:val="single" w:color="auto" w:sz="4" w:space="0"/>
              <w:right w:val="single" w:color="auto" w:sz="4" w:space="0"/>
            </w:tcBorders>
            <w:noWrap/>
            <w:vAlign w:val="center"/>
          </w:tcPr>
          <w:p>
            <w:pPr>
              <w:widowControl/>
              <w:jc w:val="left"/>
              <w:rPr>
                <w:rFonts w:ascii="Times New Roman" w:hAnsi="Times New Roman" w:eastAsia="仿宋_GB2312"/>
                <w:color w:val="000000"/>
                <w:sz w:val="20"/>
                <w:szCs w:val="20"/>
              </w:rPr>
            </w:pPr>
            <w:r>
              <w:rPr>
                <w:rFonts w:ascii="Times New Roman" w:hAnsi="Times New Roman" w:eastAsia="仿宋_GB2312"/>
                <w:color w:val="000000"/>
                <w:sz w:val="20"/>
                <w:szCs w:val="20"/>
              </w:rPr>
              <w:t>　</w:t>
            </w:r>
            <w:r>
              <w:rPr>
                <w:rFonts w:hint="eastAsia" w:ascii="Times New Roman" w:hAnsi="Times New Roman" w:eastAsia="仿宋_GB2312"/>
                <w:color w:val="000000"/>
                <w:sz w:val="20"/>
                <w:szCs w:val="20"/>
              </w:rPr>
              <w:t>93.5</w:t>
            </w:r>
          </w:p>
        </w:tc>
        <w:tc>
          <w:tcPr>
            <w:tcW w:w="1377" w:type="dxa"/>
            <w:tcBorders>
              <w:top w:val="nil"/>
              <w:left w:val="nil"/>
              <w:bottom w:val="single" w:color="auto" w:sz="4" w:space="0"/>
              <w:right w:val="single" w:color="auto" w:sz="4" w:space="0"/>
            </w:tcBorders>
            <w:noWrap/>
            <w:vAlign w:val="center"/>
          </w:tcPr>
          <w:p>
            <w:pPr>
              <w:widowControl/>
              <w:jc w:val="left"/>
              <w:rPr>
                <w:rFonts w:ascii="Times New Roman" w:hAnsi="Times New Roman" w:eastAsia="仿宋_GB2312"/>
                <w:color w:val="000000"/>
                <w:sz w:val="20"/>
                <w:szCs w:val="20"/>
              </w:rPr>
            </w:pPr>
            <w:r>
              <w:rPr>
                <w:rFonts w:ascii="Times New Roman" w:hAnsi="Times New Roman" w:eastAsia="仿宋_GB2312"/>
                <w:color w:val="000000"/>
                <w:sz w:val="20"/>
                <w:szCs w:val="20"/>
              </w:rPr>
              <w:t>　</w:t>
            </w:r>
          </w:p>
        </w:tc>
      </w:tr>
    </w:tbl>
    <w:p>
      <w:pPr>
        <w:rPr>
          <w:rFonts w:ascii="Times New Roman" w:hAnsi="Times New Roman" w:eastAsia="仿宋_GB2312"/>
          <w:szCs w:val="21"/>
        </w:rPr>
      </w:pPr>
      <w:r>
        <w:rPr>
          <w:rFonts w:ascii="Times New Roman" w:hAnsi="Times New Roman" w:eastAsia="仿宋_GB2312"/>
          <w:sz w:val="20"/>
          <w:szCs w:val="20"/>
        </w:rPr>
        <w:t>备注：一个一级项目支出一张表。鉴于2022年开展省级专项资金三年（2019年-2021年）整体绩效评价，故本次可以不填报该自评表。</w:t>
      </w:r>
    </w:p>
    <w:p>
      <w:pPr>
        <w:rPr>
          <w:rFonts w:ascii="Times New Roman" w:hAnsi="Times New Roman" w:eastAsia="仿宋_GB2312"/>
          <w:sz w:val="22"/>
          <w:szCs w:val="22"/>
        </w:rPr>
      </w:pPr>
      <w:r>
        <w:rPr>
          <w:rFonts w:ascii="Times New Roman" w:hAnsi="Times New Roman" w:eastAsia="仿宋_GB2312"/>
          <w:sz w:val="22"/>
          <w:szCs w:val="22"/>
        </w:rPr>
        <w:t>填表人：</w:t>
      </w:r>
      <w:r>
        <w:rPr>
          <w:rFonts w:hint="eastAsia" w:ascii="Times New Roman" w:hAnsi="Times New Roman" w:eastAsia="仿宋_GB2312"/>
          <w:sz w:val="22"/>
          <w:szCs w:val="22"/>
          <w:lang w:eastAsia="zh-CN"/>
        </w:rPr>
        <w:t>傅滔</w:t>
      </w:r>
      <w:r>
        <w:rPr>
          <w:rFonts w:ascii="Times New Roman" w:hAnsi="Times New Roman" w:eastAsia="仿宋_GB2312"/>
          <w:sz w:val="22"/>
          <w:szCs w:val="22"/>
        </w:rPr>
        <w:t xml:space="preserve">  填报日期：</w:t>
      </w:r>
      <w:r>
        <w:rPr>
          <w:rFonts w:hint="eastAsia" w:ascii="Times New Roman" w:hAnsi="Times New Roman" w:eastAsia="仿宋_GB2312"/>
          <w:sz w:val="22"/>
          <w:szCs w:val="22"/>
          <w:lang w:val="en-US" w:eastAsia="zh-CN"/>
        </w:rPr>
        <w:t>2022.4.12</w:t>
      </w:r>
      <w:r>
        <w:rPr>
          <w:rFonts w:ascii="Times New Roman" w:hAnsi="Times New Roman" w:eastAsia="仿宋_GB2312"/>
          <w:sz w:val="22"/>
          <w:szCs w:val="22"/>
        </w:rPr>
        <w:t xml:space="preserve">  联系电话：</w:t>
      </w:r>
      <w:r>
        <w:rPr>
          <w:rFonts w:hint="eastAsia" w:ascii="Times New Roman" w:hAnsi="Times New Roman" w:eastAsia="仿宋_GB2312"/>
          <w:sz w:val="22"/>
          <w:szCs w:val="22"/>
          <w:lang w:val="en-US" w:eastAsia="zh-CN"/>
        </w:rPr>
        <w:t>17773255655</w:t>
      </w:r>
      <w:r>
        <w:rPr>
          <w:rFonts w:ascii="Times New Roman" w:hAnsi="Times New Roman" w:eastAsia="仿宋_GB2312"/>
          <w:sz w:val="22"/>
          <w:szCs w:val="22"/>
        </w:rPr>
        <w:t xml:space="preserve">  单位负责人签字：</w:t>
      </w:r>
    </w:p>
    <w:p>
      <w:pPr>
        <w:widowControl/>
        <w:spacing w:line="600" w:lineRule="exact"/>
        <w:jc w:val="left"/>
        <w:rPr>
          <w:rFonts w:hint="default" w:ascii="Times New Roman" w:hAnsi="Times New Roman" w:eastAsia="黑体"/>
          <w:sz w:val="32"/>
          <w:szCs w:val="32"/>
          <w:lang w:val="en-US" w:eastAsia="zh-CN"/>
        </w:rPr>
      </w:pPr>
      <w:r>
        <w:rPr>
          <w:rFonts w:ascii="Times New Roman" w:hAnsi="Times New Roman" w:eastAsia="黑体"/>
          <w:sz w:val="32"/>
          <w:szCs w:val="32"/>
        </w:rPr>
        <w:t>附件3</w:t>
      </w:r>
      <w:r>
        <w:rPr>
          <w:rFonts w:hint="eastAsia" w:ascii="Times New Roman" w:hAnsi="Times New Roman" w:eastAsia="黑体"/>
          <w:sz w:val="32"/>
          <w:szCs w:val="32"/>
          <w:lang w:val="en-US" w:eastAsia="zh-CN"/>
        </w:rPr>
        <w:t>-5</w:t>
      </w:r>
    </w:p>
    <w:p>
      <w:pPr>
        <w:widowControl/>
        <w:spacing w:line="600" w:lineRule="exact"/>
        <w:jc w:val="center"/>
        <w:rPr>
          <w:rFonts w:ascii="Times New Roman" w:hAnsi="Times New Roman" w:eastAsia="方正小标宋_GBK"/>
          <w:color w:val="000000"/>
          <w:sz w:val="36"/>
          <w:szCs w:val="36"/>
        </w:rPr>
      </w:pPr>
      <w:r>
        <w:rPr>
          <w:rFonts w:ascii="Times New Roman" w:hAnsi="Times New Roman" w:eastAsia="方正小标宋_GBK"/>
          <w:color w:val="000000"/>
          <w:sz w:val="36"/>
          <w:szCs w:val="36"/>
        </w:rPr>
        <w:t>2021年度项目支出绩效自评表</w:t>
      </w:r>
    </w:p>
    <w:tbl>
      <w:tblPr>
        <w:tblStyle w:val="4"/>
        <w:tblW w:w="9851" w:type="dxa"/>
        <w:jc w:val="center"/>
        <w:tblLayout w:type="fixed"/>
        <w:tblCellMar>
          <w:top w:w="0" w:type="dxa"/>
          <w:left w:w="108" w:type="dxa"/>
          <w:bottom w:w="0" w:type="dxa"/>
          <w:right w:w="108" w:type="dxa"/>
        </w:tblCellMar>
      </w:tblPr>
      <w:tblGrid>
        <w:gridCol w:w="1080"/>
        <w:gridCol w:w="1080"/>
        <w:gridCol w:w="1080"/>
        <w:gridCol w:w="1304"/>
        <w:gridCol w:w="1054"/>
        <w:gridCol w:w="1226"/>
        <w:gridCol w:w="825"/>
        <w:gridCol w:w="825"/>
        <w:gridCol w:w="1377"/>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项目支</w:t>
            </w:r>
          </w:p>
          <w:p>
            <w:pPr>
              <w:widowControl/>
              <w:spacing w:line="26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出名称</w:t>
            </w:r>
          </w:p>
        </w:tc>
        <w:tc>
          <w:tcPr>
            <w:tcW w:w="8771" w:type="dxa"/>
            <w:gridSpan w:val="8"/>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lang w:eastAsia="zh-CN"/>
              </w:rPr>
              <w:t>单位自有资金</w:t>
            </w:r>
            <w:r>
              <w:rPr>
                <w:rFonts w:ascii="Times New Roman" w:hAnsi="Times New Roman" w:eastAsia="仿宋_GB2312"/>
                <w:color w:val="000000"/>
                <w:sz w:val="20"/>
                <w:szCs w:val="20"/>
              </w:rPr>
              <w:t>　</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ign w:val="center"/>
          </w:tcPr>
          <w:p>
            <w:pPr>
              <w:widowControl/>
              <w:jc w:val="left"/>
              <w:rPr>
                <w:rFonts w:ascii="Times New Roman" w:hAnsi="Times New Roman" w:eastAsia="仿宋_GB2312"/>
                <w:color w:val="000000"/>
                <w:sz w:val="20"/>
                <w:szCs w:val="20"/>
              </w:rPr>
            </w:pPr>
            <w:r>
              <w:rPr>
                <w:rFonts w:ascii="Times New Roman" w:hAnsi="Times New Roman" w:eastAsia="仿宋_GB2312"/>
                <w:color w:val="000000"/>
                <w:sz w:val="20"/>
                <w:szCs w:val="20"/>
              </w:rPr>
              <w:t>主管部门</w:t>
            </w:r>
          </w:p>
        </w:tc>
        <w:tc>
          <w:tcPr>
            <w:tcW w:w="4518" w:type="dxa"/>
            <w:gridSpan w:val="4"/>
            <w:tcBorders>
              <w:top w:val="single" w:color="auto" w:sz="4" w:space="0"/>
              <w:left w:val="nil"/>
              <w:bottom w:val="single" w:color="auto" w:sz="4" w:space="0"/>
              <w:right w:val="single" w:color="auto" w:sz="4" w:space="0"/>
            </w:tcBorders>
            <w:noWrap/>
            <w:vAlign w:val="center"/>
          </w:tcPr>
          <w:p>
            <w:pPr>
              <w:widowControl/>
              <w:jc w:val="left"/>
              <w:rPr>
                <w:rFonts w:ascii="Times New Roman" w:hAnsi="Times New Roman" w:eastAsia="仿宋_GB2312"/>
                <w:color w:val="000000"/>
                <w:sz w:val="20"/>
                <w:szCs w:val="20"/>
              </w:rPr>
            </w:pPr>
            <w:r>
              <w:rPr>
                <w:rFonts w:ascii="Times New Roman" w:hAnsi="Times New Roman" w:eastAsia="仿宋_GB2312"/>
                <w:color w:val="000000"/>
                <w:sz w:val="20"/>
                <w:szCs w:val="20"/>
              </w:rPr>
              <w:t>　</w:t>
            </w:r>
            <w:r>
              <w:rPr>
                <w:rFonts w:hint="eastAsia" w:ascii="Times New Roman" w:hAnsi="Times New Roman" w:eastAsia="仿宋_GB2312"/>
                <w:color w:val="000000"/>
                <w:sz w:val="20"/>
                <w:szCs w:val="20"/>
              </w:rPr>
              <w:t>湖南省韶山管理局</w:t>
            </w:r>
          </w:p>
        </w:tc>
        <w:tc>
          <w:tcPr>
            <w:tcW w:w="1226" w:type="dxa"/>
            <w:tcBorders>
              <w:top w:val="single" w:color="auto" w:sz="4" w:space="0"/>
              <w:left w:val="nil"/>
              <w:bottom w:val="single" w:color="auto" w:sz="4" w:space="0"/>
              <w:right w:val="single" w:color="000000" w:sz="4" w:space="0"/>
            </w:tcBorders>
            <w:noWrap/>
            <w:vAlign w:val="center"/>
          </w:tcPr>
          <w:p>
            <w:pPr>
              <w:widowControl/>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实施单位</w:t>
            </w:r>
          </w:p>
        </w:tc>
        <w:tc>
          <w:tcPr>
            <w:tcW w:w="3027" w:type="dxa"/>
            <w:gridSpan w:val="3"/>
            <w:tcBorders>
              <w:top w:val="single" w:color="auto" w:sz="4" w:space="0"/>
              <w:left w:val="nil"/>
              <w:bottom w:val="single" w:color="auto" w:sz="4" w:space="0"/>
              <w:right w:val="single" w:color="auto" w:sz="4" w:space="0"/>
            </w:tcBorders>
            <w:noWrap/>
            <w:vAlign w:val="center"/>
          </w:tcPr>
          <w:p>
            <w:pPr>
              <w:widowControl/>
              <w:jc w:val="left"/>
              <w:rPr>
                <w:rFonts w:ascii="Times New Roman" w:hAnsi="Times New Roman" w:eastAsia="仿宋_GB2312"/>
                <w:color w:val="000000"/>
                <w:sz w:val="20"/>
                <w:szCs w:val="20"/>
              </w:rPr>
            </w:pPr>
            <w:r>
              <w:rPr>
                <w:rFonts w:ascii="Times New Roman" w:hAnsi="Times New Roman" w:eastAsia="仿宋_GB2312"/>
                <w:color w:val="000000"/>
                <w:sz w:val="20"/>
                <w:szCs w:val="20"/>
              </w:rPr>
              <w:t>　</w:t>
            </w:r>
            <w:r>
              <w:rPr>
                <w:rFonts w:hint="eastAsia" w:ascii="Times New Roman" w:hAnsi="Times New Roman" w:eastAsia="仿宋_GB2312"/>
                <w:color w:val="000000"/>
                <w:sz w:val="20"/>
                <w:szCs w:val="20"/>
              </w:rPr>
              <w:t>韶山毛泽东同志纪念馆</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项目资金</w:t>
            </w:r>
            <w:r>
              <w:rPr>
                <w:rFonts w:ascii="Times New Roman" w:hAnsi="Times New Roman" w:eastAsia="仿宋_GB2312"/>
                <w:color w:val="000000"/>
                <w:sz w:val="20"/>
                <w:szCs w:val="20"/>
              </w:rPr>
              <w:br w:type="textWrapping"/>
            </w:r>
            <w:r>
              <w:rPr>
                <w:rFonts w:ascii="Times New Roman" w:hAnsi="Times New Roman" w:eastAsia="仿宋_GB2312"/>
                <w:color w:val="000000"/>
                <w:sz w:val="20"/>
                <w:szCs w:val="20"/>
              </w:rPr>
              <w:t>（万元）</w:t>
            </w:r>
          </w:p>
        </w:tc>
        <w:tc>
          <w:tcPr>
            <w:tcW w:w="2160" w:type="dxa"/>
            <w:gridSpan w:val="2"/>
            <w:tcBorders>
              <w:top w:val="nil"/>
              <w:left w:val="nil"/>
              <w:bottom w:val="single" w:color="auto" w:sz="4" w:space="0"/>
              <w:right w:val="single" w:color="auto" w:sz="4" w:space="0"/>
            </w:tcBorders>
            <w:noWrap/>
            <w:vAlign w:val="center"/>
          </w:tcPr>
          <w:p>
            <w:pPr>
              <w:widowControl/>
              <w:jc w:val="left"/>
              <w:rPr>
                <w:rFonts w:ascii="Times New Roman" w:hAnsi="Times New Roman" w:eastAsia="仿宋_GB2312"/>
                <w:color w:val="000000"/>
                <w:sz w:val="20"/>
                <w:szCs w:val="20"/>
              </w:rPr>
            </w:pPr>
            <w:r>
              <w:rPr>
                <w:rFonts w:ascii="Times New Roman" w:hAnsi="Times New Roman" w:eastAsia="仿宋_GB2312"/>
                <w:color w:val="000000"/>
                <w:sz w:val="20"/>
                <w:szCs w:val="20"/>
              </w:rPr>
              <w:t>　</w:t>
            </w:r>
          </w:p>
        </w:tc>
        <w:tc>
          <w:tcPr>
            <w:tcW w:w="1304"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年初</w:t>
            </w:r>
          </w:p>
          <w:p>
            <w:pPr>
              <w:widowControl/>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预算数</w:t>
            </w:r>
          </w:p>
        </w:tc>
        <w:tc>
          <w:tcPr>
            <w:tcW w:w="1054"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全年</w:t>
            </w:r>
          </w:p>
          <w:p>
            <w:pPr>
              <w:widowControl/>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预算数</w:t>
            </w:r>
          </w:p>
        </w:tc>
        <w:tc>
          <w:tcPr>
            <w:tcW w:w="1226" w:type="dxa"/>
            <w:tcBorders>
              <w:top w:val="nil"/>
              <w:left w:val="nil"/>
              <w:bottom w:val="single" w:color="auto" w:sz="4" w:space="0"/>
              <w:right w:val="single" w:color="auto" w:sz="4" w:space="0"/>
            </w:tcBorders>
            <w:noWrap/>
            <w:vAlign w:val="center"/>
          </w:tcPr>
          <w:p>
            <w:pPr>
              <w:jc w:val="center"/>
              <w:rPr>
                <w:rFonts w:ascii="Times New Roman" w:hAnsi="Times New Roman" w:eastAsia="仿宋_GB2312"/>
                <w:sz w:val="20"/>
                <w:szCs w:val="20"/>
              </w:rPr>
            </w:pPr>
            <w:r>
              <w:rPr>
                <w:rFonts w:ascii="Times New Roman" w:hAnsi="Times New Roman" w:eastAsia="仿宋_GB2312"/>
                <w:sz w:val="20"/>
                <w:szCs w:val="20"/>
              </w:rPr>
              <w:t>全年</w:t>
            </w:r>
          </w:p>
          <w:p>
            <w:pPr>
              <w:jc w:val="center"/>
              <w:rPr>
                <w:rFonts w:ascii="Times New Roman" w:hAnsi="Times New Roman" w:eastAsia="仿宋_GB2312"/>
                <w:sz w:val="20"/>
                <w:szCs w:val="20"/>
              </w:rPr>
            </w:pPr>
            <w:r>
              <w:rPr>
                <w:rFonts w:ascii="Times New Roman" w:hAnsi="Times New Roman" w:eastAsia="仿宋_GB2312"/>
                <w:sz w:val="20"/>
                <w:szCs w:val="20"/>
              </w:rPr>
              <w:t>执行数</w:t>
            </w:r>
          </w:p>
        </w:tc>
        <w:tc>
          <w:tcPr>
            <w:tcW w:w="825" w:type="dxa"/>
            <w:tcBorders>
              <w:top w:val="nil"/>
              <w:left w:val="nil"/>
              <w:bottom w:val="single" w:color="auto" w:sz="4" w:space="0"/>
              <w:right w:val="single" w:color="auto" w:sz="4" w:space="0"/>
            </w:tcBorders>
            <w:noWrap/>
            <w:vAlign w:val="center"/>
          </w:tcPr>
          <w:p>
            <w:pPr>
              <w:jc w:val="center"/>
              <w:rPr>
                <w:rFonts w:ascii="Times New Roman" w:hAnsi="Times New Roman" w:eastAsia="仿宋_GB2312"/>
                <w:sz w:val="20"/>
                <w:szCs w:val="20"/>
              </w:rPr>
            </w:pPr>
            <w:r>
              <w:rPr>
                <w:rFonts w:ascii="Times New Roman" w:hAnsi="Times New Roman" w:eastAsia="仿宋_GB2312"/>
                <w:sz w:val="20"/>
                <w:szCs w:val="20"/>
              </w:rPr>
              <w:t>分值</w:t>
            </w:r>
          </w:p>
        </w:tc>
        <w:tc>
          <w:tcPr>
            <w:tcW w:w="825" w:type="dxa"/>
            <w:tcBorders>
              <w:top w:val="nil"/>
              <w:left w:val="nil"/>
              <w:bottom w:val="single" w:color="auto" w:sz="4" w:space="0"/>
              <w:right w:val="single" w:color="auto" w:sz="4" w:space="0"/>
            </w:tcBorders>
            <w:noWrap/>
            <w:vAlign w:val="center"/>
          </w:tcPr>
          <w:p>
            <w:pPr>
              <w:jc w:val="center"/>
              <w:rPr>
                <w:rFonts w:ascii="Times New Roman" w:hAnsi="Times New Roman" w:eastAsia="仿宋_GB2312"/>
                <w:sz w:val="20"/>
                <w:szCs w:val="20"/>
              </w:rPr>
            </w:pPr>
            <w:r>
              <w:rPr>
                <w:rFonts w:ascii="Times New Roman" w:hAnsi="Times New Roman" w:eastAsia="仿宋_GB2312"/>
                <w:sz w:val="20"/>
                <w:szCs w:val="20"/>
              </w:rPr>
              <w:t>执行率</w:t>
            </w:r>
          </w:p>
        </w:tc>
        <w:tc>
          <w:tcPr>
            <w:tcW w:w="1377" w:type="dxa"/>
            <w:tcBorders>
              <w:top w:val="nil"/>
              <w:left w:val="nil"/>
              <w:bottom w:val="single" w:color="auto" w:sz="4" w:space="0"/>
              <w:right w:val="single" w:color="auto" w:sz="4" w:space="0"/>
            </w:tcBorders>
            <w:noWrap/>
            <w:vAlign w:val="center"/>
          </w:tcPr>
          <w:p>
            <w:pPr>
              <w:jc w:val="center"/>
              <w:rPr>
                <w:rFonts w:ascii="Times New Roman" w:hAnsi="Times New Roman" w:eastAsia="仿宋_GB2312"/>
                <w:sz w:val="20"/>
                <w:szCs w:val="20"/>
              </w:rPr>
            </w:pPr>
            <w:r>
              <w:rPr>
                <w:rFonts w:ascii="Times New Roman" w:hAnsi="Times New Roman" w:eastAsia="仿宋_GB2312"/>
                <w:sz w:val="20"/>
                <w:szCs w:val="20"/>
              </w:rPr>
              <w:t>得分</w:t>
            </w:r>
          </w:p>
        </w:tc>
      </w:tr>
      <w:tr>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jc w:val="left"/>
              <w:rPr>
                <w:rFonts w:ascii="Times New Roman" w:hAnsi="Times New Roman" w:eastAsia="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jc w:val="left"/>
              <w:rPr>
                <w:rFonts w:ascii="Times New Roman" w:hAnsi="Times New Roman" w:eastAsia="仿宋_GB2312"/>
                <w:color w:val="000000"/>
                <w:sz w:val="20"/>
                <w:szCs w:val="20"/>
              </w:rPr>
            </w:pPr>
            <w:r>
              <w:rPr>
                <w:rFonts w:ascii="Times New Roman" w:hAnsi="Times New Roman" w:eastAsia="仿宋_GB2312"/>
                <w:color w:val="000000"/>
                <w:sz w:val="20"/>
                <w:szCs w:val="20"/>
              </w:rPr>
              <w:t>年度资金总额　</w:t>
            </w:r>
          </w:p>
        </w:tc>
        <w:tc>
          <w:tcPr>
            <w:tcW w:w="1304"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0</w:t>
            </w:r>
          </w:p>
        </w:tc>
        <w:tc>
          <w:tcPr>
            <w:tcW w:w="1054" w:type="dxa"/>
            <w:tcBorders>
              <w:top w:val="nil"/>
              <w:left w:val="nil"/>
              <w:bottom w:val="single" w:color="auto" w:sz="4" w:space="0"/>
              <w:right w:val="single" w:color="auto" w:sz="4" w:space="0"/>
            </w:tcBorders>
            <w:noWrap/>
            <w:vAlign w:val="center"/>
          </w:tcPr>
          <w:p>
            <w:pPr>
              <w:widowControl/>
              <w:jc w:val="center"/>
              <w:rPr>
                <w:rFonts w:hint="default" w:ascii="Times New Roman" w:hAnsi="Times New Roman" w:eastAsia="仿宋_GB2312"/>
                <w:color w:val="000000"/>
                <w:sz w:val="20"/>
                <w:szCs w:val="20"/>
                <w:lang w:val="en-US" w:eastAsia="zh-CN"/>
              </w:rPr>
            </w:pPr>
            <w:r>
              <w:rPr>
                <w:rFonts w:hint="eastAsia" w:ascii="Times New Roman" w:hAnsi="Times New Roman" w:eastAsia="仿宋_GB2312"/>
                <w:color w:val="000000"/>
                <w:sz w:val="20"/>
                <w:szCs w:val="20"/>
                <w:lang w:val="en-US" w:eastAsia="zh-CN"/>
              </w:rPr>
              <w:t>974.35</w:t>
            </w:r>
          </w:p>
        </w:tc>
        <w:tc>
          <w:tcPr>
            <w:tcW w:w="1226" w:type="dxa"/>
            <w:tcBorders>
              <w:top w:val="nil"/>
              <w:left w:val="nil"/>
              <w:bottom w:val="single" w:color="auto" w:sz="4" w:space="0"/>
              <w:right w:val="single" w:color="auto" w:sz="4" w:space="0"/>
            </w:tcBorders>
            <w:noWrap/>
            <w:vAlign w:val="center"/>
          </w:tcPr>
          <w:p>
            <w:pPr>
              <w:widowControl/>
              <w:jc w:val="center"/>
              <w:rPr>
                <w:rFonts w:hint="default" w:ascii="Times New Roman" w:hAnsi="Times New Roman" w:eastAsia="仿宋_GB2312"/>
                <w:color w:val="000000"/>
                <w:sz w:val="20"/>
                <w:szCs w:val="20"/>
                <w:lang w:val="en-US" w:eastAsia="zh-CN"/>
              </w:rPr>
            </w:pPr>
            <w:r>
              <w:rPr>
                <w:rFonts w:hint="eastAsia" w:ascii="Times New Roman" w:hAnsi="Times New Roman" w:eastAsia="仿宋_GB2312"/>
                <w:color w:val="000000"/>
                <w:sz w:val="20"/>
                <w:szCs w:val="20"/>
                <w:lang w:val="en-US" w:eastAsia="zh-CN"/>
              </w:rPr>
              <w:t>665.82</w:t>
            </w:r>
          </w:p>
        </w:tc>
        <w:tc>
          <w:tcPr>
            <w:tcW w:w="825"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10</w:t>
            </w:r>
          </w:p>
        </w:tc>
        <w:tc>
          <w:tcPr>
            <w:tcW w:w="825"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lang w:val="en-US" w:eastAsia="zh-CN"/>
              </w:rPr>
              <w:t>68.33</w:t>
            </w:r>
            <w:r>
              <w:rPr>
                <w:rFonts w:hint="eastAsia" w:ascii="Times New Roman" w:hAnsi="Times New Roman" w:eastAsia="仿宋_GB2312"/>
                <w:color w:val="000000"/>
                <w:sz w:val="20"/>
                <w:szCs w:val="20"/>
              </w:rPr>
              <w:t>%</w:t>
            </w:r>
          </w:p>
        </w:tc>
        <w:tc>
          <w:tcPr>
            <w:tcW w:w="1377" w:type="dxa"/>
            <w:tcBorders>
              <w:top w:val="nil"/>
              <w:left w:val="nil"/>
              <w:bottom w:val="single" w:color="auto" w:sz="4" w:space="0"/>
              <w:right w:val="single" w:color="auto" w:sz="4" w:space="0"/>
            </w:tcBorders>
            <w:noWrap/>
            <w:vAlign w:val="center"/>
          </w:tcPr>
          <w:p>
            <w:pPr>
              <w:widowControl/>
              <w:jc w:val="center"/>
              <w:rPr>
                <w:rFonts w:hint="default" w:ascii="Times New Roman" w:hAnsi="Times New Roman" w:eastAsia="仿宋_GB2312"/>
                <w:color w:val="000000"/>
                <w:sz w:val="20"/>
                <w:szCs w:val="20"/>
                <w:lang w:val="en-US" w:eastAsia="zh-CN"/>
              </w:rPr>
            </w:pPr>
            <w:r>
              <w:rPr>
                <w:rFonts w:hint="eastAsia" w:ascii="Times New Roman" w:hAnsi="Times New Roman" w:eastAsia="仿宋_GB2312"/>
                <w:color w:val="000000"/>
                <w:sz w:val="20"/>
                <w:szCs w:val="20"/>
                <w:lang w:val="en-US" w:eastAsia="zh-CN"/>
              </w:rPr>
              <w:t>6.8</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jc w:val="left"/>
              <w:rPr>
                <w:rFonts w:ascii="Times New Roman" w:hAnsi="Times New Roman" w:eastAsia="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jc w:val="left"/>
              <w:rPr>
                <w:rFonts w:ascii="Times New Roman" w:hAnsi="Times New Roman" w:eastAsia="仿宋_GB2312"/>
                <w:color w:val="000000"/>
                <w:sz w:val="20"/>
                <w:szCs w:val="20"/>
              </w:rPr>
            </w:pPr>
            <w:r>
              <w:rPr>
                <w:rFonts w:ascii="Times New Roman" w:hAnsi="Times New Roman" w:eastAsia="仿宋_GB2312"/>
                <w:color w:val="000000"/>
                <w:sz w:val="20"/>
                <w:szCs w:val="20"/>
              </w:rPr>
              <w:t>其中：当年财政拨款　</w:t>
            </w:r>
          </w:p>
        </w:tc>
        <w:tc>
          <w:tcPr>
            <w:tcW w:w="1304"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0</w:t>
            </w:r>
          </w:p>
        </w:tc>
        <w:tc>
          <w:tcPr>
            <w:tcW w:w="1054"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0</w:t>
            </w:r>
          </w:p>
        </w:tc>
        <w:tc>
          <w:tcPr>
            <w:tcW w:w="1226"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0</w:t>
            </w:r>
          </w:p>
        </w:tc>
        <w:tc>
          <w:tcPr>
            <w:tcW w:w="825"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p>
        </w:tc>
        <w:tc>
          <w:tcPr>
            <w:tcW w:w="825"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p>
        </w:tc>
        <w:tc>
          <w:tcPr>
            <w:tcW w:w="1377"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jc w:val="left"/>
              <w:rPr>
                <w:rFonts w:ascii="Times New Roman" w:hAnsi="Times New Roman" w:eastAsia="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ind w:firstLine="600" w:firstLineChars="300"/>
              <w:jc w:val="left"/>
              <w:rPr>
                <w:rFonts w:ascii="Times New Roman" w:hAnsi="Times New Roman" w:eastAsia="仿宋_GB2312"/>
                <w:color w:val="000000"/>
                <w:sz w:val="20"/>
                <w:szCs w:val="20"/>
              </w:rPr>
            </w:pPr>
            <w:r>
              <w:rPr>
                <w:rFonts w:ascii="Times New Roman" w:hAnsi="Times New Roman" w:eastAsia="仿宋_GB2312"/>
                <w:color w:val="000000"/>
                <w:sz w:val="20"/>
                <w:szCs w:val="20"/>
              </w:rPr>
              <w:t>上年结转资金　</w:t>
            </w:r>
          </w:p>
        </w:tc>
        <w:tc>
          <w:tcPr>
            <w:tcW w:w="1304" w:type="dxa"/>
            <w:tcBorders>
              <w:top w:val="nil"/>
              <w:left w:val="nil"/>
              <w:bottom w:val="single" w:color="auto" w:sz="4" w:space="0"/>
              <w:right w:val="single" w:color="auto" w:sz="4" w:space="0"/>
            </w:tcBorders>
            <w:noWrap/>
            <w:vAlign w:val="center"/>
          </w:tcPr>
          <w:p>
            <w:pPr>
              <w:widowControl/>
              <w:jc w:val="center"/>
              <w:rPr>
                <w:rFonts w:hint="eastAsia" w:ascii="Times New Roman" w:hAnsi="Times New Roman" w:eastAsia="仿宋_GB2312"/>
                <w:color w:val="000000"/>
                <w:sz w:val="20"/>
                <w:szCs w:val="20"/>
                <w:lang w:val="en-US" w:eastAsia="zh-CN"/>
              </w:rPr>
            </w:pPr>
            <w:r>
              <w:rPr>
                <w:rFonts w:hint="eastAsia" w:ascii="Times New Roman" w:hAnsi="Times New Roman" w:eastAsia="仿宋_GB2312"/>
                <w:color w:val="000000"/>
                <w:sz w:val="20"/>
                <w:szCs w:val="20"/>
                <w:lang w:val="en-US" w:eastAsia="zh-CN"/>
              </w:rPr>
              <w:t>0</w:t>
            </w:r>
          </w:p>
        </w:tc>
        <w:tc>
          <w:tcPr>
            <w:tcW w:w="1054" w:type="dxa"/>
            <w:tcBorders>
              <w:top w:val="nil"/>
              <w:left w:val="nil"/>
              <w:bottom w:val="single" w:color="auto" w:sz="4" w:space="0"/>
              <w:right w:val="single" w:color="auto" w:sz="4" w:space="0"/>
            </w:tcBorders>
            <w:noWrap/>
            <w:vAlign w:val="center"/>
          </w:tcPr>
          <w:p>
            <w:pPr>
              <w:widowControl/>
              <w:jc w:val="center"/>
              <w:rPr>
                <w:rFonts w:hint="default" w:ascii="Times New Roman" w:hAnsi="Times New Roman" w:eastAsia="仿宋_GB2312"/>
                <w:color w:val="000000"/>
                <w:sz w:val="20"/>
                <w:szCs w:val="20"/>
                <w:lang w:val="en-US" w:eastAsia="zh-CN"/>
              </w:rPr>
            </w:pPr>
            <w:r>
              <w:rPr>
                <w:rFonts w:hint="eastAsia" w:ascii="Times New Roman" w:hAnsi="Times New Roman" w:eastAsia="仿宋_GB2312"/>
                <w:color w:val="000000"/>
                <w:sz w:val="20"/>
                <w:szCs w:val="20"/>
                <w:lang w:val="en-US" w:eastAsia="zh-CN"/>
              </w:rPr>
              <w:t>941.35</w:t>
            </w:r>
          </w:p>
        </w:tc>
        <w:tc>
          <w:tcPr>
            <w:tcW w:w="1226" w:type="dxa"/>
            <w:tcBorders>
              <w:top w:val="nil"/>
              <w:left w:val="nil"/>
              <w:bottom w:val="single" w:color="auto" w:sz="4" w:space="0"/>
              <w:right w:val="single" w:color="auto" w:sz="4" w:space="0"/>
            </w:tcBorders>
            <w:noWrap/>
            <w:vAlign w:val="center"/>
          </w:tcPr>
          <w:p>
            <w:pPr>
              <w:widowControl/>
              <w:jc w:val="center"/>
              <w:rPr>
                <w:rFonts w:hint="default" w:ascii="Times New Roman" w:hAnsi="Times New Roman" w:eastAsia="仿宋_GB2312"/>
                <w:color w:val="000000"/>
                <w:sz w:val="20"/>
                <w:szCs w:val="20"/>
                <w:lang w:val="en-US" w:eastAsia="zh-CN"/>
              </w:rPr>
            </w:pPr>
            <w:r>
              <w:rPr>
                <w:rFonts w:hint="eastAsia" w:ascii="Times New Roman" w:hAnsi="Times New Roman" w:eastAsia="仿宋_GB2312"/>
                <w:color w:val="000000"/>
                <w:sz w:val="20"/>
                <w:szCs w:val="20"/>
                <w:lang w:val="en-US" w:eastAsia="zh-CN"/>
              </w:rPr>
              <w:t>665.82</w:t>
            </w:r>
          </w:p>
        </w:tc>
        <w:tc>
          <w:tcPr>
            <w:tcW w:w="825"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p>
        </w:tc>
        <w:tc>
          <w:tcPr>
            <w:tcW w:w="825"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p>
        </w:tc>
        <w:tc>
          <w:tcPr>
            <w:tcW w:w="1377"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jc w:val="left"/>
              <w:rPr>
                <w:rFonts w:ascii="Times New Roman" w:hAnsi="Times New Roman" w:eastAsia="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ind w:firstLine="600" w:firstLineChars="300"/>
              <w:jc w:val="left"/>
              <w:rPr>
                <w:rFonts w:ascii="Times New Roman" w:hAnsi="Times New Roman" w:eastAsia="仿宋_GB2312"/>
                <w:color w:val="000000"/>
                <w:sz w:val="20"/>
                <w:szCs w:val="20"/>
              </w:rPr>
            </w:pPr>
            <w:r>
              <w:rPr>
                <w:rFonts w:ascii="Times New Roman" w:hAnsi="Times New Roman" w:eastAsia="仿宋_GB2312"/>
                <w:color w:val="000000"/>
                <w:sz w:val="20"/>
                <w:szCs w:val="20"/>
              </w:rPr>
              <w:t>其他资金</w:t>
            </w:r>
          </w:p>
        </w:tc>
        <w:tc>
          <w:tcPr>
            <w:tcW w:w="1304"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0</w:t>
            </w:r>
          </w:p>
        </w:tc>
        <w:tc>
          <w:tcPr>
            <w:tcW w:w="1054" w:type="dxa"/>
            <w:tcBorders>
              <w:top w:val="nil"/>
              <w:left w:val="nil"/>
              <w:bottom w:val="single" w:color="auto" w:sz="4" w:space="0"/>
              <w:right w:val="single" w:color="auto" w:sz="4" w:space="0"/>
            </w:tcBorders>
            <w:noWrap/>
            <w:vAlign w:val="center"/>
          </w:tcPr>
          <w:p>
            <w:pPr>
              <w:widowControl/>
              <w:jc w:val="center"/>
              <w:rPr>
                <w:rFonts w:hint="default" w:ascii="Times New Roman" w:hAnsi="Times New Roman" w:eastAsia="仿宋_GB2312"/>
                <w:color w:val="000000"/>
                <w:sz w:val="20"/>
                <w:szCs w:val="20"/>
                <w:lang w:val="en-US" w:eastAsia="zh-CN"/>
              </w:rPr>
            </w:pPr>
            <w:r>
              <w:rPr>
                <w:rFonts w:hint="eastAsia" w:ascii="Times New Roman" w:hAnsi="Times New Roman" w:eastAsia="仿宋_GB2312"/>
                <w:color w:val="000000"/>
                <w:sz w:val="20"/>
                <w:szCs w:val="20"/>
                <w:lang w:val="en-US" w:eastAsia="zh-CN"/>
              </w:rPr>
              <w:t>33</w:t>
            </w:r>
          </w:p>
        </w:tc>
        <w:tc>
          <w:tcPr>
            <w:tcW w:w="1226"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0</w:t>
            </w:r>
          </w:p>
        </w:tc>
        <w:tc>
          <w:tcPr>
            <w:tcW w:w="825"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p>
        </w:tc>
        <w:tc>
          <w:tcPr>
            <w:tcW w:w="825"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p>
        </w:tc>
        <w:tc>
          <w:tcPr>
            <w:tcW w:w="1377"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ign w:val="center"/>
          </w:tcPr>
          <w:p>
            <w:pPr>
              <w:widowControl/>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noWrap/>
            <w:vAlign w:val="center"/>
          </w:tcPr>
          <w:p>
            <w:pPr>
              <w:widowControl/>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jc w:val="left"/>
              <w:rPr>
                <w:rFonts w:ascii="Times New Roman" w:hAnsi="Times New Roman" w:eastAsia="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noWrap/>
            <w:vAlign w:val="center"/>
          </w:tcPr>
          <w:p>
            <w:pPr>
              <w:widowControl/>
              <w:jc w:val="center"/>
              <w:rPr>
                <w:rFonts w:hint="eastAsia" w:ascii="Times New Roman" w:hAnsi="Times New Roman" w:eastAsia="仿宋_GB2312"/>
                <w:color w:val="000000"/>
                <w:sz w:val="20"/>
                <w:szCs w:val="20"/>
                <w:highlight w:val="none"/>
                <w:lang w:eastAsia="zh-CN"/>
              </w:rPr>
            </w:pPr>
            <w:r>
              <w:rPr>
                <w:rFonts w:hint="eastAsia" w:ascii="Times New Roman" w:hAnsi="Times New Roman" w:eastAsia="仿宋_GB2312"/>
                <w:color w:val="000000"/>
                <w:sz w:val="20"/>
                <w:szCs w:val="20"/>
                <w:highlight w:val="none"/>
              </w:rPr>
              <w:t>完成</w:t>
            </w:r>
            <w:r>
              <w:rPr>
                <w:rFonts w:hint="eastAsia" w:ascii="Times New Roman" w:hAnsi="Times New Roman" w:eastAsia="仿宋_GB2312"/>
                <w:color w:val="000000"/>
                <w:sz w:val="20"/>
                <w:szCs w:val="20"/>
                <w:highlight w:val="none"/>
                <w:lang w:eastAsia="zh-CN"/>
              </w:rPr>
              <w:t>自有资金项目建设进度工作</w:t>
            </w:r>
          </w:p>
        </w:tc>
        <w:tc>
          <w:tcPr>
            <w:tcW w:w="4253" w:type="dxa"/>
            <w:gridSpan w:val="4"/>
            <w:tcBorders>
              <w:top w:val="single" w:color="auto" w:sz="4" w:space="0"/>
              <w:left w:val="nil"/>
              <w:bottom w:val="single" w:color="auto" w:sz="4" w:space="0"/>
              <w:right w:val="single" w:color="auto" w:sz="4" w:space="0"/>
            </w:tcBorders>
            <w:noWrap/>
            <w:vAlign w:val="center"/>
          </w:tcPr>
          <w:p>
            <w:pPr>
              <w:widowControl/>
              <w:jc w:val="left"/>
              <w:rPr>
                <w:rFonts w:hint="eastAsia" w:ascii="Times New Roman" w:hAnsi="Times New Roman" w:eastAsia="仿宋_GB2312"/>
                <w:color w:val="000000"/>
                <w:sz w:val="20"/>
                <w:szCs w:val="20"/>
                <w:highlight w:val="none"/>
                <w:lang w:eastAsia="zh-CN"/>
              </w:rPr>
            </w:pPr>
            <w:r>
              <w:rPr>
                <w:rFonts w:ascii="Times New Roman" w:hAnsi="Times New Roman" w:eastAsia="仿宋_GB2312"/>
                <w:color w:val="000000"/>
                <w:sz w:val="20"/>
                <w:szCs w:val="20"/>
                <w:highlight w:val="none"/>
              </w:rPr>
              <w:t>　</w:t>
            </w:r>
            <w:r>
              <w:rPr>
                <w:rFonts w:hint="eastAsia" w:ascii="Times New Roman" w:hAnsi="Times New Roman" w:eastAsia="仿宋_GB2312"/>
                <w:color w:val="000000"/>
                <w:sz w:val="20"/>
                <w:szCs w:val="20"/>
                <w:highlight w:val="none"/>
                <w:lang w:eastAsia="zh-CN"/>
              </w:rPr>
              <w:t>已按进度完成自有资金项目建设工作</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绩</w:t>
            </w:r>
          </w:p>
          <w:p>
            <w:pPr>
              <w:widowControl/>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效</w:t>
            </w:r>
          </w:p>
          <w:p>
            <w:pPr>
              <w:widowControl/>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指</w:t>
            </w:r>
          </w:p>
          <w:p>
            <w:pPr>
              <w:widowControl/>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标</w:t>
            </w:r>
          </w:p>
        </w:tc>
        <w:tc>
          <w:tcPr>
            <w:tcW w:w="1080"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一级指标</w:t>
            </w:r>
          </w:p>
        </w:tc>
        <w:tc>
          <w:tcPr>
            <w:tcW w:w="1080"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二级指标</w:t>
            </w:r>
          </w:p>
        </w:tc>
        <w:tc>
          <w:tcPr>
            <w:tcW w:w="130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三级指标</w:t>
            </w:r>
          </w:p>
        </w:tc>
        <w:tc>
          <w:tcPr>
            <w:tcW w:w="105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年度</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指标值</w:t>
            </w:r>
          </w:p>
        </w:tc>
        <w:tc>
          <w:tcPr>
            <w:tcW w:w="122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实际</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完成值</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分值</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得分</w:t>
            </w:r>
          </w:p>
        </w:tc>
        <w:tc>
          <w:tcPr>
            <w:tcW w:w="137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偏差原因</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分析及</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改进措施</w:t>
            </w:r>
          </w:p>
        </w:tc>
      </w:tr>
      <w:tr>
        <w:tblPrEx>
          <w:tblCellMar>
            <w:top w:w="0" w:type="dxa"/>
            <w:left w:w="108" w:type="dxa"/>
            <w:bottom w:w="0" w:type="dxa"/>
            <w:right w:w="108" w:type="dxa"/>
          </w:tblCellMar>
        </w:tblPrEx>
        <w:trPr>
          <w:trHeight w:val="230" w:hRule="atLeast"/>
          <w:jc w:val="center"/>
        </w:trPr>
        <w:tc>
          <w:tcPr>
            <w:tcW w:w="1080" w:type="dxa"/>
            <w:vMerge w:val="continue"/>
            <w:tcBorders>
              <w:left w:val="single" w:color="auto" w:sz="4" w:space="0"/>
              <w:right w:val="single" w:color="auto" w:sz="4" w:space="0"/>
            </w:tcBorders>
            <w:noWrap/>
            <w:vAlign w:val="center"/>
          </w:tcPr>
          <w:p>
            <w:pPr>
              <w:jc w:val="left"/>
              <w:rPr>
                <w:rFonts w:ascii="Times New Roman" w:hAnsi="Times New Roman" w:eastAsia="仿宋_GB2312"/>
                <w:color w:val="000000"/>
                <w:sz w:val="20"/>
                <w:szCs w:val="20"/>
              </w:rPr>
            </w:pPr>
          </w:p>
        </w:tc>
        <w:tc>
          <w:tcPr>
            <w:tcW w:w="1080" w:type="dxa"/>
            <w:vMerge w:val="restart"/>
            <w:tcBorders>
              <w:top w:val="nil"/>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产出指标</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(50分)</w:t>
            </w:r>
          </w:p>
        </w:tc>
        <w:tc>
          <w:tcPr>
            <w:tcW w:w="108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数量指标</w:t>
            </w:r>
          </w:p>
        </w:tc>
        <w:tc>
          <w:tcPr>
            <w:tcW w:w="130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olor w:val="000000"/>
                <w:sz w:val="20"/>
                <w:szCs w:val="20"/>
                <w:lang w:eastAsia="zh-CN"/>
              </w:rPr>
            </w:pPr>
            <w:r>
              <w:rPr>
                <w:rFonts w:hint="eastAsia" w:ascii="Times New Roman" w:hAnsi="Times New Roman" w:eastAsia="仿宋_GB2312"/>
                <w:color w:val="000000"/>
                <w:sz w:val="20"/>
                <w:szCs w:val="20"/>
                <w:lang w:eastAsia="zh-CN"/>
              </w:rPr>
              <w:t>支持项目数</w:t>
            </w:r>
          </w:p>
        </w:tc>
        <w:tc>
          <w:tcPr>
            <w:tcW w:w="105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3</w:t>
            </w:r>
          </w:p>
        </w:tc>
        <w:tc>
          <w:tcPr>
            <w:tcW w:w="122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山水林田综合治理项目、两馆连廊建设项目、免费开放项目</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olor w:val="000000"/>
                <w:sz w:val="20"/>
                <w:szCs w:val="20"/>
                <w:lang w:val="en-US" w:eastAsia="zh-CN"/>
              </w:rPr>
            </w:pPr>
            <w:r>
              <w:rPr>
                <w:rFonts w:hint="eastAsia" w:ascii="Times New Roman" w:hAnsi="Times New Roman" w:eastAsia="仿宋_GB2312"/>
                <w:color w:val="000000"/>
                <w:sz w:val="20"/>
                <w:szCs w:val="20"/>
                <w:lang w:val="en-US" w:eastAsia="zh-CN"/>
              </w:rPr>
              <w:t>10</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olor w:val="000000"/>
                <w:sz w:val="20"/>
                <w:szCs w:val="20"/>
                <w:lang w:val="en-US" w:eastAsia="zh-CN"/>
              </w:rPr>
            </w:pPr>
            <w:r>
              <w:rPr>
                <w:rFonts w:hint="eastAsia" w:ascii="Times New Roman" w:hAnsi="Times New Roman" w:eastAsia="仿宋_GB2312"/>
                <w:color w:val="000000"/>
                <w:sz w:val="20"/>
                <w:szCs w:val="20"/>
                <w:lang w:val="en-US" w:eastAsia="zh-CN"/>
              </w:rPr>
              <w:t>10</w:t>
            </w:r>
          </w:p>
        </w:tc>
        <w:tc>
          <w:tcPr>
            <w:tcW w:w="137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r>
      <w:tr>
        <w:tblPrEx>
          <w:tblCellMar>
            <w:top w:w="0" w:type="dxa"/>
            <w:left w:w="108" w:type="dxa"/>
            <w:bottom w:w="0" w:type="dxa"/>
            <w:right w:w="108" w:type="dxa"/>
          </w:tblCellMar>
        </w:tblPrEx>
        <w:trPr>
          <w:trHeight w:val="624" w:hRule="atLeast"/>
          <w:jc w:val="center"/>
        </w:trPr>
        <w:tc>
          <w:tcPr>
            <w:tcW w:w="1080" w:type="dxa"/>
            <w:vMerge w:val="continue"/>
            <w:tcBorders>
              <w:left w:val="single" w:color="auto" w:sz="4" w:space="0"/>
              <w:right w:val="single" w:color="auto" w:sz="4" w:space="0"/>
            </w:tcBorders>
            <w:noWrap/>
            <w:vAlign w:val="center"/>
          </w:tcPr>
          <w:p>
            <w:pPr>
              <w:jc w:val="left"/>
              <w:rPr>
                <w:rFonts w:ascii="Times New Roman" w:hAnsi="Times New Roman" w:eastAsia="仿宋_GB2312"/>
                <w:color w:val="000000"/>
                <w:sz w:val="20"/>
                <w:szCs w:val="20"/>
              </w:rPr>
            </w:pPr>
          </w:p>
        </w:tc>
        <w:tc>
          <w:tcPr>
            <w:tcW w:w="1080" w:type="dxa"/>
            <w:vMerge w:val="continue"/>
            <w:tcBorders>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质量指标</w:t>
            </w:r>
          </w:p>
        </w:tc>
        <w:tc>
          <w:tcPr>
            <w:tcW w:w="1304" w:type="dxa"/>
            <w:vMerge w:val="restart"/>
            <w:tcBorders>
              <w:top w:val="nil"/>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kern w:val="0"/>
                <w:szCs w:val="21"/>
              </w:rPr>
              <w:t>资金专款专用，专项核算比率</w:t>
            </w:r>
          </w:p>
        </w:tc>
        <w:tc>
          <w:tcPr>
            <w:tcW w:w="1054" w:type="dxa"/>
            <w:vMerge w:val="restart"/>
            <w:tcBorders>
              <w:top w:val="nil"/>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100%</w:t>
            </w:r>
          </w:p>
        </w:tc>
        <w:tc>
          <w:tcPr>
            <w:tcW w:w="1226" w:type="dxa"/>
            <w:vMerge w:val="restart"/>
            <w:tcBorders>
              <w:top w:val="nil"/>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100%</w:t>
            </w:r>
          </w:p>
        </w:tc>
        <w:tc>
          <w:tcPr>
            <w:tcW w:w="825" w:type="dxa"/>
            <w:vMerge w:val="restart"/>
            <w:tcBorders>
              <w:top w:val="nil"/>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olor w:val="000000"/>
                <w:sz w:val="20"/>
                <w:szCs w:val="20"/>
              </w:rPr>
            </w:pP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lang w:val="en-US" w:eastAsia="zh-CN"/>
              </w:rPr>
              <w:t>10</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c>
          <w:tcPr>
            <w:tcW w:w="825" w:type="dxa"/>
            <w:vMerge w:val="restart"/>
            <w:tcBorders>
              <w:top w:val="nil"/>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ind w:firstLine="200" w:firstLineChars="100"/>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lang w:val="en-US" w:eastAsia="zh-CN"/>
              </w:rPr>
              <w:t>10</w:t>
            </w:r>
          </w:p>
        </w:tc>
        <w:tc>
          <w:tcPr>
            <w:tcW w:w="1377" w:type="dxa"/>
            <w:tcBorders>
              <w:top w:val="single" w:color="auto" w:sz="4" w:space="0"/>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jc w:val="left"/>
              <w:rPr>
                <w:rFonts w:ascii="Times New Roman" w:hAnsi="Times New Roman" w:eastAsia="仿宋_GB2312"/>
                <w:color w:val="000000"/>
                <w:sz w:val="20"/>
                <w:szCs w:val="20"/>
              </w:rPr>
            </w:pPr>
          </w:p>
        </w:tc>
        <w:tc>
          <w:tcPr>
            <w:tcW w:w="1080" w:type="dxa"/>
            <w:vMerge w:val="continue"/>
            <w:tcBorders>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c>
          <w:tcPr>
            <w:tcW w:w="1304" w:type="dxa"/>
            <w:vMerge w:val="continue"/>
            <w:tcBorders>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c>
          <w:tcPr>
            <w:tcW w:w="1054" w:type="dxa"/>
            <w:vMerge w:val="continue"/>
            <w:tcBorders>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c>
          <w:tcPr>
            <w:tcW w:w="1226" w:type="dxa"/>
            <w:vMerge w:val="continue"/>
            <w:tcBorders>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c>
          <w:tcPr>
            <w:tcW w:w="825" w:type="dxa"/>
            <w:vMerge w:val="continue"/>
            <w:tcBorders>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c>
          <w:tcPr>
            <w:tcW w:w="825" w:type="dxa"/>
            <w:vMerge w:val="continue"/>
            <w:tcBorders>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c>
          <w:tcPr>
            <w:tcW w:w="137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jc w:val="left"/>
              <w:rPr>
                <w:rFonts w:ascii="Times New Roman" w:hAnsi="Times New Roman" w:eastAsia="仿宋_GB2312"/>
                <w:color w:val="000000"/>
                <w:sz w:val="20"/>
                <w:szCs w:val="20"/>
              </w:rPr>
            </w:pPr>
          </w:p>
        </w:tc>
        <w:tc>
          <w:tcPr>
            <w:tcW w:w="1080" w:type="dxa"/>
            <w:vMerge w:val="continue"/>
            <w:tcBorders>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olor w:val="000000"/>
                <w:sz w:val="20"/>
                <w:szCs w:val="20"/>
              </w:rPr>
            </w:pPr>
          </w:p>
        </w:tc>
        <w:tc>
          <w:tcPr>
            <w:tcW w:w="1080" w:type="dxa"/>
            <w:vMerge w:val="restart"/>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时效指标</w:t>
            </w:r>
          </w:p>
        </w:tc>
        <w:tc>
          <w:tcPr>
            <w:tcW w:w="130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highlight w:val="none"/>
                <w:lang w:eastAsia="zh-CN"/>
              </w:rPr>
              <w:t>山水林田工程二期完工时间</w:t>
            </w:r>
          </w:p>
        </w:tc>
        <w:tc>
          <w:tcPr>
            <w:tcW w:w="105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olor w:val="000000"/>
                <w:sz w:val="20"/>
                <w:szCs w:val="20"/>
                <w:lang w:val="en-US" w:eastAsia="zh-CN"/>
              </w:rPr>
            </w:pPr>
            <w:r>
              <w:rPr>
                <w:rFonts w:hint="eastAsia" w:ascii="Times New Roman" w:hAnsi="Times New Roman" w:eastAsia="仿宋_GB2312"/>
                <w:color w:val="000000"/>
                <w:sz w:val="20"/>
                <w:szCs w:val="20"/>
                <w:highlight w:val="none"/>
                <w:lang w:val="en-US" w:eastAsia="zh-CN"/>
              </w:rPr>
              <w:t>4月底前完成</w:t>
            </w:r>
          </w:p>
        </w:tc>
        <w:tc>
          <w:tcPr>
            <w:tcW w:w="122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olor w:val="000000"/>
                <w:sz w:val="20"/>
                <w:szCs w:val="20"/>
                <w:lang w:val="en-US" w:eastAsia="zh-CN"/>
              </w:rPr>
            </w:pPr>
            <w:r>
              <w:rPr>
                <w:rFonts w:hint="eastAsia" w:ascii="Times New Roman" w:hAnsi="Times New Roman" w:eastAsia="仿宋_GB2312"/>
                <w:color w:val="000000"/>
                <w:sz w:val="20"/>
                <w:szCs w:val="20"/>
                <w:highlight w:val="none"/>
                <w:lang w:val="en-US" w:eastAsia="zh-CN"/>
              </w:rPr>
              <w:t>4月21日完成</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olor w:val="000000"/>
                <w:sz w:val="20"/>
                <w:szCs w:val="20"/>
                <w:lang w:eastAsia="zh-CN"/>
              </w:rPr>
            </w:pPr>
            <w:r>
              <w:rPr>
                <w:rFonts w:hint="eastAsia" w:ascii="Times New Roman" w:hAnsi="Times New Roman" w:eastAsia="仿宋_GB2312"/>
                <w:color w:val="000000"/>
                <w:sz w:val="20"/>
                <w:szCs w:val="20"/>
                <w:lang w:val="en-US" w:eastAsia="zh-CN"/>
              </w:rPr>
              <w:t>5</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olor w:val="000000"/>
                <w:sz w:val="20"/>
                <w:szCs w:val="20"/>
                <w:lang w:eastAsia="zh-CN"/>
              </w:rPr>
            </w:pPr>
            <w:r>
              <w:rPr>
                <w:rFonts w:hint="eastAsia" w:ascii="Times New Roman" w:hAnsi="Times New Roman" w:eastAsia="仿宋_GB2312"/>
                <w:color w:val="000000"/>
                <w:sz w:val="20"/>
                <w:szCs w:val="20"/>
                <w:lang w:val="en-US" w:eastAsia="zh-CN"/>
              </w:rPr>
              <w:t>5</w:t>
            </w:r>
          </w:p>
        </w:tc>
        <w:tc>
          <w:tcPr>
            <w:tcW w:w="137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olor w:val="000000"/>
                <w:sz w:val="20"/>
                <w:szCs w:val="20"/>
                <w:lang w:val="en-US" w:eastAsia="zh-CN"/>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jc w:val="left"/>
              <w:rPr>
                <w:rFonts w:ascii="Times New Roman" w:hAnsi="Times New Roman" w:eastAsia="仿宋_GB2312"/>
                <w:color w:val="000000"/>
                <w:sz w:val="20"/>
                <w:szCs w:val="20"/>
              </w:rPr>
            </w:pPr>
          </w:p>
        </w:tc>
        <w:tc>
          <w:tcPr>
            <w:tcW w:w="1080" w:type="dxa"/>
            <w:vMerge w:val="continue"/>
            <w:tcBorders>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olor w:val="000000"/>
                <w:sz w:val="20"/>
                <w:szCs w:val="20"/>
              </w:rPr>
            </w:pPr>
          </w:p>
        </w:tc>
        <w:tc>
          <w:tcPr>
            <w:tcW w:w="1080" w:type="dxa"/>
            <w:vMerge w:val="continue"/>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c>
          <w:tcPr>
            <w:tcW w:w="130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olor w:val="000000"/>
                <w:sz w:val="20"/>
                <w:szCs w:val="20"/>
                <w:highlight w:val="none"/>
                <w:lang w:eastAsia="zh-CN"/>
              </w:rPr>
            </w:pPr>
            <w:r>
              <w:rPr>
                <w:rFonts w:hint="eastAsia" w:ascii="Times New Roman" w:hAnsi="Times New Roman" w:eastAsia="仿宋_GB2312"/>
                <w:color w:val="000000"/>
                <w:sz w:val="20"/>
                <w:szCs w:val="20"/>
                <w:highlight w:val="none"/>
                <w:lang w:eastAsia="zh-CN"/>
              </w:rPr>
              <w:t>山水林田工程二期验收时间</w:t>
            </w:r>
          </w:p>
        </w:tc>
        <w:tc>
          <w:tcPr>
            <w:tcW w:w="105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val="en-US" w:eastAsia="zh-CN"/>
              </w:rPr>
              <w:t>5月底前完成</w:t>
            </w:r>
          </w:p>
        </w:tc>
        <w:tc>
          <w:tcPr>
            <w:tcW w:w="122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val="en-US" w:eastAsia="zh-CN"/>
              </w:rPr>
              <w:t>5月28日完成</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olor w:val="000000"/>
                <w:sz w:val="20"/>
                <w:szCs w:val="20"/>
                <w:lang w:val="en-US" w:eastAsia="zh-CN"/>
              </w:rPr>
            </w:pPr>
            <w:r>
              <w:rPr>
                <w:rFonts w:hint="eastAsia" w:ascii="Times New Roman" w:hAnsi="Times New Roman" w:eastAsia="仿宋_GB2312"/>
                <w:color w:val="000000"/>
                <w:sz w:val="20"/>
                <w:szCs w:val="20"/>
                <w:lang w:val="en-US" w:eastAsia="zh-CN"/>
              </w:rPr>
              <w:t>5</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olor w:val="000000"/>
                <w:sz w:val="20"/>
                <w:szCs w:val="20"/>
                <w:lang w:val="en-US" w:eastAsia="zh-CN"/>
              </w:rPr>
            </w:pPr>
            <w:r>
              <w:rPr>
                <w:rFonts w:hint="eastAsia" w:ascii="Times New Roman" w:hAnsi="Times New Roman" w:eastAsia="仿宋_GB2312"/>
                <w:color w:val="000000"/>
                <w:sz w:val="20"/>
                <w:szCs w:val="20"/>
                <w:lang w:val="en-US" w:eastAsia="zh-CN"/>
              </w:rPr>
              <w:t>5</w:t>
            </w:r>
          </w:p>
        </w:tc>
        <w:tc>
          <w:tcPr>
            <w:tcW w:w="137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jc w:val="left"/>
              <w:rPr>
                <w:rFonts w:ascii="Times New Roman" w:hAnsi="Times New Roman" w:eastAsia="仿宋_GB2312"/>
                <w:color w:val="000000"/>
                <w:sz w:val="20"/>
                <w:szCs w:val="20"/>
              </w:rPr>
            </w:pPr>
          </w:p>
        </w:tc>
        <w:tc>
          <w:tcPr>
            <w:tcW w:w="1080" w:type="dxa"/>
            <w:vMerge w:val="continue"/>
            <w:tcBorders>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olor w:val="000000"/>
                <w:sz w:val="20"/>
                <w:szCs w:val="20"/>
              </w:rPr>
            </w:pPr>
          </w:p>
        </w:tc>
        <w:tc>
          <w:tcPr>
            <w:tcW w:w="1080" w:type="dxa"/>
            <w:vMerge w:val="continue"/>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c>
          <w:tcPr>
            <w:tcW w:w="130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highlight w:val="none"/>
                <w:lang w:eastAsia="zh-CN"/>
              </w:rPr>
              <w:t>两馆连廊项目签订设计合同时间</w:t>
            </w:r>
          </w:p>
        </w:tc>
        <w:tc>
          <w:tcPr>
            <w:tcW w:w="105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olor w:val="000000"/>
                <w:sz w:val="20"/>
                <w:szCs w:val="20"/>
                <w:lang w:eastAsia="zh-CN"/>
              </w:rPr>
            </w:pPr>
            <w:r>
              <w:rPr>
                <w:rFonts w:hint="eastAsia" w:ascii="Times New Roman" w:hAnsi="Times New Roman" w:eastAsia="仿宋_GB2312"/>
                <w:color w:val="000000"/>
                <w:sz w:val="20"/>
                <w:szCs w:val="20"/>
                <w:highlight w:val="none"/>
                <w:lang w:val="en-US" w:eastAsia="zh-CN"/>
              </w:rPr>
              <w:t>6月底前</w:t>
            </w:r>
          </w:p>
        </w:tc>
        <w:tc>
          <w:tcPr>
            <w:tcW w:w="122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olor w:val="000000"/>
                <w:sz w:val="20"/>
                <w:szCs w:val="20"/>
                <w:lang w:val="en-US" w:eastAsia="zh-CN"/>
              </w:rPr>
            </w:pPr>
            <w:r>
              <w:rPr>
                <w:rFonts w:hint="eastAsia" w:ascii="Times New Roman" w:hAnsi="Times New Roman" w:eastAsia="仿宋_GB2312"/>
                <w:color w:val="000000"/>
                <w:sz w:val="20"/>
                <w:szCs w:val="20"/>
                <w:highlight w:val="none"/>
                <w:lang w:val="en-US" w:eastAsia="zh-CN"/>
              </w:rPr>
              <w:t>6月8日完成</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w:t>
            </w:r>
          </w:p>
        </w:tc>
        <w:tc>
          <w:tcPr>
            <w:tcW w:w="137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r>
      <w:tr>
        <w:tblPrEx>
          <w:tblCellMar>
            <w:top w:w="0" w:type="dxa"/>
            <w:left w:w="108" w:type="dxa"/>
            <w:bottom w:w="0" w:type="dxa"/>
            <w:right w:w="108" w:type="dxa"/>
          </w:tblCellMar>
        </w:tblPrEx>
        <w:trPr>
          <w:trHeight w:val="700" w:hRule="atLeast"/>
          <w:jc w:val="center"/>
        </w:trPr>
        <w:tc>
          <w:tcPr>
            <w:tcW w:w="1080" w:type="dxa"/>
            <w:vMerge w:val="continue"/>
            <w:tcBorders>
              <w:left w:val="single" w:color="auto" w:sz="4" w:space="0"/>
              <w:right w:val="single" w:color="auto" w:sz="4" w:space="0"/>
            </w:tcBorders>
            <w:noWrap/>
            <w:vAlign w:val="center"/>
          </w:tcPr>
          <w:p>
            <w:pPr>
              <w:jc w:val="left"/>
              <w:rPr>
                <w:rFonts w:ascii="Times New Roman" w:hAnsi="Times New Roman" w:eastAsia="仿宋_GB2312"/>
                <w:color w:val="000000"/>
                <w:sz w:val="20"/>
                <w:szCs w:val="20"/>
              </w:rPr>
            </w:pPr>
          </w:p>
        </w:tc>
        <w:tc>
          <w:tcPr>
            <w:tcW w:w="1080" w:type="dxa"/>
            <w:vMerge w:val="continue"/>
            <w:tcBorders>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olor w:val="000000"/>
                <w:sz w:val="20"/>
                <w:szCs w:val="20"/>
              </w:rPr>
            </w:pPr>
          </w:p>
        </w:tc>
        <w:tc>
          <w:tcPr>
            <w:tcW w:w="108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成本指标</w:t>
            </w:r>
          </w:p>
        </w:tc>
        <w:tc>
          <w:tcPr>
            <w:tcW w:w="130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预设总量成本空置率</w:t>
            </w:r>
          </w:p>
        </w:tc>
        <w:tc>
          <w:tcPr>
            <w:tcW w:w="105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100%</w:t>
            </w:r>
          </w:p>
        </w:tc>
        <w:tc>
          <w:tcPr>
            <w:tcW w:w="122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100%</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w:t>
            </w:r>
          </w:p>
        </w:tc>
        <w:tc>
          <w:tcPr>
            <w:tcW w:w="137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jc w:val="left"/>
              <w:rPr>
                <w:rFonts w:ascii="Times New Roman" w:hAnsi="Times New Roman" w:eastAsia="仿宋_GB2312"/>
                <w:color w:val="000000"/>
                <w:sz w:val="20"/>
                <w:szCs w:val="20"/>
              </w:rPr>
            </w:pPr>
          </w:p>
        </w:tc>
        <w:tc>
          <w:tcPr>
            <w:tcW w:w="1080" w:type="dxa"/>
            <w:vMerge w:val="restart"/>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效益指标</w:t>
            </w:r>
          </w:p>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olor w:val="000000"/>
                <w:sz w:val="20"/>
                <w:szCs w:val="20"/>
              </w:rPr>
            </w:pPr>
          </w:p>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（30分）</w:t>
            </w:r>
          </w:p>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　</w:t>
            </w:r>
          </w:p>
        </w:tc>
        <w:tc>
          <w:tcPr>
            <w:tcW w:w="108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经济效</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益指标</w:t>
            </w:r>
          </w:p>
        </w:tc>
        <w:tc>
          <w:tcPr>
            <w:tcW w:w="1304"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olor w:val="000000"/>
                <w:sz w:val="20"/>
                <w:szCs w:val="20"/>
              </w:rPr>
            </w:pPr>
            <w:r>
              <w:rPr>
                <w:rFonts w:hint="eastAsia" w:ascii="Times New Roman" w:hAnsi="Times New Roman" w:eastAsia="仿宋_GB2312" w:cs="Times New Roman"/>
                <w:kern w:val="0"/>
                <w:sz w:val="18"/>
                <w:szCs w:val="18"/>
                <w:lang w:val="en-US" w:eastAsia="zh-CN" w:bidi="zh-CN"/>
              </w:rPr>
              <w:t>吸引和带动周边行业发展</w:t>
            </w:r>
          </w:p>
        </w:tc>
        <w:tc>
          <w:tcPr>
            <w:tcW w:w="1054"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s="Times New Roman"/>
                <w:kern w:val="0"/>
                <w:sz w:val="18"/>
                <w:szCs w:val="18"/>
                <w:lang w:val="en-US" w:eastAsia="zh-CN" w:bidi="zh-CN"/>
              </w:rPr>
              <w:t>公益性为主，带动周边行业发展</w:t>
            </w:r>
          </w:p>
        </w:tc>
        <w:tc>
          <w:tcPr>
            <w:tcW w:w="1226"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s="Times New Roman"/>
                <w:kern w:val="0"/>
                <w:sz w:val="18"/>
                <w:szCs w:val="18"/>
                <w:lang w:val="en-US" w:eastAsia="zh-CN" w:bidi="zh-CN"/>
              </w:rPr>
              <w:t>疫情期间仍是带动周边行业发展的主力</w:t>
            </w:r>
          </w:p>
        </w:tc>
        <w:tc>
          <w:tcPr>
            <w:tcW w:w="825"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olor w:val="000000"/>
                <w:sz w:val="20"/>
                <w:szCs w:val="20"/>
                <w:lang w:val="en-US" w:eastAsia="zh-CN"/>
              </w:rPr>
            </w:pPr>
            <w:r>
              <w:rPr>
                <w:rFonts w:hint="eastAsia" w:ascii="Times New Roman" w:hAnsi="Times New Roman" w:eastAsia="仿宋_GB2312"/>
                <w:color w:val="000000"/>
                <w:sz w:val="20"/>
                <w:szCs w:val="20"/>
                <w:lang w:val="en-US" w:eastAsia="zh-CN"/>
              </w:rPr>
              <w:t>5</w:t>
            </w:r>
          </w:p>
        </w:tc>
        <w:tc>
          <w:tcPr>
            <w:tcW w:w="825"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olor w:val="000000"/>
                <w:sz w:val="20"/>
                <w:szCs w:val="20"/>
                <w:lang w:val="en-US" w:eastAsia="zh-CN"/>
              </w:rPr>
            </w:pPr>
            <w:r>
              <w:rPr>
                <w:rFonts w:hint="eastAsia" w:ascii="Times New Roman" w:hAnsi="Times New Roman" w:eastAsia="仿宋_GB2312"/>
                <w:color w:val="000000"/>
                <w:sz w:val="20"/>
                <w:szCs w:val="20"/>
                <w:lang w:val="en-US" w:eastAsia="zh-CN"/>
              </w:rPr>
              <w:t>5</w:t>
            </w:r>
          </w:p>
        </w:tc>
        <w:tc>
          <w:tcPr>
            <w:tcW w:w="1377"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jc w:val="left"/>
              <w:rPr>
                <w:rFonts w:ascii="Times New Roman" w:hAnsi="Times New Roman" w:eastAsia="仿宋_GB2312"/>
                <w:color w:val="000000"/>
                <w:sz w:val="20"/>
                <w:szCs w:val="20"/>
              </w:rPr>
            </w:pPr>
          </w:p>
        </w:tc>
        <w:tc>
          <w:tcPr>
            <w:tcW w:w="1080" w:type="dxa"/>
            <w:vMerge w:val="continue"/>
            <w:tcBorders>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社会效</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益指标</w:t>
            </w:r>
          </w:p>
        </w:tc>
        <w:tc>
          <w:tcPr>
            <w:tcW w:w="130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博物馆教育功能拓展与延伸</w:t>
            </w:r>
          </w:p>
        </w:tc>
        <w:tc>
          <w:tcPr>
            <w:tcW w:w="105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充分拓展延伸本馆教育功能</w:t>
            </w:r>
          </w:p>
        </w:tc>
        <w:tc>
          <w:tcPr>
            <w:tcW w:w="122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保护好文物建筑的真实性，保存和展示其历史、艺术和科学价值</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w:t>
            </w:r>
          </w:p>
        </w:tc>
        <w:tc>
          <w:tcPr>
            <w:tcW w:w="137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jc w:val="left"/>
              <w:rPr>
                <w:rFonts w:ascii="Times New Roman" w:hAnsi="Times New Roman" w:eastAsia="仿宋_GB2312"/>
                <w:color w:val="000000"/>
                <w:sz w:val="20"/>
                <w:szCs w:val="20"/>
              </w:rPr>
            </w:pPr>
          </w:p>
        </w:tc>
        <w:tc>
          <w:tcPr>
            <w:tcW w:w="1080" w:type="dxa"/>
            <w:vMerge w:val="continue"/>
            <w:tcBorders>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olor w:val="000000"/>
                <w:sz w:val="20"/>
                <w:szCs w:val="20"/>
              </w:rPr>
            </w:pPr>
          </w:p>
        </w:tc>
        <w:tc>
          <w:tcPr>
            <w:tcW w:w="1080" w:type="dxa"/>
            <w:tcBorders>
              <w:top w:val="single" w:color="auto" w:sz="4" w:space="0"/>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生态效</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益指标</w:t>
            </w:r>
          </w:p>
        </w:tc>
        <w:tc>
          <w:tcPr>
            <w:tcW w:w="130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周边山水林田破坏率</w:t>
            </w:r>
          </w:p>
        </w:tc>
        <w:tc>
          <w:tcPr>
            <w:tcW w:w="105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0%</w:t>
            </w:r>
          </w:p>
        </w:tc>
        <w:tc>
          <w:tcPr>
            <w:tcW w:w="122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0%</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olor w:val="000000"/>
                <w:sz w:val="20"/>
                <w:szCs w:val="20"/>
                <w:lang w:eastAsia="zh-CN"/>
              </w:rPr>
            </w:pPr>
            <w:r>
              <w:rPr>
                <w:rFonts w:hint="eastAsia" w:ascii="Times New Roman" w:hAnsi="Times New Roman" w:eastAsia="仿宋_GB2312"/>
                <w:color w:val="000000"/>
                <w:sz w:val="20"/>
                <w:szCs w:val="20"/>
                <w:lang w:val="en-US" w:eastAsia="zh-CN"/>
              </w:rPr>
              <w:t>5</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olor w:val="000000"/>
                <w:sz w:val="20"/>
                <w:szCs w:val="20"/>
                <w:lang w:eastAsia="zh-CN"/>
              </w:rPr>
            </w:pPr>
            <w:r>
              <w:rPr>
                <w:rFonts w:hint="eastAsia" w:ascii="Times New Roman" w:hAnsi="Times New Roman" w:eastAsia="仿宋_GB2312"/>
                <w:color w:val="000000"/>
                <w:sz w:val="20"/>
                <w:szCs w:val="20"/>
                <w:lang w:val="en-US" w:eastAsia="zh-CN"/>
              </w:rPr>
              <w:t>5</w:t>
            </w:r>
          </w:p>
        </w:tc>
        <w:tc>
          <w:tcPr>
            <w:tcW w:w="137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p>
        </w:tc>
        <w:tc>
          <w:tcPr>
            <w:tcW w:w="1080" w:type="dxa"/>
            <w:vMerge w:val="continue"/>
            <w:tcBorders>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可持续影响指标</w:t>
            </w:r>
          </w:p>
        </w:tc>
        <w:tc>
          <w:tcPr>
            <w:tcW w:w="130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对我馆持续影响性</w:t>
            </w:r>
          </w:p>
        </w:tc>
        <w:tc>
          <w:tcPr>
            <w:tcW w:w="105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长久性</w:t>
            </w:r>
          </w:p>
        </w:tc>
        <w:tc>
          <w:tcPr>
            <w:tcW w:w="1226"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长久性</w:t>
            </w:r>
          </w:p>
        </w:tc>
        <w:tc>
          <w:tcPr>
            <w:tcW w:w="82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w:t>
            </w:r>
          </w:p>
        </w:tc>
        <w:tc>
          <w:tcPr>
            <w:tcW w:w="82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w:t>
            </w:r>
          </w:p>
        </w:tc>
        <w:tc>
          <w:tcPr>
            <w:tcW w:w="137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jc w:val="left"/>
              <w:rPr>
                <w:rFonts w:ascii="Times New Roman" w:hAnsi="Times New Roman" w:eastAsia="仿宋_GB2312"/>
                <w:color w:val="000000"/>
                <w:sz w:val="20"/>
                <w:szCs w:val="20"/>
              </w:rPr>
            </w:pPr>
          </w:p>
        </w:tc>
        <w:tc>
          <w:tcPr>
            <w:tcW w:w="1080" w:type="dxa"/>
            <w:tcBorders>
              <w:top w:val="nil"/>
              <w:left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满意度</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指标</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（10分）</w:t>
            </w:r>
          </w:p>
        </w:tc>
        <w:tc>
          <w:tcPr>
            <w:tcW w:w="108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服务对象满意度指标</w:t>
            </w:r>
          </w:p>
        </w:tc>
        <w:tc>
          <w:tcPr>
            <w:tcW w:w="130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ascii="Times New Roman" w:hAnsi="Times New Roman" w:eastAsia="仿宋_GB2312"/>
                <w:color w:val="000000"/>
                <w:sz w:val="20"/>
                <w:szCs w:val="20"/>
              </w:rPr>
              <w:t>项目受益人满意度</w:t>
            </w:r>
          </w:p>
        </w:tc>
        <w:tc>
          <w:tcPr>
            <w:tcW w:w="105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大于95%</w:t>
            </w:r>
          </w:p>
        </w:tc>
        <w:tc>
          <w:tcPr>
            <w:tcW w:w="122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98%</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w:t>
            </w:r>
          </w:p>
        </w:tc>
        <w:tc>
          <w:tcPr>
            <w:tcW w:w="82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w:t>
            </w:r>
          </w:p>
        </w:tc>
        <w:tc>
          <w:tcPr>
            <w:tcW w:w="137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仿宋_GB2312"/>
                <w:color w:val="000000"/>
                <w:sz w:val="20"/>
                <w:szCs w:val="20"/>
              </w:rPr>
            </w:pPr>
          </w:p>
        </w:tc>
      </w:tr>
      <w:tr>
        <w:tblPrEx>
          <w:tblCellMar>
            <w:top w:w="0" w:type="dxa"/>
            <w:left w:w="108" w:type="dxa"/>
            <w:bottom w:w="0" w:type="dxa"/>
            <w:right w:w="108" w:type="dxa"/>
          </w:tblCellMar>
        </w:tblPrEx>
        <w:trPr>
          <w:jc w:val="center"/>
        </w:trPr>
        <w:tc>
          <w:tcPr>
            <w:tcW w:w="6824" w:type="dxa"/>
            <w:gridSpan w:val="6"/>
            <w:tcBorders>
              <w:top w:val="single" w:color="auto" w:sz="4" w:space="0"/>
              <w:left w:val="single" w:color="auto" w:sz="4" w:space="0"/>
              <w:bottom w:val="single" w:color="auto" w:sz="4" w:space="0"/>
              <w:right w:val="single" w:color="000000" w:sz="4" w:space="0"/>
            </w:tcBorders>
            <w:noWrap/>
            <w:vAlign w:val="center"/>
          </w:tcPr>
          <w:p>
            <w:pPr>
              <w:widowControl/>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总分</w:t>
            </w:r>
          </w:p>
        </w:tc>
        <w:tc>
          <w:tcPr>
            <w:tcW w:w="825" w:type="dxa"/>
            <w:tcBorders>
              <w:top w:val="nil"/>
              <w:left w:val="nil"/>
              <w:bottom w:val="single" w:color="auto" w:sz="4" w:space="0"/>
              <w:right w:val="single" w:color="auto" w:sz="4" w:space="0"/>
            </w:tcBorders>
            <w:noWrap/>
            <w:vAlign w:val="center"/>
          </w:tcPr>
          <w:p>
            <w:pPr>
              <w:widowControl/>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100</w:t>
            </w:r>
          </w:p>
        </w:tc>
        <w:tc>
          <w:tcPr>
            <w:tcW w:w="825" w:type="dxa"/>
            <w:tcBorders>
              <w:top w:val="nil"/>
              <w:left w:val="nil"/>
              <w:bottom w:val="single" w:color="auto" w:sz="4" w:space="0"/>
              <w:right w:val="single" w:color="auto" w:sz="4" w:space="0"/>
            </w:tcBorders>
            <w:noWrap/>
            <w:vAlign w:val="center"/>
          </w:tcPr>
          <w:p>
            <w:pPr>
              <w:widowControl/>
              <w:jc w:val="left"/>
              <w:rPr>
                <w:rFonts w:hint="default" w:ascii="Times New Roman" w:hAnsi="Times New Roman" w:eastAsia="仿宋_GB2312"/>
                <w:color w:val="000000"/>
                <w:sz w:val="20"/>
                <w:szCs w:val="20"/>
                <w:lang w:val="en-US" w:eastAsia="zh-CN"/>
              </w:rPr>
            </w:pPr>
            <w:r>
              <w:rPr>
                <w:rFonts w:ascii="Times New Roman" w:hAnsi="Times New Roman" w:eastAsia="仿宋_GB2312"/>
                <w:color w:val="000000"/>
                <w:sz w:val="20"/>
                <w:szCs w:val="20"/>
              </w:rPr>
              <w:t>　</w:t>
            </w:r>
            <w:r>
              <w:rPr>
                <w:rFonts w:hint="eastAsia" w:ascii="Times New Roman" w:hAnsi="Times New Roman" w:eastAsia="仿宋_GB2312"/>
                <w:color w:val="000000"/>
                <w:sz w:val="20"/>
                <w:szCs w:val="20"/>
                <w:lang w:val="en-US" w:eastAsia="zh-CN"/>
              </w:rPr>
              <w:t>96.8</w:t>
            </w:r>
          </w:p>
        </w:tc>
        <w:tc>
          <w:tcPr>
            <w:tcW w:w="1377" w:type="dxa"/>
            <w:tcBorders>
              <w:top w:val="nil"/>
              <w:left w:val="nil"/>
              <w:bottom w:val="single" w:color="auto" w:sz="4" w:space="0"/>
              <w:right w:val="single" w:color="auto" w:sz="4" w:space="0"/>
            </w:tcBorders>
            <w:noWrap/>
            <w:vAlign w:val="center"/>
          </w:tcPr>
          <w:p>
            <w:pPr>
              <w:widowControl/>
              <w:jc w:val="left"/>
              <w:rPr>
                <w:rFonts w:ascii="Times New Roman" w:hAnsi="Times New Roman" w:eastAsia="仿宋_GB2312"/>
                <w:color w:val="000000"/>
                <w:sz w:val="20"/>
                <w:szCs w:val="20"/>
              </w:rPr>
            </w:pPr>
            <w:r>
              <w:rPr>
                <w:rFonts w:ascii="Times New Roman" w:hAnsi="Times New Roman" w:eastAsia="仿宋_GB2312"/>
                <w:color w:val="000000"/>
                <w:sz w:val="20"/>
                <w:szCs w:val="20"/>
              </w:rPr>
              <w:t>　</w:t>
            </w:r>
          </w:p>
        </w:tc>
      </w:tr>
    </w:tbl>
    <w:p>
      <w:pPr>
        <w:rPr>
          <w:rFonts w:ascii="Times New Roman" w:hAnsi="Times New Roman" w:eastAsia="仿宋_GB2312"/>
          <w:szCs w:val="21"/>
        </w:rPr>
      </w:pPr>
      <w:r>
        <w:rPr>
          <w:rFonts w:ascii="Times New Roman" w:hAnsi="Times New Roman" w:eastAsia="仿宋_GB2312"/>
          <w:sz w:val="20"/>
          <w:szCs w:val="20"/>
        </w:rPr>
        <w:t>备注：一个一级项目支出一张表。鉴于2022年开展省级专项资金三年（2019年-2021年）整体绩效评价，故本次可以不填报该自评表。</w:t>
      </w:r>
    </w:p>
    <w:p>
      <w:pPr>
        <w:rPr>
          <w:rFonts w:ascii="Times New Roman" w:hAnsi="Times New Roman" w:eastAsia="仿宋_GB2312"/>
          <w:sz w:val="22"/>
          <w:szCs w:val="22"/>
        </w:rPr>
      </w:pPr>
      <w:r>
        <w:rPr>
          <w:rFonts w:ascii="Times New Roman" w:hAnsi="Times New Roman" w:eastAsia="仿宋_GB2312"/>
          <w:sz w:val="22"/>
          <w:szCs w:val="22"/>
        </w:rPr>
        <w:t>填表人：</w:t>
      </w:r>
      <w:r>
        <w:rPr>
          <w:rFonts w:hint="eastAsia" w:ascii="Times New Roman" w:hAnsi="Times New Roman" w:eastAsia="仿宋_GB2312"/>
          <w:sz w:val="22"/>
          <w:szCs w:val="22"/>
          <w:lang w:eastAsia="zh-CN"/>
        </w:rPr>
        <w:t>章睿</w:t>
      </w:r>
      <w:r>
        <w:rPr>
          <w:rFonts w:ascii="Times New Roman" w:hAnsi="Times New Roman" w:eastAsia="仿宋_GB2312"/>
          <w:sz w:val="22"/>
          <w:szCs w:val="22"/>
        </w:rPr>
        <w:t xml:space="preserve">  填报日期：</w:t>
      </w:r>
      <w:r>
        <w:rPr>
          <w:rFonts w:hint="eastAsia" w:ascii="Times New Roman" w:hAnsi="Times New Roman" w:eastAsia="仿宋_GB2312"/>
          <w:sz w:val="22"/>
          <w:szCs w:val="22"/>
          <w:lang w:val="en-US" w:eastAsia="zh-CN"/>
        </w:rPr>
        <w:t>2022.4.12</w:t>
      </w:r>
      <w:r>
        <w:rPr>
          <w:rFonts w:ascii="Times New Roman" w:hAnsi="Times New Roman" w:eastAsia="仿宋_GB2312"/>
          <w:sz w:val="22"/>
          <w:szCs w:val="22"/>
        </w:rPr>
        <w:t xml:space="preserve">  联系电话：</w:t>
      </w:r>
      <w:r>
        <w:rPr>
          <w:rFonts w:hint="eastAsia" w:ascii="Times New Roman" w:hAnsi="Times New Roman" w:eastAsia="仿宋_GB2312"/>
          <w:sz w:val="22"/>
          <w:szCs w:val="22"/>
          <w:lang w:val="en-US" w:eastAsia="zh-CN"/>
        </w:rPr>
        <w:t>18673230666</w:t>
      </w:r>
      <w:r>
        <w:rPr>
          <w:rFonts w:ascii="Times New Roman" w:hAnsi="Times New Roman" w:eastAsia="仿宋_GB2312"/>
          <w:sz w:val="22"/>
          <w:szCs w:val="22"/>
        </w:rPr>
        <w:t xml:space="preserve">  单位负责人签字：</w:t>
      </w:r>
    </w:p>
    <w:p>
      <w:pPr>
        <w:pStyle w:val="2"/>
        <w:rPr>
          <w:rFonts w:hint="default"/>
          <w:lang w:val="en-US" w:eastAsia="zh-CN"/>
        </w:rPr>
      </w:pPr>
    </w:p>
    <w:sectPr>
      <w:pgSz w:w="11906" w:h="16838"/>
      <w:pgMar w:top="567" w:right="1800" w:bottom="56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C20694"/>
    <w:multiLevelType w:val="singleLevel"/>
    <w:tmpl w:val="C4C20694"/>
    <w:lvl w:ilvl="0" w:tentative="0">
      <w:start w:val="2"/>
      <w:numFmt w:val="chineseCounting"/>
      <w:suff w:val="nothing"/>
      <w:lvlText w:val="%1、"/>
      <w:lvlJc w:val="left"/>
      <w:rPr>
        <w:rFonts w:hint="eastAsia"/>
      </w:rPr>
    </w:lvl>
  </w:abstractNum>
  <w:abstractNum w:abstractNumId="1">
    <w:nsid w:val="FA5C8E54"/>
    <w:multiLevelType w:val="singleLevel"/>
    <w:tmpl w:val="FA5C8E54"/>
    <w:lvl w:ilvl="0" w:tentative="0">
      <w:start w:val="2"/>
      <w:numFmt w:val="chineseCounting"/>
      <w:suff w:val="nothing"/>
      <w:lvlText w:val="（%1）"/>
      <w:lvlJc w:val="left"/>
      <w:pPr>
        <w:ind w:left="-13"/>
      </w:pPr>
      <w:rPr>
        <w:rFonts w:hint="eastAsia"/>
      </w:rPr>
    </w:lvl>
  </w:abstractNum>
  <w:abstractNum w:abstractNumId="2">
    <w:nsid w:val="FADF4C48"/>
    <w:multiLevelType w:val="singleLevel"/>
    <w:tmpl w:val="FADF4C48"/>
    <w:lvl w:ilvl="0" w:tentative="0">
      <w:start w:val="8"/>
      <w:numFmt w:val="chineseCounting"/>
      <w:suff w:val="nothing"/>
      <w:lvlText w:val="%1、"/>
      <w:lvlJc w:val="left"/>
      <w:rPr>
        <w:rFonts w:hint="eastAsia"/>
      </w:rPr>
    </w:lvl>
  </w:abstractNum>
  <w:abstractNum w:abstractNumId="3">
    <w:nsid w:val="085BC3AF"/>
    <w:multiLevelType w:val="singleLevel"/>
    <w:tmpl w:val="085BC3AF"/>
    <w:lvl w:ilvl="0" w:tentative="0">
      <w:start w:val="3"/>
      <w:numFmt w:val="chineseCounting"/>
      <w:suff w:val="nothing"/>
      <w:lvlText w:val="%1、"/>
      <w:lvlJc w:val="left"/>
      <w:rPr>
        <w:rFonts w:hint="eastAsi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iNTMzOTU1M2QwYWE3ZDAxYmZiMjMzMmRkNGE4NDYifQ=="/>
  </w:docVars>
  <w:rsids>
    <w:rsidRoot w:val="23604612"/>
    <w:rsid w:val="032A06FB"/>
    <w:rsid w:val="051D37DA"/>
    <w:rsid w:val="071300FA"/>
    <w:rsid w:val="08253C58"/>
    <w:rsid w:val="0C555DFD"/>
    <w:rsid w:val="19F859B7"/>
    <w:rsid w:val="23604612"/>
    <w:rsid w:val="28B62B4A"/>
    <w:rsid w:val="37602EE8"/>
    <w:rsid w:val="37E86752"/>
    <w:rsid w:val="3C441D90"/>
    <w:rsid w:val="42621029"/>
    <w:rsid w:val="48B4120B"/>
    <w:rsid w:val="48C86E2C"/>
    <w:rsid w:val="4CD03FC5"/>
    <w:rsid w:val="4EAF1ABF"/>
    <w:rsid w:val="50B147E9"/>
    <w:rsid w:val="52A13EEE"/>
    <w:rsid w:val="5A235FB7"/>
    <w:rsid w:val="5AFF2640"/>
    <w:rsid w:val="69E075A3"/>
    <w:rsid w:val="70D862FD"/>
    <w:rsid w:val="73502D05"/>
    <w:rsid w:val="7902455C"/>
    <w:rsid w:val="7B58479C"/>
    <w:rsid w:val="7F7E4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2"/>
    <w:basedOn w:val="1"/>
    <w:unhideWhenUsed/>
    <w:qFormat/>
    <w:uiPriority w:val="0"/>
    <w:pPr>
      <w:spacing w:after="120" w:line="480" w:lineRule="auto"/>
    </w:pPr>
    <w:rPr>
      <w:rFonts w:ascii="Calibri" w:hAnsi="Calibri" w:cs="Calibri"/>
      <w:szCs w:val="21"/>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6">
    <w:name w:val="List Paragraph"/>
    <w:basedOn w:val="1"/>
    <w:qFormat/>
    <w:uiPriority w:val="99"/>
    <w:pPr>
      <w:ind w:firstLine="420" w:firstLineChars="200"/>
    </w:pPr>
    <w:rPr>
      <w:rFonts w:ascii="Calibri" w:hAnsi="Calibri"/>
      <w:szCs w:val="22"/>
    </w:rPr>
  </w:style>
  <w:style w:type="paragraph" w:customStyle="1" w:styleId="7">
    <w:name w:val="Table Paragraph"/>
    <w:basedOn w:val="1"/>
    <w:qFormat/>
    <w:uiPriority w:val="1"/>
    <w:pPr>
      <w:autoSpaceDE w:val="0"/>
      <w:autoSpaceDN w:val="0"/>
      <w:jc w:val="left"/>
    </w:pPr>
    <w:rPr>
      <w:rFonts w:ascii="宋体" w:hAnsi="宋体" w:cs="宋体"/>
      <w:kern w:val="0"/>
      <w:sz w:val="22"/>
      <w:szCs w:val="22"/>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8183</Words>
  <Characters>9613</Characters>
  <Lines>0</Lines>
  <Paragraphs>0</Paragraphs>
  <TotalTime>1</TotalTime>
  <ScaleCrop>false</ScaleCrop>
  <LinksUpToDate>false</LinksUpToDate>
  <CharactersWithSpaces>9891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2022-04-18T00:49:00Z</dcterms:created>
  <dc:creator>test</dc:creator>
  <cp:lastModifiedBy>睿妹</cp:lastModifiedBy>
  <cp:lastPrinted>2022-05-24T01:15:00Z</cp:lastPrinted>
  <dcterms:modified xsi:type="dcterms:W3CDTF">2022-09-13T02:49:03Z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18C054E29E2C4A069D57CDACCE574BE6</vt:lpwstr>
  </property>
  <property fmtid="{D5CDD505-2E9C-101B-9397-08002B2CF9AE}" pid="4" name="commondata">
    <vt:lpwstr>eyJoZGlkIjoiMGViNTMzOTU1M2QwYWE3ZDAxYmZiMjMzMmRkNGE4NDYifQ==</vt:lpwstr>
  </property>
</Properties>
</file>