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50" w:lineRule="atLeast"/>
        <w:jc w:val="center"/>
        <w:outlineLvl w:val="1"/>
        <w:rPr>
          <w:rFonts w:ascii="宋体" w:hAnsi="宋体" w:eastAsia="宋体" w:cs="宋体"/>
          <w:b/>
          <w:bCs/>
          <w:color w:val="666666"/>
          <w:kern w:val="0"/>
          <w:sz w:val="34"/>
          <w:szCs w:val="34"/>
        </w:rPr>
      </w:pPr>
      <w:r>
        <w:rPr>
          <w:rFonts w:ascii="宋体" w:hAnsi="宋体" w:eastAsia="宋体" w:cs="宋体"/>
          <w:b/>
          <w:bCs/>
          <w:color w:val="666666"/>
          <w:kern w:val="0"/>
          <w:sz w:val="34"/>
          <w:szCs w:val="34"/>
        </w:rPr>
        <w:t>湖南省社会科学院 2019年部门预算说明</w:t>
      </w:r>
    </w:p>
    <w:p>
      <w:pPr>
        <w:widowControl/>
        <w:wordWrap w:val="0"/>
        <w:spacing w:after="169" w:line="405" w:lineRule="atLeast"/>
        <w:ind w:firstLine="480"/>
        <w:jc w:val="center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目</w:t>
      </w:r>
      <w:r>
        <w:rPr>
          <w:rFonts w:hint="eastAsia" w:ascii="宋体" w:hAnsi="宋体" w:eastAsia="宋体" w:cs="宋体"/>
          <w:color w:val="333333"/>
          <w:kern w:val="0"/>
          <w:sz w:val="32"/>
        </w:rPr>
        <w:t> 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录</w:t>
      </w:r>
    </w:p>
    <w:p>
      <w:pPr>
        <w:widowControl/>
        <w:wordWrap w:val="0"/>
        <w:spacing w:after="169" w:line="405" w:lineRule="atLeast"/>
        <w:ind w:firstLine="480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仿宋_GB2312" w:hAnsi="黑体" w:eastAsia="仿宋_GB2312" w:cs="宋体"/>
          <w:b/>
          <w:bCs/>
          <w:color w:val="333333"/>
          <w:kern w:val="0"/>
          <w:sz w:val="32"/>
        </w:rPr>
        <w:t>第一部分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</w:rPr>
        <w:t> </w:t>
      </w:r>
      <w:r>
        <w:rPr>
          <w:rFonts w:hint="eastAsia" w:ascii="方正小标宋_GBK" w:hAnsi="黑体" w:eastAsia="方正小标宋_GBK" w:cs="宋体"/>
          <w:color w:val="333333"/>
          <w:kern w:val="0"/>
          <w:sz w:val="32"/>
          <w:szCs w:val="32"/>
        </w:rPr>
        <w:t>2</w:t>
      </w:r>
      <w:r>
        <w:rPr>
          <w:rFonts w:hint="eastAsia" w:ascii="黑体" w:hAnsi="黑体" w:eastAsia="黑体" w:cs="宋体"/>
          <w:b/>
          <w:bCs/>
          <w:color w:val="333333"/>
          <w:kern w:val="0"/>
          <w:sz w:val="32"/>
        </w:rPr>
        <w:t>019</w:t>
      </w:r>
      <w:r>
        <w:rPr>
          <w:rFonts w:hint="eastAsia" w:ascii="仿宋_GB2312" w:hAnsi="黑体" w:eastAsia="仿宋_GB2312" w:cs="宋体"/>
          <w:b/>
          <w:bCs/>
          <w:color w:val="333333"/>
          <w:kern w:val="0"/>
          <w:sz w:val="32"/>
        </w:rPr>
        <w:t>年部门预算说明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一、部门基本概况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二、部门预算单位构成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三、部门收支总体情况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四、一般公共预算拨款支出预算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五、其他重要事项的情况说明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rPr>
          <w:rFonts w:hint="eastAsia" w:ascii="仿宋_GB2312" w:hAnsi="黑体" w:eastAsia="仿宋_GB2312" w:cs="宋体"/>
          <w:b/>
          <w:bCs/>
          <w:color w:val="333333"/>
          <w:kern w:val="0"/>
          <w:sz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六、名词解释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仿宋_GB2312" w:hAnsi="黑体" w:eastAsia="仿宋_GB2312" w:cs="宋体"/>
          <w:b/>
          <w:bCs/>
          <w:color w:val="333333"/>
          <w:kern w:val="0"/>
          <w:sz w:val="32"/>
        </w:rPr>
        <w:t>第二部分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</w:rPr>
        <w:t> </w:t>
      </w:r>
      <w:r>
        <w:rPr>
          <w:rFonts w:hint="eastAsia" w:ascii="黑体" w:hAnsi="黑体" w:eastAsia="黑体" w:cs="宋体"/>
          <w:b/>
          <w:bCs/>
          <w:color w:val="333333"/>
          <w:kern w:val="0"/>
          <w:sz w:val="32"/>
        </w:rPr>
        <w:t>2019</w:t>
      </w:r>
      <w:r>
        <w:rPr>
          <w:rFonts w:hint="eastAsia" w:ascii="仿宋_GB2312" w:hAnsi="黑体" w:eastAsia="仿宋_GB2312" w:cs="宋体"/>
          <w:b/>
          <w:bCs/>
          <w:color w:val="333333"/>
          <w:kern w:val="0"/>
          <w:sz w:val="32"/>
        </w:rPr>
        <w:t>年部门预算公开表格</w:t>
      </w:r>
      <w:r>
        <w:rPr>
          <w:rFonts w:hint="eastAsia" w:ascii="微软雅黑" w:hAnsi="微软雅黑" w:eastAsia="微软雅黑" w:cs="宋体"/>
          <w:color w:val="333333"/>
          <w:kern w:val="0"/>
          <w:sz w:val="20"/>
        </w:rPr>
        <w:t> </w:t>
      </w:r>
      <w:r>
        <w:rPr>
          <w:rFonts w:hint="eastAsia" w:ascii="微软雅黑" w:hAnsi="微软雅黑" w:eastAsia="微软雅黑" w:cs="宋体"/>
          <w:color w:val="FFFFFF"/>
          <w:kern w:val="0"/>
          <w:sz w:val="20"/>
          <w:szCs w:val="20"/>
        </w:rPr>
        <w:t>内容来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1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、部门收支总体情况表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2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、部门收入总体情况表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3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、部门支出总体情况表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4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、部门支出总表（按部门预算经济分类）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5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、部门支出总表（按政府预算经济分类）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6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、省级基本支出预算明细表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-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工资福利支出（按部门预算经济分类）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7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、省级基本支出预算明细表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-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工资福利支出（按政府预算经济分类）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8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、省级基本支出预算明细表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-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商品和服务支出（按部门预算经济分类）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9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、省级基本支出预算明细表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-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商品和服务支出（按政府预算经济分类）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10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、省级基本支出预算明细表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-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对个人和家庭的补助（按部门预算经济分类）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11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、省级基本支出预算明细表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-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对个人和家庭的补助（按政府预算经济分类）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12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、财政拨款收支总体情况表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13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、一般公共预算支出情况表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14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、一般公共预算基本支出情况表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15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、一般公共预算省级基本支出预算明细表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-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工资福利支出（按部门预算经济分类）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16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、一般公共预算省级基本支出预算明细表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-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工资福利支出（按政府预算经济分类）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17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、一般公共预算省级基本支出预算明细表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-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商品和服务支出（按部门预算经济分类）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18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、一般公共预算省级基本支出预算明细表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-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商品和服务支出（按政府预算经济分类）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19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、一般公共预算省级基本支出预算明细表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-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对个人和家庭的补助（按部门预算经济分类）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20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、一般公共预算省级基本支出预算明细表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-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对个人和家庭的补助（按政府预算经济分类）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21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、政府性基金预算支出情况表（按部门预算经济分类）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22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、政府性基金预算支出情况表（按政府预算经济分类）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23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、纳入专户管理的非税收入拨款预算分类汇总表（按部门预算经济分类）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24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、纳入专户管理的非税收入拨款预算分类汇总表（按政府预算经济分类）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25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、一般公共预算拨款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--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经费拨款预算表（按部门预算经济分类）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26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、一般公共预算拨款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--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经费拨款预算表（按政府预算经济分类）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27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、省级专项资金清单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28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、一般公共预算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“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三公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”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经费预算表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29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、项目支出绩效目标表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30</w:t>
      </w: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、整体支出绩效目标表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 </w:t>
      </w:r>
    </w:p>
    <w:p>
      <w:pPr>
        <w:widowControl/>
        <w:wordWrap w:val="0"/>
        <w:spacing w:after="169" w:line="405" w:lineRule="atLeast"/>
        <w:ind w:firstLine="480"/>
        <w:jc w:val="center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仿宋_GB2312" w:hAnsi="黑体" w:eastAsia="仿宋_GB2312" w:cs="宋体"/>
          <w:b/>
          <w:bCs/>
          <w:color w:val="333333"/>
          <w:kern w:val="0"/>
          <w:sz w:val="32"/>
        </w:rPr>
        <w:t>第一部分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</w:rPr>
        <w:t> </w:t>
      </w:r>
      <w:r>
        <w:rPr>
          <w:rFonts w:hint="eastAsia" w:ascii="方正小标宋_GBK" w:hAnsi="黑体" w:eastAsia="方正小标宋_GBK" w:cs="宋体"/>
          <w:color w:val="333333"/>
          <w:kern w:val="0"/>
          <w:sz w:val="32"/>
          <w:szCs w:val="32"/>
        </w:rPr>
        <w:t>2</w:t>
      </w:r>
      <w:r>
        <w:rPr>
          <w:rFonts w:hint="eastAsia" w:ascii="黑体" w:hAnsi="黑体" w:eastAsia="黑体" w:cs="宋体"/>
          <w:b/>
          <w:bCs/>
          <w:color w:val="333333"/>
          <w:kern w:val="0"/>
          <w:sz w:val="32"/>
        </w:rPr>
        <w:t>019</w:t>
      </w:r>
      <w:r>
        <w:rPr>
          <w:rFonts w:hint="eastAsia" w:ascii="仿宋_GB2312" w:hAnsi="黑体" w:eastAsia="仿宋_GB2312" w:cs="宋体"/>
          <w:b/>
          <w:bCs/>
          <w:color w:val="333333"/>
          <w:kern w:val="0"/>
          <w:sz w:val="32"/>
        </w:rPr>
        <w:t>年部门预算说明</w:t>
      </w:r>
      <w:r>
        <w:rPr>
          <w:rFonts w:hint="eastAsia" w:ascii="微软雅黑" w:hAnsi="微软雅黑" w:eastAsia="微软雅黑" w:cs="宋体"/>
          <w:color w:val="333333"/>
          <w:kern w:val="0"/>
          <w:sz w:val="20"/>
        </w:rPr>
        <w:t> </w:t>
      </w:r>
      <w:r>
        <w:rPr>
          <w:rFonts w:hint="eastAsia" w:ascii="微软雅黑" w:hAnsi="微软雅黑" w:eastAsia="微软雅黑" w:cs="宋体"/>
          <w:color w:val="FFFFFF"/>
          <w:kern w:val="0"/>
          <w:sz w:val="20"/>
          <w:szCs w:val="20"/>
        </w:rPr>
        <w:t>本文来自湖南省社会科学院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一、部门基本概况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1、湖南省社会科学院是进行社会科学研究，承担国家、省社科规划课题和党政部门的研究任务的专门机构。承担的主要职能、职责及业务范围有：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①、当好思想库、智囊团，为省委省政府决策服务;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②、开展哲学社会科学研究，促进哲学社会科学繁荣发展;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③、承担各级党委政府和相关部办委厅局、企事业单位委托研究项目，服务经济社会发展;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④、负责全省社科研究系列职称评审工作;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⑤、负责社科大院(社科院、社科联、地方志)三家单位的后勤基建工作;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⑥、承办省委省政府交办的其他工作。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、我院设有6个职能部门：办公室、科研处、人事与离退休工作处、后勤与财务处、机关党委、工会;2个科辅部门：文献信息中心(图书馆)，《求索》杂志社;9个研究所：文学研究所、历史研究所、哲学研究所、经济研究所、区域经济与系统工程研究所、产业经济研究所、中国马克思主义研究所、社会学研究所、人力资源研究所。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二、部门预算单位构成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湖南省社会科学院只有本级，没有其他二级预算单位，因此，纳入2019年部门预算编制范围的只有湖南省社会科学院本级。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三、部门收支总体情况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2019年部门预算只有本级预算。收入包括一般公共预算收入和纳入一般公共预算管理的非税收入;支出包括保障我院基本运行的经费，也包括科学研究的专项经费，本部门政府性基金收支数额为0。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(一)收入预算：2019年年初预算数5947.23万元，其中，一般公共预算拨款5869.94万元，纳入一般公共预算管理的非税收入拨款77.29万元。收入较去年增加238.91万元，主要是新进人人员增人增支以及机关事业单位津补贴(绩效工资)提标。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(二)支出预算：2019年年初预算数5947.23万元，其中，科学技术5239.23万元，社会保障和就业支出688万元，卫生健康支出支出20万元，较去年增加238.91万元，主要是新进人员增人增支及机关事业单位津补贴(绩效工资)提标支出。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四、一般公共预算拨款支出预算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2019年一般公共预算拨款收入5947.23万元，具体安排情况如下：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(一)基本支出：2019年基本支出年初预算数为4073.48万元，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(二)项目支出：2019年项目支出年初预算数为1873.75万元，是指单位为完成特定行政工作任务或事业发展目标而发生的支出，包括有关事业发展专项、业务工作经费、基本建设支出等。其中：按项目管理的商品和服务支出1415.75万元，主要用于科学事业研究等方面的支出;资本性支出458万元，主要用于我院图书馆维修改造支出。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五、其他重要事项的情况说明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1、机关运行经费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2019年我院行政事业单位的机关运行经费当年一般公共预算拨款661.98万元，比2018年预算增加40.13万元，上升6.38%。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2、“三公”经费预算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2019年“三公”经费预算数为25万元，其中，公务接待费10万元，公务用车购置及运行费15万元(其中，公务用车购置费0万元，公务用车运行费15万元)，因公出国(境)费0万元。2019年“三公”经费预算较2018年减少45万元，主要是我院执行上级部门“厉行节约”政策，严控三公经费支出，加上从2019年起，我院开始实施公车改革，原有的9台公车从2018年12月下降至4台保障用车，减少了公务用车运行费支出。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3、政府采购情况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2019年我院政府采购预算总额489万元，其中，政府采购货物预算31万元;政府采购工程预算458万元;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4、国有资产占用使用情况说明：截至2018年6月30日，共有车辆9辆，其中，一般公务用车9辆。单位价值50万元以上通用设备0台，单位价值100万元以上专用设备0台。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5、预算绩效目标说明：本部门整体支出和项目支出实行绩效目标管理，纳入2019年部门整体支出绩效目标的金额为5947.23万元，其中，基本支出4073.48万元，项目支出1873.75万元。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6、政府性基金预算说明：本部门无政府性基金预算收入及支出。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六、名词解释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、“三公”经费：纳入省财政预算管理的“三公“经费，是指用一般公共预算拨款安排的公务接待费、公务用车购置及运行维护费和因公出国(境)费。其中，公务接待费反映单位按规定开支的各类公务接待支出;公务用车购置及运行费反映单位公务用车车辆购置支出(含车辆购置税)，以及燃料费、维修费、保险费等支出;因公出国(境)费反映单位公务出国(境)的国际旅费、国外城市间交通费、食宿费等支出。</w:t>
      </w:r>
    </w:p>
    <w:p>
      <w:pPr>
        <w:widowControl/>
        <w:wordWrap w:val="0"/>
        <w:spacing w:after="169" w:line="405" w:lineRule="atLeast"/>
        <w:ind w:firstLine="480"/>
        <w:jc w:val="righ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湖南省社会科学院</w:t>
      </w:r>
    </w:p>
    <w:p>
      <w:pPr>
        <w:widowControl/>
        <w:wordWrap w:val="0"/>
        <w:spacing w:after="169" w:line="405" w:lineRule="atLeast"/>
        <w:ind w:firstLine="480"/>
        <w:jc w:val="righ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2019年3月7日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第二部分：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部门预算公开的表格情况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1、部门收支总体情况表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2、部门收入总体情况表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3、部门支出总体情况表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4、部门支出总表(按部门预算经济分类)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5、部门支出总表(按政府预算经济分类)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6、省级基本支出预算明细表-工资福利支出(按部门预算经济分类)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7、省级基本支出预算明细表-工资福利支出(按政府预算经济分类)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8、省级基本支出预算明细表-商品和服务支出(按部门预算经济分类)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9、省级基本支出预算明细表-商品和服务支出(按政府预算经济分类)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10、省级基本支出预算明细表-对个人和家庭的补助(按部门预算经济分类)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11、省级基本支出预算明细表-对个人和家庭的补助(按政府预算经济分类)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12、财政拨款收支总体情况表 </w:t>
      </w:r>
      <w:r>
        <w:rPr>
          <w:rFonts w:hint="eastAsia" w:ascii="仿宋" w:hAnsi="仿宋" w:eastAsia="仿宋" w:cs="仿宋"/>
          <w:color w:val="FFFFFF"/>
          <w:kern w:val="0"/>
          <w:sz w:val="32"/>
          <w:szCs w:val="32"/>
        </w:rPr>
        <w:t>copyright 湖南省社会科</w:t>
      </w:r>
      <w:bookmarkStart w:id="0" w:name="_GoBack"/>
      <w:bookmarkEnd w:id="0"/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13、一般公共预算支出情况表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14、一般公共预算基本支出情况表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15、一般公共预算省级基本支出预算明细表-工资福利支出(按部门预算经济分类)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16、一般公共预算省级基本支出预算明细表-工资福利支出(按政府预算经济分类)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17、一般公共预算省级基本支出预算明细表-商品和服务支出(按部门预算经济分类)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18、一般公共预算省级基本支出预算明细表-商品和服务支出(按政府预算经济分类)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19、一般公共预算省级基本支出预算明细表-对个人和家庭的补助(按部门预算经济分类)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20、一般公共预算省级基本支出预算明细表-对个人和家庭的补助(按政府预算经济分类)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21、政府性基金预算支出情况表(按部门预算经济分类)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22、政府性基金预算支出情况表(按政府预算经济分类)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23、纳入专户管理的非税收入拨款预算分类汇总表(按部门预算经济分类)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24、纳入专户管理的非税收入拨款预算分类汇总表(按政府预算经济分类)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25、一般公共预算拨款--经费拨款预算表(按部门预算经济分类)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26、一般公共预算拨款--经费拨款预算表(按政府预算经济分类)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27、省级专项资金清单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28、一般公共预算“三公”经费预算表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29、项目支出绩效目标表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30、整体支出绩效目标表</w:t>
      </w:r>
    </w:p>
    <w:p>
      <w:pPr>
        <w:widowControl/>
        <w:wordWrap w:val="0"/>
        <w:spacing w:after="169" w:line="405" w:lineRule="atLeas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表格链接下载：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"http://www.hnass.cn/u/article/201903/08/b85ed12ff8d99584.rar"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color w:val="0B5AA8"/>
          <w:kern w:val="0"/>
          <w:sz w:val="32"/>
          <w:szCs w:val="32"/>
        </w:rPr>
        <w:t>/u/article/201903/08/b85ed12ff8d99584.rar</w:t>
      </w:r>
      <w:r>
        <w:rPr>
          <w:rFonts w:hint="eastAsia" w:ascii="仿宋" w:hAnsi="仿宋" w:eastAsia="仿宋" w:cs="仿宋"/>
          <w:color w:val="0B5AA8"/>
          <w:kern w:val="0"/>
          <w:sz w:val="32"/>
          <w:szCs w:val="32"/>
        </w:rPr>
        <w:fldChar w:fldCharType="end"/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0A21"/>
    <w:rsid w:val="00273296"/>
    <w:rsid w:val="004A131E"/>
    <w:rsid w:val="00530A21"/>
    <w:rsid w:val="7A12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标题 2 Char"/>
    <w:basedOn w:val="5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9">
    <w:name w:val="apple-converted-space"/>
    <w:basedOn w:val="5"/>
    <w:uiPriority w:val="0"/>
  </w:style>
  <w:style w:type="character" w:customStyle="1" w:styleId="10">
    <w:name w:val="item_views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584</Words>
  <Characters>3329</Characters>
  <Lines>27</Lines>
  <Paragraphs>7</Paragraphs>
  <TotalTime>1</TotalTime>
  <ScaleCrop>false</ScaleCrop>
  <LinksUpToDate>false</LinksUpToDate>
  <CharactersWithSpaces>3906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2021-07-04T04:20:00Z</dcterms:created>
  <dc:creator>Windows 用户</dc:creator>
  <cp:lastModifiedBy>admin</cp:lastModifiedBy>
  <dcterms:modified xsi:type="dcterms:W3CDTF">2021-07-04T04:31:30Z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AC03298FAB0843D8994CBA3F385583C6</vt:lpwstr>
  </property>
</Properties>
</file>