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kern w:val="0"/>
          <w:sz w:val="32"/>
          <w:szCs w:val="32"/>
        </w:rPr>
      </w:pPr>
    </w:p>
    <w:p>
      <w:pPr>
        <w:pStyle w:val="2"/>
      </w:pPr>
    </w:p>
    <w:p>
      <w:pPr>
        <w:spacing w:line="600" w:lineRule="exact"/>
        <w:rPr>
          <w:rFonts w:eastAsia="黑体"/>
          <w:kern w:val="0"/>
          <w:sz w:val="32"/>
          <w:szCs w:val="32"/>
        </w:rPr>
      </w:pPr>
    </w:p>
    <w:p>
      <w:pPr>
        <w:spacing w:line="600" w:lineRule="exact"/>
        <w:rPr>
          <w:rFonts w:eastAsia="黑体"/>
          <w:kern w:val="0"/>
          <w:sz w:val="32"/>
          <w:szCs w:val="32"/>
        </w:rPr>
      </w:pPr>
    </w:p>
    <w:p>
      <w:pPr>
        <w:spacing w:line="640" w:lineRule="exact"/>
        <w:jc w:val="center"/>
        <w:rPr>
          <w:rFonts w:ascii="方正小标宋简体" w:eastAsia="方正小标宋简体"/>
          <w:sz w:val="48"/>
          <w:szCs w:val="48"/>
        </w:rPr>
      </w:pPr>
      <w:r>
        <w:rPr>
          <w:rFonts w:hint="eastAsia" w:ascii="方正小标宋简体" w:eastAsia="方正小标宋简体"/>
          <w:sz w:val="48"/>
          <w:szCs w:val="48"/>
        </w:rPr>
        <w:t>2022年度湖南省人民政府驻深圳办事处整体支出绩效自评报告</w:t>
      </w:r>
    </w:p>
    <w:p>
      <w:pP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2"/>
          <w:szCs w:val="32"/>
        </w:rPr>
      </w:pPr>
      <w:r>
        <w:rPr>
          <w:rFonts w:eastAsia="黑体"/>
          <w:sz w:val="36"/>
          <w:szCs w:val="36"/>
        </w:rPr>
        <w:t>单位名称（盖章）：</w:t>
      </w:r>
      <w:r>
        <w:rPr>
          <w:rFonts w:hint="eastAsia" w:eastAsia="黑体"/>
          <w:sz w:val="32"/>
          <w:szCs w:val="32"/>
        </w:rPr>
        <w:t>湖南省人民政府驻深圳办事处</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仿宋_GB2312"/>
          <w:sz w:val="32"/>
          <w:szCs w:val="32"/>
        </w:rPr>
      </w:pPr>
      <w:r>
        <w:rPr>
          <w:rFonts w:eastAsia="仿宋_GB2312"/>
          <w:sz w:val="32"/>
          <w:szCs w:val="32"/>
        </w:rPr>
        <w:t>（此页为封面）</w:t>
      </w:r>
    </w:p>
    <w:p>
      <w:pPr>
        <w:spacing w:line="600" w:lineRule="exact"/>
        <w:rPr>
          <w:rFonts w:eastAsia="黑体"/>
          <w:sz w:val="32"/>
          <w:szCs w:val="32"/>
        </w:rPr>
        <w:sectPr>
          <w:pgSz w:w="11906" w:h="16838"/>
          <w:pgMar w:top="1440" w:right="1800" w:bottom="1440" w:left="1800" w:header="851" w:footer="992" w:gutter="0"/>
          <w:cols w:space="425" w:num="1"/>
          <w:docGrid w:type="lines" w:linePitch="312" w:charSpace="0"/>
        </w:sectPr>
      </w:pPr>
    </w:p>
    <w:p>
      <w:pPr>
        <w:spacing w:line="600" w:lineRule="exact"/>
        <w:ind w:firstLine="640" w:firstLineChars="200"/>
        <w:rPr>
          <w:rFonts w:eastAsia="黑体"/>
          <w:sz w:val="32"/>
          <w:szCs w:val="32"/>
        </w:rPr>
      </w:pPr>
      <w:r>
        <w:rPr>
          <w:rFonts w:eastAsia="黑体"/>
          <w:sz w:val="32"/>
          <w:szCs w:val="32"/>
        </w:rPr>
        <w:t>一、基本情况</w:t>
      </w:r>
    </w:p>
    <w:p>
      <w:pPr>
        <w:spacing w:line="600" w:lineRule="exact"/>
        <w:ind w:firstLine="642" w:firstLineChars="200"/>
        <w:rPr>
          <w:rFonts w:eastAsia="楷体_GB2312"/>
          <w:b/>
          <w:sz w:val="32"/>
          <w:szCs w:val="32"/>
        </w:rPr>
      </w:pPr>
      <w:r>
        <w:rPr>
          <w:rFonts w:eastAsia="楷体_GB2312"/>
          <w:b/>
          <w:sz w:val="32"/>
          <w:szCs w:val="32"/>
        </w:rPr>
        <w:t>（一）部门（单位）基本情况</w:t>
      </w:r>
    </w:p>
    <w:p>
      <w:pPr>
        <w:snapToGrid w:val="0"/>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1、主要职能</w:t>
      </w:r>
    </w:p>
    <w:p>
      <w:pPr>
        <w:widowControl/>
        <w:spacing w:line="600" w:lineRule="exact"/>
        <w:ind w:firstLine="588" w:firstLineChars="196"/>
        <w:jc w:val="left"/>
        <w:rPr>
          <w:rFonts w:ascii="华文仿宋" w:hAnsi="华文仿宋" w:eastAsia="华文仿宋"/>
          <w:sz w:val="30"/>
          <w:szCs w:val="30"/>
        </w:rPr>
      </w:pPr>
      <w:r>
        <w:rPr>
          <w:rFonts w:hint="eastAsia" w:ascii="华文仿宋" w:hAnsi="华文仿宋" w:eastAsia="华文仿宋"/>
          <w:sz w:val="30"/>
          <w:szCs w:val="30"/>
        </w:rPr>
        <w:t>深圳办事处为省政府派出机构，履行省政府赋予的相应职权。办事处为财政</w:t>
      </w:r>
      <w:r>
        <w:rPr>
          <w:rFonts w:ascii="华文仿宋" w:hAnsi="华文仿宋" w:eastAsia="华文仿宋"/>
          <w:sz w:val="30"/>
          <w:szCs w:val="30"/>
        </w:rPr>
        <w:t>预算全额拨款正厅级</w:t>
      </w:r>
      <w:r>
        <w:rPr>
          <w:rFonts w:hint="eastAsia" w:ascii="华文仿宋" w:hAnsi="华文仿宋" w:eastAsia="华文仿宋"/>
          <w:sz w:val="30"/>
          <w:szCs w:val="30"/>
        </w:rPr>
        <w:t>公益一类</w:t>
      </w:r>
      <w:r>
        <w:rPr>
          <w:rFonts w:ascii="华文仿宋" w:hAnsi="华文仿宋" w:eastAsia="华文仿宋"/>
          <w:sz w:val="30"/>
          <w:szCs w:val="30"/>
        </w:rPr>
        <w:t>事业单位，财务核算</w:t>
      </w:r>
      <w:r>
        <w:rPr>
          <w:rFonts w:hint="eastAsia" w:ascii="华文仿宋" w:hAnsi="华文仿宋" w:eastAsia="华文仿宋"/>
          <w:sz w:val="30"/>
          <w:szCs w:val="30"/>
        </w:rPr>
        <w:t>适用</w:t>
      </w:r>
      <w:r>
        <w:rPr>
          <w:rFonts w:ascii="华文仿宋" w:hAnsi="华文仿宋" w:eastAsia="华文仿宋"/>
          <w:sz w:val="30"/>
          <w:szCs w:val="30"/>
        </w:rPr>
        <w:t>行政单位会计制度。</w:t>
      </w:r>
      <w:r>
        <w:rPr>
          <w:rFonts w:hint="eastAsia" w:ascii="华文仿宋" w:hAnsi="华文仿宋" w:eastAsia="华文仿宋"/>
          <w:sz w:val="30"/>
          <w:szCs w:val="30"/>
        </w:rPr>
        <w:t>主要职能职责是</w:t>
      </w:r>
    </w:p>
    <w:p>
      <w:pPr>
        <w:widowControl/>
        <w:spacing w:line="600" w:lineRule="exact"/>
        <w:ind w:firstLine="588" w:firstLineChars="196"/>
        <w:jc w:val="left"/>
        <w:rPr>
          <w:rFonts w:ascii="华文仿宋" w:hAnsi="华文仿宋" w:eastAsia="华文仿宋"/>
          <w:sz w:val="30"/>
          <w:szCs w:val="30"/>
        </w:rPr>
      </w:pPr>
      <w:r>
        <w:rPr>
          <w:rFonts w:hint="eastAsia" w:ascii="华文仿宋" w:hAnsi="华文仿宋" w:eastAsia="华文仿宋"/>
          <w:sz w:val="30"/>
          <w:szCs w:val="30"/>
        </w:rPr>
        <w:t>（1）按照省委、省政府的部署要求，为湖南对接融入粤港澳大湾区建设等国家战略提供服务，宣传、推介湖南，做好相关工作。</w:t>
      </w:r>
    </w:p>
    <w:p>
      <w:pPr>
        <w:widowControl/>
        <w:spacing w:line="600" w:lineRule="exact"/>
        <w:ind w:firstLine="588" w:firstLineChars="196"/>
        <w:jc w:val="left"/>
        <w:rPr>
          <w:rFonts w:ascii="华文仿宋" w:hAnsi="华文仿宋" w:eastAsia="华文仿宋"/>
          <w:sz w:val="30"/>
          <w:szCs w:val="30"/>
        </w:rPr>
      </w:pPr>
      <w:r>
        <w:rPr>
          <w:rFonts w:hint="eastAsia" w:ascii="华文仿宋" w:hAnsi="华文仿宋" w:eastAsia="华文仿宋"/>
          <w:sz w:val="30"/>
          <w:szCs w:val="30"/>
        </w:rPr>
        <w:t>（2）加强与驻地及周边地区有关部门的联系，做好政务联络、友好往来等工作；加强与在粤湘籍人士、社会各界人士等联络，争取其对湖南经济社会发展的支持和帮助。</w:t>
      </w:r>
    </w:p>
    <w:p>
      <w:pPr>
        <w:widowControl/>
        <w:spacing w:line="600" w:lineRule="exact"/>
        <w:ind w:firstLine="588" w:firstLineChars="196"/>
        <w:jc w:val="left"/>
        <w:rPr>
          <w:rFonts w:ascii="华文仿宋" w:hAnsi="华文仿宋" w:eastAsia="华文仿宋"/>
          <w:sz w:val="30"/>
          <w:szCs w:val="30"/>
        </w:rPr>
      </w:pPr>
      <w:r>
        <w:rPr>
          <w:rFonts w:hint="eastAsia" w:ascii="华文仿宋" w:hAnsi="华文仿宋" w:eastAsia="华文仿宋"/>
          <w:sz w:val="30"/>
          <w:szCs w:val="30"/>
        </w:rPr>
        <w:t>（3）加强与驻地及周边企业、科研院所、高等院校等联系，为湖南引资引技引才引智牵线搭桥，促进湖南和驻地之间的资源合理流动。</w:t>
      </w:r>
    </w:p>
    <w:p>
      <w:pPr>
        <w:widowControl/>
        <w:spacing w:line="600" w:lineRule="exact"/>
        <w:ind w:firstLine="588" w:firstLineChars="196"/>
        <w:jc w:val="left"/>
        <w:rPr>
          <w:rFonts w:ascii="华文仿宋" w:hAnsi="华文仿宋" w:eastAsia="华文仿宋"/>
          <w:sz w:val="30"/>
          <w:szCs w:val="30"/>
        </w:rPr>
      </w:pPr>
      <w:r>
        <w:rPr>
          <w:rFonts w:hint="eastAsia" w:ascii="华文仿宋" w:hAnsi="华文仿宋" w:eastAsia="华文仿宋"/>
          <w:sz w:val="30"/>
          <w:szCs w:val="30"/>
        </w:rPr>
        <w:t>（4）围绕省委、省政府的中心工作，收集、整理、报送重要信息，开展专题调研，为省委、省政府提供决策参考和信息服务。</w:t>
      </w:r>
    </w:p>
    <w:p>
      <w:pPr>
        <w:widowControl/>
        <w:spacing w:line="600" w:lineRule="exact"/>
        <w:ind w:firstLine="588" w:firstLineChars="196"/>
        <w:jc w:val="left"/>
        <w:rPr>
          <w:rFonts w:ascii="华文仿宋" w:hAnsi="华文仿宋" w:eastAsia="华文仿宋"/>
          <w:sz w:val="30"/>
          <w:szCs w:val="30"/>
        </w:rPr>
      </w:pPr>
      <w:r>
        <w:rPr>
          <w:rFonts w:hint="eastAsia" w:ascii="华文仿宋" w:hAnsi="华文仿宋" w:eastAsia="华文仿宋"/>
          <w:sz w:val="30"/>
          <w:szCs w:val="30"/>
        </w:rPr>
        <w:t>（5）加强与驻地有关职能部门的沟通协调，为湖南在粤务工等人员提供相关服务；协助做好与湖南相关的信访、维稳、处置突发事件等工作，协助办理民族事务。负责省领导在粤公务活动的接待服务工作，为省直单位和各市州在粤公务提供必要的支持。</w:t>
      </w:r>
    </w:p>
    <w:p>
      <w:pPr>
        <w:widowControl/>
        <w:spacing w:line="600" w:lineRule="exact"/>
        <w:ind w:firstLine="588" w:firstLineChars="196"/>
        <w:jc w:val="left"/>
        <w:rPr>
          <w:rFonts w:ascii="华文仿宋" w:hAnsi="华文仿宋" w:eastAsia="华文仿宋"/>
          <w:sz w:val="30"/>
          <w:szCs w:val="30"/>
        </w:rPr>
      </w:pPr>
      <w:r>
        <w:rPr>
          <w:rFonts w:hint="eastAsia" w:ascii="华文仿宋" w:hAnsi="华文仿宋" w:eastAsia="华文仿宋"/>
          <w:sz w:val="30"/>
          <w:szCs w:val="30"/>
        </w:rPr>
        <w:t>（6）领导湖南驻深单位党委，指导湖南驻粤单位党建工作，协助做好湖南在粤流动党（团）的管理服务工作。</w:t>
      </w:r>
    </w:p>
    <w:p>
      <w:pPr>
        <w:widowControl/>
        <w:spacing w:line="600" w:lineRule="exact"/>
        <w:ind w:firstLine="588" w:firstLineChars="196"/>
        <w:jc w:val="left"/>
        <w:rPr>
          <w:rFonts w:ascii="华文仿宋" w:hAnsi="华文仿宋" w:eastAsia="华文仿宋"/>
          <w:sz w:val="30"/>
          <w:szCs w:val="30"/>
        </w:rPr>
      </w:pPr>
      <w:r>
        <w:rPr>
          <w:rFonts w:hint="eastAsia" w:ascii="华文仿宋" w:hAnsi="华文仿宋" w:eastAsia="华文仿宋"/>
          <w:sz w:val="30"/>
          <w:szCs w:val="30"/>
        </w:rPr>
        <w:t>（7）完成省委、省政府交办的其他任务。</w:t>
      </w:r>
    </w:p>
    <w:p>
      <w:pPr>
        <w:spacing w:line="520" w:lineRule="exact"/>
        <w:ind w:firstLine="447" w:firstLineChars="149"/>
        <w:rPr>
          <w:rFonts w:ascii="华文仿宋" w:hAnsi="华文仿宋" w:eastAsia="华文仿宋"/>
          <w:sz w:val="30"/>
          <w:szCs w:val="30"/>
        </w:rPr>
      </w:pPr>
      <w:r>
        <w:rPr>
          <w:rFonts w:hint="eastAsia" w:ascii="华文仿宋" w:hAnsi="华文仿宋" w:eastAsia="华文仿宋"/>
          <w:sz w:val="30"/>
          <w:szCs w:val="30"/>
        </w:rPr>
        <w:t>2、机构人员情况</w:t>
      </w:r>
    </w:p>
    <w:p>
      <w:pPr>
        <w:widowControl/>
        <w:spacing w:line="600" w:lineRule="exact"/>
        <w:ind w:firstLine="588" w:firstLineChars="196"/>
        <w:jc w:val="left"/>
        <w:rPr>
          <w:rFonts w:ascii="华文仿宋" w:hAnsi="华文仿宋" w:eastAsia="华文仿宋"/>
          <w:sz w:val="30"/>
          <w:szCs w:val="30"/>
        </w:rPr>
      </w:pPr>
      <w:r>
        <w:rPr>
          <w:rFonts w:hint="eastAsia" w:ascii="华文仿宋" w:hAnsi="华文仿宋" w:eastAsia="华文仿宋"/>
          <w:sz w:val="30"/>
          <w:szCs w:val="30"/>
        </w:rPr>
        <w:t>（1）</w:t>
      </w:r>
      <w:r>
        <w:rPr>
          <w:rFonts w:ascii="华文仿宋" w:hAnsi="华文仿宋" w:eastAsia="华文仿宋"/>
          <w:sz w:val="30"/>
          <w:szCs w:val="30"/>
        </w:rPr>
        <w:t>机构设置</w:t>
      </w:r>
    </w:p>
    <w:p>
      <w:pPr>
        <w:widowControl/>
        <w:spacing w:line="600" w:lineRule="exact"/>
        <w:ind w:firstLine="588" w:firstLineChars="196"/>
        <w:jc w:val="left"/>
        <w:rPr>
          <w:rFonts w:ascii="华文仿宋" w:hAnsi="华文仿宋" w:eastAsia="华文仿宋"/>
          <w:sz w:val="30"/>
          <w:szCs w:val="30"/>
        </w:rPr>
      </w:pPr>
      <w:r>
        <w:rPr>
          <w:rFonts w:hint="eastAsia" w:ascii="华文仿宋" w:hAnsi="华文仿宋" w:eastAsia="华文仿宋"/>
          <w:sz w:val="30"/>
          <w:szCs w:val="30"/>
        </w:rPr>
        <w:t>我办设有</w:t>
      </w:r>
      <w:r>
        <w:rPr>
          <w:rFonts w:ascii="华文仿宋" w:hAnsi="华文仿宋" w:eastAsia="华文仿宋"/>
          <w:sz w:val="30"/>
          <w:szCs w:val="30"/>
        </w:rPr>
        <w:t>5</w:t>
      </w:r>
      <w:r>
        <w:rPr>
          <w:rFonts w:hint="eastAsia" w:ascii="华文仿宋" w:hAnsi="华文仿宋" w:eastAsia="华文仿宋"/>
          <w:sz w:val="30"/>
          <w:szCs w:val="30"/>
        </w:rPr>
        <w:t>个职能处(室)，综合</w:t>
      </w:r>
      <w:r>
        <w:rPr>
          <w:rFonts w:ascii="华文仿宋" w:hAnsi="华文仿宋" w:eastAsia="华文仿宋"/>
          <w:sz w:val="30"/>
          <w:szCs w:val="30"/>
        </w:rPr>
        <w:t>处</w:t>
      </w:r>
      <w:r>
        <w:rPr>
          <w:rFonts w:hint="eastAsia" w:ascii="华文仿宋" w:hAnsi="华文仿宋" w:eastAsia="华文仿宋"/>
          <w:sz w:val="30"/>
          <w:szCs w:val="30"/>
        </w:rPr>
        <w:t>、交流合作和公共服务</w:t>
      </w:r>
      <w:r>
        <w:rPr>
          <w:rFonts w:ascii="华文仿宋" w:hAnsi="华文仿宋" w:eastAsia="华文仿宋"/>
          <w:sz w:val="30"/>
          <w:szCs w:val="30"/>
        </w:rPr>
        <w:t>处</w:t>
      </w:r>
      <w:r>
        <w:rPr>
          <w:rFonts w:hint="eastAsia" w:ascii="华文仿宋" w:hAnsi="华文仿宋" w:eastAsia="华文仿宋"/>
          <w:sz w:val="30"/>
          <w:szCs w:val="30"/>
        </w:rPr>
        <w:t>、信息宣传</w:t>
      </w:r>
      <w:r>
        <w:rPr>
          <w:rFonts w:ascii="华文仿宋" w:hAnsi="华文仿宋" w:eastAsia="华文仿宋"/>
          <w:sz w:val="30"/>
          <w:szCs w:val="30"/>
        </w:rPr>
        <w:t>处</w:t>
      </w:r>
      <w:r>
        <w:rPr>
          <w:rFonts w:hint="eastAsia" w:ascii="华文仿宋" w:hAnsi="华文仿宋" w:eastAsia="华文仿宋"/>
          <w:sz w:val="30"/>
          <w:szCs w:val="30"/>
        </w:rPr>
        <w:t>、区域协作工作处和机关</w:t>
      </w:r>
      <w:r>
        <w:rPr>
          <w:rFonts w:ascii="华文仿宋" w:hAnsi="华文仿宋" w:eastAsia="华文仿宋"/>
          <w:sz w:val="30"/>
          <w:szCs w:val="30"/>
        </w:rPr>
        <w:t>党委</w:t>
      </w:r>
      <w:r>
        <w:rPr>
          <w:rFonts w:hint="eastAsia" w:ascii="华文仿宋" w:hAnsi="华文仿宋" w:eastAsia="华文仿宋"/>
          <w:sz w:val="30"/>
          <w:szCs w:val="30"/>
        </w:rPr>
        <w:t>。</w:t>
      </w:r>
    </w:p>
    <w:p>
      <w:pPr>
        <w:numPr>
          <w:ilvl w:val="0"/>
          <w:numId w:val="1"/>
        </w:numPr>
        <w:spacing w:line="52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在职人员编制数</w:t>
      </w:r>
      <w:r>
        <w:rPr>
          <w:rFonts w:ascii="华文仿宋" w:hAnsi="华文仿宋" w:eastAsia="华文仿宋"/>
          <w:sz w:val="30"/>
          <w:szCs w:val="30"/>
        </w:rPr>
        <w:t>26</w:t>
      </w:r>
      <w:r>
        <w:rPr>
          <w:rFonts w:hint="eastAsia" w:ascii="华文仿宋" w:hAnsi="华文仿宋" w:eastAsia="华文仿宋"/>
          <w:sz w:val="30"/>
          <w:szCs w:val="30"/>
        </w:rPr>
        <w:t>人（编办核定），截止2022年12月，实有在职人员</w:t>
      </w:r>
      <w:r>
        <w:rPr>
          <w:rFonts w:ascii="华文仿宋" w:hAnsi="华文仿宋" w:eastAsia="华文仿宋"/>
          <w:sz w:val="30"/>
          <w:szCs w:val="30"/>
        </w:rPr>
        <w:t>2</w:t>
      </w:r>
      <w:r>
        <w:rPr>
          <w:rFonts w:hint="eastAsia" w:ascii="华文仿宋" w:hAnsi="华文仿宋" w:eastAsia="华文仿宋"/>
          <w:sz w:val="30"/>
          <w:szCs w:val="30"/>
        </w:rPr>
        <w:t>2人，退休人员49人。</w:t>
      </w:r>
    </w:p>
    <w:p>
      <w:pPr>
        <w:numPr>
          <w:ilvl w:val="0"/>
          <w:numId w:val="2"/>
        </w:numPr>
        <w:spacing w:line="600" w:lineRule="exact"/>
        <w:ind w:firstLine="642" w:firstLineChars="200"/>
        <w:rPr>
          <w:rFonts w:eastAsia="楷体_GB2312"/>
          <w:b/>
          <w:sz w:val="32"/>
          <w:szCs w:val="32"/>
        </w:rPr>
      </w:pPr>
      <w:r>
        <w:rPr>
          <w:rFonts w:eastAsia="楷体_GB2312"/>
          <w:b/>
          <w:sz w:val="32"/>
          <w:szCs w:val="32"/>
        </w:rPr>
        <w:t>部门（单位）年度整体支出绩效目标，省级专项资金绩效目标、其他项目支出（除省级专项资金以外）绩效目标</w:t>
      </w:r>
    </w:p>
    <w:p>
      <w:pPr>
        <w:numPr>
          <w:ilvl w:val="0"/>
          <w:numId w:val="3"/>
        </w:numPr>
        <w:spacing w:line="600" w:lineRule="exact"/>
        <w:rPr>
          <w:rFonts w:eastAsia="楷体_GB2312"/>
          <w:b/>
          <w:sz w:val="32"/>
          <w:szCs w:val="32"/>
        </w:rPr>
      </w:pPr>
      <w:r>
        <w:rPr>
          <w:rFonts w:hint="eastAsia" w:eastAsia="楷体_GB2312"/>
          <w:b/>
          <w:sz w:val="32"/>
          <w:szCs w:val="32"/>
        </w:rPr>
        <w:t>部门（单位）年度整体支出绩效目标</w:t>
      </w:r>
    </w:p>
    <w:p>
      <w:pPr>
        <w:spacing w:line="580" w:lineRule="exact"/>
        <w:ind w:firstLine="640" w:firstLineChars="200"/>
        <w:rPr>
          <w:rFonts w:ascii="楷体" w:hAnsi="楷体" w:eastAsia="楷体"/>
          <w:sz w:val="32"/>
          <w:szCs w:val="36"/>
        </w:rPr>
      </w:pPr>
      <w:bookmarkStart w:id="0" w:name="_Hlk34991314"/>
      <w:r>
        <w:rPr>
          <w:rFonts w:hint="eastAsia" w:ascii="楷体" w:hAnsi="楷体" w:eastAsia="楷体"/>
          <w:sz w:val="32"/>
          <w:szCs w:val="36"/>
        </w:rPr>
        <w:t>（1）联络接待</w:t>
      </w:r>
      <w:bookmarkEnd w:id="0"/>
      <w:r>
        <w:rPr>
          <w:rFonts w:hint="eastAsia" w:ascii="楷体" w:hAnsi="楷体" w:eastAsia="楷体"/>
          <w:sz w:val="32"/>
          <w:szCs w:val="36"/>
        </w:rPr>
        <w:t>方面</w:t>
      </w:r>
    </w:p>
    <w:p>
      <w:pPr>
        <w:overflowPunct w:val="0"/>
        <w:spacing w:line="570" w:lineRule="exact"/>
        <w:ind w:firstLine="640" w:firstLineChars="200"/>
        <w:rPr>
          <w:rFonts w:eastAsia="仿宋_GB2312"/>
          <w:spacing w:val="11"/>
          <w:sz w:val="32"/>
          <w:szCs w:val="32"/>
        </w:rPr>
      </w:pPr>
      <w:r>
        <w:rPr>
          <w:rFonts w:hint="eastAsia" w:ascii="仿宋" w:hAnsi="仿宋" w:eastAsia="仿宋"/>
          <w:sz w:val="32"/>
          <w:szCs w:val="36"/>
        </w:rPr>
        <w:t>目标要求：</w:t>
      </w:r>
      <w:r>
        <w:rPr>
          <w:rFonts w:hint="eastAsia" w:eastAsia="仿宋_GB2312"/>
          <w:spacing w:val="11"/>
          <w:sz w:val="32"/>
          <w:szCs w:val="32"/>
        </w:rPr>
        <w:t>做好驻地政务联络工作，加强湖南与粤港澳大湾区相关部门对接。做好政务接待工作，为省直单位和市州在粤港澳大湾区公务活动提供支持。</w:t>
      </w:r>
    </w:p>
    <w:p>
      <w:pPr>
        <w:spacing w:line="580" w:lineRule="exact"/>
        <w:ind w:firstLine="640" w:firstLineChars="200"/>
        <w:rPr>
          <w:rFonts w:ascii="楷体" w:hAnsi="楷体" w:eastAsia="楷体"/>
          <w:sz w:val="32"/>
          <w:szCs w:val="36"/>
        </w:rPr>
      </w:pPr>
      <w:r>
        <w:rPr>
          <w:rFonts w:hint="eastAsia" w:ascii="楷体" w:hAnsi="楷体" w:eastAsia="楷体"/>
          <w:sz w:val="32"/>
          <w:szCs w:val="36"/>
        </w:rPr>
        <w:t>（2）政务信息方面</w:t>
      </w:r>
    </w:p>
    <w:p>
      <w:pPr>
        <w:overflowPunct w:val="0"/>
        <w:spacing w:line="570" w:lineRule="exact"/>
        <w:ind w:firstLine="640" w:firstLineChars="200"/>
        <w:rPr>
          <w:rFonts w:eastAsia="仿宋_GB2312"/>
          <w:spacing w:val="11"/>
          <w:sz w:val="32"/>
          <w:szCs w:val="32"/>
        </w:rPr>
      </w:pPr>
      <w:r>
        <w:rPr>
          <w:rFonts w:hint="eastAsia" w:ascii="仿宋" w:hAnsi="仿宋" w:eastAsia="仿宋"/>
          <w:sz w:val="32"/>
          <w:szCs w:val="36"/>
        </w:rPr>
        <w:t>目标要求：</w:t>
      </w:r>
      <w:r>
        <w:rPr>
          <w:rFonts w:hint="eastAsia" w:eastAsia="仿宋_GB2312"/>
          <w:spacing w:val="11"/>
          <w:sz w:val="32"/>
          <w:szCs w:val="32"/>
        </w:rPr>
        <w:t>向省委、省政府报送各类信息不少于1000条。组织开展专题调研活动，撰写专题调研报告2篇以上，为省委、省政府提供决策参考。协助做好省委、省政府等在粤港澳大湾区举行的各项活动宣传工作。</w:t>
      </w:r>
    </w:p>
    <w:p>
      <w:pPr>
        <w:spacing w:line="580" w:lineRule="exact"/>
        <w:ind w:firstLine="640" w:firstLineChars="200"/>
        <w:rPr>
          <w:rFonts w:ascii="楷体" w:hAnsi="楷体" w:eastAsia="楷体"/>
          <w:sz w:val="32"/>
          <w:szCs w:val="36"/>
        </w:rPr>
      </w:pPr>
      <w:r>
        <w:rPr>
          <w:rFonts w:hint="eastAsia" w:ascii="楷体" w:hAnsi="楷体" w:eastAsia="楷体"/>
          <w:sz w:val="32"/>
          <w:szCs w:val="36"/>
        </w:rPr>
        <w:t>（3）招商引资与经济合作方面</w:t>
      </w:r>
    </w:p>
    <w:p>
      <w:pPr>
        <w:overflowPunct w:val="0"/>
        <w:spacing w:line="570" w:lineRule="exact"/>
        <w:ind w:firstLine="624" w:firstLineChars="200"/>
        <w:rPr>
          <w:rFonts w:eastAsia="仿宋_GB2312"/>
          <w:spacing w:val="11"/>
          <w:sz w:val="32"/>
          <w:szCs w:val="32"/>
        </w:rPr>
      </w:pPr>
      <w:r>
        <w:rPr>
          <w:rFonts w:hint="eastAsia" w:ascii="仿宋" w:hAnsi="仿宋" w:eastAsia="仿宋"/>
          <w:spacing w:val="-4"/>
          <w:sz w:val="32"/>
          <w:szCs w:val="32"/>
        </w:rPr>
        <w:t>目标要求：</w:t>
      </w:r>
      <w:bookmarkStart w:id="1" w:name="_Hlk34991401"/>
      <w:r>
        <w:rPr>
          <w:rFonts w:hint="eastAsia" w:eastAsia="仿宋_GB2312"/>
          <w:spacing w:val="11"/>
          <w:sz w:val="32"/>
          <w:szCs w:val="32"/>
        </w:rPr>
        <w:t>1.为湖南对接融入粤港澳大湾区建设等国家战略发挥桥梁纽带作用，协助省直有关单位和市州开展对外招商、科技创新、先进制造业引资引技引才引智等活动不少于5次。2.推进招商引资工作，走访驻地企业、科研院所、高等院校不少于10家，协助或承办引资引技引才引智活动10次以上。3.组织驻地湘籍企业家回湘考察，协助省内完成招商引资项目对接2次以上。4.加强与在粤湖南异地商会的联系，为驻地湘商开展活动和解决生产生活中遇到的问题和困难4个以上。</w:t>
      </w:r>
    </w:p>
    <w:p>
      <w:pPr>
        <w:spacing w:line="580" w:lineRule="exact"/>
        <w:ind w:firstLine="624" w:firstLineChars="200"/>
        <w:rPr>
          <w:rFonts w:ascii="楷体" w:hAnsi="楷体" w:eastAsia="楷体"/>
          <w:spacing w:val="-4"/>
          <w:sz w:val="32"/>
          <w:szCs w:val="32"/>
        </w:rPr>
      </w:pPr>
      <w:r>
        <w:rPr>
          <w:rFonts w:hint="eastAsia" w:ascii="楷体" w:hAnsi="楷体" w:eastAsia="楷体"/>
          <w:spacing w:val="-4"/>
          <w:sz w:val="32"/>
          <w:szCs w:val="32"/>
        </w:rPr>
        <w:t>（4）</w:t>
      </w:r>
      <w:bookmarkEnd w:id="1"/>
      <w:r>
        <w:rPr>
          <w:rFonts w:hint="eastAsia" w:ascii="楷体" w:hAnsi="楷体" w:eastAsia="楷体"/>
          <w:spacing w:val="-4"/>
          <w:sz w:val="32"/>
          <w:szCs w:val="32"/>
        </w:rPr>
        <w:t>公共服务方面</w:t>
      </w:r>
    </w:p>
    <w:p>
      <w:pPr>
        <w:overflowPunct w:val="0"/>
        <w:spacing w:line="570" w:lineRule="exact"/>
        <w:ind w:firstLine="684" w:firstLineChars="200"/>
        <w:rPr>
          <w:rFonts w:eastAsia="仿宋_GB2312"/>
          <w:spacing w:val="11"/>
          <w:sz w:val="32"/>
          <w:szCs w:val="32"/>
        </w:rPr>
      </w:pPr>
      <w:r>
        <w:rPr>
          <w:rFonts w:hint="eastAsia" w:eastAsia="仿宋_GB2312"/>
          <w:spacing w:val="11"/>
          <w:sz w:val="32"/>
          <w:szCs w:val="32"/>
        </w:rPr>
        <w:t>目标要求：做好驻地湘籍人员公共政策服务工作，做好驻地湘籍务工人员帮扶和信访维稳工作。</w:t>
      </w:r>
    </w:p>
    <w:p>
      <w:pPr>
        <w:pStyle w:val="9"/>
        <w:spacing w:line="600" w:lineRule="exact"/>
        <w:ind w:firstLine="64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二、一般公共预算收入支出情况</w:t>
      </w:r>
    </w:p>
    <w:p>
      <w:pPr>
        <w:spacing w:line="600" w:lineRule="exact"/>
        <w:ind w:firstLine="627" w:firstLineChars="19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2022年财政拨款年初预算数为1215.05万元，年内财政追加981.18万元，</w:t>
      </w:r>
      <w:r>
        <w:rPr>
          <w:rFonts w:ascii="仿宋" w:hAnsi="仿宋" w:eastAsia="仿宋"/>
          <w:color w:val="000000" w:themeColor="text1"/>
          <w:sz w:val="32"/>
          <w14:textFill>
            <w14:solidFill>
              <w14:schemeClr w14:val="tx1"/>
            </w14:solidFill>
          </w14:textFill>
        </w:rPr>
        <w:t>其中：基本支出拨款增加628.80万元（在职及退休人员基础绩效奖金追加），项目支出拨款增加352.38万元，（异地办理身份证专项工作经费及设备购置费）。</w:t>
      </w:r>
      <w:r>
        <w:rPr>
          <w:rFonts w:hint="eastAsia" w:eastAsia="仿宋_GB2312"/>
          <w:color w:val="000000" w:themeColor="text1"/>
          <w:sz w:val="32"/>
          <w:szCs w:val="32"/>
          <w14:textFill>
            <w14:solidFill>
              <w14:schemeClr w14:val="tx1"/>
            </w14:solidFill>
          </w14:textFill>
        </w:rPr>
        <w:t>全年财政拨款预算指标总收入为</w:t>
      </w:r>
      <w:r>
        <w:rPr>
          <w:rFonts w:eastAsia="仿宋_GB2312"/>
          <w:color w:val="000000" w:themeColor="text1"/>
          <w:sz w:val="32"/>
          <w:szCs w:val="32"/>
          <w14:textFill>
            <w14:solidFill>
              <w14:schemeClr w14:val="tx1"/>
            </w14:solidFill>
          </w14:textFill>
        </w:rPr>
        <w:t>2196.23</w:t>
      </w:r>
      <w:r>
        <w:rPr>
          <w:rFonts w:hint="eastAsia" w:eastAsia="仿宋_GB2312"/>
          <w:color w:val="000000" w:themeColor="text1"/>
          <w:sz w:val="32"/>
          <w:szCs w:val="32"/>
          <w14:textFill>
            <w14:solidFill>
              <w14:schemeClr w14:val="tx1"/>
            </w14:solidFill>
          </w14:textFill>
        </w:rPr>
        <w:t>万元，上年结转 153.98万元，</w:t>
      </w:r>
      <w:r>
        <w:rPr>
          <w:rFonts w:ascii="仿宋" w:hAnsi="仿宋" w:eastAsia="仿宋"/>
          <w:color w:val="000000" w:themeColor="text1"/>
          <w:sz w:val="32"/>
          <w14:textFill>
            <w14:solidFill>
              <w14:schemeClr w14:val="tx1"/>
            </w14:solidFill>
          </w14:textFill>
        </w:rPr>
        <w:t>财政扣减一般性支出指标11.89万元，</w:t>
      </w:r>
      <w:r>
        <w:rPr>
          <w:rFonts w:hint="eastAsia" w:eastAsia="仿宋_GB2312"/>
          <w:color w:val="000000" w:themeColor="text1"/>
          <w:sz w:val="32"/>
          <w:szCs w:val="32"/>
          <w14:textFill>
            <w14:solidFill>
              <w14:schemeClr w14:val="tx1"/>
            </w14:solidFill>
          </w14:textFill>
        </w:rPr>
        <w:t>全年可支配资金23</w:t>
      </w:r>
      <w:r>
        <w:rPr>
          <w:rFonts w:eastAsia="仿宋_GB2312"/>
          <w:color w:val="000000" w:themeColor="text1"/>
          <w:sz w:val="32"/>
          <w:szCs w:val="32"/>
          <w14:textFill>
            <w14:solidFill>
              <w14:schemeClr w14:val="tx1"/>
            </w14:solidFill>
          </w14:textFill>
        </w:rPr>
        <w:t>38.32</w:t>
      </w:r>
      <w:r>
        <w:rPr>
          <w:rFonts w:hint="eastAsia" w:eastAsia="仿宋_GB2312"/>
          <w:color w:val="000000" w:themeColor="text1"/>
          <w:sz w:val="32"/>
          <w:szCs w:val="32"/>
          <w14:textFill>
            <w14:solidFill>
              <w14:schemeClr w14:val="tx1"/>
            </w14:solidFill>
          </w14:textFill>
        </w:rPr>
        <w:t>万元。</w:t>
      </w:r>
    </w:p>
    <w:p>
      <w:pPr>
        <w:spacing w:line="600" w:lineRule="exact"/>
        <w:ind w:firstLine="627" w:firstLineChars="196"/>
        <w:rPr>
          <w:rFonts w:ascii="仿宋" w:hAnsi="仿宋" w:eastAsia="仿宋"/>
          <w:sz w:val="32"/>
        </w:rPr>
      </w:pPr>
      <w:r>
        <w:rPr>
          <w:rFonts w:ascii="仿宋" w:hAnsi="仿宋" w:eastAsia="仿宋"/>
          <w:sz w:val="32"/>
        </w:rPr>
        <w:t>全年支出总计2300.17万元，其中：基本支出总额为</w:t>
      </w:r>
      <w:r>
        <w:rPr>
          <w:rFonts w:hint="eastAsia" w:ascii="仿宋" w:hAnsi="仿宋" w:eastAsia="仿宋"/>
          <w:sz w:val="32"/>
        </w:rPr>
        <w:t>1907.77万元，项目</w:t>
      </w:r>
      <w:r>
        <w:rPr>
          <w:rFonts w:ascii="仿宋" w:hAnsi="仿宋" w:eastAsia="仿宋"/>
          <w:sz w:val="32"/>
        </w:rPr>
        <w:t>支出392.40万元，</w:t>
      </w:r>
      <w:r>
        <w:rPr>
          <w:rFonts w:hint="eastAsia" w:eastAsia="仿宋_GB2312"/>
          <w:color w:val="000000" w:themeColor="text1"/>
          <w:sz w:val="32"/>
          <w:szCs w:val="32"/>
          <w14:textFill>
            <w14:solidFill>
              <w14:schemeClr w14:val="tx1"/>
            </w14:solidFill>
          </w14:textFill>
        </w:rPr>
        <w:t>支出总额控制在预算总额之内。</w:t>
      </w:r>
    </w:p>
    <w:p>
      <w:pPr>
        <w:pStyle w:val="9"/>
        <w:numPr>
          <w:ilvl w:val="0"/>
          <w:numId w:val="4"/>
        </w:numPr>
        <w:spacing w:line="600" w:lineRule="exact"/>
        <w:ind w:firstLine="640"/>
        <w:rPr>
          <w:rFonts w:ascii="Times New Roman" w:hAnsi="Times New Roman" w:eastAsia="楷体_GB2312"/>
          <w:b/>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w:t>
      </w:r>
      <w:r>
        <w:rPr>
          <w:rFonts w:hint="eastAsia" w:ascii="Times New Roman" w:hAnsi="Times New Roman" w:eastAsia="楷体_GB2312"/>
          <w:b/>
          <w:color w:val="000000" w:themeColor="text1"/>
          <w:sz w:val="32"/>
          <w:szCs w:val="32"/>
          <w14:textFill>
            <w14:solidFill>
              <w14:schemeClr w14:val="tx1"/>
            </w14:solidFill>
          </w14:textFill>
        </w:rPr>
        <w:t>一般公共预算</w:t>
      </w:r>
      <w:r>
        <w:rPr>
          <w:rFonts w:ascii="Times New Roman" w:hAnsi="Times New Roman" w:eastAsia="楷体_GB2312"/>
          <w:b/>
          <w:color w:val="000000" w:themeColor="text1"/>
          <w:sz w:val="32"/>
          <w:szCs w:val="32"/>
          <w14:textFill>
            <w14:solidFill>
              <w14:schemeClr w14:val="tx1"/>
            </w14:solidFill>
          </w14:textFill>
        </w:rPr>
        <w:t>基本支出情况</w:t>
      </w:r>
    </w:p>
    <w:p>
      <w:pPr>
        <w:spacing w:line="600" w:lineRule="exact"/>
        <w:ind w:firstLine="640" w:firstLineChars="200"/>
        <w:rPr>
          <w:rFonts w:eastAsia="仿宋_GB2312"/>
          <w:sz w:val="32"/>
          <w:szCs w:val="32"/>
        </w:rPr>
      </w:pPr>
      <w:r>
        <w:rPr>
          <w:rFonts w:hint="eastAsia" w:ascii="仿宋" w:hAnsi="仿宋" w:eastAsia="仿宋"/>
          <w:color w:val="000000" w:themeColor="text1"/>
          <w:sz w:val="32"/>
          <w:szCs w:val="32"/>
          <w14:textFill>
            <w14:solidFill>
              <w14:schemeClr w14:val="tx1"/>
            </w14:solidFill>
          </w14:textFill>
        </w:rPr>
        <w:t>2022年度全年</w:t>
      </w:r>
      <w:r>
        <w:rPr>
          <w:rFonts w:hint="eastAsia" w:eastAsia="仿宋_GB2312"/>
          <w:color w:val="000000" w:themeColor="text1"/>
          <w:sz w:val="32"/>
          <w:szCs w:val="32"/>
          <w14:textFill>
            <w14:solidFill>
              <w14:schemeClr w14:val="tx1"/>
            </w14:solidFill>
          </w14:textFill>
        </w:rPr>
        <w:t>一般公共预算基本支出</w:t>
      </w:r>
      <w:r>
        <w:rPr>
          <w:rFonts w:hint="eastAsia" w:eastAsia="仿宋_GB2312"/>
          <w:sz w:val="32"/>
          <w:szCs w:val="32"/>
        </w:rPr>
        <w:t>总额为</w:t>
      </w:r>
      <w:r>
        <w:rPr>
          <w:rFonts w:hint="eastAsia" w:ascii="仿宋" w:hAnsi="仿宋" w:eastAsia="仿宋"/>
          <w:sz w:val="32"/>
        </w:rPr>
        <w:t>1907.77万元，其中人员经费1808.93万元（</w:t>
      </w:r>
      <w:r>
        <w:rPr>
          <w:rFonts w:ascii="仿宋" w:hAnsi="仿宋" w:eastAsia="仿宋"/>
          <w:sz w:val="32"/>
        </w:rPr>
        <w:t>工资福利支出1334.80万元，对个人和家庭的补助474.13万元）</w:t>
      </w:r>
      <w:r>
        <w:rPr>
          <w:rFonts w:hint="eastAsia" w:ascii="仿宋" w:hAnsi="仿宋" w:eastAsia="仿宋"/>
          <w:sz w:val="32"/>
        </w:rPr>
        <w:t>,</w:t>
      </w:r>
      <w:r>
        <w:rPr>
          <w:rFonts w:hint="eastAsia" w:eastAsia="仿宋_GB2312"/>
          <w:sz w:val="32"/>
          <w:szCs w:val="32"/>
        </w:rPr>
        <w:t>日常公用经费(</w:t>
      </w:r>
      <w:r>
        <w:rPr>
          <w:rFonts w:ascii="仿宋" w:hAnsi="仿宋" w:eastAsia="仿宋"/>
          <w:sz w:val="32"/>
        </w:rPr>
        <w:t>商品和服务支出</w:t>
      </w:r>
      <w:r>
        <w:rPr>
          <w:rFonts w:hint="eastAsia" w:ascii="仿宋" w:hAnsi="仿宋" w:eastAsia="仿宋"/>
          <w:sz w:val="32"/>
        </w:rPr>
        <w:t>)</w:t>
      </w:r>
      <w:r>
        <w:rPr>
          <w:rFonts w:ascii="仿宋" w:hAnsi="仿宋" w:eastAsia="仿宋"/>
          <w:sz w:val="32"/>
        </w:rPr>
        <w:t>98.83万元</w:t>
      </w:r>
      <w:r>
        <w:rPr>
          <w:rFonts w:hint="eastAsia" w:ascii="仿宋" w:hAnsi="仿宋" w:eastAsia="仿宋"/>
          <w:sz w:val="32"/>
        </w:rPr>
        <w:t>。</w:t>
      </w:r>
      <w:r>
        <w:rPr>
          <w:rFonts w:hint="eastAsia" w:eastAsia="仿宋_GB2312"/>
          <w:sz w:val="32"/>
          <w:szCs w:val="32"/>
        </w:rPr>
        <w:t xml:space="preserve"> </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2022年度我办“三公”经费实际支出</w:t>
      </w:r>
      <w:r>
        <w:rPr>
          <w:rFonts w:eastAsia="仿宋_GB2312"/>
          <w:color w:val="000000" w:themeColor="text1"/>
          <w:sz w:val="32"/>
          <w:szCs w:val="32"/>
          <w14:textFill>
            <w14:solidFill>
              <w14:schemeClr w14:val="tx1"/>
            </w14:solidFill>
          </w14:textFill>
        </w:rPr>
        <w:t>39.11</w:t>
      </w:r>
      <w:r>
        <w:rPr>
          <w:rFonts w:hint="eastAsia" w:eastAsia="仿宋_GB2312"/>
          <w:color w:val="000000" w:themeColor="text1"/>
          <w:sz w:val="32"/>
          <w:szCs w:val="32"/>
          <w14:textFill>
            <w14:solidFill>
              <w14:schemeClr w14:val="tx1"/>
            </w14:solidFill>
          </w14:textFill>
        </w:rPr>
        <w:t>万元，比上年</w:t>
      </w:r>
      <w:r>
        <w:rPr>
          <w:rFonts w:eastAsia="仿宋_GB2312"/>
          <w:color w:val="000000" w:themeColor="text1"/>
          <w:sz w:val="32"/>
          <w:szCs w:val="32"/>
          <w14:textFill>
            <w14:solidFill>
              <w14:schemeClr w14:val="tx1"/>
            </w14:solidFill>
          </w14:textFill>
        </w:rPr>
        <w:t>26.75</w:t>
      </w:r>
      <w:r>
        <w:rPr>
          <w:rFonts w:hint="eastAsia" w:eastAsia="仿宋_GB2312"/>
          <w:color w:val="000000" w:themeColor="text1"/>
          <w:sz w:val="32"/>
          <w:szCs w:val="32"/>
          <w14:textFill>
            <w14:solidFill>
              <w14:schemeClr w14:val="tx1"/>
            </w14:solidFill>
          </w14:textFill>
        </w:rPr>
        <w:t>万元增加支出</w:t>
      </w:r>
      <w:r>
        <w:rPr>
          <w:rFonts w:eastAsia="仿宋_GB2312"/>
          <w:color w:val="000000" w:themeColor="text1"/>
          <w:sz w:val="32"/>
          <w:szCs w:val="32"/>
          <w14:textFill>
            <w14:solidFill>
              <w14:schemeClr w14:val="tx1"/>
            </w14:solidFill>
          </w14:textFill>
        </w:rPr>
        <w:t>12.36</w:t>
      </w:r>
      <w:r>
        <w:rPr>
          <w:rFonts w:hint="eastAsia" w:eastAsia="仿宋_GB2312"/>
          <w:color w:val="000000" w:themeColor="text1"/>
          <w:sz w:val="32"/>
          <w:szCs w:val="32"/>
          <w14:textFill>
            <w14:solidFill>
              <w14:schemeClr w14:val="tx1"/>
            </w14:solidFill>
          </w14:textFill>
        </w:rPr>
        <w:t>万元。年初预算</w:t>
      </w:r>
      <w:r>
        <w:rPr>
          <w:rFonts w:eastAsia="仿宋_GB2312"/>
          <w:color w:val="000000" w:themeColor="text1"/>
          <w:sz w:val="32"/>
          <w:szCs w:val="32"/>
          <w14:textFill>
            <w14:solidFill>
              <w14:schemeClr w14:val="tx1"/>
            </w14:solidFill>
          </w14:textFill>
        </w:rPr>
        <w:t>33</w:t>
      </w:r>
      <w:r>
        <w:rPr>
          <w:rFonts w:hint="eastAsia" w:eastAsia="仿宋_GB2312"/>
          <w:color w:val="000000" w:themeColor="text1"/>
          <w:sz w:val="32"/>
          <w:szCs w:val="32"/>
          <w14:textFill>
            <w14:solidFill>
              <w14:schemeClr w14:val="tx1"/>
            </w14:solidFill>
          </w14:textFill>
        </w:rPr>
        <w:t>万元，支出总额控制在预算范围内。其中：因公出国出境费用由于日常经费紧张，年初没有预算；公务接待费预算16.5万元，实际支出</w:t>
      </w:r>
      <w:r>
        <w:rPr>
          <w:rFonts w:eastAsia="仿宋_GB2312"/>
          <w:color w:val="000000" w:themeColor="text1"/>
          <w:sz w:val="32"/>
          <w:szCs w:val="32"/>
          <w14:textFill>
            <w14:solidFill>
              <w14:schemeClr w14:val="tx1"/>
            </w14:solidFill>
          </w14:textFill>
        </w:rPr>
        <w:t>6.10</w:t>
      </w:r>
      <w:r>
        <w:rPr>
          <w:rFonts w:hint="eastAsia" w:eastAsia="仿宋_GB2312"/>
          <w:color w:val="000000" w:themeColor="text1"/>
          <w:sz w:val="32"/>
          <w:szCs w:val="32"/>
          <w14:textFill>
            <w14:solidFill>
              <w14:schemeClr w14:val="tx1"/>
            </w14:solidFill>
          </w14:textFill>
        </w:rPr>
        <w:t>万元；公车运行维护费预算</w:t>
      </w:r>
      <w:r>
        <w:rPr>
          <w:rFonts w:eastAsia="仿宋_GB2312"/>
          <w:color w:val="000000" w:themeColor="text1"/>
          <w:sz w:val="32"/>
          <w:szCs w:val="32"/>
          <w14:textFill>
            <w14:solidFill>
              <w14:schemeClr w14:val="tx1"/>
            </w14:solidFill>
          </w14:textFill>
        </w:rPr>
        <w:t>16.50</w:t>
      </w:r>
      <w:r>
        <w:rPr>
          <w:rFonts w:hint="eastAsia" w:eastAsia="仿宋_GB2312"/>
          <w:color w:val="000000" w:themeColor="text1"/>
          <w:sz w:val="32"/>
          <w:szCs w:val="32"/>
          <w14:textFill>
            <w14:solidFill>
              <w14:schemeClr w14:val="tx1"/>
            </w14:solidFill>
          </w14:textFill>
        </w:rPr>
        <w:t>万元，实际支出</w:t>
      </w:r>
      <w:r>
        <w:rPr>
          <w:rFonts w:eastAsia="仿宋_GB2312"/>
          <w:color w:val="000000" w:themeColor="text1"/>
          <w:sz w:val="32"/>
          <w:szCs w:val="32"/>
          <w14:textFill>
            <w14:solidFill>
              <w14:schemeClr w14:val="tx1"/>
            </w14:solidFill>
          </w14:textFill>
        </w:rPr>
        <w:t>14.23</w:t>
      </w:r>
      <w:r>
        <w:rPr>
          <w:rFonts w:hint="eastAsia" w:eastAsia="仿宋_GB2312"/>
          <w:color w:val="000000" w:themeColor="text1"/>
          <w:sz w:val="32"/>
          <w:szCs w:val="32"/>
          <w14:textFill>
            <w14:solidFill>
              <w14:schemeClr w14:val="tx1"/>
            </w14:solidFill>
          </w14:textFill>
        </w:rPr>
        <w:t>万元；公车购置费18</w:t>
      </w:r>
      <w:r>
        <w:rPr>
          <w:rFonts w:eastAsia="仿宋_GB2312"/>
          <w:color w:val="000000" w:themeColor="text1"/>
          <w:sz w:val="32"/>
          <w:szCs w:val="32"/>
          <w14:textFill>
            <w14:solidFill>
              <w14:schemeClr w14:val="tx1"/>
            </w14:solidFill>
          </w14:textFill>
        </w:rPr>
        <w:t>.78</w:t>
      </w:r>
      <w:r>
        <w:rPr>
          <w:rFonts w:hint="eastAsia" w:eastAsia="仿宋_GB2312"/>
          <w:color w:val="000000" w:themeColor="text1"/>
          <w:sz w:val="32"/>
          <w:szCs w:val="32"/>
          <w14:textFill>
            <w14:solidFill>
              <w14:schemeClr w14:val="tx1"/>
            </w14:solidFill>
          </w14:textFill>
        </w:rPr>
        <w:t>万元。需要作出说明的是本年三公经费增加是由于经批准新购入公务车一台 ，财政追加公务车购置拨款18万元。公务车由于使用年限已久，配件老化，维修费用增加。</w:t>
      </w:r>
    </w:p>
    <w:p>
      <w:pPr>
        <w:pStyle w:val="9"/>
        <w:spacing w:line="600" w:lineRule="exact"/>
        <w:ind w:firstLine="643"/>
        <w:rPr>
          <w:rFonts w:ascii="Times New Roman" w:hAnsi="Times New Roman" w:eastAsia="楷体_GB2312"/>
          <w:b/>
          <w:color w:val="000000" w:themeColor="text1"/>
          <w:sz w:val="32"/>
          <w:szCs w:val="32"/>
          <w14:textFill>
            <w14:solidFill>
              <w14:schemeClr w14:val="tx1"/>
            </w14:solidFill>
          </w14:textFill>
        </w:rPr>
      </w:pPr>
      <w:r>
        <w:rPr>
          <w:rFonts w:hint="eastAsia" w:ascii="Times New Roman" w:hAnsi="Times New Roman" w:eastAsia="楷体_GB2312"/>
          <w:b/>
          <w:sz w:val="32"/>
          <w:szCs w:val="32"/>
        </w:rPr>
        <w:t> </w:t>
      </w:r>
      <w:r>
        <w:rPr>
          <w:rFonts w:hint="eastAsia" w:ascii="Times New Roman" w:hAnsi="Times New Roman" w:eastAsia="楷体_GB2312"/>
          <w:b/>
          <w:color w:val="000000" w:themeColor="text1"/>
          <w:sz w:val="32"/>
          <w:szCs w:val="32"/>
          <w14:textFill>
            <w14:solidFill>
              <w14:schemeClr w14:val="tx1"/>
            </w14:solidFill>
          </w14:textFill>
        </w:rPr>
        <w:t>(二）一般公共预算项目支出情况</w:t>
      </w:r>
    </w:p>
    <w:p>
      <w:pPr>
        <w:spacing w:line="60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我办事处的项目支出为异地身份证办理费用和设备购置费， 2022年项目支出总额为</w:t>
      </w:r>
      <w:r>
        <w:rPr>
          <w:rFonts w:eastAsia="仿宋_GB2312"/>
          <w:color w:val="000000" w:themeColor="text1"/>
          <w:sz w:val="32"/>
          <w:szCs w:val="32"/>
          <w14:textFill>
            <w14:solidFill>
              <w14:schemeClr w14:val="tx1"/>
            </w14:solidFill>
          </w14:textFill>
        </w:rPr>
        <w:t>392.40</w:t>
      </w:r>
      <w:r>
        <w:rPr>
          <w:rFonts w:hint="eastAsia" w:eastAsia="仿宋_GB2312"/>
          <w:color w:val="000000" w:themeColor="text1"/>
          <w:sz w:val="32"/>
          <w:szCs w:val="32"/>
          <w14:textFill>
            <w14:solidFill>
              <w14:schemeClr w14:val="tx1"/>
            </w14:solidFill>
          </w14:textFill>
        </w:rPr>
        <w:t>万元。异地身份证办理费用没有年初预算，由财政根据当年具体收入予以返还。</w:t>
      </w:r>
    </w:p>
    <w:p>
      <w:pPr>
        <w:pStyle w:val="9"/>
        <w:numPr>
          <w:ilvl w:val="0"/>
          <w:numId w:val="5"/>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pPr>
        <w:pStyle w:val="9"/>
        <w:spacing w:line="600" w:lineRule="exact"/>
        <w:ind w:firstLine="0" w:firstLineChars="0"/>
        <w:rPr>
          <w:rFonts w:eastAsia="仿宋_GB2312"/>
          <w:sz w:val="32"/>
          <w:szCs w:val="32"/>
        </w:rPr>
      </w:pPr>
      <w:r>
        <w:rPr>
          <w:rFonts w:hint="eastAsia" w:ascii="Times New Roman" w:hAnsi="Times New Roman" w:eastAsia="黑体"/>
          <w:sz w:val="32"/>
          <w:szCs w:val="32"/>
        </w:rPr>
        <w:t xml:space="preserve">     </w:t>
      </w:r>
      <w:r>
        <w:rPr>
          <w:rFonts w:hint="eastAsia" w:eastAsia="仿宋_GB2312"/>
          <w:sz w:val="32"/>
          <w:szCs w:val="32"/>
        </w:rPr>
        <w:t>无</w:t>
      </w:r>
    </w:p>
    <w:p>
      <w:pPr>
        <w:pStyle w:val="9"/>
        <w:numPr>
          <w:ilvl w:val="0"/>
          <w:numId w:val="5"/>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9"/>
        <w:spacing w:line="600" w:lineRule="exact"/>
        <w:ind w:left="420" w:leftChars="200" w:firstLine="0" w:firstLineChars="0"/>
        <w:rPr>
          <w:rFonts w:eastAsia="仿宋_GB2312"/>
          <w:sz w:val="32"/>
          <w:szCs w:val="32"/>
        </w:rPr>
      </w:pPr>
      <w:r>
        <w:rPr>
          <w:rFonts w:hint="eastAsia" w:ascii="Times New Roman" w:hAnsi="Times New Roman" w:eastAsia="黑体"/>
          <w:sz w:val="32"/>
          <w:szCs w:val="32"/>
        </w:rPr>
        <w:t xml:space="preserve">  </w:t>
      </w:r>
      <w:r>
        <w:rPr>
          <w:rFonts w:hint="eastAsia" w:eastAsia="仿宋_GB2312"/>
          <w:sz w:val="32"/>
          <w:szCs w:val="32"/>
        </w:rPr>
        <w:t>无</w:t>
      </w:r>
    </w:p>
    <w:p>
      <w:pPr>
        <w:pStyle w:val="9"/>
        <w:numPr>
          <w:ilvl w:val="0"/>
          <w:numId w:val="5"/>
        </w:numPr>
        <w:spacing w:line="60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9"/>
        <w:spacing w:line="600" w:lineRule="exact"/>
        <w:ind w:left="420" w:leftChars="200" w:firstLine="0" w:firstLineChars="0"/>
        <w:rPr>
          <w:rFonts w:ascii="Times New Roman" w:hAnsi="Times New Roman" w:eastAsia="黑体"/>
          <w:sz w:val="32"/>
          <w:szCs w:val="32"/>
        </w:rPr>
      </w:pPr>
      <w:r>
        <w:rPr>
          <w:rFonts w:hint="eastAsia" w:ascii="Times New Roman" w:hAnsi="Times New Roman" w:eastAsia="黑体"/>
          <w:sz w:val="32"/>
          <w:szCs w:val="32"/>
        </w:rPr>
        <w:t xml:space="preserve"> </w:t>
      </w:r>
      <w:r>
        <w:rPr>
          <w:rFonts w:hint="eastAsia" w:eastAsia="仿宋_GB2312"/>
          <w:sz w:val="32"/>
          <w:szCs w:val="32"/>
        </w:rPr>
        <w:t xml:space="preserve"> 无</w:t>
      </w:r>
    </w:p>
    <w:p>
      <w:pPr>
        <w:spacing w:line="600" w:lineRule="exact"/>
        <w:ind w:firstLine="640" w:firstLineChars="200"/>
        <w:rPr>
          <w:rFonts w:eastAsia="黑体"/>
          <w:sz w:val="32"/>
          <w:szCs w:val="32"/>
        </w:rPr>
      </w:pPr>
      <w:r>
        <w:rPr>
          <w:rFonts w:eastAsia="黑体"/>
          <w:sz w:val="32"/>
          <w:szCs w:val="32"/>
        </w:rPr>
        <w:t>六、部门整体支出绩效情况</w:t>
      </w:r>
    </w:p>
    <w:p>
      <w:pPr>
        <w:spacing w:line="600" w:lineRule="exact"/>
        <w:ind w:firstLine="640" w:firstLineChars="200"/>
        <w:rPr>
          <w:rFonts w:eastAsia="仿宋_GB2312"/>
          <w:color w:val="000000"/>
          <w:sz w:val="32"/>
          <w:szCs w:val="32"/>
        </w:rPr>
      </w:pPr>
      <w:r>
        <w:rPr>
          <w:rFonts w:hint="eastAsia" w:eastAsia="仿宋_GB2312"/>
          <w:color w:val="000000"/>
          <w:sz w:val="32"/>
          <w:szCs w:val="32"/>
        </w:rPr>
        <w:t>2022年度，根据年初工作计划以及重点工作，围绕省委、省政府的要求较好的完成了年度工作目标，通过加强预算收支管理，不断建立健全内部管理制度，梳理内部管理流程，部门整体支出管理情况得到提升。</w:t>
      </w:r>
    </w:p>
    <w:p>
      <w:pPr>
        <w:pStyle w:val="6"/>
        <w:widowControl/>
        <w:numPr>
          <w:ilvl w:val="0"/>
          <w:numId w:val="6"/>
        </w:numPr>
        <w:shd w:val="clear" w:color="auto" w:fill="FFFFFF"/>
        <w:spacing w:before="180" w:beforeAutospacing="0" w:afterAutospacing="0"/>
        <w:ind w:firstLine="516"/>
        <w:rPr>
          <w:rFonts w:eastAsia="仿宋_GB2312"/>
          <w:color w:val="000000"/>
          <w:kern w:val="2"/>
          <w:sz w:val="32"/>
          <w:szCs w:val="32"/>
        </w:rPr>
      </w:pPr>
      <w:r>
        <w:rPr>
          <w:rFonts w:hint="eastAsia" w:eastAsia="仿宋_GB2312"/>
          <w:color w:val="000000"/>
          <w:kern w:val="2"/>
          <w:sz w:val="32"/>
          <w:szCs w:val="32"/>
        </w:rPr>
        <w:t>开展业务情况</w:t>
      </w:r>
    </w:p>
    <w:p>
      <w:pPr>
        <w:pStyle w:val="5"/>
        <w:shd w:val="clear" w:color="auto" w:fill="FFFFFF"/>
        <w:spacing w:line="570" w:lineRule="exact"/>
        <w:ind w:firstLine="684" w:firstLineChars="200"/>
        <w:jc w:val="both"/>
        <w:rPr>
          <w:rFonts w:hint="default" w:ascii="Times New Roman" w:hAnsi="Times New Roman" w:eastAsia="仿宋_GB2312"/>
          <w:spacing w:val="11"/>
          <w:sz w:val="32"/>
          <w:szCs w:val="32"/>
          <w:shd w:val="clear" w:color="auto" w:fill="FFFFFF"/>
        </w:rPr>
      </w:pPr>
      <w:r>
        <w:rPr>
          <w:rFonts w:ascii="Times New Roman" w:hAnsi="Times New Roman" w:eastAsia="仿宋_GB2312"/>
          <w:spacing w:val="11"/>
          <w:sz w:val="32"/>
          <w:szCs w:val="32"/>
          <w:shd w:val="clear" w:color="auto" w:fill="FFFFFF"/>
        </w:rPr>
        <w:t>接待联络工作方面。</w:t>
      </w:r>
      <w:r>
        <w:rPr>
          <w:rFonts w:hint="default" w:ascii="Times New Roman" w:hAnsi="Times New Roman" w:eastAsia="仿宋_GB2312"/>
          <w:spacing w:val="11"/>
          <w:sz w:val="32"/>
          <w:szCs w:val="32"/>
          <w:shd w:val="clear" w:color="auto" w:fill="FFFFFF"/>
        </w:rPr>
        <w:t>认真做好政务接待工作，全年接待省委统战部、省纪委监委、省保密局、省人大财经委、省发改委、省卫健委湘西州、张家界市、长沙市信息产业园管委会、天心区商务局等全省各级各部门来粤公干47批次，其中副省级以上领导10余次。为省委统战部、省政府办公厅、省低空空域协同运行管理委员会、省人大财经委、省纪委、省国家保密局、省发改委、湘西州等省直单位和市州接待联络14批次。2022年3月7日，陪同湖南省政府副省长陈飞一行，与广东省政府副省长王曦在广州，就国家重点实验室升级建设有关话题进行会谈。走访季华实验室、广州实验室、华南理工大学发光材料与器件国家重点实验室。我们在认真做好接待服务工作的同时，协调广东省科技厅、华南理工大学向考察组提供相关资料，受到领导好评。2022年8月，8月6日，陪同省委常委、省委宣传部部长杨浩东在深圳华为技术有限公司考察，并见证湖南广电与华为签署合作框架协议。</w:t>
      </w:r>
    </w:p>
    <w:p>
      <w:pPr>
        <w:spacing w:line="580" w:lineRule="exact"/>
        <w:ind w:firstLine="640" w:firstLineChars="200"/>
        <w:rPr>
          <w:rFonts w:ascii="仿宋" w:hAnsi="仿宋" w:eastAsia="仿宋"/>
          <w:spacing w:val="-4"/>
          <w:sz w:val="32"/>
          <w:szCs w:val="36"/>
        </w:rPr>
      </w:pPr>
      <w:r>
        <w:rPr>
          <w:rFonts w:hint="eastAsia" w:ascii="仿宋" w:hAnsi="仿宋" w:eastAsia="仿宋"/>
          <w:sz w:val="32"/>
          <w:szCs w:val="36"/>
        </w:rPr>
        <w:t>政务信息工作方面。围绕省领导的信息需求，紧扣省委、省政府的重大决策部署，不断提升信息报送质量。全年向省政府报送信息1661条，其中采纳信息26条，超额完成政务信息目标分，总分数在四个驻外办事处中排名第一，获评省政府系统信息工作目标管理先进单位奖。向省委报送1537期省外信息，其中“四川省印发建设培育‘川字号’”“陕西省发布文旅产业发展意见”等多篇信息被采编，为我省制定旅游发展相关政策提供了参考。联合云南省政府驻深圳办事处共同开展调研，撰写了《福建省数字经济产业经验探索》《激发市场主体活力的广东优势及经验借鉴》2篇专题调研报告报送至省委省政府参阅。</w:t>
      </w:r>
    </w:p>
    <w:p>
      <w:pPr>
        <w:pStyle w:val="2"/>
        <w:spacing w:line="590" w:lineRule="exact"/>
        <w:ind w:firstLine="624" w:firstLineChars="200"/>
        <w:rPr>
          <w:rFonts w:ascii="Times New Roman" w:hAnsi="Times New Roman" w:eastAsia="仿宋" w:cs="Times New Roman"/>
          <w:snapToGrid w:val="0"/>
          <w:spacing w:val="11"/>
          <w:kern w:val="0"/>
          <w:sz w:val="32"/>
          <w:szCs w:val="36"/>
        </w:rPr>
      </w:pPr>
      <w:r>
        <w:rPr>
          <w:rFonts w:hint="eastAsia" w:ascii="仿宋" w:hAnsi="仿宋" w:eastAsia="仿宋"/>
          <w:spacing w:val="-4"/>
          <w:sz w:val="32"/>
          <w:szCs w:val="32"/>
        </w:rPr>
        <w:t>招商引资工作方面。</w:t>
      </w:r>
      <w:r>
        <w:rPr>
          <w:rFonts w:hint="eastAsia" w:ascii="仿宋" w:hAnsi="仿宋" w:eastAsia="仿宋" w:cs="仿宋"/>
          <w:sz w:val="32"/>
          <w:szCs w:val="32"/>
        </w:rPr>
        <w:t>以湾区科技创新知名企业、知名制造业企业、科研院所及上市公司为主要走访对象，全年走访深圳怡亚通公司、珠海市祺力电子、珠海市亿智电子、中八集团、证通电子、美凌集团、中铝时光谷等30余家公司。通过走访，甄选有赴湘投资意向的目标企业，为开展招商引资工作打好基础。协助配合株洲市、郴州市、永州市、湘潭市、湘西自治州、张家界市、衡阳市等市（州）及商务厅、农村农业厅、军民融合办公室等部门来粤开展招商引资工作，协调联系湾区相关优质企业和有关部门，协助召开招商宣传会、推广会、洽谈会，共同推进全省招商引资工作。加强与在粤湘籍商协会的交流联系，支持商协会健康发展，扶持湘籍企业做大做强。全年参与商协会各类活动共计20余次，协助广东省湖南商会成立青年企业家委员会。今年5月召开的第十届全球湘商大会上，广东省湖南商会荣获湖南异地商会“兴湘贡献奖”，禾田集团在株洲投资的“禾田智慧生态城”上榜“迎老乡、回故乡、建家乡”标志性项目。与广东省湖南商会、省政府驻海南自由贸易港办事处、海南省湖南商会共同开展“大湾区湘籍企业家海南之旅”活动，组织广东省湖南商会会员企业负责人等共计70余人，前往海口、儋州、琼海、三亚等地，深入考察海南自贸港投资优势和发展前景，为在粤湘籍企业借船出海、做大做强创造条件、赢得先机。带领深圳市金晟安智能系统有限公司、广州泛银投资公司、帕诺谛克（上海）科技有限公司、琼琰（海南）健康管理有限公司、东华软件武汉分公司、鲁能集团公司等10余家企业组团赴浏阳和常德开展投资交流对接活动，通过与地方有关部门直接对话，直观向企业展示湖南投资环境和产业项目优势，推动企业项目落到实处。对意向赴湘投资企业进行跟踪走访，积极推动项目落实落地。2022年，在我们的努力推动和牵线搭桥下，华侨城欢乐谷长沙文旅综合项目、益心达长沙生产基地项目、犀牛之星信息股份有限公司专精特新产业基金项目、启赋资本和马栏山数字经济产业基金项目、深圳科技工业园集团与长沙市望城经开区项目、怡亚通集团与长沙产投集团合作项目等正式签约或投产，总金额达58亿元。宏工科技股份有限公司、赛德雷特（深圳）空间技术有限公司、深圳市兴源昌服装有限公司、广州洁然科技有限公司等一大批湾区企业也在省内各地正式签约落地，签约金额逾30亿元。</w:t>
      </w:r>
    </w:p>
    <w:p>
      <w:pPr>
        <w:pStyle w:val="2"/>
        <w:spacing w:line="590" w:lineRule="exact"/>
        <w:ind w:firstLine="684" w:firstLineChars="200"/>
        <w:rPr>
          <w:rFonts w:ascii="Times New Roman" w:hAnsi="Times New Roman" w:eastAsia="仿宋" w:cs="Times New Roman"/>
          <w:snapToGrid w:val="0"/>
          <w:spacing w:val="11"/>
          <w:kern w:val="0"/>
          <w:sz w:val="32"/>
          <w:szCs w:val="40"/>
        </w:rPr>
      </w:pPr>
      <w:r>
        <w:rPr>
          <w:rFonts w:hint="eastAsia" w:eastAsia="仿宋"/>
          <w:snapToGrid w:val="0"/>
          <w:spacing w:val="11"/>
          <w:kern w:val="0"/>
          <w:sz w:val="32"/>
          <w:szCs w:val="32"/>
        </w:rPr>
        <w:t>公共服务工作方面。</w:t>
      </w:r>
      <w:r>
        <w:rPr>
          <w:rFonts w:hint="eastAsia" w:ascii="仿宋" w:hAnsi="仿宋" w:eastAsia="仿宋" w:cs="仿宋"/>
          <w:b/>
          <w:bCs/>
          <w:sz w:val="32"/>
          <w:szCs w:val="32"/>
        </w:rPr>
        <w:t>一是助力驻地疫情防控攻坚战。</w:t>
      </w:r>
      <w:r>
        <w:rPr>
          <w:rFonts w:hint="eastAsia" w:ascii="仿宋" w:hAnsi="仿宋" w:eastAsia="仿宋" w:cs="仿宋"/>
          <w:sz w:val="32"/>
          <w:szCs w:val="32"/>
        </w:rPr>
        <w:t>2022年新冠疫情反复，驻地工作生活都受到较大影响。我们在做好单位疫情防控工作的同时，深入参与驻地疫情防控，努力为驻地疫情防控贡献力量。3月，组织湖南驻深单位和在深湘籍企业共同组建了一支22人的志愿者服务队，在深圳市南湖街道嘉南社区开展了为期一周的“抗疫心连心 志愿暖鹏城”抗疫志愿活动，受到嘉南社区党群服务中心和居民的广泛好评。积极响应中宣部和中央文明办号召，支持吉林省战胜疫情，联合全国各省市政府驻深圳办事处联席会，开展“支持吉林防控疫情 关爱志愿者服务行动”防控物资爱心捐赠活动，筹集捐赠抗疫物资总计8万余元。在国际护士节、英德洪水灾害、广州疫情暴发等关键时刻，动员睿森生物科技公司、洋太千优谷集团、湖南安邦制药公司等企业向医护人员、受灾群众捐献医用口罩、酒精喷雾器、护肤产品、刺梨饮料等物资，彰显办事处社会责任担当。</w:t>
      </w:r>
      <w:r>
        <w:rPr>
          <w:rFonts w:hint="eastAsia" w:ascii="仿宋" w:hAnsi="仿宋" w:eastAsia="仿宋" w:cs="仿宋"/>
          <w:b/>
          <w:bCs/>
          <w:sz w:val="32"/>
          <w:szCs w:val="32"/>
        </w:rPr>
        <w:t>二是积极参与全省乡村振兴工作。</w:t>
      </w:r>
      <w:r>
        <w:rPr>
          <w:rFonts w:hint="eastAsia" w:ascii="仿宋" w:hAnsi="仿宋" w:eastAsia="仿宋" w:cs="仿宋"/>
          <w:sz w:val="32"/>
          <w:szCs w:val="32"/>
        </w:rPr>
        <w:t>继续支持省政府办公厅驻沅陵县乡村振兴工作，向驻村工作队捐赠3万元作为工作资金，同时为工作队来大湾区开展企业调研、引进医疗资源提供方便。联系珠海市工信局、珠海市湖南商会、珠海丽珠医药集团等企业，帮助寻找大湾区各类优质资源与湖南乡村振兴的对接点。支持湘籍企业家在大湾区开设乡村振兴馆，搭建乡村振兴农产品展销服务平台，推动湖南山区特色农产品“湘品出湘”。</w:t>
      </w:r>
      <w:r>
        <w:rPr>
          <w:rFonts w:hint="eastAsia" w:ascii="仿宋" w:hAnsi="仿宋" w:eastAsia="仿宋" w:cs="仿宋"/>
          <w:b/>
          <w:bCs/>
          <w:sz w:val="32"/>
          <w:szCs w:val="32"/>
        </w:rPr>
        <w:t>三是协助开展异地身份证办理。</w:t>
      </w:r>
      <w:r>
        <w:rPr>
          <w:rFonts w:hint="eastAsia" w:ascii="仿宋" w:hAnsi="仿宋" w:eastAsia="仿宋" w:cs="仿宋"/>
          <w:sz w:val="32"/>
          <w:szCs w:val="32"/>
        </w:rPr>
        <w:t>今年6月，办事处与省公安厅出入境管理局续签异地身份证办理协议，继续共同开展异地身份证办理工作。协调全省各县市公安部门以轮流派驻方式，为在粤湘籍人民办理指纹补录及网上身份证补领，免去了在粤老乡疫情期间来回奔波，为在粤湘籍群众提供了极大便利。</w:t>
      </w:r>
      <w:r>
        <w:rPr>
          <w:rFonts w:hint="eastAsia" w:ascii="仿宋" w:hAnsi="仿宋" w:eastAsia="仿宋" w:cs="仿宋"/>
          <w:b/>
          <w:bCs/>
          <w:sz w:val="32"/>
          <w:szCs w:val="32"/>
        </w:rPr>
        <w:t>四是组织开展各类公益活动。</w:t>
      </w:r>
      <w:r>
        <w:rPr>
          <w:rFonts w:hint="eastAsia" w:ascii="仿宋" w:hAnsi="仿宋" w:eastAsia="仿宋" w:cs="仿宋"/>
          <w:sz w:val="32"/>
          <w:szCs w:val="32"/>
        </w:rPr>
        <w:t>充分发挥湖南驻深团工委、广东省湖南务工人员服务协会作用，组织开展“青春快线·我们一起回湖南”春节返乡专列、“京心为你、送爱回家”公益活动、“1120·鹏城之约”交友联谊活动、帮扶失独老人等公益活动等，让在粤湘籍人民充分感受到家乡政府的关怀。</w:t>
      </w:r>
      <w:r>
        <w:rPr>
          <w:rFonts w:hint="eastAsia" w:ascii="仿宋" w:hAnsi="仿宋" w:eastAsia="仿宋" w:cs="仿宋"/>
          <w:b/>
          <w:bCs/>
          <w:sz w:val="32"/>
          <w:szCs w:val="32"/>
        </w:rPr>
        <w:t>四是坚决落实驻地信访工作责任。</w:t>
      </w:r>
      <w:r>
        <w:rPr>
          <w:rFonts w:hint="eastAsia" w:ascii="仿宋" w:hAnsi="仿宋" w:eastAsia="仿宋" w:cs="仿宋"/>
          <w:sz w:val="32"/>
          <w:szCs w:val="32"/>
        </w:rPr>
        <w:t>协助完成驻地湘籍企业及人员的信访、维稳、突发事件处置工作，完善优化信访接待工作机制，安排专人负责驻地信访接待。对收到的信访件，严格按程序妥善处理，及时发现倾向性、苗头性问题，全年没有发生聚众上访、闹访事件。</w:t>
      </w:r>
    </w:p>
    <w:p>
      <w:pPr>
        <w:numPr>
          <w:ilvl w:val="0"/>
          <w:numId w:val="6"/>
        </w:numPr>
        <w:overflowPunct w:val="0"/>
        <w:spacing w:line="580" w:lineRule="exact"/>
        <w:ind w:firstLine="516"/>
        <w:rPr>
          <w:rFonts w:ascii="仿宋" w:hAnsi="仿宋" w:eastAsia="仿宋" w:cs="仿宋"/>
          <w:kern w:val="0"/>
          <w:sz w:val="32"/>
          <w:szCs w:val="32"/>
        </w:rPr>
      </w:pPr>
      <w:r>
        <w:rPr>
          <w:rFonts w:hint="eastAsia" w:ascii="仿宋" w:hAnsi="仿宋" w:eastAsia="仿宋" w:cs="仿宋"/>
          <w:kern w:val="0"/>
          <w:sz w:val="32"/>
          <w:szCs w:val="32"/>
        </w:rPr>
        <w:t>资产管理情况</w:t>
      </w:r>
    </w:p>
    <w:p>
      <w:pPr>
        <w:overflowPunct w:val="0"/>
        <w:spacing w:line="580" w:lineRule="exact"/>
        <w:ind w:firstLine="640" w:firstLineChars="200"/>
        <w:rPr>
          <w:rFonts w:ascii="黑体" w:hAnsi="黑体" w:eastAsia="黑体" w:cs="黑体"/>
          <w:sz w:val="32"/>
          <w:szCs w:val="32"/>
        </w:rPr>
      </w:pPr>
      <w:r>
        <w:rPr>
          <w:rFonts w:hint="eastAsia" w:ascii="仿宋" w:hAnsi="仿宋" w:eastAsia="仿宋"/>
          <w:sz w:val="32"/>
          <w:szCs w:val="32"/>
        </w:rPr>
        <w:t>加强资产管理，机关资产录入国有资产管理信息系统，每项资产建立了资产卡片，实行动态管理，完成资产清查工作。报废、毁损、处理、拍卖固定资产，根据《湖南省人民政府驻深圳办事处固定资产管理暂行办法》规定办理相关报批手续,根据财政的批复，及时进行账务调整。</w:t>
      </w:r>
    </w:p>
    <w:p>
      <w:pPr>
        <w:pStyle w:val="9"/>
        <w:numPr>
          <w:ilvl w:val="0"/>
          <w:numId w:val="7"/>
        </w:numPr>
        <w:ind w:firstLineChars="0"/>
        <w:rPr>
          <w:rFonts w:ascii="黑体" w:hAnsi="黑体" w:eastAsia="黑体" w:cs="黑体"/>
          <w:sz w:val="32"/>
          <w:szCs w:val="32"/>
        </w:rPr>
      </w:pPr>
      <w:r>
        <w:rPr>
          <w:rFonts w:hint="eastAsia" w:ascii="黑体" w:hAnsi="黑体" w:eastAsia="黑体" w:cs="黑体"/>
          <w:sz w:val="32"/>
          <w:szCs w:val="32"/>
        </w:rPr>
        <w:t>存在的问题及原因分析</w:t>
      </w:r>
    </w:p>
    <w:p>
      <w:pPr>
        <w:numPr>
          <w:ilvl w:val="0"/>
          <w:numId w:val="8"/>
        </w:numPr>
        <w:ind w:firstLine="640" w:firstLineChars="200"/>
        <w:rPr>
          <w:rFonts w:ascii="仿宋" w:hAnsi="仿宋" w:eastAsia="仿宋" w:cs="仿宋"/>
          <w:sz w:val="32"/>
          <w:szCs w:val="32"/>
        </w:rPr>
      </w:pPr>
      <w:r>
        <w:rPr>
          <w:rFonts w:hint="eastAsia" w:ascii="仿宋" w:hAnsi="仿宋" w:eastAsia="仿宋" w:cs="仿宋"/>
          <w:sz w:val="32"/>
          <w:szCs w:val="32"/>
        </w:rPr>
        <w:t>内部控制管理还需加强。近几年完善了内部控制度和单位财务管理制度，特别是机构改革后的财务运行制度。但是在财务工作开展过程中，还是会存在机构改革后遗症，一些临时开支导致预算调剂使用，内部控制无法妥善处理等等。</w:t>
      </w:r>
    </w:p>
    <w:p>
      <w:pPr>
        <w:ind w:firstLine="640" w:firstLineChars="200"/>
        <w:rPr>
          <w:rFonts w:ascii="仿宋" w:hAnsi="仿宋" w:eastAsia="仿宋" w:cs="仿宋"/>
          <w:sz w:val="32"/>
          <w:szCs w:val="32"/>
        </w:rPr>
      </w:pPr>
      <w:r>
        <w:rPr>
          <w:rFonts w:hint="eastAsia" w:ascii="仿宋" w:hAnsi="仿宋" w:eastAsia="仿宋" w:cs="仿宋"/>
          <w:sz w:val="32"/>
          <w:szCs w:val="32"/>
        </w:rPr>
        <w:t>（二）由于广办深办合并以及历史遗留问题导致资金缺口较大。主要原因是财政拨款不足，人员实际支出按属地原则开支，虽有政策，但无拨款。财政拨款不足导致了预算编制合理性、全面性受限。</w:t>
      </w:r>
    </w:p>
    <w:p>
      <w:pPr>
        <w:numPr>
          <w:numId w:val="0"/>
        </w:numPr>
        <w:ind w:firstLine="640" w:firstLineChars="200"/>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下一步改进措施</w:t>
      </w:r>
    </w:p>
    <w:p>
      <w:pPr>
        <w:ind w:firstLine="640" w:firstLineChars="200"/>
        <w:rPr>
          <w:rFonts w:ascii="仿宋" w:hAnsi="仿宋" w:eastAsia="仿宋" w:cs="仿宋"/>
          <w:sz w:val="32"/>
          <w:szCs w:val="32"/>
        </w:rPr>
      </w:pPr>
      <w:r>
        <w:rPr>
          <w:rFonts w:hint="eastAsia" w:ascii="仿宋" w:hAnsi="仿宋" w:eastAsia="仿宋" w:cs="仿宋"/>
          <w:sz w:val="32"/>
          <w:szCs w:val="32"/>
        </w:rPr>
        <w:t>1.细化预算编制工作，认真做好预算的编制。进一步严格按照预算编制的相关制度和要求，本着“勤俭节约、保障运转”的原则进行预算的编制；编制范围尽可能的全面、不漏项，进一步提高预算编制的科学性、合理性、严谨性和可控性。</w:t>
      </w:r>
    </w:p>
    <w:p>
      <w:pPr>
        <w:ind w:firstLine="640" w:firstLineChars="200"/>
        <w:rPr>
          <w:rFonts w:ascii="仿宋" w:hAnsi="仿宋" w:eastAsia="仿宋" w:cs="仿宋"/>
          <w:sz w:val="32"/>
          <w:szCs w:val="32"/>
        </w:rPr>
      </w:pPr>
      <w:r>
        <w:rPr>
          <w:rFonts w:hint="eastAsia" w:ascii="仿宋" w:hAnsi="仿宋" w:eastAsia="仿宋" w:cs="仿宋"/>
          <w:sz w:val="32"/>
          <w:szCs w:val="32"/>
        </w:rPr>
        <w:t>2.严格贯彻落实中央“过紧日子”要求。在日常预算管理过程中，进一步加强预算支出的审核、跟踪及预算执行情况分析。通过严密而有效的制度安排，为“过紧日子”搭建强有力的机制，用制度管好预算，在基本支出纳入财政绩效管理的基础上，尽快实施更全面的财政预算绩效管理制度，加强对财政支出的精细化管理，严防资金低效无效、闲置沉淀、损失浪费等现象发生，切实做到花钱必问效、无效必问责。</w:t>
      </w:r>
    </w:p>
    <w:p>
      <w:pPr>
        <w:pStyle w:val="9"/>
        <w:numPr>
          <w:ilvl w:val="0"/>
          <w:numId w:val="9"/>
        </w:numPr>
        <w:ind w:firstLineChars="0"/>
        <w:rPr>
          <w:rFonts w:ascii="黑体" w:hAnsi="黑体" w:eastAsia="黑体" w:cs="黑体"/>
          <w:sz w:val="32"/>
          <w:szCs w:val="32"/>
        </w:rPr>
      </w:pPr>
      <w:r>
        <w:rPr>
          <w:rFonts w:hint="eastAsia" w:ascii="黑体" w:hAnsi="黑体" w:eastAsia="黑体" w:cs="黑体"/>
          <w:sz w:val="32"/>
          <w:szCs w:val="32"/>
        </w:rPr>
        <w:t>绩效自评结果拟应用和公开情况</w:t>
      </w:r>
    </w:p>
    <w:p>
      <w:pPr>
        <w:ind w:firstLine="640" w:firstLineChars="200"/>
        <w:rPr>
          <w:rFonts w:ascii="仿宋" w:hAnsi="仿宋" w:eastAsia="仿宋" w:cs="仿宋"/>
          <w:sz w:val="32"/>
          <w:szCs w:val="32"/>
        </w:rPr>
      </w:pPr>
      <w:r>
        <w:rPr>
          <w:rFonts w:hint="eastAsia" w:ascii="仿宋" w:hAnsi="仿宋" w:eastAsia="仿宋" w:cs="仿宋"/>
          <w:sz w:val="32"/>
          <w:szCs w:val="32"/>
        </w:rPr>
        <w:t>1.将自评结果下发至各处室（单位），加强预算管理学习。定期对照预算安排计划，加强调度，确保预算管理有质有序。</w:t>
      </w:r>
    </w:p>
    <w:p>
      <w:pPr>
        <w:ind w:firstLine="640" w:firstLineChars="200"/>
        <w:rPr>
          <w:rFonts w:ascii="仿宋" w:hAnsi="仿宋" w:eastAsia="仿宋" w:cs="仿宋"/>
          <w:sz w:val="32"/>
          <w:szCs w:val="32"/>
        </w:rPr>
      </w:pPr>
      <w:r>
        <w:rPr>
          <w:rFonts w:hint="eastAsia" w:ascii="仿宋" w:hAnsi="仿宋" w:eastAsia="仿宋" w:cs="仿宋"/>
          <w:sz w:val="32"/>
          <w:szCs w:val="32"/>
        </w:rPr>
        <w:t>2.牢固树立“过紧日子”观念，科学编制预算规划，控制好预算支出，按照上级有关部门要求进一步压减一般性支出。</w:t>
      </w:r>
    </w:p>
    <w:p>
      <w:pPr>
        <w:ind w:firstLine="640" w:firstLineChars="200"/>
      </w:pPr>
      <w:r>
        <w:rPr>
          <w:rFonts w:hint="eastAsia" w:ascii="仿宋" w:hAnsi="仿宋" w:eastAsia="仿宋" w:cs="仿宋"/>
          <w:sz w:val="32"/>
          <w:szCs w:val="32"/>
        </w:rPr>
        <w:t>3.在下一步工作中，细化资金管理规定，并按财政厅规定在办事处媒体平台全网公开，接受社会监督。</w:t>
      </w:r>
    </w:p>
    <w:p>
      <w:pPr>
        <w:spacing w:line="600" w:lineRule="exact"/>
        <w:ind w:firstLine="640" w:firstLineChars="200"/>
        <w:rPr>
          <w:rFonts w:eastAsia="黑体"/>
          <w:sz w:val="32"/>
          <w:szCs w:val="32"/>
        </w:rPr>
      </w:pPr>
      <w:r>
        <w:rPr>
          <w:rFonts w:eastAsia="黑体"/>
          <w:sz w:val="32"/>
          <w:szCs w:val="32"/>
        </w:rPr>
        <w:t>其他需要说明的情况</w:t>
      </w:r>
    </w:p>
    <w:p>
      <w:pPr>
        <w:spacing w:line="600" w:lineRule="exact"/>
        <w:ind w:firstLine="640" w:firstLineChars="200"/>
        <w:rPr>
          <w:rFonts w:eastAsia="仿宋_GB2312"/>
          <w:sz w:val="32"/>
          <w:szCs w:val="32"/>
        </w:rPr>
      </w:pPr>
      <w:r>
        <w:rPr>
          <w:rFonts w:hint="eastAsia" w:eastAsia="仿宋_GB2312"/>
          <w:sz w:val="32"/>
          <w:szCs w:val="32"/>
        </w:rPr>
        <w:t>无</w:t>
      </w:r>
    </w:p>
    <w:p>
      <w:pPr>
        <w:spacing w:line="600" w:lineRule="exact"/>
        <w:ind w:firstLine="640" w:firstLineChars="200"/>
        <w:rPr>
          <w:rFonts w:eastAsia="仿宋_GB2312"/>
          <w:sz w:val="32"/>
          <w:szCs w:val="32"/>
        </w:rPr>
      </w:pPr>
      <w:r>
        <w:rPr>
          <w:rFonts w:eastAsia="仿宋_GB2312"/>
          <w:sz w:val="32"/>
          <w:szCs w:val="32"/>
        </w:rPr>
        <w:t>报告需要以下附件：</w:t>
      </w:r>
    </w:p>
    <w:p>
      <w:pPr>
        <w:spacing w:line="600" w:lineRule="exact"/>
        <w:ind w:firstLine="640" w:firstLineChars="200"/>
        <w:rPr>
          <w:rFonts w:eastAsia="仿宋_GB2312"/>
          <w:sz w:val="32"/>
          <w:szCs w:val="32"/>
        </w:rPr>
      </w:pPr>
      <w:r>
        <w:rPr>
          <w:rFonts w:eastAsia="仿宋_GB2312"/>
          <w:sz w:val="32"/>
          <w:szCs w:val="32"/>
        </w:rPr>
        <w:t>1、部门整体支出绩效评价基础数据表</w:t>
      </w:r>
    </w:p>
    <w:p>
      <w:pPr>
        <w:spacing w:line="600" w:lineRule="exact"/>
        <w:ind w:firstLine="640" w:firstLineChars="200"/>
        <w:rPr>
          <w:rFonts w:eastAsia="仿宋_GB2312"/>
          <w:sz w:val="32"/>
          <w:szCs w:val="32"/>
        </w:rPr>
      </w:pPr>
      <w:r>
        <w:rPr>
          <w:rFonts w:eastAsia="仿宋_GB2312"/>
          <w:sz w:val="32"/>
          <w:szCs w:val="32"/>
        </w:rPr>
        <w:t>2、部门整体支出绩效自评表</w:t>
      </w:r>
    </w:p>
    <w:p>
      <w:pPr>
        <w:spacing w:line="600" w:lineRule="exact"/>
        <w:ind w:firstLine="640" w:firstLineChars="200"/>
        <w:rPr>
          <w:rFonts w:eastAsia="仿宋_GB2312"/>
          <w:sz w:val="32"/>
          <w:szCs w:val="32"/>
        </w:rPr>
      </w:pPr>
      <w:r>
        <w:rPr>
          <w:rFonts w:eastAsia="仿宋_GB2312"/>
          <w:sz w:val="32"/>
          <w:szCs w:val="32"/>
        </w:rPr>
        <w:t>3、项目支出绩效自评表（</w:t>
      </w:r>
      <w:r>
        <w:rPr>
          <w:rFonts w:hint="eastAsia" w:eastAsia="仿宋_GB2312"/>
          <w:sz w:val="32"/>
          <w:szCs w:val="32"/>
        </w:rPr>
        <w:t>一</w:t>
      </w:r>
      <w:r>
        <w:rPr>
          <w:rFonts w:eastAsia="仿宋_GB2312"/>
          <w:sz w:val="32"/>
          <w:szCs w:val="32"/>
        </w:rPr>
        <w:t>个一级项目支出一张表</w:t>
      </w:r>
      <w:r>
        <w:rPr>
          <w:rFonts w:hint="eastAsia" w:eastAsia="仿宋_GB2312"/>
          <w:sz w:val="32"/>
          <w:szCs w:val="32"/>
        </w:rPr>
        <w:t>，省级专项资金可以不填</w:t>
      </w:r>
      <w:r>
        <w:rPr>
          <w:rFonts w:eastAsia="仿宋_GB2312"/>
          <w:sz w:val="32"/>
          <w:szCs w:val="32"/>
        </w:rPr>
        <w:t>）</w:t>
      </w:r>
    </w:p>
    <w:p>
      <w:pPr>
        <w:spacing w:after="156" w:afterLines="50" w:line="600" w:lineRule="exact"/>
        <w:rPr>
          <w:rFonts w:eastAsia="黑体"/>
          <w:sz w:val="32"/>
          <w:szCs w:val="32"/>
        </w:rPr>
      </w:pPr>
    </w:p>
    <w:p>
      <w:pPr>
        <w:pStyle w:val="2"/>
      </w:pPr>
    </w:p>
    <w:p>
      <w:pPr>
        <w:spacing w:after="156" w:afterLines="50" w:line="600" w:lineRule="exact"/>
        <w:rPr>
          <w:rFonts w:eastAsia="黑体"/>
          <w:sz w:val="32"/>
          <w:szCs w:val="32"/>
        </w:rPr>
      </w:pPr>
    </w:p>
    <w:p>
      <w:pPr>
        <w:spacing w:after="156" w:afterLines="50" w:line="600" w:lineRule="exact"/>
        <w:rPr>
          <w:rFonts w:eastAsia="黑体"/>
          <w:sz w:val="32"/>
          <w:szCs w:val="32"/>
        </w:rPr>
      </w:pPr>
    </w:p>
    <w:p>
      <w:pPr>
        <w:spacing w:after="156" w:afterLines="50" w:line="600" w:lineRule="exact"/>
        <w:rPr>
          <w:rFonts w:eastAsia="黑体"/>
          <w:sz w:val="32"/>
          <w:szCs w:val="32"/>
        </w:rPr>
      </w:pPr>
    </w:p>
    <w:p>
      <w:pPr>
        <w:spacing w:after="156" w:afterLines="50" w:line="60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1</w:t>
      </w:r>
    </w:p>
    <w:p>
      <w:pPr>
        <w:spacing w:after="156" w:afterLines="50" w:line="600" w:lineRule="exact"/>
        <w:jc w:val="center"/>
        <w:rPr>
          <w:rFonts w:eastAsia="仿宋_GB2312"/>
          <w:sz w:val="24"/>
        </w:rPr>
      </w:pPr>
      <w:r>
        <w:rPr>
          <w:rFonts w:eastAsia="方正小标宋_GBK"/>
          <w:sz w:val="36"/>
          <w:szCs w:val="36"/>
        </w:rPr>
        <w:t>2022年度部门整体支出绩效评价基础数据表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sz w:val="20"/>
                <w:szCs w:val="20"/>
              </w:rPr>
            </w:pPr>
            <w:r>
              <w:rPr>
                <w:rFonts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b/>
                <w:bCs/>
                <w:sz w:val="20"/>
                <w:szCs w:val="20"/>
              </w:rPr>
            </w:pPr>
            <w:r>
              <w:rPr>
                <w:rFonts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b/>
                <w:bCs/>
                <w:sz w:val="20"/>
                <w:szCs w:val="20"/>
              </w:rPr>
            </w:pPr>
            <w:r>
              <w:rPr>
                <w:rFonts w:eastAsia="仿宋_GB2312"/>
                <w:b/>
                <w:bCs/>
                <w:sz w:val="20"/>
                <w:szCs w:val="20"/>
              </w:rPr>
              <w:t>2022年实际在职人数</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b/>
                <w:bCs/>
                <w:sz w:val="20"/>
                <w:szCs w:val="20"/>
              </w:rPr>
            </w:pPr>
            <w:r>
              <w:rPr>
                <w:rFonts w:eastAsia="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sz w:val="20"/>
                <w:szCs w:val="20"/>
                <w:lang w:val="en"/>
              </w:rPr>
            </w:pPr>
            <w:r>
              <w:rPr>
                <w:rFonts w:eastAsia="仿宋_GB2312"/>
                <w:sz w:val="20"/>
                <w:szCs w:val="20"/>
                <w:lang w:val="en"/>
              </w:rPr>
              <w:t>26</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sz w:val="20"/>
                <w:szCs w:val="20"/>
                <w:lang w:val="en"/>
              </w:rPr>
            </w:pPr>
            <w:r>
              <w:rPr>
                <w:rFonts w:eastAsia="仿宋_GB2312"/>
                <w:sz w:val="20"/>
                <w:szCs w:val="20"/>
              </w:rPr>
              <w:t>　</w:t>
            </w:r>
            <w:r>
              <w:rPr>
                <w:rFonts w:eastAsia="仿宋_GB2312"/>
                <w:sz w:val="20"/>
                <w:szCs w:val="20"/>
                <w:lang w:val="en"/>
              </w:rPr>
              <w:t>22</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sz w:val="20"/>
                <w:szCs w:val="20"/>
              </w:rPr>
            </w:pPr>
            <w:r>
              <w:rPr>
                <w:rFonts w:eastAsia="仿宋_GB2312"/>
                <w:sz w:val="20"/>
                <w:szCs w:val="20"/>
                <w:lang w:val="en"/>
              </w:rPr>
              <w:t>84.6%</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sz w:val="20"/>
                <w:szCs w:val="20"/>
              </w:rPr>
            </w:pPr>
            <w:r>
              <w:rPr>
                <w:rFonts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b/>
                <w:bCs/>
                <w:sz w:val="20"/>
                <w:szCs w:val="20"/>
              </w:rPr>
            </w:pPr>
            <w:r>
              <w:rPr>
                <w:rFonts w:eastAsia="仿宋_GB2312"/>
                <w:b/>
                <w:bCs/>
                <w:sz w:val="20"/>
                <w:szCs w:val="20"/>
              </w:rPr>
              <w:t>2021年决算数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b/>
                <w:bCs/>
                <w:sz w:val="20"/>
                <w:szCs w:val="20"/>
              </w:rPr>
            </w:pPr>
            <w:r>
              <w:rPr>
                <w:rFonts w:eastAsia="仿宋_GB2312"/>
                <w:b/>
                <w:bCs/>
                <w:sz w:val="20"/>
                <w:szCs w:val="20"/>
              </w:rPr>
              <w:t>2022年预算数</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b/>
                <w:bCs/>
                <w:sz w:val="20"/>
                <w:szCs w:val="20"/>
              </w:rPr>
            </w:pPr>
            <w:r>
              <w:rPr>
                <w:rFonts w:eastAsia="仿宋_GB2312"/>
                <w:b/>
                <w:bCs/>
                <w:sz w:val="20"/>
                <w:szCs w:val="20"/>
              </w:rPr>
              <w:t>2022年决算数</w:t>
            </w:r>
          </w:p>
        </w:tc>
      </w:tr>
      <w:tr>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26.75</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33</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39.11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20.89</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16.5</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33.01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18.78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20.89</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16.5</w:t>
            </w: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14.23</w:t>
            </w:r>
          </w:p>
        </w:tc>
      </w:tr>
      <w:tr>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5.86</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16.5</w:t>
            </w: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6.1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380.7</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392.4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301.49</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392.4</w:t>
            </w:r>
            <w:r>
              <w:rPr>
                <w:rFonts w:eastAsia="仿宋_GB2312"/>
                <w:sz w:val="20"/>
                <w:szCs w:val="20"/>
              </w:rPr>
              <w:t>　</w:t>
            </w:r>
          </w:p>
        </w:tc>
      </w:tr>
      <w:tr>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79</w:t>
            </w:r>
            <w:r>
              <w:rPr>
                <w:rFonts w:eastAsia="仿宋_GB2312"/>
                <w:sz w:val="20"/>
                <w:szCs w:val="20"/>
              </w:rPr>
              <w:t>.21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sz w:val="20"/>
                <w:szCs w:val="20"/>
              </w:rPr>
            </w:pPr>
            <w:r>
              <w:rPr>
                <w:rFonts w:eastAsia="仿宋_GB2312"/>
                <w:sz w:val="20"/>
                <w:szCs w:val="20"/>
              </w:rPr>
              <w:t>……</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3、省级专项资金（一个专项一行）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sz w:val="20"/>
                <w:szCs w:val="20"/>
              </w:rPr>
            </w:pPr>
            <w:r>
              <w:rPr>
                <w:rFonts w:eastAsia="仿宋_GB2312"/>
                <w:sz w:val="20"/>
                <w:szCs w:val="20"/>
              </w:rPr>
              <w:t>……</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p>
        </w:tc>
      </w:tr>
      <w:tr>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r>
              <w:rPr>
                <w:rFonts w:hint="eastAsia" w:eastAsia="仿宋_GB2312"/>
                <w:color w:val="000000" w:themeColor="text1"/>
                <w:sz w:val="20"/>
                <w:szCs w:val="20"/>
                <w14:textFill>
                  <w14:solidFill>
                    <w14:schemeClr w14:val="tx1"/>
                  </w14:solidFill>
                </w14:textFill>
              </w:rPr>
              <w:t>245.65</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r>
              <w:rPr>
                <w:rFonts w:hint="eastAsia" w:eastAsia="仿宋_GB2312"/>
                <w:color w:val="000000" w:themeColor="text1"/>
                <w:sz w:val="20"/>
                <w:szCs w:val="20"/>
                <w14:textFill>
                  <w14:solidFill>
                    <w14:schemeClr w14:val="tx1"/>
                  </w14:solidFill>
                </w14:textFill>
              </w:rPr>
              <w:t>100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r>
              <w:rPr>
                <w:rFonts w:hint="eastAsia" w:eastAsia="仿宋_GB2312"/>
                <w:color w:val="000000" w:themeColor="text1"/>
                <w:sz w:val="20"/>
                <w:szCs w:val="20"/>
                <w14:textFill>
                  <w14:solidFill>
                    <w14:schemeClr w14:val="tx1"/>
                  </w14:solidFill>
                </w14:textFill>
              </w:rPr>
              <w:t>98.83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r>
              <w:rPr>
                <w:rFonts w:hint="eastAsia" w:eastAsia="仿宋_GB2312"/>
                <w:color w:val="000000" w:themeColor="text1"/>
                <w:sz w:val="20"/>
                <w:szCs w:val="20"/>
                <w14:textFill>
                  <w14:solidFill>
                    <w14:schemeClr w14:val="tx1"/>
                  </w14:solidFill>
                </w14:textFill>
              </w:rPr>
              <w:t>215.87</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r>
              <w:rPr>
                <w:rFonts w:hint="eastAsia" w:eastAsia="仿宋_GB2312"/>
                <w:color w:val="000000" w:themeColor="text1"/>
                <w:sz w:val="20"/>
                <w:szCs w:val="20"/>
                <w14:textFill>
                  <w14:solidFill>
                    <w14:schemeClr w14:val="tx1"/>
                  </w14:solidFill>
                </w14:textFill>
              </w:rPr>
              <w:t>67</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r>
              <w:rPr>
                <w:rFonts w:hint="eastAsia" w:eastAsia="仿宋_GB2312"/>
                <w:color w:val="000000" w:themeColor="text1"/>
                <w:sz w:val="20"/>
                <w:szCs w:val="20"/>
                <w14:textFill>
                  <w14:solidFill>
                    <w14:schemeClr w14:val="tx1"/>
                  </w14:solidFill>
                </w14:textFill>
              </w:rPr>
              <w:t>95.36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hint="eastAsia" w:eastAsia="仿宋_GB2312"/>
                <w:color w:val="000000" w:themeColor="text1"/>
                <w:sz w:val="20"/>
                <w:szCs w:val="20"/>
                <w14:textFill>
                  <w14:solidFill>
                    <w14:schemeClr w14:val="tx1"/>
                  </w14:solidFill>
                </w14:textFill>
              </w:rPr>
              <w:t>29.81</w:t>
            </w:r>
            <w:r>
              <w:rPr>
                <w:rFonts w:eastAsia="仿宋_GB2312"/>
                <w:color w:val="000000" w:themeColor="text1"/>
                <w:sz w:val="20"/>
                <w:szCs w:val="20"/>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r>
              <w:rPr>
                <w:rFonts w:hint="eastAsia" w:eastAsia="仿宋_GB2312"/>
                <w:color w:val="000000" w:themeColor="text1"/>
                <w:sz w:val="20"/>
                <w:szCs w:val="20"/>
                <w14:textFill>
                  <w14:solidFill>
                    <w14:schemeClr w14:val="tx1"/>
                  </w14:solidFill>
                </w14:textFill>
              </w:rPr>
              <w:t>27</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r>
              <w:rPr>
                <w:rFonts w:hint="eastAsia" w:eastAsia="仿宋_GB2312"/>
                <w:color w:val="000000" w:themeColor="text1"/>
                <w:sz w:val="20"/>
                <w:szCs w:val="20"/>
                <w14:textFill>
                  <w14:solidFill>
                    <w14:schemeClr w14:val="tx1"/>
                  </w14:solidFill>
                </w14:textFill>
              </w:rPr>
              <w:t>13.47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r>
              <w:rPr>
                <w:rFonts w:hint="eastAsia" w:eastAsia="仿宋_GB2312"/>
                <w:color w:val="000000" w:themeColor="text1"/>
                <w:sz w:val="20"/>
                <w:szCs w:val="20"/>
                <w14:textFill>
                  <w14:solidFill>
                    <w14:schemeClr w14:val="tx1"/>
                  </w14:solidFill>
                </w14:textFill>
              </w:rPr>
              <w:t>1.76</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r>
              <w:rPr>
                <w:rFonts w:hint="eastAsia" w:eastAsia="仿宋_GB2312"/>
                <w:color w:val="000000" w:themeColor="text1"/>
                <w:sz w:val="20"/>
                <w:szCs w:val="20"/>
                <w14:textFill>
                  <w14:solidFill>
                    <w14:schemeClr w14:val="tx1"/>
                  </w14:solidFill>
                </w14:textFill>
              </w:rPr>
              <w:t>2.74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000000" w:themeColor="text1"/>
                <w:sz w:val="20"/>
                <w:szCs w:val="20"/>
                <w14:textFill>
                  <w14:solidFill>
                    <w14:schemeClr w14:val="tx1"/>
                  </w14:solidFill>
                </w14:textFill>
              </w:rPr>
            </w:pPr>
            <w:r>
              <w:rPr>
                <w:rFonts w:eastAsia="仿宋_GB2312"/>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sz w:val="20"/>
                <w:szCs w:val="20"/>
              </w:rPr>
            </w:pPr>
            <w:r>
              <w:rPr>
                <w:rFonts w:eastAsia="仿宋_GB2312"/>
                <w:sz w:val="20"/>
                <w:szCs w:val="20"/>
              </w:rPr>
              <w:t>楼堂馆所控制情况</w:t>
            </w:r>
            <w:r>
              <w:rPr>
                <w:rFonts w:eastAsia="仿宋_GB2312"/>
                <w:sz w:val="20"/>
                <w:szCs w:val="20"/>
              </w:rPr>
              <w:br w:type="textWrapping"/>
            </w:r>
            <w:r>
              <w:rPr>
                <w:rFonts w:eastAsia="仿宋_GB2312"/>
                <w:sz w:val="20"/>
                <w:szCs w:val="20"/>
              </w:rPr>
              <w:t>（202</w:t>
            </w:r>
            <w:r>
              <w:rPr>
                <w:rFonts w:hint="eastAsia" w:eastAsia="仿宋_GB2312"/>
                <w:sz w:val="20"/>
                <w:szCs w:val="20"/>
              </w:rPr>
              <w:t>2</w:t>
            </w:r>
            <w:r>
              <w:rPr>
                <w:rFonts w:eastAsia="仿宋_GB2312"/>
                <w:sz w:val="20"/>
                <w:szCs w:val="20"/>
              </w:rPr>
              <w:t>年完工项目）</w:t>
            </w: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eastAsia="仿宋_GB2312"/>
                <w:bCs/>
                <w:sz w:val="20"/>
                <w:szCs w:val="20"/>
              </w:rPr>
            </w:pPr>
            <w:r>
              <w:rPr>
                <w:rFonts w:eastAsia="仿宋_GB2312"/>
                <w:bCs/>
                <w:sz w:val="20"/>
                <w:szCs w:val="20"/>
              </w:rPr>
              <w:t>批复规模</w:t>
            </w:r>
            <w:r>
              <w:rPr>
                <w:rFonts w:eastAsia="仿宋_GB2312"/>
                <w:bCs/>
                <w:sz w:val="20"/>
                <w:szCs w:val="20"/>
              </w:rPr>
              <w:br w:type="textWrapping"/>
            </w:r>
            <w:r>
              <w:rPr>
                <w:rFonts w:eastAsia="仿宋_GB2312"/>
                <w:bCs/>
                <w:sz w:val="20"/>
                <w:szCs w:val="20"/>
              </w:rPr>
              <w:t>（</w:t>
            </w:r>
            <w:r>
              <w:rPr>
                <w:bCs/>
                <w:sz w:val="20"/>
                <w:szCs w:val="20"/>
              </w:rPr>
              <w:t>㎡</w:t>
            </w:r>
            <w:r>
              <w:rPr>
                <w:rFonts w:eastAsia="仿宋_GB2312"/>
                <w:bCs/>
                <w:sz w:val="20"/>
                <w:szCs w:val="20"/>
              </w:rPr>
              <w:t>）</w:t>
            </w:r>
          </w:p>
        </w:tc>
        <w:tc>
          <w:tcPr>
            <w:tcW w:w="849" w:type="dxa"/>
            <w:tcBorders>
              <w:top w:val="nil"/>
              <w:left w:val="nil"/>
              <w:bottom w:val="single" w:color="auto" w:sz="4" w:space="0"/>
              <w:right w:val="single" w:color="auto" w:sz="4" w:space="0"/>
            </w:tcBorders>
            <w:vAlign w:val="center"/>
          </w:tcPr>
          <w:p>
            <w:pPr>
              <w:widowControl/>
              <w:spacing w:line="360" w:lineRule="exact"/>
              <w:jc w:val="center"/>
              <w:rPr>
                <w:rFonts w:eastAsia="仿宋_GB2312"/>
                <w:bCs/>
                <w:sz w:val="20"/>
                <w:szCs w:val="20"/>
              </w:rPr>
            </w:pPr>
            <w:r>
              <w:rPr>
                <w:rFonts w:eastAsia="仿宋_GB2312"/>
                <w:bCs/>
                <w:sz w:val="20"/>
                <w:szCs w:val="20"/>
              </w:rPr>
              <w:t>实际规模（</w:t>
            </w:r>
            <w:r>
              <w:rPr>
                <w:bCs/>
                <w:sz w:val="20"/>
                <w:szCs w:val="20"/>
              </w:rPr>
              <w:t>㎡</w:t>
            </w:r>
            <w:r>
              <w:rPr>
                <w:rFonts w:eastAsia="仿宋_GB2312"/>
                <w:bCs/>
                <w:sz w:val="20"/>
                <w:szCs w:val="20"/>
              </w:rPr>
              <w:t>）</w:t>
            </w:r>
          </w:p>
        </w:tc>
        <w:tc>
          <w:tcPr>
            <w:tcW w:w="1129" w:type="dxa"/>
            <w:tcBorders>
              <w:top w:val="nil"/>
              <w:left w:val="nil"/>
              <w:bottom w:val="single" w:color="auto" w:sz="4" w:space="0"/>
              <w:right w:val="single" w:color="auto" w:sz="4" w:space="0"/>
            </w:tcBorders>
            <w:vAlign w:val="center"/>
          </w:tcPr>
          <w:p>
            <w:pPr>
              <w:widowControl/>
              <w:spacing w:line="360" w:lineRule="exact"/>
              <w:jc w:val="center"/>
              <w:rPr>
                <w:rFonts w:eastAsia="仿宋_GB2312"/>
                <w:bCs/>
                <w:sz w:val="20"/>
                <w:szCs w:val="20"/>
              </w:rPr>
            </w:pPr>
            <w:r>
              <w:rPr>
                <w:rFonts w:eastAsia="仿宋_GB2312"/>
                <w:bCs/>
                <w:sz w:val="20"/>
                <w:szCs w:val="20"/>
              </w:rPr>
              <w:t>规模控制率</w:t>
            </w:r>
          </w:p>
        </w:tc>
        <w:tc>
          <w:tcPr>
            <w:tcW w:w="1111" w:type="dxa"/>
            <w:tcBorders>
              <w:top w:val="nil"/>
              <w:left w:val="nil"/>
              <w:bottom w:val="single" w:color="auto" w:sz="4" w:space="0"/>
              <w:right w:val="single" w:color="auto" w:sz="4" w:space="0"/>
            </w:tcBorders>
            <w:vAlign w:val="center"/>
          </w:tcPr>
          <w:p>
            <w:pPr>
              <w:widowControl/>
              <w:spacing w:line="360" w:lineRule="exact"/>
              <w:jc w:val="center"/>
              <w:rPr>
                <w:rFonts w:eastAsia="仿宋_GB2312"/>
                <w:bCs/>
                <w:sz w:val="20"/>
                <w:szCs w:val="20"/>
              </w:rPr>
            </w:pPr>
            <w:r>
              <w:rPr>
                <w:rFonts w:eastAsia="仿宋_GB2312"/>
                <w:bCs/>
                <w:sz w:val="20"/>
                <w:szCs w:val="20"/>
              </w:rPr>
              <w:t>预算投资（万元）</w:t>
            </w:r>
          </w:p>
        </w:tc>
        <w:tc>
          <w:tcPr>
            <w:tcW w:w="1081" w:type="dxa"/>
            <w:tcBorders>
              <w:top w:val="nil"/>
              <w:left w:val="nil"/>
              <w:bottom w:val="single" w:color="auto" w:sz="4" w:space="0"/>
              <w:right w:val="single" w:color="auto" w:sz="4" w:space="0"/>
            </w:tcBorders>
            <w:vAlign w:val="center"/>
          </w:tcPr>
          <w:p>
            <w:pPr>
              <w:widowControl/>
              <w:spacing w:line="360" w:lineRule="exact"/>
              <w:jc w:val="center"/>
              <w:rPr>
                <w:rFonts w:eastAsia="仿宋_GB2312"/>
                <w:bCs/>
                <w:sz w:val="20"/>
                <w:szCs w:val="20"/>
              </w:rPr>
            </w:pPr>
            <w:r>
              <w:rPr>
                <w:rFonts w:eastAsia="仿宋_GB2312"/>
                <w:bCs/>
                <w:sz w:val="20"/>
                <w:szCs w:val="20"/>
              </w:rPr>
              <w:t>实际投资（万元）</w:t>
            </w:r>
          </w:p>
        </w:tc>
        <w:tc>
          <w:tcPr>
            <w:tcW w:w="960" w:type="dxa"/>
            <w:tcBorders>
              <w:top w:val="nil"/>
              <w:left w:val="nil"/>
              <w:bottom w:val="single" w:color="auto" w:sz="4" w:space="0"/>
              <w:right w:val="single" w:color="auto" w:sz="4" w:space="0"/>
            </w:tcBorders>
            <w:vAlign w:val="center"/>
          </w:tcPr>
          <w:p>
            <w:pPr>
              <w:widowControl/>
              <w:spacing w:line="360" w:lineRule="exact"/>
              <w:jc w:val="center"/>
              <w:rPr>
                <w:rFonts w:eastAsia="仿宋_GB2312"/>
                <w:bCs/>
                <w:sz w:val="20"/>
                <w:szCs w:val="20"/>
              </w:rPr>
            </w:pPr>
            <w:r>
              <w:rPr>
                <w:rFonts w:eastAsia="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849" w:type="dxa"/>
            <w:tcBorders>
              <w:top w:val="nil"/>
              <w:left w:val="nil"/>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w:t>
            </w:r>
          </w:p>
        </w:tc>
        <w:tc>
          <w:tcPr>
            <w:tcW w:w="1129" w:type="dxa"/>
            <w:tcBorders>
              <w:top w:val="nil"/>
              <w:left w:val="nil"/>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w:t>
            </w:r>
          </w:p>
        </w:tc>
        <w:tc>
          <w:tcPr>
            <w:tcW w:w="1111" w:type="dxa"/>
            <w:tcBorders>
              <w:top w:val="nil"/>
              <w:left w:val="nil"/>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w:t>
            </w:r>
          </w:p>
        </w:tc>
        <w:tc>
          <w:tcPr>
            <w:tcW w:w="1081" w:type="dxa"/>
            <w:tcBorders>
              <w:top w:val="nil"/>
              <w:left w:val="nil"/>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w:t>
            </w:r>
          </w:p>
        </w:tc>
        <w:tc>
          <w:tcPr>
            <w:tcW w:w="960" w:type="dxa"/>
            <w:tcBorders>
              <w:top w:val="nil"/>
              <w:left w:val="nil"/>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sz w:val="20"/>
                <w:szCs w:val="20"/>
              </w:rPr>
            </w:pPr>
            <w:r>
              <w:rPr>
                <w:rFonts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一是</w:t>
            </w:r>
            <w:r>
              <w:rPr>
                <w:rFonts w:hint="eastAsia" w:eastAsia="仿宋_GB2312"/>
                <w:kern w:val="0"/>
                <w:szCs w:val="21"/>
              </w:rPr>
              <w:t>严格落实中央八项规定</w:t>
            </w:r>
            <w:r>
              <w:rPr>
                <w:rFonts w:eastAsia="仿宋_GB2312"/>
                <w:kern w:val="0"/>
                <w:szCs w:val="21"/>
                <w:lang w:val="en"/>
              </w:rPr>
              <w:t>,</w:t>
            </w:r>
            <w:r>
              <w:rPr>
                <w:rFonts w:hint="eastAsia" w:eastAsia="仿宋_GB2312"/>
                <w:kern w:val="0"/>
                <w:szCs w:val="21"/>
                <w:lang w:val="en"/>
              </w:rPr>
              <w:t>公务和商务接待厉行节约</w:t>
            </w:r>
            <w:r>
              <w:rPr>
                <w:rFonts w:hint="eastAsia" w:eastAsia="仿宋_GB2312"/>
                <w:kern w:val="0"/>
                <w:szCs w:val="21"/>
              </w:rPr>
              <w:t>。二是严格按照单位内部控制规范开展财务工作。三是制定出台新的财务管理办法。</w:t>
            </w:r>
          </w:p>
          <w:p>
            <w:pPr>
              <w:widowControl/>
              <w:spacing w:line="360" w:lineRule="exact"/>
              <w:jc w:val="center"/>
              <w:rPr>
                <w:rFonts w:eastAsia="仿宋_GB2312"/>
                <w:sz w:val="20"/>
                <w:szCs w:val="20"/>
              </w:rPr>
            </w:pPr>
            <w:r>
              <w:rPr>
                <w:rFonts w:eastAsia="仿宋_GB2312"/>
                <w:sz w:val="20"/>
                <w:szCs w:val="20"/>
              </w:rPr>
              <w:t>　</w:t>
            </w:r>
          </w:p>
        </w:tc>
      </w:tr>
    </w:tbl>
    <w:p>
      <w:pPr>
        <w:widowControl/>
        <w:spacing w:line="400" w:lineRule="exact"/>
        <w:jc w:val="left"/>
        <w:rPr>
          <w:rFonts w:eastAsia="仿宋_GB2312"/>
          <w:sz w:val="22"/>
        </w:rPr>
      </w:pPr>
      <w:r>
        <w:rPr>
          <w:rFonts w:eastAsia="仿宋_GB2312"/>
          <w:sz w:val="22"/>
        </w:rPr>
        <w:t>说明：“项目支出”需要填报基本支出以外的所有项目支出情况，“公用经费”填报基本支出中的一般商品和服务支出。</w:t>
      </w:r>
    </w:p>
    <w:p>
      <w:pPr>
        <w:widowControl/>
        <w:spacing w:line="400" w:lineRule="exact"/>
        <w:jc w:val="left"/>
        <w:rPr>
          <w:rFonts w:eastAsia="仿宋_GB2312"/>
          <w:sz w:val="22"/>
        </w:rPr>
      </w:pPr>
    </w:p>
    <w:p>
      <w:r>
        <w:rPr>
          <w:rFonts w:eastAsia="仿宋_GB2312"/>
          <w:sz w:val="22"/>
        </w:rPr>
        <w:t>填表人：        填报日期：          联系电话：            单位负责人签字：</w:t>
      </w:r>
    </w:p>
    <w:p/>
    <w:p>
      <w:pPr>
        <w:spacing w:line="36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2</w:t>
      </w:r>
    </w:p>
    <w:p>
      <w:pPr>
        <w:widowControl/>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2022年度部门整体支出绩效自评表</w:t>
      </w:r>
    </w:p>
    <w:p>
      <w:pPr>
        <w:widowControl/>
        <w:jc w:val="center"/>
        <w:rPr>
          <w:rFonts w:eastAsia="仿宋_GB2312"/>
          <w:color w:val="000000"/>
          <w:kern w:val="0"/>
          <w:szCs w:val="21"/>
        </w:rPr>
      </w:pPr>
    </w:p>
    <w:tbl>
      <w:tblPr>
        <w:tblStyle w:val="7"/>
        <w:tblW w:w="10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386"/>
        <w:gridCol w:w="1054"/>
        <w:gridCol w:w="1293"/>
        <w:gridCol w:w="411"/>
        <w:gridCol w:w="876"/>
        <w:gridCol w:w="360"/>
        <w:gridCol w:w="988"/>
        <w:gridCol w:w="704"/>
        <w:gridCol w:w="969"/>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eastAsia="仿宋_GB2312"/>
                <w:color w:val="000000"/>
                <w:kern w:val="0"/>
                <w:szCs w:val="21"/>
              </w:rPr>
              <w:t>省级预算部门名称</w:t>
            </w:r>
          </w:p>
        </w:tc>
        <w:tc>
          <w:tcPr>
            <w:tcW w:w="9470" w:type="dxa"/>
            <w:gridSpan w:val="10"/>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湖南省人民政府驻深圳办事处</w:t>
            </w:r>
            <w:r>
              <w:rPr>
                <w:rFonts w:eastAsia="仿宋_GB2312"/>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年度预</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算申请</w:t>
            </w:r>
            <w:r>
              <w:rPr>
                <w:rFonts w:eastAsia="仿宋_GB2312"/>
                <w:color w:val="000000"/>
                <w:kern w:val="0"/>
                <w:szCs w:val="21"/>
              </w:rPr>
              <w:br w:type="textWrapping"/>
            </w:r>
            <w:r>
              <w:rPr>
                <w:rFonts w:eastAsia="仿宋_GB2312"/>
                <w:color w:val="000000"/>
                <w:kern w:val="0"/>
                <w:szCs w:val="21"/>
              </w:rPr>
              <w:t>（万元）</w:t>
            </w:r>
          </w:p>
        </w:tc>
        <w:tc>
          <w:tcPr>
            <w:tcW w:w="2440"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p>
        </w:tc>
        <w:tc>
          <w:tcPr>
            <w:tcW w:w="1293"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年初</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预算数</w:t>
            </w:r>
          </w:p>
        </w:tc>
        <w:tc>
          <w:tcPr>
            <w:tcW w:w="128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全年预算数</w:t>
            </w:r>
          </w:p>
        </w:tc>
        <w:tc>
          <w:tcPr>
            <w:tcW w:w="1348"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全年</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执行数</w:t>
            </w:r>
          </w:p>
        </w:tc>
        <w:tc>
          <w:tcPr>
            <w:tcW w:w="70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分值</w:t>
            </w:r>
          </w:p>
        </w:tc>
        <w:tc>
          <w:tcPr>
            <w:tcW w:w="969"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执行率</w:t>
            </w:r>
          </w:p>
        </w:tc>
        <w:tc>
          <w:tcPr>
            <w:tcW w:w="1429"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2440"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kern w:val="0"/>
                <w:szCs w:val="21"/>
                <w14:textFill>
                  <w14:solidFill>
                    <w14:schemeClr w14:val="tx1"/>
                  </w14:solidFill>
                </w14:textFill>
              </w:rPr>
              <w:t>年度资金总额</w:t>
            </w:r>
          </w:p>
        </w:tc>
        <w:tc>
          <w:tcPr>
            <w:tcW w:w="1293"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1215.05</w:t>
            </w:r>
          </w:p>
        </w:tc>
        <w:tc>
          <w:tcPr>
            <w:tcW w:w="128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2300.17</w:t>
            </w:r>
          </w:p>
        </w:tc>
        <w:tc>
          <w:tcPr>
            <w:tcW w:w="1348"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2300.17</w:t>
            </w:r>
          </w:p>
        </w:tc>
        <w:tc>
          <w:tcPr>
            <w:tcW w:w="704"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r>
              <w:rPr>
                <w:rFonts w:eastAsia="仿宋_GB2312"/>
                <w:color w:val="000000" w:themeColor="text1"/>
                <w:szCs w:val="21"/>
                <w14:textFill>
                  <w14:solidFill>
                    <w14:schemeClr w14:val="tx1"/>
                  </w14:solidFill>
                </w14:textFill>
              </w:rPr>
              <w:t>0</w:t>
            </w:r>
          </w:p>
        </w:tc>
        <w:tc>
          <w:tcPr>
            <w:tcW w:w="969"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100%</w:t>
            </w:r>
          </w:p>
        </w:tc>
        <w:tc>
          <w:tcPr>
            <w:tcW w:w="1429"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502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按收入性质分：</w:t>
            </w:r>
          </w:p>
        </w:tc>
        <w:tc>
          <w:tcPr>
            <w:tcW w:w="44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502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 xml:space="preserve">  其中：  一般公共预算：</w:t>
            </w:r>
            <w:r>
              <w:rPr>
                <w:rFonts w:hint="eastAsia" w:eastAsia="仿宋_GB2312"/>
                <w:color w:val="000000" w:themeColor="text1"/>
                <w:kern w:val="0"/>
                <w:szCs w:val="21"/>
                <w14:textFill>
                  <w14:solidFill>
                    <w14:schemeClr w14:val="tx1"/>
                  </w14:solidFill>
                </w14:textFill>
              </w:rPr>
              <w:t>2196.23</w:t>
            </w:r>
          </w:p>
        </w:tc>
        <w:tc>
          <w:tcPr>
            <w:tcW w:w="44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其中：基本支出：</w:t>
            </w:r>
            <w:r>
              <w:rPr>
                <w:rFonts w:hint="eastAsia" w:eastAsia="仿宋_GB2312"/>
                <w:color w:val="000000" w:themeColor="text1"/>
                <w:kern w:val="0"/>
                <w:szCs w:val="21"/>
                <w14:textFill>
                  <w14:solidFill>
                    <w14:schemeClr w14:val="tx1"/>
                  </w14:solidFill>
                </w14:textFill>
              </w:rPr>
              <w:t>1907.77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502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840" w:firstLineChars="400"/>
              <w:jc w:val="left"/>
              <w:textAlignment w:val="auto"/>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政府性基金拨款：</w:t>
            </w:r>
          </w:p>
        </w:tc>
        <w:tc>
          <w:tcPr>
            <w:tcW w:w="44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630" w:firstLineChars="300"/>
              <w:jc w:val="left"/>
              <w:textAlignment w:val="auto"/>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项目支出：</w:t>
            </w:r>
            <w:r>
              <w:rPr>
                <w:rFonts w:hint="eastAsia" w:eastAsia="仿宋_GB2312"/>
                <w:color w:val="000000" w:themeColor="text1"/>
                <w:kern w:val="0"/>
                <w:szCs w:val="21"/>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t>392.4</w:t>
            </w:r>
            <w:r>
              <w:rPr>
                <w:rFonts w:hint="eastAsia" w:eastAsia="仿宋_GB2312"/>
                <w:color w:val="000000" w:themeColor="text1"/>
                <w:kern w:val="0"/>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502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纳入专户管理的非税收入拨款：</w:t>
            </w:r>
          </w:p>
        </w:tc>
        <w:tc>
          <w:tcPr>
            <w:tcW w:w="44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502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1470" w:firstLineChars="700"/>
              <w:jc w:val="left"/>
              <w:textAlignment w:val="auto"/>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其他资金：</w:t>
            </w:r>
          </w:p>
        </w:tc>
        <w:tc>
          <w:tcPr>
            <w:tcW w:w="44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年度总体目标</w:t>
            </w:r>
          </w:p>
        </w:tc>
        <w:tc>
          <w:tcPr>
            <w:tcW w:w="502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预期目标</w:t>
            </w:r>
          </w:p>
        </w:tc>
        <w:tc>
          <w:tcPr>
            <w:tcW w:w="44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7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5020" w:type="dxa"/>
            <w:gridSpan w:val="5"/>
            <w:shd w:val="clear" w:color="auto" w:fill="auto"/>
            <w:vAlign w:val="center"/>
          </w:tcPr>
          <w:p>
            <w:pPr>
              <w:keepNext w:val="0"/>
              <w:keepLines w:val="0"/>
              <w:pageBreakBefore w:val="0"/>
              <w:widowControl/>
              <w:numPr>
                <w:ilvl w:val="0"/>
                <w:numId w:val="10"/>
              </w:numPr>
              <w:kinsoku/>
              <w:wordWrap/>
              <w:overflowPunct/>
              <w:topLinePunct w:val="0"/>
              <w:autoSpaceDE/>
              <w:autoSpaceDN/>
              <w:bidi w:val="0"/>
              <w:adjustRightInd/>
              <w:snapToGrid/>
              <w:spacing w:line="240" w:lineRule="atLeast"/>
              <w:textAlignment w:val="auto"/>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为湖南对接融入粤港澳大湾区建设等国家战略发挥桥梁纽带作用，协助省直有关单位和市州开展对外招商、科技创新、先进制造业引资引技引才引智等活动不少于5次。</w:t>
            </w:r>
          </w:p>
          <w:p>
            <w:pPr>
              <w:keepNext w:val="0"/>
              <w:keepLines w:val="0"/>
              <w:pageBreakBefore w:val="0"/>
              <w:widowControl/>
              <w:numPr>
                <w:ilvl w:val="0"/>
                <w:numId w:val="10"/>
              </w:numPr>
              <w:kinsoku/>
              <w:wordWrap/>
              <w:overflowPunct/>
              <w:topLinePunct w:val="0"/>
              <w:autoSpaceDE/>
              <w:autoSpaceDN/>
              <w:bidi w:val="0"/>
              <w:adjustRightInd/>
              <w:snapToGrid/>
              <w:spacing w:line="240" w:lineRule="atLeast"/>
              <w:textAlignment w:val="auto"/>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协助做好省委、省政府等在粤港澳大湾区举行的各项活动宣传工作。</w:t>
            </w:r>
          </w:p>
          <w:p>
            <w:pPr>
              <w:keepNext w:val="0"/>
              <w:keepLines w:val="0"/>
              <w:pageBreakBefore w:val="0"/>
              <w:widowControl/>
              <w:numPr>
                <w:ilvl w:val="0"/>
                <w:numId w:val="10"/>
              </w:numPr>
              <w:kinsoku/>
              <w:wordWrap/>
              <w:overflowPunct/>
              <w:topLinePunct w:val="0"/>
              <w:autoSpaceDE/>
              <w:autoSpaceDN/>
              <w:bidi w:val="0"/>
              <w:adjustRightInd/>
              <w:snapToGrid/>
              <w:spacing w:line="240" w:lineRule="atLeast"/>
              <w:textAlignment w:val="auto"/>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推进招商引资工作，走访驻地企业、科研院所、高等院校不少于10家，协助或承办引资引技引才引智活动10次以上。</w:t>
            </w:r>
          </w:p>
          <w:p>
            <w:pPr>
              <w:keepNext w:val="0"/>
              <w:keepLines w:val="0"/>
              <w:pageBreakBefore w:val="0"/>
              <w:widowControl/>
              <w:numPr>
                <w:ilvl w:val="0"/>
                <w:numId w:val="10"/>
              </w:numPr>
              <w:kinsoku/>
              <w:wordWrap/>
              <w:overflowPunct/>
              <w:topLinePunct w:val="0"/>
              <w:autoSpaceDE/>
              <w:autoSpaceDN/>
              <w:bidi w:val="0"/>
              <w:adjustRightInd/>
              <w:snapToGrid/>
              <w:spacing w:line="240" w:lineRule="atLeast"/>
              <w:textAlignment w:val="auto"/>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组织驻地湘籍企业家回湘考察，协助省内完成招商引资项目对接2次以上。</w:t>
            </w:r>
          </w:p>
          <w:p>
            <w:pPr>
              <w:keepNext w:val="0"/>
              <w:keepLines w:val="0"/>
              <w:pageBreakBefore w:val="0"/>
              <w:widowControl/>
              <w:kinsoku/>
              <w:wordWrap/>
              <w:overflowPunct/>
              <w:topLinePunct w:val="0"/>
              <w:autoSpaceDE/>
              <w:autoSpaceDN/>
              <w:bidi w:val="0"/>
              <w:adjustRightInd/>
              <w:snapToGrid/>
              <w:spacing w:line="240" w:lineRule="atLeast"/>
              <w:textAlignment w:val="auto"/>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5.加强与在粤湖南异地商会的联系，为驻地湘商开展活动和解决生产生活中遇到的问题和困难4个以上。</w:t>
            </w:r>
          </w:p>
          <w:p>
            <w:pPr>
              <w:keepNext w:val="0"/>
              <w:keepLines w:val="0"/>
              <w:pageBreakBefore w:val="0"/>
              <w:widowControl/>
              <w:kinsoku/>
              <w:wordWrap/>
              <w:overflowPunct/>
              <w:topLinePunct w:val="0"/>
              <w:autoSpaceDE/>
              <w:autoSpaceDN/>
              <w:bidi w:val="0"/>
              <w:adjustRightInd/>
              <w:snapToGrid/>
              <w:spacing w:line="240" w:lineRule="atLeast"/>
              <w:textAlignment w:val="auto"/>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6.做好驻地湘籍人员公共政策服务工作，做好驻地湘籍务工人员帮扶和信访维稳工作。</w:t>
            </w:r>
          </w:p>
          <w:p>
            <w:pPr>
              <w:keepNext w:val="0"/>
              <w:keepLines w:val="0"/>
              <w:pageBreakBefore w:val="0"/>
              <w:widowControl/>
              <w:kinsoku/>
              <w:wordWrap/>
              <w:overflowPunct/>
              <w:topLinePunct w:val="0"/>
              <w:autoSpaceDE/>
              <w:autoSpaceDN/>
              <w:bidi w:val="0"/>
              <w:adjustRightInd/>
              <w:snapToGrid/>
              <w:spacing w:line="240" w:lineRule="atLeast"/>
              <w:textAlignment w:val="auto"/>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7.向省委、省政府报送各类信息不少于1000条。组织开展专题调研活动，撰写专题调研报告2篇以上，为省委、省政府提供决策参考。</w:t>
            </w:r>
          </w:p>
          <w:p>
            <w:pPr>
              <w:keepNext w:val="0"/>
              <w:keepLines w:val="0"/>
              <w:pageBreakBefore w:val="0"/>
              <w:widowControl/>
              <w:kinsoku/>
              <w:wordWrap/>
              <w:overflowPunct/>
              <w:topLinePunct w:val="0"/>
              <w:autoSpaceDE/>
              <w:autoSpaceDN/>
              <w:bidi w:val="0"/>
              <w:adjustRightInd/>
              <w:snapToGrid/>
              <w:spacing w:line="240" w:lineRule="atLeast"/>
              <w:textAlignment w:val="auto"/>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8.做好驻地政务联络工作，加强湖南与粤港澳大湾区相关部门对接。做好政务接待工作，为省直单位和市州在粤港澳大湾区公务活动提供支持。</w:t>
            </w:r>
          </w:p>
        </w:tc>
        <w:tc>
          <w:tcPr>
            <w:tcW w:w="44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协助省直单位和市州开展对外招商、科技创新、先进制造业引资引技引才引智等活动12次。2.办事处微信公众号全年总计发送微信公众号信息500多条。通过办事处官方微信公众，协助做好省委、省政府等在粤港澳大湾区举行的各项活动宣传工作，在粤港澳大湾区宣传推介湖南，讲好湖南故事，反映湘粤两地新经验新做法和办事处工作亮点，打造交流平台，树立对外形象，展示湘籍人士在粤风采。3.走访驻地企业、科研院所、高等院校逾30家，协助或承办引资引技引才引智活动12次。4.组织驻地湘籍企业家回湘考察，协助省内完成招商引资项目对接4次。5.积极联系在粤湖南异地商会，为驻地湘商开展活动和解决生产生活遇到的问题15个。6.积极做好在粤湘籍人民服务工作，让他们感受到家乡政府的关心关怀。7.全年向省政府报送信息1661条，其中采纳信息26条，超额完成政务信息目标分，总分数在四个驻外办事处中排名第一，获评省政府系统信息工作目标管理先进单位奖。8.认真做好政务接待工作，全年接待省委统战部等全省各级各部门来粤公干47批次，其中副省级以上领导10余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标</w:t>
            </w:r>
          </w:p>
        </w:tc>
        <w:tc>
          <w:tcPr>
            <w:tcW w:w="13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一级指标</w:t>
            </w:r>
          </w:p>
        </w:tc>
        <w:tc>
          <w:tcPr>
            <w:tcW w:w="10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二级指标</w:t>
            </w: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三级指标</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指标值</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完成值</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分值</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得分</w:t>
            </w:r>
          </w:p>
        </w:tc>
        <w:tc>
          <w:tcPr>
            <w:tcW w:w="1429" w:type="dxa"/>
            <w:shd w:val="clear" w:color="auto" w:fill="auto"/>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产出指标</w:t>
            </w:r>
          </w:p>
        </w:tc>
        <w:tc>
          <w:tcPr>
            <w:tcW w:w="105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数量指标</w:t>
            </w: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协助省直和市州活动</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 w:val="20"/>
                <w:szCs w:val="20"/>
              </w:rPr>
            </w:pPr>
            <w:r>
              <w:rPr>
                <w:rFonts w:hint="eastAsia" w:eastAsia="仿宋_GB2312"/>
                <w:color w:val="000000"/>
                <w:kern w:val="0"/>
                <w:sz w:val="20"/>
                <w:szCs w:val="20"/>
              </w:rPr>
              <w:t>不少于5个</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12个</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7</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7</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协助宣传活动</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 w:val="20"/>
                <w:szCs w:val="20"/>
              </w:rPr>
            </w:pPr>
            <w:r>
              <w:rPr>
                <w:rFonts w:hint="eastAsia" w:eastAsia="仿宋_GB2312"/>
                <w:color w:val="000000"/>
                <w:kern w:val="0"/>
                <w:sz w:val="20"/>
                <w:szCs w:val="20"/>
              </w:rPr>
              <w:t>不少于10次</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10次</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6</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6</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走访驻地企业、科研院所、高等院校</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 w:val="20"/>
                <w:szCs w:val="20"/>
              </w:rPr>
            </w:pPr>
            <w:r>
              <w:rPr>
                <w:rFonts w:hint="eastAsia" w:eastAsia="仿宋_GB2312"/>
                <w:color w:val="000000"/>
                <w:kern w:val="0"/>
                <w:sz w:val="20"/>
                <w:szCs w:val="20"/>
              </w:rPr>
              <w:t>不少于10家</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30家</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7</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7</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协助或承办引资引技引才引智活动</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10次</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12次</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6</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6</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带企业回湘考察</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2次</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4次</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5</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5</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解决企业困难</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4个</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15个</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开展公共服务活动</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3次</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5次</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报送信息</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1000条</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1661条</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接待批次</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47</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质量</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指标</w:t>
            </w: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联络接待满意率</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100%</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100%</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3</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3</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政务信息采用率</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2%</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2</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信息采用率整体降低。提升信息报送质量。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210" w:firstLineChars="100"/>
              <w:jc w:val="left"/>
              <w:textAlignment w:val="auto"/>
              <w:rPr>
                <w:rFonts w:eastAsia="仿宋_GB2312"/>
                <w:color w:val="000000"/>
                <w:kern w:val="0"/>
                <w:szCs w:val="21"/>
              </w:rPr>
            </w:pPr>
          </w:p>
        </w:tc>
        <w:tc>
          <w:tcPr>
            <w:tcW w:w="105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成本</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指标</w:t>
            </w:r>
          </w:p>
        </w:tc>
        <w:tc>
          <w:tcPr>
            <w:tcW w:w="1704"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联络接待费用</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16.5万元</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6</w:t>
            </w:r>
            <w:r>
              <w:rPr>
                <w:rFonts w:eastAsia="仿宋_GB2312"/>
                <w:kern w:val="0"/>
                <w:szCs w:val="21"/>
              </w:rPr>
              <w:t>.1</w:t>
            </w:r>
            <w:r>
              <w:rPr>
                <w:rFonts w:hint="eastAsia" w:eastAsia="仿宋_GB2312"/>
                <w:kern w:val="0"/>
                <w:szCs w:val="21"/>
              </w:rPr>
              <w:t>万元</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2</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2</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招商引资成本</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5万元</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5万元</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2</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2</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210" w:leftChars="100"/>
              <w:jc w:val="left"/>
              <w:textAlignment w:val="auto"/>
              <w:rPr>
                <w:rFonts w:eastAsia="仿宋_GB2312"/>
                <w:color w:val="000000"/>
                <w:kern w:val="0"/>
                <w:szCs w:val="21"/>
              </w:rPr>
            </w:pPr>
            <w:r>
              <w:rPr>
                <w:rFonts w:hint="eastAsia" w:eastAsia="仿宋_GB2312"/>
                <w:color w:val="000000"/>
                <w:kern w:val="0"/>
                <w:szCs w:val="21"/>
              </w:rPr>
              <w:t>效益指标（30分）</w:t>
            </w:r>
          </w:p>
        </w:tc>
        <w:tc>
          <w:tcPr>
            <w:tcW w:w="10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经济效</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益指标</w:t>
            </w: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 xml:space="preserve">非税收入 </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100万元</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100万元</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8</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8</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社会效</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益指标</w:t>
            </w: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湘粤经济合作</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宣传湖南、推介我省招商引资项目</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有效的宣传湖南，促成深圳企业落户湖南</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kern w:val="0"/>
                <w:szCs w:val="21"/>
              </w:rPr>
            </w:pPr>
            <w:r>
              <w:rPr>
                <w:rFonts w:hint="eastAsia" w:eastAsia="仿宋_GB2312"/>
                <w:kern w:val="0"/>
                <w:szCs w:val="21"/>
              </w:rPr>
              <w:t>8</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8</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服务流动党团员</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做好湖南驻深单位系统党员管理工作</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做好了住深党员的日常管理和服务工作</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7</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7</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民生服务</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开展就业、返乡专列、继续教育等公益活动</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开展了就业、返乡专列、继续教育等公益活动</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7</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7</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38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（10分）</w:t>
            </w:r>
          </w:p>
        </w:tc>
        <w:tc>
          <w:tcPr>
            <w:tcW w:w="105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eastAsia="仿宋_GB2312"/>
                <w:color w:val="000000"/>
                <w:kern w:val="0"/>
                <w:szCs w:val="21"/>
              </w:rPr>
              <w:t>服务对象满意度指标</w:t>
            </w: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流动党团员服务满意度</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100%</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100%</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5</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3</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党团员过于分散，不好服务。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接待对象服务满意率</w:t>
            </w:r>
          </w:p>
        </w:tc>
        <w:tc>
          <w:tcPr>
            <w:tcW w:w="123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210" w:firstLineChars="100"/>
              <w:textAlignment w:val="auto"/>
              <w:rPr>
                <w:rFonts w:eastAsia="仿宋_GB2312"/>
                <w:color w:val="000000"/>
                <w:kern w:val="0"/>
                <w:szCs w:val="21"/>
              </w:rPr>
            </w:pPr>
            <w:r>
              <w:rPr>
                <w:rFonts w:hint="eastAsia" w:eastAsia="仿宋_GB2312"/>
                <w:color w:val="000000"/>
                <w:kern w:val="0"/>
                <w:szCs w:val="21"/>
              </w:rPr>
              <w:t>100%</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100%</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5</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5</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38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0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c>
          <w:tcPr>
            <w:tcW w:w="170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驻深湘籍企业服务满意度</w:t>
            </w:r>
          </w:p>
        </w:tc>
        <w:tc>
          <w:tcPr>
            <w:tcW w:w="1236" w:type="dxa"/>
            <w:gridSpan w:val="2"/>
            <w:shd w:val="clear" w:color="auto" w:fill="auto"/>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100%</w:t>
            </w:r>
          </w:p>
        </w:tc>
        <w:tc>
          <w:tcPr>
            <w:tcW w:w="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100%</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4</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1"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总分</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eastAsia="仿宋_GB2312"/>
                <w:color w:val="000000"/>
                <w:kern w:val="0"/>
                <w:szCs w:val="21"/>
              </w:rPr>
            </w:pPr>
            <w:r>
              <w:rPr>
                <w:rFonts w:hint="eastAsia" w:eastAsia="仿宋_GB2312"/>
                <w:color w:val="000000"/>
                <w:kern w:val="0"/>
                <w:szCs w:val="21"/>
              </w:rPr>
              <w:t>100</w:t>
            </w:r>
          </w:p>
        </w:tc>
        <w:tc>
          <w:tcPr>
            <w:tcW w:w="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r>
              <w:rPr>
                <w:rFonts w:hint="eastAsia" w:eastAsia="仿宋_GB2312"/>
                <w:color w:val="000000"/>
                <w:kern w:val="0"/>
                <w:szCs w:val="21"/>
              </w:rPr>
              <w:t>97</w:t>
            </w:r>
          </w:p>
        </w:tc>
        <w:tc>
          <w:tcPr>
            <w:tcW w:w="14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eastAsia="仿宋_GB2312"/>
                <w:color w:val="000000"/>
                <w:kern w:val="0"/>
                <w:szCs w:val="21"/>
              </w:rPr>
            </w:pPr>
          </w:p>
        </w:tc>
      </w:tr>
    </w:tbl>
    <w:p/>
    <w:p>
      <w:r>
        <w:rPr>
          <w:rFonts w:hint="eastAsia"/>
        </w:rPr>
        <w:t xml:space="preserve">填表人： </w:t>
      </w:r>
      <w:r>
        <w:t xml:space="preserve">        </w:t>
      </w:r>
      <w:r>
        <w:rPr>
          <w:rFonts w:hint="eastAsia"/>
        </w:rPr>
        <w:t xml:space="preserve">填报日期： </w:t>
      </w:r>
      <w:r>
        <w:t xml:space="preserve">            </w:t>
      </w:r>
      <w:r>
        <w:rPr>
          <w:rFonts w:hint="eastAsia"/>
        </w:rPr>
        <w:t xml:space="preserve">联系电话： </w:t>
      </w:r>
      <w:r>
        <w:t xml:space="preserve">           </w:t>
      </w:r>
      <w:r>
        <w:rPr>
          <w:rFonts w:hint="eastAsia"/>
        </w:rPr>
        <w:t>单位负责人签字：</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jc w:val="left"/>
        <w:rPr>
          <w:rFonts w:hint="eastAsia" w:eastAsia="黑体"/>
          <w:sz w:val="32"/>
          <w:szCs w:val="32"/>
          <w:lang w:val="en" w:eastAsia="zh-CN"/>
        </w:rPr>
      </w:pPr>
      <w:r>
        <w:rPr>
          <w:rFonts w:eastAsia="黑体"/>
          <w:sz w:val="32"/>
          <w:szCs w:val="32"/>
        </w:rPr>
        <w:t>附件</w:t>
      </w:r>
      <w:r>
        <w:rPr>
          <w:rFonts w:hint="eastAsia" w:eastAsia="黑体"/>
          <w:sz w:val="32"/>
          <w:szCs w:val="32"/>
          <w:lang w:val="en-US" w:eastAsia="zh-CN"/>
        </w:rPr>
        <w:t>3</w:t>
      </w: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2022年度项目支出绩效自评表</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672"/>
        <w:gridCol w:w="1376"/>
        <w:gridCol w:w="1291"/>
        <w:gridCol w:w="684"/>
        <w:gridCol w:w="873"/>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shd w:val="clear" w:color="auto" w:fill="auto"/>
            <w:vAlign w:val="center"/>
          </w:tcPr>
          <w:p>
            <w:pPr>
              <w:widowControl/>
              <w:spacing w:line="260" w:lineRule="exact"/>
              <w:jc w:val="center"/>
              <w:rPr>
                <w:rFonts w:eastAsia="仿宋_GB2312"/>
                <w:kern w:val="0"/>
                <w:szCs w:val="21"/>
              </w:rPr>
            </w:pPr>
            <w:bookmarkStart w:id="2" w:name="_GoBack"/>
            <w:bookmarkEnd w:id="2"/>
            <w:r>
              <w:rPr>
                <w:rFonts w:eastAsia="仿宋_GB2312"/>
                <w:kern w:val="0"/>
                <w:szCs w:val="21"/>
              </w:rPr>
              <w:t>项目支</w:t>
            </w:r>
          </w:p>
          <w:p>
            <w:pPr>
              <w:widowControl/>
              <w:spacing w:line="260" w:lineRule="exact"/>
              <w:jc w:val="center"/>
              <w:rPr>
                <w:rFonts w:eastAsia="仿宋_GB2312"/>
                <w:kern w:val="0"/>
                <w:szCs w:val="21"/>
              </w:rPr>
            </w:pPr>
            <w:r>
              <w:rPr>
                <w:rFonts w:eastAsia="仿宋_GB2312"/>
                <w:kern w:val="0"/>
                <w:szCs w:val="21"/>
              </w:rPr>
              <w:t>出名称</w:t>
            </w:r>
          </w:p>
        </w:tc>
        <w:tc>
          <w:tcPr>
            <w:tcW w:w="8771" w:type="dxa"/>
            <w:gridSpan w:val="8"/>
            <w:shd w:val="clear" w:color="auto" w:fill="auto"/>
            <w:vAlign w:val="center"/>
          </w:tcPr>
          <w:p>
            <w:pPr>
              <w:widowControl/>
              <w:jc w:val="center"/>
              <w:rPr>
                <w:rFonts w:eastAsia="仿宋_GB2312"/>
                <w:kern w:val="0"/>
                <w:szCs w:val="21"/>
              </w:rPr>
            </w:pPr>
            <w:r>
              <w:rPr>
                <w:rFonts w:hint="eastAsia" w:eastAsia="仿宋_GB2312"/>
                <w:kern w:val="0"/>
                <w:szCs w:val="21"/>
              </w:rPr>
              <w:t>异地身份证办理、办公设备及公有住房设施购置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auto"/>
            <w:vAlign w:val="center"/>
          </w:tcPr>
          <w:p>
            <w:pPr>
              <w:widowControl/>
              <w:jc w:val="left"/>
              <w:rPr>
                <w:rFonts w:eastAsia="仿宋_GB2312"/>
                <w:kern w:val="0"/>
                <w:szCs w:val="21"/>
              </w:rPr>
            </w:pPr>
            <w:r>
              <w:rPr>
                <w:rFonts w:eastAsia="仿宋_GB2312"/>
                <w:kern w:val="0"/>
                <w:szCs w:val="21"/>
              </w:rPr>
              <w:t>主管部门</w:t>
            </w:r>
          </w:p>
        </w:tc>
        <w:tc>
          <w:tcPr>
            <w:tcW w:w="5208" w:type="dxa"/>
            <w:gridSpan w:val="4"/>
            <w:shd w:val="clear" w:color="auto" w:fill="auto"/>
            <w:vAlign w:val="center"/>
          </w:tcPr>
          <w:p>
            <w:pPr>
              <w:widowControl/>
              <w:jc w:val="left"/>
              <w:rPr>
                <w:rFonts w:eastAsia="仿宋_GB2312"/>
                <w:kern w:val="0"/>
                <w:szCs w:val="21"/>
              </w:rPr>
            </w:pPr>
            <w:r>
              <w:rPr>
                <w:rFonts w:eastAsia="仿宋_GB2312"/>
                <w:kern w:val="0"/>
                <w:szCs w:val="21"/>
              </w:rPr>
              <w:t>　</w:t>
            </w:r>
          </w:p>
        </w:tc>
        <w:tc>
          <w:tcPr>
            <w:tcW w:w="1291" w:type="dxa"/>
            <w:shd w:val="clear" w:color="auto" w:fill="auto"/>
            <w:vAlign w:val="center"/>
          </w:tcPr>
          <w:p>
            <w:pPr>
              <w:widowControl/>
              <w:jc w:val="center"/>
              <w:rPr>
                <w:rFonts w:eastAsia="仿宋_GB2312"/>
                <w:kern w:val="0"/>
                <w:szCs w:val="21"/>
              </w:rPr>
            </w:pPr>
            <w:r>
              <w:rPr>
                <w:rFonts w:eastAsia="仿宋_GB2312"/>
                <w:kern w:val="0"/>
                <w:szCs w:val="21"/>
              </w:rPr>
              <w:t>实施单位</w:t>
            </w:r>
          </w:p>
        </w:tc>
        <w:tc>
          <w:tcPr>
            <w:tcW w:w="2272" w:type="dxa"/>
            <w:gridSpan w:val="3"/>
            <w:shd w:val="clear" w:color="auto" w:fill="auto"/>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pPr>
              <w:widowControl/>
              <w:jc w:val="center"/>
              <w:rPr>
                <w:rFonts w:eastAsia="仿宋_GB2312"/>
                <w:kern w:val="0"/>
                <w:szCs w:val="21"/>
              </w:rPr>
            </w:pPr>
            <w:r>
              <w:rPr>
                <w:rFonts w:eastAsia="仿宋_GB2312"/>
                <w:kern w:val="0"/>
                <w:szCs w:val="21"/>
              </w:rPr>
              <w:t>项目资金</w:t>
            </w:r>
            <w:r>
              <w:rPr>
                <w:rFonts w:eastAsia="仿宋_GB2312"/>
                <w:kern w:val="0"/>
                <w:szCs w:val="21"/>
              </w:rPr>
              <w:br w:type="textWrapping"/>
            </w:r>
            <w:r>
              <w:rPr>
                <w:rFonts w:eastAsia="仿宋_GB2312"/>
                <w:kern w:val="0"/>
                <w:szCs w:val="21"/>
              </w:rPr>
              <w:t>（万元）</w:t>
            </w:r>
          </w:p>
        </w:tc>
        <w:tc>
          <w:tcPr>
            <w:tcW w:w="2160" w:type="dxa"/>
            <w:gridSpan w:val="2"/>
            <w:shd w:val="clear" w:color="auto" w:fill="auto"/>
            <w:vAlign w:val="center"/>
          </w:tcPr>
          <w:p>
            <w:pPr>
              <w:widowControl/>
              <w:jc w:val="left"/>
              <w:rPr>
                <w:rFonts w:eastAsia="仿宋_GB2312"/>
                <w:kern w:val="0"/>
                <w:szCs w:val="21"/>
              </w:rPr>
            </w:pPr>
            <w:r>
              <w:rPr>
                <w:rFonts w:eastAsia="仿宋_GB2312"/>
                <w:kern w:val="0"/>
                <w:szCs w:val="21"/>
              </w:rPr>
              <w:t>　</w:t>
            </w:r>
          </w:p>
        </w:tc>
        <w:tc>
          <w:tcPr>
            <w:tcW w:w="1672" w:type="dxa"/>
            <w:shd w:val="clear" w:color="auto" w:fill="auto"/>
            <w:vAlign w:val="center"/>
          </w:tcPr>
          <w:p>
            <w:pPr>
              <w:widowControl/>
              <w:jc w:val="center"/>
              <w:rPr>
                <w:rFonts w:eastAsia="仿宋_GB2312"/>
                <w:kern w:val="0"/>
                <w:szCs w:val="21"/>
              </w:rPr>
            </w:pPr>
            <w:r>
              <w:rPr>
                <w:rFonts w:eastAsia="仿宋_GB2312"/>
                <w:kern w:val="0"/>
                <w:szCs w:val="21"/>
              </w:rPr>
              <w:t>年初预算数</w:t>
            </w:r>
          </w:p>
        </w:tc>
        <w:tc>
          <w:tcPr>
            <w:tcW w:w="1376" w:type="dxa"/>
            <w:shd w:val="clear" w:color="auto" w:fill="auto"/>
            <w:vAlign w:val="center"/>
          </w:tcPr>
          <w:p>
            <w:pPr>
              <w:widowControl/>
              <w:jc w:val="center"/>
              <w:rPr>
                <w:rFonts w:eastAsia="仿宋_GB2312"/>
                <w:kern w:val="0"/>
                <w:szCs w:val="21"/>
              </w:rPr>
            </w:pPr>
            <w:r>
              <w:rPr>
                <w:rFonts w:eastAsia="仿宋_GB2312"/>
                <w:kern w:val="0"/>
                <w:szCs w:val="21"/>
              </w:rPr>
              <w:t>全年预算数</w:t>
            </w:r>
          </w:p>
        </w:tc>
        <w:tc>
          <w:tcPr>
            <w:tcW w:w="1291" w:type="dxa"/>
            <w:shd w:val="clear" w:color="auto" w:fill="auto"/>
            <w:vAlign w:val="center"/>
          </w:tcPr>
          <w:p>
            <w:pPr>
              <w:jc w:val="center"/>
              <w:rPr>
                <w:rFonts w:eastAsia="仿宋_GB2312"/>
                <w:szCs w:val="21"/>
              </w:rPr>
            </w:pPr>
            <w:r>
              <w:rPr>
                <w:rFonts w:eastAsia="仿宋_GB2312"/>
                <w:szCs w:val="21"/>
              </w:rPr>
              <w:t>全年执行数</w:t>
            </w:r>
          </w:p>
        </w:tc>
        <w:tc>
          <w:tcPr>
            <w:tcW w:w="684" w:type="dxa"/>
            <w:shd w:val="clear" w:color="auto" w:fill="auto"/>
            <w:vAlign w:val="center"/>
          </w:tcPr>
          <w:p>
            <w:pPr>
              <w:jc w:val="center"/>
              <w:rPr>
                <w:rFonts w:eastAsia="仿宋_GB2312"/>
                <w:szCs w:val="21"/>
              </w:rPr>
            </w:pPr>
            <w:r>
              <w:rPr>
                <w:rFonts w:eastAsia="仿宋_GB2312"/>
                <w:szCs w:val="21"/>
              </w:rPr>
              <w:t>分值</w:t>
            </w:r>
          </w:p>
        </w:tc>
        <w:tc>
          <w:tcPr>
            <w:tcW w:w="873" w:type="dxa"/>
            <w:shd w:val="clear" w:color="auto" w:fill="auto"/>
            <w:vAlign w:val="center"/>
          </w:tcPr>
          <w:p>
            <w:pPr>
              <w:jc w:val="center"/>
              <w:rPr>
                <w:rFonts w:eastAsia="仿宋_GB2312"/>
                <w:szCs w:val="21"/>
              </w:rPr>
            </w:pPr>
            <w:r>
              <w:rPr>
                <w:rFonts w:eastAsia="仿宋_GB2312"/>
                <w:szCs w:val="21"/>
              </w:rPr>
              <w:t>执行率</w:t>
            </w:r>
          </w:p>
        </w:tc>
        <w:tc>
          <w:tcPr>
            <w:tcW w:w="715" w:type="dxa"/>
            <w:shd w:val="clear" w:color="auto" w:fill="auto"/>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widowControl/>
              <w:jc w:val="left"/>
              <w:rPr>
                <w:rFonts w:eastAsia="仿宋_GB2312"/>
                <w:kern w:val="0"/>
                <w:szCs w:val="21"/>
              </w:rPr>
            </w:pPr>
          </w:p>
        </w:tc>
        <w:tc>
          <w:tcPr>
            <w:tcW w:w="2160" w:type="dxa"/>
            <w:gridSpan w:val="2"/>
            <w:shd w:val="clear" w:color="auto" w:fill="auto"/>
            <w:vAlign w:val="center"/>
          </w:tcPr>
          <w:p>
            <w:pPr>
              <w:widowControl/>
              <w:jc w:val="left"/>
              <w:rPr>
                <w:rFonts w:eastAsia="仿宋_GB2312"/>
                <w:kern w:val="0"/>
                <w:szCs w:val="21"/>
              </w:rPr>
            </w:pPr>
            <w:r>
              <w:rPr>
                <w:rFonts w:eastAsia="仿宋_GB2312"/>
                <w:kern w:val="0"/>
                <w:szCs w:val="21"/>
              </w:rPr>
              <w:t>年度资金总额　</w:t>
            </w:r>
          </w:p>
        </w:tc>
        <w:tc>
          <w:tcPr>
            <w:tcW w:w="1672" w:type="dxa"/>
            <w:shd w:val="clear" w:color="auto" w:fill="auto"/>
            <w:vAlign w:val="center"/>
          </w:tcPr>
          <w:p>
            <w:pPr>
              <w:widowControl/>
              <w:jc w:val="left"/>
              <w:rPr>
                <w:rFonts w:eastAsia="仿宋_GB2312"/>
                <w:kern w:val="0"/>
                <w:szCs w:val="21"/>
              </w:rPr>
            </w:pPr>
          </w:p>
        </w:tc>
        <w:tc>
          <w:tcPr>
            <w:tcW w:w="1376" w:type="dxa"/>
            <w:shd w:val="clear" w:color="auto" w:fill="auto"/>
            <w:vAlign w:val="center"/>
          </w:tcPr>
          <w:p>
            <w:pPr>
              <w:widowControl/>
              <w:jc w:val="left"/>
              <w:rPr>
                <w:rFonts w:eastAsia="仿宋_GB2312"/>
                <w:kern w:val="0"/>
                <w:szCs w:val="21"/>
              </w:rPr>
            </w:pPr>
            <w:r>
              <w:rPr>
                <w:rFonts w:hint="eastAsia" w:eastAsia="仿宋_GB2312"/>
                <w:kern w:val="0"/>
                <w:szCs w:val="21"/>
              </w:rPr>
              <w:t>392.4</w:t>
            </w:r>
          </w:p>
        </w:tc>
        <w:tc>
          <w:tcPr>
            <w:tcW w:w="1291" w:type="dxa"/>
            <w:shd w:val="clear" w:color="auto" w:fill="auto"/>
            <w:vAlign w:val="center"/>
          </w:tcPr>
          <w:p>
            <w:pPr>
              <w:widowControl/>
              <w:jc w:val="left"/>
              <w:rPr>
                <w:rFonts w:eastAsia="仿宋_GB2312"/>
                <w:kern w:val="0"/>
                <w:szCs w:val="21"/>
              </w:rPr>
            </w:pPr>
            <w:r>
              <w:rPr>
                <w:rFonts w:eastAsia="仿宋_GB2312"/>
                <w:kern w:val="0"/>
                <w:szCs w:val="21"/>
              </w:rPr>
              <w:t>　392.4</w:t>
            </w:r>
          </w:p>
        </w:tc>
        <w:tc>
          <w:tcPr>
            <w:tcW w:w="684" w:type="dxa"/>
            <w:shd w:val="clear" w:color="auto" w:fill="auto"/>
            <w:vAlign w:val="center"/>
          </w:tcPr>
          <w:p>
            <w:pPr>
              <w:widowControl/>
              <w:jc w:val="left"/>
              <w:rPr>
                <w:rFonts w:eastAsia="仿宋_GB2312"/>
                <w:kern w:val="0"/>
                <w:szCs w:val="21"/>
              </w:rPr>
            </w:pPr>
            <w:r>
              <w:rPr>
                <w:rFonts w:eastAsia="仿宋_GB2312"/>
                <w:kern w:val="0"/>
                <w:szCs w:val="21"/>
              </w:rPr>
              <w:t>　10</w:t>
            </w:r>
          </w:p>
        </w:tc>
        <w:tc>
          <w:tcPr>
            <w:tcW w:w="873" w:type="dxa"/>
            <w:shd w:val="clear" w:color="auto" w:fill="auto"/>
            <w:vAlign w:val="center"/>
          </w:tcPr>
          <w:p>
            <w:pPr>
              <w:widowControl/>
              <w:jc w:val="left"/>
              <w:rPr>
                <w:rFonts w:eastAsia="仿宋_GB2312"/>
                <w:kern w:val="0"/>
                <w:szCs w:val="21"/>
              </w:rPr>
            </w:pPr>
            <w:r>
              <w:rPr>
                <w:rFonts w:hint="eastAsia" w:eastAsia="仿宋_GB2312"/>
                <w:kern w:val="0"/>
                <w:szCs w:val="21"/>
              </w:rPr>
              <w:t>100%</w:t>
            </w:r>
          </w:p>
        </w:tc>
        <w:tc>
          <w:tcPr>
            <w:tcW w:w="715" w:type="dxa"/>
            <w:shd w:val="clear" w:color="auto" w:fill="auto"/>
            <w:vAlign w:val="center"/>
          </w:tcPr>
          <w:p>
            <w:pPr>
              <w:widowControl/>
              <w:jc w:val="left"/>
              <w:rPr>
                <w:rFonts w:eastAsia="仿宋_GB2312"/>
                <w:kern w:val="0"/>
                <w:szCs w:val="21"/>
              </w:rPr>
            </w:pPr>
            <w:r>
              <w:rPr>
                <w:rFonts w:eastAsia="仿宋_GB2312"/>
                <w:kern w:val="0"/>
                <w:szCs w:val="21"/>
              </w:rPr>
              <w:t>　</w:t>
            </w:r>
            <w:r>
              <w:rPr>
                <w:rFonts w:hint="eastAsia" w:eastAsia="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widowControl/>
              <w:jc w:val="left"/>
              <w:rPr>
                <w:rFonts w:eastAsia="仿宋_GB2312"/>
                <w:kern w:val="0"/>
                <w:szCs w:val="21"/>
              </w:rPr>
            </w:pPr>
          </w:p>
        </w:tc>
        <w:tc>
          <w:tcPr>
            <w:tcW w:w="2160" w:type="dxa"/>
            <w:gridSpan w:val="2"/>
            <w:shd w:val="clear" w:color="auto" w:fill="auto"/>
            <w:vAlign w:val="center"/>
          </w:tcPr>
          <w:p>
            <w:pPr>
              <w:widowControl/>
              <w:jc w:val="left"/>
              <w:rPr>
                <w:rFonts w:eastAsia="仿宋_GB2312"/>
                <w:kern w:val="0"/>
                <w:szCs w:val="21"/>
              </w:rPr>
            </w:pPr>
            <w:r>
              <w:rPr>
                <w:rFonts w:eastAsia="仿宋_GB2312"/>
                <w:kern w:val="0"/>
                <w:szCs w:val="21"/>
              </w:rPr>
              <w:t>其中：当年财政拨款　</w:t>
            </w:r>
          </w:p>
        </w:tc>
        <w:tc>
          <w:tcPr>
            <w:tcW w:w="1672" w:type="dxa"/>
            <w:shd w:val="clear" w:color="auto" w:fill="auto"/>
            <w:vAlign w:val="center"/>
          </w:tcPr>
          <w:p>
            <w:pPr>
              <w:widowControl/>
              <w:jc w:val="left"/>
              <w:rPr>
                <w:rFonts w:eastAsia="仿宋_GB2312"/>
                <w:kern w:val="0"/>
                <w:szCs w:val="21"/>
              </w:rPr>
            </w:pPr>
          </w:p>
        </w:tc>
        <w:tc>
          <w:tcPr>
            <w:tcW w:w="1376" w:type="dxa"/>
            <w:shd w:val="clear" w:color="auto" w:fill="auto"/>
            <w:vAlign w:val="center"/>
          </w:tcPr>
          <w:p>
            <w:pPr>
              <w:widowControl/>
              <w:jc w:val="left"/>
              <w:rPr>
                <w:rFonts w:eastAsia="仿宋_GB2312"/>
                <w:kern w:val="0"/>
                <w:szCs w:val="21"/>
              </w:rPr>
            </w:pPr>
            <w:r>
              <w:rPr>
                <w:rFonts w:hint="eastAsia" w:eastAsia="仿宋_GB2312"/>
                <w:kern w:val="0"/>
                <w:szCs w:val="21"/>
              </w:rPr>
              <w:t>392.4</w:t>
            </w:r>
          </w:p>
        </w:tc>
        <w:tc>
          <w:tcPr>
            <w:tcW w:w="1291" w:type="dxa"/>
            <w:shd w:val="clear" w:color="auto" w:fill="auto"/>
            <w:vAlign w:val="center"/>
          </w:tcPr>
          <w:p>
            <w:pPr>
              <w:widowControl/>
              <w:jc w:val="left"/>
              <w:rPr>
                <w:rFonts w:eastAsia="仿宋_GB2312"/>
                <w:kern w:val="0"/>
                <w:szCs w:val="21"/>
              </w:rPr>
            </w:pPr>
            <w:r>
              <w:rPr>
                <w:rFonts w:eastAsia="仿宋_GB2312"/>
                <w:kern w:val="0"/>
                <w:szCs w:val="21"/>
              </w:rPr>
              <w:t>　392.4</w:t>
            </w:r>
          </w:p>
        </w:tc>
        <w:tc>
          <w:tcPr>
            <w:tcW w:w="684" w:type="dxa"/>
            <w:shd w:val="clear" w:color="auto" w:fill="auto"/>
            <w:vAlign w:val="center"/>
          </w:tcPr>
          <w:p>
            <w:pPr>
              <w:widowControl/>
              <w:jc w:val="left"/>
              <w:rPr>
                <w:rFonts w:eastAsia="仿宋_GB2312"/>
                <w:kern w:val="0"/>
                <w:szCs w:val="21"/>
              </w:rPr>
            </w:pPr>
            <w:r>
              <w:rPr>
                <w:rFonts w:eastAsia="仿宋_GB2312"/>
                <w:kern w:val="0"/>
                <w:szCs w:val="21"/>
              </w:rPr>
              <w:t>　</w:t>
            </w:r>
          </w:p>
        </w:tc>
        <w:tc>
          <w:tcPr>
            <w:tcW w:w="873" w:type="dxa"/>
            <w:shd w:val="clear" w:color="auto" w:fill="auto"/>
            <w:vAlign w:val="center"/>
          </w:tcPr>
          <w:p>
            <w:pPr>
              <w:widowControl/>
              <w:jc w:val="left"/>
              <w:rPr>
                <w:rFonts w:eastAsia="仿宋_GB2312"/>
                <w:kern w:val="0"/>
                <w:szCs w:val="21"/>
              </w:rPr>
            </w:pPr>
            <w:r>
              <w:rPr>
                <w:rFonts w:eastAsia="仿宋_GB2312"/>
                <w:kern w:val="0"/>
                <w:szCs w:val="21"/>
              </w:rPr>
              <w:t>　</w:t>
            </w:r>
          </w:p>
        </w:tc>
        <w:tc>
          <w:tcPr>
            <w:tcW w:w="715" w:type="dxa"/>
            <w:shd w:val="clear" w:color="auto" w:fill="auto"/>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widowControl/>
              <w:jc w:val="left"/>
              <w:rPr>
                <w:rFonts w:eastAsia="仿宋_GB2312"/>
                <w:kern w:val="0"/>
                <w:szCs w:val="21"/>
              </w:rPr>
            </w:pPr>
          </w:p>
        </w:tc>
        <w:tc>
          <w:tcPr>
            <w:tcW w:w="2160" w:type="dxa"/>
            <w:gridSpan w:val="2"/>
            <w:shd w:val="clear" w:color="auto" w:fill="auto"/>
            <w:vAlign w:val="center"/>
          </w:tcPr>
          <w:p>
            <w:pPr>
              <w:widowControl/>
              <w:ind w:firstLine="630" w:firstLineChars="300"/>
              <w:jc w:val="left"/>
              <w:rPr>
                <w:rFonts w:eastAsia="仿宋_GB2312"/>
                <w:kern w:val="0"/>
                <w:szCs w:val="21"/>
              </w:rPr>
            </w:pPr>
            <w:r>
              <w:rPr>
                <w:rFonts w:eastAsia="仿宋_GB2312"/>
                <w:kern w:val="0"/>
                <w:szCs w:val="21"/>
              </w:rPr>
              <w:t>上年结转资金　</w:t>
            </w:r>
          </w:p>
        </w:tc>
        <w:tc>
          <w:tcPr>
            <w:tcW w:w="1672" w:type="dxa"/>
            <w:shd w:val="clear" w:color="auto" w:fill="auto"/>
            <w:vAlign w:val="center"/>
          </w:tcPr>
          <w:p>
            <w:pPr>
              <w:widowControl/>
              <w:jc w:val="left"/>
              <w:rPr>
                <w:rFonts w:eastAsia="仿宋_GB2312"/>
                <w:kern w:val="0"/>
                <w:szCs w:val="21"/>
              </w:rPr>
            </w:pPr>
            <w:r>
              <w:rPr>
                <w:rFonts w:eastAsia="仿宋_GB2312"/>
                <w:kern w:val="0"/>
                <w:szCs w:val="21"/>
              </w:rPr>
              <w:t>　</w:t>
            </w:r>
          </w:p>
        </w:tc>
        <w:tc>
          <w:tcPr>
            <w:tcW w:w="1376" w:type="dxa"/>
            <w:shd w:val="clear" w:color="auto" w:fill="auto"/>
            <w:vAlign w:val="center"/>
          </w:tcPr>
          <w:p>
            <w:pPr>
              <w:widowControl/>
              <w:jc w:val="left"/>
              <w:rPr>
                <w:rFonts w:eastAsia="仿宋_GB2312"/>
                <w:kern w:val="0"/>
                <w:szCs w:val="21"/>
              </w:rPr>
            </w:pPr>
            <w:r>
              <w:rPr>
                <w:rFonts w:eastAsia="仿宋_GB2312"/>
                <w:kern w:val="0"/>
                <w:szCs w:val="21"/>
              </w:rPr>
              <w:t>　</w:t>
            </w:r>
          </w:p>
        </w:tc>
        <w:tc>
          <w:tcPr>
            <w:tcW w:w="1291" w:type="dxa"/>
            <w:shd w:val="clear" w:color="auto" w:fill="auto"/>
            <w:vAlign w:val="center"/>
          </w:tcPr>
          <w:p>
            <w:pPr>
              <w:widowControl/>
              <w:jc w:val="left"/>
              <w:rPr>
                <w:rFonts w:eastAsia="仿宋_GB2312"/>
                <w:kern w:val="0"/>
                <w:szCs w:val="21"/>
              </w:rPr>
            </w:pPr>
            <w:r>
              <w:rPr>
                <w:rFonts w:eastAsia="仿宋_GB2312"/>
                <w:kern w:val="0"/>
                <w:szCs w:val="21"/>
              </w:rPr>
              <w:t>　</w:t>
            </w:r>
          </w:p>
        </w:tc>
        <w:tc>
          <w:tcPr>
            <w:tcW w:w="684" w:type="dxa"/>
            <w:shd w:val="clear" w:color="auto" w:fill="auto"/>
            <w:vAlign w:val="center"/>
          </w:tcPr>
          <w:p>
            <w:pPr>
              <w:widowControl/>
              <w:jc w:val="left"/>
              <w:rPr>
                <w:rFonts w:eastAsia="仿宋_GB2312"/>
                <w:kern w:val="0"/>
                <w:szCs w:val="21"/>
              </w:rPr>
            </w:pPr>
            <w:r>
              <w:rPr>
                <w:rFonts w:eastAsia="仿宋_GB2312"/>
                <w:kern w:val="0"/>
                <w:szCs w:val="21"/>
              </w:rPr>
              <w:t>　</w:t>
            </w:r>
          </w:p>
        </w:tc>
        <w:tc>
          <w:tcPr>
            <w:tcW w:w="873" w:type="dxa"/>
            <w:shd w:val="clear" w:color="auto" w:fill="auto"/>
            <w:vAlign w:val="center"/>
          </w:tcPr>
          <w:p>
            <w:pPr>
              <w:widowControl/>
              <w:jc w:val="left"/>
              <w:rPr>
                <w:rFonts w:eastAsia="仿宋_GB2312"/>
                <w:kern w:val="0"/>
                <w:szCs w:val="21"/>
              </w:rPr>
            </w:pPr>
            <w:r>
              <w:rPr>
                <w:rFonts w:eastAsia="仿宋_GB2312"/>
                <w:kern w:val="0"/>
                <w:szCs w:val="21"/>
              </w:rPr>
              <w:t>　</w:t>
            </w:r>
          </w:p>
        </w:tc>
        <w:tc>
          <w:tcPr>
            <w:tcW w:w="715" w:type="dxa"/>
            <w:shd w:val="clear" w:color="auto" w:fill="auto"/>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widowControl/>
              <w:jc w:val="left"/>
              <w:rPr>
                <w:rFonts w:eastAsia="仿宋_GB2312"/>
                <w:kern w:val="0"/>
                <w:szCs w:val="21"/>
              </w:rPr>
            </w:pPr>
          </w:p>
        </w:tc>
        <w:tc>
          <w:tcPr>
            <w:tcW w:w="2160" w:type="dxa"/>
            <w:gridSpan w:val="2"/>
            <w:shd w:val="clear" w:color="auto" w:fill="auto"/>
            <w:vAlign w:val="center"/>
          </w:tcPr>
          <w:p>
            <w:pPr>
              <w:widowControl/>
              <w:ind w:firstLine="630" w:firstLineChars="300"/>
              <w:jc w:val="left"/>
              <w:rPr>
                <w:rFonts w:eastAsia="仿宋_GB2312"/>
                <w:kern w:val="0"/>
                <w:szCs w:val="21"/>
              </w:rPr>
            </w:pPr>
            <w:r>
              <w:rPr>
                <w:rFonts w:eastAsia="仿宋_GB2312"/>
                <w:kern w:val="0"/>
                <w:szCs w:val="21"/>
              </w:rPr>
              <w:t>其他资金</w:t>
            </w:r>
          </w:p>
        </w:tc>
        <w:tc>
          <w:tcPr>
            <w:tcW w:w="1672" w:type="dxa"/>
            <w:shd w:val="clear" w:color="auto" w:fill="auto"/>
            <w:vAlign w:val="center"/>
          </w:tcPr>
          <w:p>
            <w:pPr>
              <w:widowControl/>
              <w:jc w:val="left"/>
              <w:rPr>
                <w:rFonts w:eastAsia="仿宋_GB2312"/>
                <w:kern w:val="0"/>
                <w:szCs w:val="21"/>
              </w:rPr>
            </w:pPr>
            <w:r>
              <w:rPr>
                <w:rFonts w:eastAsia="仿宋_GB2312"/>
                <w:kern w:val="0"/>
                <w:szCs w:val="21"/>
              </w:rPr>
              <w:t>　</w:t>
            </w:r>
          </w:p>
        </w:tc>
        <w:tc>
          <w:tcPr>
            <w:tcW w:w="1376" w:type="dxa"/>
            <w:shd w:val="clear" w:color="auto" w:fill="auto"/>
            <w:vAlign w:val="center"/>
          </w:tcPr>
          <w:p>
            <w:pPr>
              <w:widowControl/>
              <w:jc w:val="left"/>
              <w:rPr>
                <w:rFonts w:eastAsia="仿宋_GB2312"/>
                <w:kern w:val="0"/>
                <w:szCs w:val="21"/>
              </w:rPr>
            </w:pPr>
            <w:r>
              <w:rPr>
                <w:rFonts w:eastAsia="仿宋_GB2312"/>
                <w:kern w:val="0"/>
                <w:szCs w:val="21"/>
              </w:rPr>
              <w:t>　</w:t>
            </w:r>
          </w:p>
        </w:tc>
        <w:tc>
          <w:tcPr>
            <w:tcW w:w="1291" w:type="dxa"/>
            <w:shd w:val="clear" w:color="auto" w:fill="auto"/>
            <w:vAlign w:val="center"/>
          </w:tcPr>
          <w:p>
            <w:pPr>
              <w:widowControl/>
              <w:jc w:val="left"/>
              <w:rPr>
                <w:rFonts w:eastAsia="仿宋_GB2312"/>
                <w:kern w:val="0"/>
                <w:szCs w:val="21"/>
              </w:rPr>
            </w:pPr>
            <w:r>
              <w:rPr>
                <w:rFonts w:eastAsia="仿宋_GB2312"/>
                <w:kern w:val="0"/>
                <w:szCs w:val="21"/>
              </w:rPr>
              <w:t>　</w:t>
            </w:r>
          </w:p>
        </w:tc>
        <w:tc>
          <w:tcPr>
            <w:tcW w:w="684" w:type="dxa"/>
            <w:shd w:val="clear" w:color="auto" w:fill="auto"/>
            <w:vAlign w:val="center"/>
          </w:tcPr>
          <w:p>
            <w:pPr>
              <w:widowControl/>
              <w:jc w:val="left"/>
              <w:rPr>
                <w:rFonts w:eastAsia="仿宋_GB2312"/>
                <w:kern w:val="0"/>
                <w:szCs w:val="21"/>
              </w:rPr>
            </w:pPr>
            <w:r>
              <w:rPr>
                <w:rFonts w:eastAsia="仿宋_GB2312"/>
                <w:kern w:val="0"/>
                <w:szCs w:val="21"/>
              </w:rPr>
              <w:t>　</w:t>
            </w:r>
          </w:p>
        </w:tc>
        <w:tc>
          <w:tcPr>
            <w:tcW w:w="873" w:type="dxa"/>
            <w:shd w:val="clear" w:color="auto" w:fill="auto"/>
            <w:vAlign w:val="center"/>
          </w:tcPr>
          <w:p>
            <w:pPr>
              <w:widowControl/>
              <w:jc w:val="left"/>
              <w:rPr>
                <w:rFonts w:eastAsia="仿宋_GB2312"/>
                <w:kern w:val="0"/>
                <w:szCs w:val="21"/>
              </w:rPr>
            </w:pPr>
            <w:r>
              <w:rPr>
                <w:rFonts w:eastAsia="仿宋_GB2312"/>
                <w:kern w:val="0"/>
                <w:szCs w:val="21"/>
              </w:rPr>
              <w:t>　</w:t>
            </w:r>
          </w:p>
        </w:tc>
        <w:tc>
          <w:tcPr>
            <w:tcW w:w="715" w:type="dxa"/>
            <w:shd w:val="clear" w:color="auto" w:fill="auto"/>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pPr>
              <w:widowControl/>
              <w:jc w:val="center"/>
              <w:rPr>
                <w:rFonts w:eastAsia="仿宋_GB2312"/>
                <w:kern w:val="0"/>
                <w:szCs w:val="21"/>
              </w:rPr>
            </w:pPr>
            <w:r>
              <w:rPr>
                <w:rFonts w:eastAsia="仿宋_GB2312"/>
                <w:kern w:val="0"/>
                <w:szCs w:val="21"/>
              </w:rPr>
              <w:t>年度总体目标</w:t>
            </w:r>
          </w:p>
        </w:tc>
        <w:tc>
          <w:tcPr>
            <w:tcW w:w="5208" w:type="dxa"/>
            <w:gridSpan w:val="4"/>
            <w:shd w:val="clear" w:color="auto" w:fill="auto"/>
            <w:vAlign w:val="center"/>
          </w:tcPr>
          <w:p>
            <w:pPr>
              <w:widowControl/>
              <w:jc w:val="center"/>
              <w:rPr>
                <w:rFonts w:eastAsia="仿宋_GB2312"/>
                <w:kern w:val="0"/>
                <w:szCs w:val="21"/>
              </w:rPr>
            </w:pPr>
            <w:r>
              <w:rPr>
                <w:rFonts w:eastAsia="仿宋_GB2312"/>
                <w:kern w:val="0"/>
                <w:szCs w:val="21"/>
              </w:rPr>
              <w:t>预期目标</w:t>
            </w:r>
          </w:p>
        </w:tc>
        <w:tc>
          <w:tcPr>
            <w:tcW w:w="3563" w:type="dxa"/>
            <w:gridSpan w:val="4"/>
            <w:shd w:val="clear" w:color="auto" w:fill="auto"/>
            <w:vAlign w:val="center"/>
          </w:tcPr>
          <w:p>
            <w:pPr>
              <w:widowControl/>
              <w:jc w:val="center"/>
              <w:rPr>
                <w:rFonts w:eastAsia="仿宋_GB2312"/>
                <w:kern w:val="0"/>
                <w:szCs w:val="21"/>
              </w:rPr>
            </w:pPr>
            <w:r>
              <w:rPr>
                <w:rFonts w:eastAsia="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shd w:val="clear" w:color="auto" w:fill="auto"/>
            <w:vAlign w:val="center"/>
          </w:tcPr>
          <w:p>
            <w:pPr>
              <w:widowControl/>
              <w:jc w:val="left"/>
              <w:rPr>
                <w:rFonts w:eastAsia="仿宋_GB2312"/>
                <w:color w:val="000000"/>
                <w:kern w:val="0"/>
                <w:szCs w:val="21"/>
              </w:rPr>
            </w:pPr>
          </w:p>
        </w:tc>
        <w:tc>
          <w:tcPr>
            <w:tcW w:w="5208" w:type="dxa"/>
            <w:gridSpan w:val="4"/>
            <w:shd w:val="clear" w:color="auto" w:fill="auto"/>
            <w:vAlign w:val="center"/>
          </w:tcPr>
          <w:p>
            <w:pPr>
              <w:widowControl/>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1.协助省公安厅线上办理异地身份证；2.严格按照资产管理规定购买、使用、管理，合理使用和维护设备，提高设备利用率，提升工作效率。3.更新部分公有用房设施。</w:t>
            </w:r>
          </w:p>
        </w:tc>
        <w:tc>
          <w:tcPr>
            <w:tcW w:w="3563" w:type="dxa"/>
            <w:gridSpan w:val="4"/>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1.协助完成了省公安厅异地身份证办理有关工作。2.满足日常日常办公需求。3.满足干部职工日常住房需求。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jc w:val="left"/>
              <w:rPr>
                <w:rFonts w:eastAsia="仿宋_GB2312"/>
                <w:color w:val="000000"/>
                <w:kern w:val="0"/>
                <w:szCs w:val="21"/>
              </w:rPr>
            </w:pPr>
          </w:p>
        </w:tc>
        <w:tc>
          <w:tcPr>
            <w:tcW w:w="1080" w:type="dxa"/>
            <w:vMerge w:val="restart"/>
            <w:shd w:val="clear" w:color="auto" w:fill="auto"/>
            <w:vAlign w:val="center"/>
          </w:tcPr>
          <w:p>
            <w:pPr>
              <w:jc w:val="left"/>
              <w:rPr>
                <w:rFonts w:eastAsia="仿宋_GB2312"/>
                <w:color w:val="000000"/>
                <w:kern w:val="0"/>
                <w:szCs w:val="21"/>
              </w:rPr>
            </w:pPr>
          </w:p>
        </w:tc>
        <w:tc>
          <w:tcPr>
            <w:tcW w:w="1080" w:type="dxa"/>
            <w:shd w:val="clear" w:color="auto" w:fill="auto"/>
            <w:vAlign w:val="center"/>
          </w:tcPr>
          <w:p>
            <w:pPr>
              <w:widowControl/>
              <w:jc w:val="center"/>
              <w:rPr>
                <w:rFonts w:eastAsia="仿宋_GB2312"/>
                <w:color w:val="000000"/>
                <w:kern w:val="0"/>
                <w:szCs w:val="21"/>
              </w:rPr>
            </w:pPr>
            <w:r>
              <w:rPr>
                <w:rFonts w:hint="eastAsia" w:eastAsia="仿宋_GB2312"/>
                <w:color w:val="000000"/>
                <w:kern w:val="0"/>
                <w:szCs w:val="21"/>
              </w:rPr>
              <w:t>数量指标</w:t>
            </w:r>
          </w:p>
        </w:tc>
        <w:tc>
          <w:tcPr>
            <w:tcW w:w="1672"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设备使用年限</w:t>
            </w:r>
          </w:p>
        </w:tc>
        <w:tc>
          <w:tcPr>
            <w:tcW w:w="1376"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≥6年</w:t>
            </w:r>
          </w:p>
        </w:tc>
        <w:tc>
          <w:tcPr>
            <w:tcW w:w="1291" w:type="dxa"/>
            <w:shd w:val="clear" w:color="auto" w:fill="auto"/>
            <w:vAlign w:val="center"/>
          </w:tcPr>
          <w:p>
            <w:pPr>
              <w:widowControl/>
              <w:jc w:val="center"/>
              <w:rPr>
                <w:rFonts w:eastAsia="仿宋_GB2312"/>
                <w:color w:val="000000"/>
                <w:kern w:val="0"/>
                <w:szCs w:val="21"/>
              </w:rPr>
            </w:pPr>
          </w:p>
        </w:tc>
        <w:tc>
          <w:tcPr>
            <w:tcW w:w="684" w:type="dxa"/>
            <w:shd w:val="clear" w:color="auto" w:fill="auto"/>
            <w:vAlign w:val="center"/>
          </w:tcPr>
          <w:p>
            <w:pPr>
              <w:widowControl/>
              <w:jc w:val="left"/>
              <w:rPr>
                <w:rFonts w:eastAsia="仿宋_GB2312"/>
                <w:color w:val="000000"/>
                <w:kern w:val="0"/>
                <w:szCs w:val="21"/>
              </w:rPr>
            </w:pPr>
          </w:p>
        </w:tc>
        <w:tc>
          <w:tcPr>
            <w:tcW w:w="873" w:type="dxa"/>
            <w:shd w:val="clear" w:color="auto" w:fill="auto"/>
            <w:vAlign w:val="center"/>
          </w:tcPr>
          <w:p>
            <w:pPr>
              <w:widowControl/>
              <w:jc w:val="left"/>
              <w:rPr>
                <w:rFonts w:eastAsia="仿宋_GB2312"/>
                <w:color w:val="000000"/>
                <w:kern w:val="0"/>
                <w:szCs w:val="21"/>
              </w:rPr>
            </w:pP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jc w:val="left"/>
              <w:rPr>
                <w:rFonts w:eastAsia="仿宋_GB2312"/>
                <w:color w:val="000000"/>
                <w:kern w:val="0"/>
                <w:szCs w:val="21"/>
              </w:rPr>
            </w:pPr>
          </w:p>
        </w:tc>
        <w:tc>
          <w:tcPr>
            <w:tcW w:w="1080" w:type="dxa"/>
            <w:vMerge w:val="continue"/>
            <w:shd w:val="clear" w:color="auto" w:fill="auto"/>
            <w:vAlign w:val="center"/>
          </w:tcPr>
          <w:p>
            <w:pPr>
              <w:jc w:val="left"/>
              <w:rPr>
                <w:rFonts w:eastAsia="仿宋_GB2312"/>
                <w:color w:val="000000"/>
                <w:kern w:val="0"/>
                <w:szCs w:val="21"/>
              </w:rPr>
            </w:pPr>
          </w:p>
        </w:tc>
        <w:tc>
          <w:tcPr>
            <w:tcW w:w="1080" w:type="dxa"/>
            <w:shd w:val="clear" w:color="auto" w:fill="auto"/>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672"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设备质量合格率</w:t>
            </w:r>
          </w:p>
        </w:tc>
        <w:tc>
          <w:tcPr>
            <w:tcW w:w="1376"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≥95%</w:t>
            </w:r>
          </w:p>
        </w:tc>
        <w:tc>
          <w:tcPr>
            <w:tcW w:w="1291" w:type="dxa"/>
            <w:shd w:val="clear" w:color="auto" w:fill="auto"/>
            <w:vAlign w:val="center"/>
          </w:tcPr>
          <w:p>
            <w:pPr>
              <w:widowControl/>
              <w:jc w:val="center"/>
              <w:rPr>
                <w:rFonts w:eastAsia="仿宋_GB2312"/>
                <w:color w:val="000000"/>
                <w:kern w:val="0"/>
                <w:szCs w:val="21"/>
              </w:rPr>
            </w:pPr>
          </w:p>
        </w:tc>
        <w:tc>
          <w:tcPr>
            <w:tcW w:w="684" w:type="dxa"/>
            <w:shd w:val="clear" w:color="auto" w:fill="auto"/>
            <w:vAlign w:val="center"/>
          </w:tcPr>
          <w:p>
            <w:pPr>
              <w:widowControl/>
              <w:jc w:val="left"/>
              <w:rPr>
                <w:rFonts w:eastAsia="仿宋_GB2312"/>
                <w:color w:val="000000"/>
                <w:kern w:val="0"/>
                <w:szCs w:val="21"/>
              </w:rPr>
            </w:pPr>
          </w:p>
        </w:tc>
        <w:tc>
          <w:tcPr>
            <w:tcW w:w="873" w:type="dxa"/>
            <w:shd w:val="clear" w:color="auto" w:fill="auto"/>
            <w:vAlign w:val="center"/>
          </w:tcPr>
          <w:p>
            <w:pPr>
              <w:widowControl/>
              <w:jc w:val="left"/>
              <w:rPr>
                <w:rFonts w:eastAsia="仿宋_GB2312"/>
                <w:color w:val="000000"/>
                <w:kern w:val="0"/>
                <w:szCs w:val="21"/>
              </w:rPr>
            </w:pP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jc w:val="left"/>
              <w:rPr>
                <w:rFonts w:eastAsia="仿宋_GB2312"/>
                <w:color w:val="000000"/>
                <w:kern w:val="0"/>
                <w:szCs w:val="21"/>
              </w:rPr>
            </w:pPr>
          </w:p>
        </w:tc>
        <w:tc>
          <w:tcPr>
            <w:tcW w:w="1080" w:type="dxa"/>
            <w:vMerge w:val="continue"/>
            <w:shd w:val="clear" w:color="auto" w:fill="auto"/>
            <w:vAlign w:val="center"/>
          </w:tcPr>
          <w:p>
            <w:pPr>
              <w:jc w:val="left"/>
              <w:rPr>
                <w:rFonts w:eastAsia="仿宋_GB2312"/>
                <w:color w:val="000000"/>
                <w:kern w:val="0"/>
                <w:szCs w:val="21"/>
              </w:rPr>
            </w:pPr>
          </w:p>
        </w:tc>
        <w:tc>
          <w:tcPr>
            <w:tcW w:w="1080" w:type="dxa"/>
            <w:vMerge w:val="restart"/>
            <w:shd w:val="clear" w:color="auto" w:fill="auto"/>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672"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及时调配资产</w:t>
            </w:r>
          </w:p>
        </w:tc>
        <w:tc>
          <w:tcPr>
            <w:tcW w:w="1376"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≥90%</w:t>
            </w:r>
          </w:p>
        </w:tc>
        <w:tc>
          <w:tcPr>
            <w:tcW w:w="1291" w:type="dxa"/>
            <w:shd w:val="clear" w:color="auto" w:fill="auto"/>
            <w:vAlign w:val="center"/>
          </w:tcPr>
          <w:p>
            <w:pPr>
              <w:widowControl/>
              <w:jc w:val="center"/>
              <w:rPr>
                <w:rFonts w:eastAsia="仿宋_GB2312"/>
                <w:color w:val="000000"/>
                <w:kern w:val="0"/>
                <w:szCs w:val="21"/>
              </w:rPr>
            </w:pPr>
          </w:p>
        </w:tc>
        <w:tc>
          <w:tcPr>
            <w:tcW w:w="684" w:type="dxa"/>
            <w:shd w:val="clear" w:color="auto" w:fill="auto"/>
            <w:vAlign w:val="center"/>
          </w:tcPr>
          <w:p>
            <w:pPr>
              <w:widowControl/>
              <w:jc w:val="left"/>
              <w:rPr>
                <w:rFonts w:eastAsia="仿宋_GB2312"/>
                <w:color w:val="000000"/>
                <w:kern w:val="0"/>
                <w:szCs w:val="21"/>
              </w:rPr>
            </w:pPr>
          </w:p>
        </w:tc>
        <w:tc>
          <w:tcPr>
            <w:tcW w:w="873" w:type="dxa"/>
            <w:shd w:val="clear" w:color="auto" w:fill="auto"/>
            <w:vAlign w:val="center"/>
          </w:tcPr>
          <w:p>
            <w:pPr>
              <w:widowControl/>
              <w:jc w:val="left"/>
              <w:rPr>
                <w:rFonts w:eastAsia="仿宋_GB2312"/>
                <w:color w:val="000000"/>
                <w:kern w:val="0"/>
                <w:szCs w:val="21"/>
              </w:rPr>
            </w:pP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jc w:val="left"/>
              <w:rPr>
                <w:rFonts w:eastAsia="仿宋_GB2312"/>
                <w:color w:val="000000"/>
                <w:kern w:val="0"/>
                <w:szCs w:val="21"/>
              </w:rPr>
            </w:pPr>
          </w:p>
        </w:tc>
        <w:tc>
          <w:tcPr>
            <w:tcW w:w="1080" w:type="dxa"/>
            <w:vMerge w:val="continue"/>
            <w:shd w:val="clear" w:color="auto" w:fill="auto"/>
            <w:vAlign w:val="center"/>
          </w:tcPr>
          <w:p>
            <w:pPr>
              <w:jc w:val="left"/>
              <w:rPr>
                <w:rFonts w:eastAsia="仿宋_GB2312"/>
                <w:color w:val="000000"/>
                <w:kern w:val="0"/>
                <w:szCs w:val="21"/>
              </w:rPr>
            </w:pPr>
          </w:p>
        </w:tc>
        <w:tc>
          <w:tcPr>
            <w:tcW w:w="1080" w:type="dxa"/>
            <w:vMerge w:val="continue"/>
            <w:shd w:val="clear" w:color="auto" w:fill="auto"/>
            <w:vAlign w:val="center"/>
          </w:tcPr>
          <w:p>
            <w:pPr>
              <w:widowControl/>
              <w:jc w:val="center"/>
              <w:rPr>
                <w:rFonts w:eastAsia="仿宋_GB2312"/>
                <w:color w:val="000000"/>
                <w:kern w:val="0"/>
                <w:szCs w:val="21"/>
              </w:rPr>
            </w:pPr>
          </w:p>
        </w:tc>
        <w:tc>
          <w:tcPr>
            <w:tcW w:w="1672" w:type="dxa"/>
            <w:shd w:val="clear" w:color="auto" w:fill="auto"/>
            <w:vAlign w:val="center"/>
          </w:tcPr>
          <w:p>
            <w:pPr>
              <w:widowControl/>
              <w:jc w:val="left"/>
              <w:rPr>
                <w:rFonts w:eastAsia="仿宋_GB2312"/>
                <w:color w:val="000000"/>
                <w:kern w:val="0"/>
                <w:szCs w:val="21"/>
              </w:rPr>
            </w:pPr>
          </w:p>
        </w:tc>
        <w:tc>
          <w:tcPr>
            <w:tcW w:w="1376" w:type="dxa"/>
            <w:shd w:val="clear" w:color="auto" w:fill="auto"/>
            <w:vAlign w:val="center"/>
          </w:tcPr>
          <w:p>
            <w:pPr>
              <w:widowControl/>
              <w:jc w:val="left"/>
              <w:rPr>
                <w:rFonts w:eastAsia="仿宋_GB2312"/>
                <w:color w:val="000000"/>
                <w:kern w:val="0"/>
                <w:szCs w:val="21"/>
              </w:rPr>
            </w:pPr>
          </w:p>
        </w:tc>
        <w:tc>
          <w:tcPr>
            <w:tcW w:w="1291" w:type="dxa"/>
            <w:shd w:val="clear" w:color="auto" w:fill="auto"/>
            <w:vAlign w:val="center"/>
          </w:tcPr>
          <w:p>
            <w:pPr>
              <w:widowControl/>
              <w:jc w:val="center"/>
              <w:rPr>
                <w:rFonts w:eastAsia="仿宋_GB2312"/>
                <w:color w:val="000000"/>
                <w:kern w:val="0"/>
                <w:szCs w:val="21"/>
              </w:rPr>
            </w:pPr>
          </w:p>
        </w:tc>
        <w:tc>
          <w:tcPr>
            <w:tcW w:w="684" w:type="dxa"/>
            <w:shd w:val="clear" w:color="auto" w:fill="auto"/>
            <w:vAlign w:val="center"/>
          </w:tcPr>
          <w:p>
            <w:pPr>
              <w:widowControl/>
              <w:jc w:val="left"/>
              <w:rPr>
                <w:rFonts w:eastAsia="仿宋_GB2312"/>
                <w:color w:val="000000"/>
                <w:kern w:val="0"/>
                <w:szCs w:val="21"/>
              </w:rPr>
            </w:pPr>
          </w:p>
        </w:tc>
        <w:tc>
          <w:tcPr>
            <w:tcW w:w="873" w:type="dxa"/>
            <w:shd w:val="clear" w:color="auto" w:fill="auto"/>
            <w:vAlign w:val="center"/>
          </w:tcPr>
          <w:p>
            <w:pPr>
              <w:widowControl/>
              <w:jc w:val="left"/>
              <w:rPr>
                <w:rFonts w:eastAsia="仿宋_GB2312"/>
                <w:color w:val="000000"/>
                <w:kern w:val="0"/>
                <w:szCs w:val="21"/>
              </w:rPr>
            </w:pP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jc w:val="left"/>
              <w:rPr>
                <w:rFonts w:eastAsia="仿宋_GB2312"/>
                <w:color w:val="000000"/>
                <w:kern w:val="0"/>
                <w:szCs w:val="21"/>
              </w:rPr>
            </w:pPr>
          </w:p>
        </w:tc>
        <w:tc>
          <w:tcPr>
            <w:tcW w:w="1080" w:type="dxa"/>
            <w:vMerge w:val="continue"/>
            <w:shd w:val="clear" w:color="auto" w:fill="auto"/>
            <w:vAlign w:val="center"/>
          </w:tcPr>
          <w:p>
            <w:pPr>
              <w:jc w:val="left"/>
              <w:rPr>
                <w:rFonts w:eastAsia="仿宋_GB2312"/>
                <w:color w:val="000000"/>
                <w:kern w:val="0"/>
                <w:szCs w:val="21"/>
              </w:rPr>
            </w:pPr>
          </w:p>
        </w:tc>
        <w:tc>
          <w:tcPr>
            <w:tcW w:w="1080" w:type="dxa"/>
            <w:vMerge w:val="restart"/>
            <w:shd w:val="clear" w:color="auto" w:fill="auto"/>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672" w:type="dxa"/>
            <w:shd w:val="clear" w:color="auto" w:fill="auto"/>
            <w:vAlign w:val="center"/>
          </w:tcPr>
          <w:p>
            <w:pPr>
              <w:widowControl/>
              <w:jc w:val="left"/>
              <w:rPr>
                <w:rFonts w:eastAsia="仿宋_GB2312"/>
                <w:color w:val="000000"/>
                <w:kern w:val="0"/>
                <w:szCs w:val="21"/>
              </w:rPr>
            </w:pPr>
          </w:p>
        </w:tc>
        <w:tc>
          <w:tcPr>
            <w:tcW w:w="1376" w:type="dxa"/>
            <w:shd w:val="clear" w:color="auto" w:fill="auto"/>
            <w:vAlign w:val="center"/>
          </w:tcPr>
          <w:p>
            <w:pPr>
              <w:widowControl/>
              <w:jc w:val="left"/>
              <w:rPr>
                <w:rFonts w:eastAsia="仿宋_GB2312"/>
                <w:color w:val="000000"/>
                <w:kern w:val="0"/>
                <w:szCs w:val="21"/>
              </w:rPr>
            </w:pPr>
          </w:p>
        </w:tc>
        <w:tc>
          <w:tcPr>
            <w:tcW w:w="1291" w:type="dxa"/>
            <w:shd w:val="clear" w:color="auto" w:fill="auto"/>
            <w:vAlign w:val="center"/>
          </w:tcPr>
          <w:p>
            <w:pPr>
              <w:widowControl/>
              <w:jc w:val="center"/>
              <w:rPr>
                <w:rFonts w:eastAsia="仿宋_GB2312"/>
                <w:color w:val="000000"/>
                <w:kern w:val="0"/>
                <w:szCs w:val="21"/>
              </w:rPr>
            </w:pPr>
          </w:p>
        </w:tc>
        <w:tc>
          <w:tcPr>
            <w:tcW w:w="684" w:type="dxa"/>
            <w:shd w:val="clear" w:color="auto" w:fill="auto"/>
            <w:vAlign w:val="center"/>
          </w:tcPr>
          <w:p>
            <w:pPr>
              <w:widowControl/>
              <w:jc w:val="left"/>
              <w:rPr>
                <w:rFonts w:eastAsia="仿宋_GB2312"/>
                <w:color w:val="000000"/>
                <w:kern w:val="0"/>
                <w:szCs w:val="21"/>
              </w:rPr>
            </w:pPr>
          </w:p>
        </w:tc>
        <w:tc>
          <w:tcPr>
            <w:tcW w:w="873" w:type="dxa"/>
            <w:shd w:val="clear" w:color="auto" w:fill="auto"/>
            <w:vAlign w:val="center"/>
          </w:tcPr>
          <w:p>
            <w:pPr>
              <w:widowControl/>
              <w:jc w:val="left"/>
              <w:rPr>
                <w:rFonts w:eastAsia="仿宋_GB2312"/>
                <w:color w:val="000000"/>
                <w:kern w:val="0"/>
                <w:szCs w:val="21"/>
              </w:rPr>
            </w:pP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jc w:val="left"/>
              <w:rPr>
                <w:rFonts w:eastAsia="仿宋_GB2312"/>
                <w:color w:val="000000"/>
                <w:kern w:val="0"/>
                <w:szCs w:val="21"/>
              </w:rPr>
            </w:pPr>
          </w:p>
        </w:tc>
        <w:tc>
          <w:tcPr>
            <w:tcW w:w="1080" w:type="dxa"/>
            <w:vMerge w:val="continue"/>
            <w:shd w:val="clear" w:color="auto" w:fill="auto"/>
            <w:vAlign w:val="center"/>
          </w:tcPr>
          <w:p>
            <w:pPr>
              <w:widowControl/>
              <w:jc w:val="left"/>
              <w:rPr>
                <w:rFonts w:eastAsia="仿宋_GB2312"/>
                <w:color w:val="000000"/>
                <w:kern w:val="0"/>
                <w:szCs w:val="21"/>
              </w:rPr>
            </w:pPr>
          </w:p>
        </w:tc>
        <w:tc>
          <w:tcPr>
            <w:tcW w:w="1080" w:type="dxa"/>
            <w:vMerge w:val="continue"/>
            <w:shd w:val="clear" w:color="auto" w:fill="auto"/>
            <w:vAlign w:val="center"/>
          </w:tcPr>
          <w:p>
            <w:pPr>
              <w:widowControl/>
              <w:jc w:val="left"/>
              <w:rPr>
                <w:rFonts w:eastAsia="仿宋_GB2312"/>
                <w:color w:val="000000"/>
                <w:kern w:val="0"/>
                <w:szCs w:val="21"/>
              </w:rPr>
            </w:pPr>
          </w:p>
        </w:tc>
        <w:tc>
          <w:tcPr>
            <w:tcW w:w="1672" w:type="dxa"/>
            <w:shd w:val="clear" w:color="auto" w:fill="auto"/>
            <w:vAlign w:val="center"/>
          </w:tcPr>
          <w:p>
            <w:pPr>
              <w:widowControl/>
              <w:jc w:val="left"/>
              <w:rPr>
                <w:rFonts w:eastAsia="仿宋_GB2312"/>
                <w:color w:val="000000"/>
                <w:kern w:val="0"/>
                <w:szCs w:val="21"/>
              </w:rPr>
            </w:pPr>
          </w:p>
        </w:tc>
        <w:tc>
          <w:tcPr>
            <w:tcW w:w="1376"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c>
          <w:tcPr>
            <w:tcW w:w="1291" w:type="dxa"/>
            <w:shd w:val="clear" w:color="auto" w:fill="auto"/>
            <w:vAlign w:val="center"/>
          </w:tcPr>
          <w:p>
            <w:pPr>
              <w:widowControl/>
              <w:jc w:val="center"/>
              <w:rPr>
                <w:rFonts w:eastAsia="仿宋_GB2312"/>
                <w:color w:val="000000"/>
                <w:kern w:val="0"/>
                <w:szCs w:val="21"/>
              </w:rPr>
            </w:pPr>
          </w:p>
        </w:tc>
        <w:tc>
          <w:tcPr>
            <w:tcW w:w="684"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jc w:val="left"/>
              <w:rPr>
                <w:rFonts w:eastAsia="仿宋_GB2312"/>
                <w:color w:val="000000"/>
                <w:kern w:val="0"/>
                <w:szCs w:val="21"/>
              </w:rPr>
            </w:pPr>
          </w:p>
        </w:tc>
        <w:tc>
          <w:tcPr>
            <w:tcW w:w="1080" w:type="dxa"/>
            <w:vMerge w:val="restart"/>
            <w:shd w:val="clear" w:color="auto" w:fill="auto"/>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shd w:val="clear" w:color="auto" w:fill="auto"/>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672"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w:t>
            </w:r>
          </w:p>
        </w:tc>
        <w:tc>
          <w:tcPr>
            <w:tcW w:w="1376"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合理使用和维护，国有资产增值保值</w:t>
            </w:r>
          </w:p>
        </w:tc>
        <w:tc>
          <w:tcPr>
            <w:tcW w:w="1291" w:type="dxa"/>
            <w:shd w:val="clear" w:color="auto" w:fill="auto"/>
            <w:vAlign w:val="center"/>
          </w:tcPr>
          <w:p>
            <w:pPr>
              <w:widowControl/>
              <w:jc w:val="center"/>
              <w:rPr>
                <w:rFonts w:eastAsia="仿宋_GB2312"/>
                <w:color w:val="000000"/>
                <w:kern w:val="0"/>
                <w:szCs w:val="21"/>
              </w:rPr>
            </w:pPr>
            <w:r>
              <w:rPr>
                <w:rFonts w:hint="eastAsia" w:eastAsia="仿宋_GB2312"/>
                <w:color w:val="000000"/>
                <w:kern w:val="0"/>
                <w:szCs w:val="21"/>
              </w:rPr>
              <w:t>合理使用和维护，国有资产增值保值</w:t>
            </w:r>
          </w:p>
        </w:tc>
        <w:tc>
          <w:tcPr>
            <w:tcW w:w="684"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jc w:val="left"/>
              <w:rPr>
                <w:rFonts w:eastAsia="仿宋_GB2312"/>
                <w:color w:val="000000"/>
                <w:kern w:val="0"/>
                <w:szCs w:val="21"/>
              </w:rPr>
            </w:pPr>
          </w:p>
        </w:tc>
        <w:tc>
          <w:tcPr>
            <w:tcW w:w="1080" w:type="dxa"/>
            <w:vMerge w:val="continue"/>
            <w:shd w:val="clear" w:color="auto" w:fill="auto"/>
            <w:vAlign w:val="center"/>
          </w:tcPr>
          <w:p>
            <w:pPr>
              <w:jc w:val="left"/>
              <w:rPr>
                <w:rFonts w:eastAsia="仿宋_GB2312"/>
                <w:color w:val="000000"/>
                <w:kern w:val="0"/>
                <w:szCs w:val="21"/>
              </w:rPr>
            </w:pPr>
          </w:p>
        </w:tc>
        <w:tc>
          <w:tcPr>
            <w:tcW w:w="1080" w:type="dxa"/>
            <w:shd w:val="clear" w:color="auto" w:fill="auto"/>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672"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内部管理</w:t>
            </w:r>
          </w:p>
        </w:tc>
        <w:tc>
          <w:tcPr>
            <w:tcW w:w="1376"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提高设备利用率，国有资产保值增值。</w:t>
            </w:r>
          </w:p>
        </w:tc>
        <w:tc>
          <w:tcPr>
            <w:tcW w:w="1291" w:type="dxa"/>
            <w:shd w:val="clear" w:color="auto" w:fill="auto"/>
            <w:vAlign w:val="center"/>
          </w:tcPr>
          <w:p>
            <w:pPr>
              <w:widowControl/>
              <w:rPr>
                <w:rFonts w:eastAsia="仿宋_GB2312"/>
                <w:color w:val="000000"/>
                <w:kern w:val="0"/>
                <w:szCs w:val="21"/>
              </w:rPr>
            </w:pPr>
            <w:r>
              <w:rPr>
                <w:rFonts w:hint="eastAsia" w:eastAsia="仿宋_GB2312"/>
                <w:color w:val="000000"/>
                <w:kern w:val="0"/>
                <w:szCs w:val="21"/>
              </w:rPr>
              <w:t>提高设备利用率，国有资产保值增值。</w:t>
            </w:r>
          </w:p>
        </w:tc>
        <w:tc>
          <w:tcPr>
            <w:tcW w:w="684"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15</w:t>
            </w:r>
          </w:p>
        </w:tc>
        <w:tc>
          <w:tcPr>
            <w:tcW w:w="873"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15</w:t>
            </w: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jc w:val="left"/>
              <w:rPr>
                <w:rFonts w:eastAsia="仿宋_GB2312"/>
                <w:color w:val="000000"/>
                <w:kern w:val="0"/>
                <w:szCs w:val="21"/>
              </w:rPr>
            </w:pPr>
          </w:p>
        </w:tc>
        <w:tc>
          <w:tcPr>
            <w:tcW w:w="1080" w:type="dxa"/>
            <w:vMerge w:val="continue"/>
            <w:shd w:val="clear" w:color="auto" w:fill="auto"/>
            <w:vAlign w:val="center"/>
          </w:tcPr>
          <w:p>
            <w:pPr>
              <w:jc w:val="left"/>
              <w:rPr>
                <w:rFonts w:eastAsia="仿宋_GB2312"/>
                <w:color w:val="000000"/>
                <w:kern w:val="0"/>
                <w:szCs w:val="21"/>
              </w:rPr>
            </w:pPr>
          </w:p>
        </w:tc>
        <w:tc>
          <w:tcPr>
            <w:tcW w:w="1080" w:type="dxa"/>
            <w:shd w:val="clear" w:color="auto" w:fill="auto"/>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672"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w:t>
            </w:r>
          </w:p>
        </w:tc>
        <w:tc>
          <w:tcPr>
            <w:tcW w:w="1376"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选择环保材料，减少对环境的污染</w:t>
            </w:r>
          </w:p>
        </w:tc>
        <w:tc>
          <w:tcPr>
            <w:tcW w:w="1291" w:type="dxa"/>
            <w:shd w:val="clear" w:color="auto" w:fill="auto"/>
            <w:vAlign w:val="center"/>
          </w:tcPr>
          <w:p>
            <w:pPr>
              <w:widowControl/>
              <w:jc w:val="center"/>
              <w:rPr>
                <w:rFonts w:eastAsia="仿宋_GB2312"/>
                <w:color w:val="000000"/>
                <w:kern w:val="0"/>
                <w:szCs w:val="21"/>
              </w:rPr>
            </w:pPr>
            <w:r>
              <w:rPr>
                <w:rFonts w:hint="eastAsia" w:eastAsia="仿宋_GB2312"/>
                <w:color w:val="000000"/>
                <w:kern w:val="0"/>
                <w:szCs w:val="21"/>
              </w:rPr>
              <w:t>选择环保材料，减少对环境的污染</w:t>
            </w:r>
          </w:p>
        </w:tc>
        <w:tc>
          <w:tcPr>
            <w:tcW w:w="684"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widowControl/>
              <w:jc w:val="center"/>
              <w:rPr>
                <w:rFonts w:eastAsia="仿宋_GB2312"/>
                <w:color w:val="000000"/>
                <w:kern w:val="0"/>
                <w:szCs w:val="21"/>
              </w:rPr>
            </w:pPr>
          </w:p>
        </w:tc>
        <w:tc>
          <w:tcPr>
            <w:tcW w:w="1080" w:type="dxa"/>
            <w:vMerge w:val="continue"/>
            <w:shd w:val="clear" w:color="auto" w:fill="auto"/>
            <w:vAlign w:val="center"/>
          </w:tcPr>
          <w:p>
            <w:pPr>
              <w:widowControl/>
              <w:jc w:val="left"/>
              <w:rPr>
                <w:rFonts w:eastAsia="仿宋_GB2312"/>
                <w:color w:val="000000"/>
                <w:kern w:val="0"/>
                <w:szCs w:val="21"/>
              </w:rPr>
            </w:pPr>
          </w:p>
        </w:tc>
        <w:tc>
          <w:tcPr>
            <w:tcW w:w="1080" w:type="dxa"/>
            <w:shd w:val="clear" w:color="auto" w:fill="auto"/>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672" w:type="dxa"/>
            <w:shd w:val="clear" w:color="auto" w:fill="auto"/>
            <w:vAlign w:val="center"/>
          </w:tcPr>
          <w:p>
            <w:pPr>
              <w:widowControl/>
              <w:jc w:val="left"/>
              <w:rPr>
                <w:rFonts w:eastAsia="仿宋_GB2312"/>
                <w:color w:val="000000"/>
                <w:kern w:val="0"/>
                <w:szCs w:val="21"/>
              </w:rPr>
            </w:pPr>
          </w:p>
        </w:tc>
        <w:tc>
          <w:tcPr>
            <w:tcW w:w="1376"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提高工作效率</w:t>
            </w:r>
          </w:p>
        </w:tc>
        <w:tc>
          <w:tcPr>
            <w:tcW w:w="1291" w:type="dxa"/>
            <w:shd w:val="clear" w:color="auto" w:fill="auto"/>
            <w:vAlign w:val="center"/>
          </w:tcPr>
          <w:p>
            <w:pPr>
              <w:widowControl/>
              <w:rPr>
                <w:rFonts w:eastAsia="仿宋_GB2312"/>
                <w:color w:val="000000"/>
                <w:kern w:val="0"/>
                <w:szCs w:val="21"/>
              </w:rPr>
            </w:pPr>
            <w:r>
              <w:rPr>
                <w:rFonts w:hint="eastAsia" w:eastAsia="仿宋_GB2312"/>
                <w:color w:val="000000"/>
                <w:kern w:val="0"/>
                <w:szCs w:val="21"/>
              </w:rPr>
              <w:t>提升工作能力</w:t>
            </w:r>
          </w:p>
        </w:tc>
        <w:tc>
          <w:tcPr>
            <w:tcW w:w="684"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15</w:t>
            </w:r>
          </w:p>
        </w:tc>
        <w:tc>
          <w:tcPr>
            <w:tcW w:w="873"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15</w:t>
            </w: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jc w:val="left"/>
              <w:rPr>
                <w:rFonts w:eastAsia="仿宋_GB2312"/>
                <w:color w:val="000000"/>
                <w:kern w:val="0"/>
                <w:szCs w:val="21"/>
              </w:rPr>
            </w:pPr>
          </w:p>
        </w:tc>
        <w:tc>
          <w:tcPr>
            <w:tcW w:w="1080" w:type="dxa"/>
            <w:vMerge w:val="restart"/>
            <w:shd w:val="clear" w:color="auto" w:fill="auto"/>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vMerge w:val="restart"/>
            <w:shd w:val="clear" w:color="auto" w:fill="auto"/>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672"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企业家满意度</w:t>
            </w:r>
          </w:p>
        </w:tc>
        <w:tc>
          <w:tcPr>
            <w:tcW w:w="1376"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90%</w:t>
            </w:r>
          </w:p>
        </w:tc>
        <w:tc>
          <w:tcPr>
            <w:tcW w:w="1291" w:type="dxa"/>
            <w:shd w:val="clear" w:color="auto" w:fill="auto"/>
            <w:vAlign w:val="center"/>
          </w:tcPr>
          <w:p>
            <w:pPr>
              <w:widowControl/>
              <w:jc w:val="center"/>
              <w:rPr>
                <w:rFonts w:eastAsia="仿宋_GB2312"/>
                <w:color w:val="000000"/>
                <w:kern w:val="0"/>
                <w:szCs w:val="21"/>
              </w:rPr>
            </w:pPr>
            <w:r>
              <w:rPr>
                <w:rFonts w:hint="eastAsia" w:eastAsia="仿宋_GB2312"/>
                <w:color w:val="000000"/>
                <w:kern w:val="0"/>
                <w:szCs w:val="21"/>
              </w:rPr>
              <w:t>90%</w:t>
            </w:r>
          </w:p>
        </w:tc>
        <w:tc>
          <w:tcPr>
            <w:tcW w:w="684"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pPr>
              <w:widowControl/>
              <w:jc w:val="left"/>
              <w:rPr>
                <w:rFonts w:eastAsia="仿宋_GB2312"/>
                <w:color w:val="000000"/>
                <w:kern w:val="0"/>
                <w:szCs w:val="21"/>
              </w:rPr>
            </w:pPr>
          </w:p>
        </w:tc>
        <w:tc>
          <w:tcPr>
            <w:tcW w:w="1080" w:type="dxa"/>
            <w:vMerge w:val="continue"/>
            <w:shd w:val="clear" w:color="auto" w:fill="auto"/>
            <w:vAlign w:val="center"/>
          </w:tcPr>
          <w:p>
            <w:pPr>
              <w:widowControl/>
              <w:jc w:val="left"/>
              <w:rPr>
                <w:rFonts w:eastAsia="仿宋_GB2312"/>
                <w:color w:val="000000"/>
                <w:kern w:val="0"/>
                <w:szCs w:val="21"/>
              </w:rPr>
            </w:pPr>
          </w:p>
        </w:tc>
        <w:tc>
          <w:tcPr>
            <w:tcW w:w="1080" w:type="dxa"/>
            <w:vMerge w:val="continue"/>
            <w:shd w:val="clear" w:color="auto" w:fill="auto"/>
            <w:vAlign w:val="center"/>
          </w:tcPr>
          <w:p>
            <w:pPr>
              <w:widowControl/>
              <w:jc w:val="left"/>
              <w:rPr>
                <w:rFonts w:eastAsia="仿宋_GB2312"/>
                <w:color w:val="000000"/>
                <w:kern w:val="0"/>
                <w:szCs w:val="21"/>
              </w:rPr>
            </w:pPr>
          </w:p>
        </w:tc>
        <w:tc>
          <w:tcPr>
            <w:tcW w:w="1672" w:type="dxa"/>
            <w:shd w:val="clear" w:color="auto" w:fill="auto"/>
            <w:vAlign w:val="center"/>
          </w:tcPr>
          <w:p>
            <w:pPr>
              <w:widowControl/>
              <w:jc w:val="left"/>
              <w:rPr>
                <w:rFonts w:eastAsia="仿宋_GB2312"/>
                <w:color w:val="000000"/>
                <w:kern w:val="0"/>
                <w:szCs w:val="21"/>
              </w:rPr>
            </w:pPr>
            <w:r>
              <w:rPr>
                <w:rFonts w:hint="eastAsia" w:eastAsia="仿宋_GB2312"/>
                <w:color w:val="000000"/>
                <w:kern w:val="0"/>
                <w:szCs w:val="21"/>
              </w:rPr>
              <w:t>普通网民满意度</w:t>
            </w:r>
          </w:p>
        </w:tc>
        <w:tc>
          <w:tcPr>
            <w:tcW w:w="1376"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90%</w:t>
            </w:r>
          </w:p>
        </w:tc>
        <w:tc>
          <w:tcPr>
            <w:tcW w:w="1291" w:type="dxa"/>
            <w:shd w:val="clear" w:color="auto" w:fill="auto"/>
            <w:vAlign w:val="center"/>
          </w:tcPr>
          <w:p>
            <w:pPr>
              <w:widowControl/>
              <w:jc w:val="center"/>
              <w:rPr>
                <w:rFonts w:eastAsia="仿宋_GB2312"/>
                <w:color w:val="000000"/>
                <w:kern w:val="0"/>
                <w:szCs w:val="21"/>
              </w:rPr>
            </w:pPr>
            <w:r>
              <w:rPr>
                <w:rFonts w:hint="eastAsia" w:eastAsia="仿宋_GB2312"/>
                <w:color w:val="000000"/>
                <w:kern w:val="0"/>
                <w:szCs w:val="21"/>
              </w:rPr>
              <w:t>90%</w:t>
            </w:r>
          </w:p>
        </w:tc>
        <w:tc>
          <w:tcPr>
            <w:tcW w:w="684"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873"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9" w:type="dxa"/>
            <w:gridSpan w:val="6"/>
            <w:shd w:val="clear" w:color="auto" w:fill="auto"/>
            <w:vAlign w:val="center"/>
          </w:tcPr>
          <w:p>
            <w:pPr>
              <w:widowControl/>
              <w:jc w:val="center"/>
              <w:rPr>
                <w:rFonts w:eastAsia="仿宋_GB2312"/>
                <w:color w:val="000000"/>
                <w:kern w:val="0"/>
                <w:szCs w:val="21"/>
              </w:rPr>
            </w:pPr>
            <w:r>
              <w:rPr>
                <w:rFonts w:eastAsia="仿宋_GB2312"/>
                <w:color w:val="000000"/>
                <w:kern w:val="0"/>
                <w:szCs w:val="21"/>
              </w:rPr>
              <w:t>总分</w:t>
            </w:r>
          </w:p>
        </w:tc>
        <w:tc>
          <w:tcPr>
            <w:tcW w:w="684" w:type="dxa"/>
            <w:shd w:val="clear" w:color="auto" w:fill="auto"/>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715" w:type="dxa"/>
            <w:shd w:val="clear" w:color="auto" w:fill="auto"/>
            <w:vAlign w:val="center"/>
          </w:tcPr>
          <w:p>
            <w:pPr>
              <w:widowControl/>
              <w:jc w:val="left"/>
              <w:rPr>
                <w:rFonts w:eastAsia="仿宋_GB2312"/>
                <w:color w:val="000000"/>
                <w:kern w:val="0"/>
                <w:szCs w:val="21"/>
              </w:rPr>
            </w:pPr>
            <w:r>
              <w:rPr>
                <w:rFonts w:eastAsia="仿宋_GB2312"/>
                <w:color w:val="000000"/>
                <w:kern w:val="0"/>
                <w:szCs w:val="21"/>
              </w:rPr>
              <w:t>　</w:t>
            </w:r>
          </w:p>
        </w:tc>
      </w:tr>
    </w:tbl>
    <w:p>
      <w:pPr>
        <w:pStyle w:val="2"/>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611F7"/>
    <w:multiLevelType w:val="singleLevel"/>
    <w:tmpl w:val="8E4611F7"/>
    <w:lvl w:ilvl="0" w:tentative="0">
      <w:start w:val="1"/>
      <w:numFmt w:val="chineseCounting"/>
      <w:suff w:val="nothing"/>
      <w:lvlText w:val="（%1）"/>
      <w:lvlJc w:val="left"/>
      <w:rPr>
        <w:rFonts w:hint="eastAsia"/>
      </w:rPr>
    </w:lvl>
  </w:abstractNum>
  <w:abstractNum w:abstractNumId="1">
    <w:nsid w:val="9838FD12"/>
    <w:multiLevelType w:val="singleLevel"/>
    <w:tmpl w:val="9838FD12"/>
    <w:lvl w:ilvl="0" w:tentative="0">
      <w:start w:val="2"/>
      <w:numFmt w:val="decimal"/>
      <w:suff w:val="nothing"/>
      <w:lvlText w:val="（%1）"/>
      <w:lvlJc w:val="left"/>
    </w:lvl>
  </w:abstractNum>
  <w:abstractNum w:abstractNumId="2">
    <w:nsid w:val="9F67F8D0"/>
    <w:multiLevelType w:val="singleLevel"/>
    <w:tmpl w:val="9F67F8D0"/>
    <w:lvl w:ilvl="0" w:tentative="0">
      <w:start w:val="1"/>
      <w:numFmt w:val="decimal"/>
      <w:lvlText w:val="%1."/>
      <w:lvlJc w:val="left"/>
      <w:pPr>
        <w:tabs>
          <w:tab w:val="left" w:pos="312"/>
        </w:tabs>
      </w:pPr>
    </w:lvl>
  </w:abstractNum>
  <w:abstractNum w:abstractNumId="3">
    <w:nsid w:val="BE26600D"/>
    <w:multiLevelType w:val="singleLevel"/>
    <w:tmpl w:val="BE26600D"/>
    <w:lvl w:ilvl="0" w:tentative="0">
      <w:start w:val="1"/>
      <w:numFmt w:val="chineseCounting"/>
      <w:suff w:val="nothing"/>
      <w:lvlText w:val="（%1）"/>
      <w:lvlJc w:val="left"/>
      <w:rPr>
        <w:rFonts w:hint="eastAsia"/>
      </w:rPr>
    </w:lvl>
  </w:abstractNum>
  <w:abstractNum w:abstractNumId="4">
    <w:nsid w:val="FDE7ED81"/>
    <w:multiLevelType w:val="singleLevel"/>
    <w:tmpl w:val="FDE7ED81"/>
    <w:lvl w:ilvl="0" w:tentative="0">
      <w:start w:val="3"/>
      <w:numFmt w:val="chineseCounting"/>
      <w:suff w:val="nothing"/>
      <w:lvlText w:val="%1、"/>
      <w:lvlJc w:val="left"/>
      <w:rPr>
        <w:rFonts w:hint="eastAsia"/>
      </w:rPr>
    </w:lvl>
  </w:abstractNum>
  <w:abstractNum w:abstractNumId="5">
    <w:nsid w:val="FF939BA5"/>
    <w:multiLevelType w:val="singleLevel"/>
    <w:tmpl w:val="FF939BA5"/>
    <w:lvl w:ilvl="0" w:tentative="0">
      <w:start w:val="1"/>
      <w:numFmt w:val="chineseCounting"/>
      <w:suff w:val="nothing"/>
      <w:lvlText w:val="（%1）"/>
      <w:lvlJc w:val="left"/>
      <w:rPr>
        <w:rFonts w:hint="eastAsia"/>
      </w:rPr>
    </w:lvl>
  </w:abstractNum>
  <w:abstractNum w:abstractNumId="6">
    <w:nsid w:val="24076B67"/>
    <w:multiLevelType w:val="multilevel"/>
    <w:tmpl w:val="24076B67"/>
    <w:lvl w:ilvl="0" w:tentative="0">
      <w:start w:val="7"/>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07B3944"/>
    <w:multiLevelType w:val="singleLevel"/>
    <w:tmpl w:val="407B3944"/>
    <w:lvl w:ilvl="0" w:tentative="0">
      <w:start w:val="1"/>
      <w:numFmt w:val="decimal"/>
      <w:suff w:val="nothing"/>
      <w:lvlText w:val="%1、"/>
      <w:lvlJc w:val="left"/>
      <w:pPr>
        <w:ind w:left="640" w:firstLine="0"/>
      </w:pPr>
    </w:lvl>
  </w:abstractNum>
  <w:abstractNum w:abstractNumId="8">
    <w:nsid w:val="6627A03D"/>
    <w:multiLevelType w:val="singleLevel"/>
    <w:tmpl w:val="6627A03D"/>
    <w:lvl w:ilvl="0" w:tentative="0">
      <w:start w:val="2"/>
      <w:numFmt w:val="chineseCounting"/>
      <w:suff w:val="nothing"/>
      <w:lvlText w:val="（%1）"/>
      <w:lvlJc w:val="left"/>
      <w:rPr>
        <w:rFonts w:hint="eastAsia"/>
      </w:rPr>
    </w:lvl>
  </w:abstractNum>
  <w:abstractNum w:abstractNumId="9">
    <w:nsid w:val="73AB2905"/>
    <w:multiLevelType w:val="multilevel"/>
    <w:tmpl w:val="73AB2905"/>
    <w:lvl w:ilvl="0" w:tentative="0">
      <w:start w:val="9"/>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8"/>
  </w:num>
  <w:num w:numId="3">
    <w:abstractNumId w:val="7"/>
  </w:num>
  <w:num w:numId="4">
    <w:abstractNumId w:val="3"/>
  </w:num>
  <w:num w:numId="5">
    <w:abstractNumId w:val="4"/>
  </w:num>
  <w:num w:numId="6">
    <w:abstractNumId w:val="0"/>
  </w:num>
  <w:num w:numId="7">
    <w:abstractNumId w:val="6"/>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BC308B"/>
    <w:rsid w:val="00047206"/>
    <w:rsid w:val="001A5033"/>
    <w:rsid w:val="001C1BB8"/>
    <w:rsid w:val="00225172"/>
    <w:rsid w:val="002849BB"/>
    <w:rsid w:val="00340ED1"/>
    <w:rsid w:val="00390DD6"/>
    <w:rsid w:val="00456520"/>
    <w:rsid w:val="004B3816"/>
    <w:rsid w:val="005E1CC4"/>
    <w:rsid w:val="00662AE3"/>
    <w:rsid w:val="007822E7"/>
    <w:rsid w:val="007E13DE"/>
    <w:rsid w:val="008313BB"/>
    <w:rsid w:val="008F3803"/>
    <w:rsid w:val="009F442D"/>
    <w:rsid w:val="00A70D5A"/>
    <w:rsid w:val="00AF29A4"/>
    <w:rsid w:val="00B72587"/>
    <w:rsid w:val="00B86C66"/>
    <w:rsid w:val="00B92E68"/>
    <w:rsid w:val="00C36F30"/>
    <w:rsid w:val="00CE5037"/>
    <w:rsid w:val="00CF4B83"/>
    <w:rsid w:val="00D531F3"/>
    <w:rsid w:val="00DD089A"/>
    <w:rsid w:val="00ED0E12"/>
    <w:rsid w:val="00EF07CC"/>
    <w:rsid w:val="00FB2566"/>
    <w:rsid w:val="02FA2900"/>
    <w:rsid w:val="06212129"/>
    <w:rsid w:val="15B7861C"/>
    <w:rsid w:val="15BC308B"/>
    <w:rsid w:val="2A507555"/>
    <w:rsid w:val="356D348A"/>
    <w:rsid w:val="35A91DAC"/>
    <w:rsid w:val="378F7248"/>
    <w:rsid w:val="3ED972ED"/>
    <w:rsid w:val="3F7F8FD4"/>
    <w:rsid w:val="408A36B7"/>
    <w:rsid w:val="49B95255"/>
    <w:rsid w:val="5AEE8A21"/>
    <w:rsid w:val="62F2522F"/>
    <w:rsid w:val="70AB0F36"/>
    <w:rsid w:val="74EF1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11"/>
    <w:qFormat/>
    <w:uiPriority w:val="0"/>
    <w:rPr>
      <w:rFonts w:asciiTheme="minorHAnsi" w:hAnsiTheme="minorHAnsi" w:eastAsiaTheme="minorEastAsia" w:cstheme="minorBidi"/>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link w:val="1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Autospacing="1" w:afterAutospacing="1"/>
      <w:jc w:val="left"/>
    </w:pPr>
    <w:rPr>
      <w:kern w:val="0"/>
      <w:sz w:val="24"/>
    </w:rPr>
  </w:style>
  <w:style w:type="paragraph" w:styleId="9">
    <w:name w:val="List Paragraph"/>
    <w:basedOn w:val="1"/>
    <w:qFormat/>
    <w:uiPriority w:val="99"/>
    <w:pPr>
      <w:ind w:firstLine="420" w:firstLineChars="200"/>
    </w:pPr>
    <w:rPr>
      <w:rFonts w:ascii="Calibri" w:hAnsi="Calibri"/>
      <w:szCs w:val="22"/>
    </w:rPr>
  </w:style>
  <w:style w:type="character" w:customStyle="1" w:styleId="10">
    <w:name w:val="HTML 预设格式 Char"/>
    <w:basedOn w:val="8"/>
    <w:link w:val="5"/>
    <w:qFormat/>
    <w:uiPriority w:val="0"/>
    <w:rPr>
      <w:rFonts w:ascii="宋体" w:hAnsi="宋体" w:eastAsia="宋体" w:cs="Times New Roman"/>
      <w:sz w:val="24"/>
      <w:szCs w:val="24"/>
    </w:rPr>
  </w:style>
  <w:style w:type="character" w:customStyle="1" w:styleId="11">
    <w:name w:val="脚注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5414</Words>
  <Characters>293</Characters>
  <Lines>2</Lines>
  <Paragraphs>11</Paragraphs>
  <TotalTime>5</TotalTime>
  <ScaleCrop>false</ScaleCrop>
  <LinksUpToDate>false</LinksUpToDate>
  <CharactersWithSpaces>5696</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2022-06-24T17:48:00Z</dcterms:created>
  <dc:creator>刘丽</dc:creator>
  <cp:lastModifiedBy>greatwall</cp:lastModifiedBy>
  <cp:lastPrinted>2020-06-04T00:21:00Z</cp:lastPrinted>
  <dcterms:modified xsi:type="dcterms:W3CDTF">2023-07-06T13:43:30Z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BF9BD3E0B27E4FE1AE78AD46F831266E</vt:lpwstr>
  </property>
</Properties>
</file>