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jc w:val="center"/>
        <w:rPr>
          <w:rFonts w:hint="default" w:ascii="Times New Roman" w:hAnsi="Times New Roman" w:cs="Times New Roman"/>
          <w:color w:val="auto"/>
          <w:sz w:val="56"/>
          <w:szCs w:val="56"/>
        </w:rPr>
      </w:pPr>
    </w:p>
    <w:p>
      <w:pPr>
        <w:pStyle w:val="16"/>
        <w:jc w:val="center"/>
        <w:rPr>
          <w:rFonts w:hint="default" w:ascii="Times New Roman" w:hAnsi="Times New Roman" w:cs="Times New Roman"/>
          <w:color w:val="auto"/>
          <w:sz w:val="84"/>
          <w:szCs w:val="84"/>
        </w:rPr>
      </w:pPr>
    </w:p>
    <w:p>
      <w:pPr>
        <w:pStyle w:val="16"/>
        <w:jc w:val="center"/>
        <w:rPr>
          <w:rFonts w:hint="default" w:ascii="Times New Roman" w:hAnsi="Times New Roman" w:cs="Times New Roman"/>
          <w:color w:val="auto"/>
          <w:sz w:val="84"/>
          <w:szCs w:val="84"/>
        </w:rPr>
      </w:pPr>
    </w:p>
    <w:p>
      <w:pPr>
        <w:pStyle w:val="16"/>
        <w:jc w:val="center"/>
        <w:rPr>
          <w:rFonts w:hint="default" w:ascii="Times New Roman" w:hAnsi="Times New Roman" w:eastAsia="方正小标宋简体" w:cs="Times New Roman"/>
          <w:color w:val="auto"/>
          <w:sz w:val="72"/>
          <w:szCs w:val="72"/>
        </w:rPr>
      </w:pPr>
      <w:r>
        <w:rPr>
          <w:rFonts w:hint="default" w:ascii="Times New Roman" w:hAnsi="Times New Roman" w:eastAsia="方正小标宋简体" w:cs="Times New Roman"/>
          <w:color w:val="auto"/>
          <w:sz w:val="72"/>
          <w:szCs w:val="72"/>
        </w:rPr>
        <w:t>2024年度</w:t>
      </w:r>
    </w:p>
    <w:p>
      <w:pPr>
        <w:pStyle w:val="16"/>
        <w:jc w:val="center"/>
        <w:rPr>
          <w:rFonts w:hint="default" w:ascii="Times New Roman" w:hAnsi="Times New Roman" w:eastAsia="方正小标宋简体" w:cs="Times New Roman"/>
          <w:color w:val="auto"/>
          <w:sz w:val="72"/>
          <w:szCs w:val="72"/>
          <w:lang w:eastAsia="zh-CN"/>
        </w:rPr>
      </w:pPr>
      <w:r>
        <w:rPr>
          <w:rFonts w:hint="default" w:ascii="Times New Roman" w:hAnsi="Times New Roman" w:eastAsia="方正小标宋简体" w:cs="Times New Roman"/>
          <w:color w:val="auto"/>
          <w:sz w:val="72"/>
          <w:szCs w:val="72"/>
          <w:lang w:eastAsia="zh-CN"/>
        </w:rPr>
        <w:t>湖南省饲料工业办公室</w:t>
      </w:r>
    </w:p>
    <w:p>
      <w:pPr>
        <w:pStyle w:val="16"/>
        <w:jc w:val="center"/>
        <w:rPr>
          <w:rFonts w:hint="default" w:ascii="Times New Roman" w:hAnsi="Times New Roman" w:cs="Times New Roman"/>
          <w:color w:val="auto"/>
          <w:sz w:val="56"/>
          <w:szCs w:val="56"/>
        </w:rPr>
      </w:pPr>
      <w:r>
        <w:rPr>
          <w:rFonts w:hint="default" w:ascii="Times New Roman" w:hAnsi="Times New Roman" w:eastAsia="方正小标宋简体" w:cs="Times New Roman"/>
          <w:color w:val="auto"/>
          <w:sz w:val="72"/>
          <w:szCs w:val="72"/>
        </w:rPr>
        <w:t>部门决算</w:t>
      </w:r>
    </w:p>
    <w:p>
      <w:pPr>
        <w:pStyle w:val="16"/>
        <w:rPr>
          <w:rFonts w:hint="default" w:ascii="Times New Roman" w:hAnsi="Times New Roman" w:cs="Times New Roman"/>
          <w:color w:val="auto"/>
          <w:sz w:val="56"/>
          <w:szCs w:val="56"/>
        </w:rPr>
      </w:pPr>
    </w:p>
    <w:p>
      <w:pPr>
        <w:pStyle w:val="16"/>
        <w:jc w:val="center"/>
        <w:rPr>
          <w:rFonts w:hint="default" w:ascii="Times New Roman" w:hAnsi="Times New Roman" w:cs="Times New Roman"/>
          <w:color w:val="auto"/>
          <w:sz w:val="32"/>
          <w:szCs w:val="32"/>
        </w:rPr>
      </w:pPr>
    </w:p>
    <w:p>
      <w:pPr>
        <w:pStyle w:val="16"/>
        <w:jc w:val="center"/>
        <w:rPr>
          <w:rFonts w:hint="default" w:ascii="Times New Roman" w:hAnsi="Times New Roman" w:cs="Times New Roman"/>
          <w:color w:val="auto"/>
          <w:sz w:val="32"/>
          <w:szCs w:val="32"/>
        </w:rPr>
      </w:pPr>
    </w:p>
    <w:p>
      <w:pPr>
        <w:pStyle w:val="16"/>
        <w:jc w:val="center"/>
        <w:rPr>
          <w:rFonts w:hint="default" w:ascii="Times New Roman" w:hAnsi="Times New Roman" w:cs="Times New Roman"/>
          <w:color w:val="auto"/>
          <w:sz w:val="32"/>
          <w:szCs w:val="32"/>
        </w:rPr>
      </w:pPr>
    </w:p>
    <w:p>
      <w:pPr>
        <w:pStyle w:val="16"/>
        <w:jc w:val="center"/>
        <w:rPr>
          <w:rFonts w:hint="default" w:ascii="Times New Roman" w:hAnsi="Times New Roman" w:cs="Times New Roman"/>
          <w:color w:val="auto"/>
          <w:sz w:val="32"/>
          <w:szCs w:val="32"/>
        </w:rPr>
      </w:pPr>
    </w:p>
    <w:p>
      <w:pPr>
        <w:pStyle w:val="16"/>
        <w:jc w:val="center"/>
        <w:rPr>
          <w:rFonts w:hint="default" w:ascii="Times New Roman" w:hAnsi="Times New Roman" w:cs="Times New Roman"/>
          <w:color w:val="auto"/>
          <w:sz w:val="32"/>
          <w:szCs w:val="32"/>
        </w:rPr>
      </w:pPr>
    </w:p>
    <w:p>
      <w:pPr>
        <w:pStyle w:val="16"/>
        <w:jc w:val="center"/>
        <w:rPr>
          <w:rFonts w:hint="default" w:ascii="Times New Roman" w:hAnsi="Times New Roman" w:cs="Times New Roman"/>
          <w:color w:val="auto"/>
          <w:sz w:val="32"/>
          <w:szCs w:val="32"/>
        </w:rPr>
      </w:pPr>
    </w:p>
    <w:p>
      <w:pPr>
        <w:pStyle w:val="16"/>
        <w:spacing w:line="540" w:lineRule="exact"/>
        <w:jc w:val="center"/>
        <w:rPr>
          <w:rFonts w:hint="default" w:ascii="Times New Roman" w:hAnsi="Times New Roman" w:cs="Times New Roman"/>
          <w:color w:val="auto"/>
          <w:sz w:val="56"/>
          <w:szCs w:val="56"/>
        </w:rPr>
      </w:pPr>
    </w:p>
    <w:p>
      <w:pPr>
        <w:rPr>
          <w:rFonts w:hint="default" w:ascii="Times New Roman" w:hAnsi="Times New Roman" w:cs="Times New Roman"/>
          <w:b/>
          <w:color w:val="auto"/>
          <w:sz w:val="36"/>
          <w:szCs w:val="28"/>
        </w:rPr>
        <w:sectPr>
          <w:pgSz w:w="11906" w:h="16838"/>
          <w:pgMar w:top="1417" w:right="1588" w:bottom="1417" w:left="1588" w:header="851" w:footer="992" w:gutter="0"/>
          <w:cols w:space="425" w:num="1"/>
          <w:docGrid w:type="lines" w:linePitch="312" w:charSpace="0"/>
        </w:sectPr>
      </w:pPr>
    </w:p>
    <w:p>
      <w:pPr>
        <w:pStyle w:val="16"/>
        <w:spacing w:line="600" w:lineRule="exact"/>
        <w:jc w:val="both"/>
        <w:rPr>
          <w:rFonts w:hint="default" w:ascii="Times New Roman" w:hAnsi="Times New Roman" w:cs="Times New Roman"/>
          <w:b/>
          <w:color w:val="auto"/>
          <w:sz w:val="36"/>
          <w:szCs w:val="28"/>
        </w:rPr>
      </w:pPr>
    </w:p>
    <w:p>
      <w:pPr>
        <w:pStyle w:val="16"/>
        <w:spacing w:line="600" w:lineRule="exact"/>
        <w:jc w:val="center"/>
        <w:rPr>
          <w:rFonts w:hint="default" w:ascii="Times New Roman" w:hAnsi="Times New Roman" w:cs="Times New Roman"/>
          <w:bCs/>
          <w:color w:val="auto"/>
          <w:sz w:val="36"/>
          <w:szCs w:val="28"/>
        </w:rPr>
      </w:pPr>
      <w:r>
        <w:rPr>
          <w:rFonts w:hint="default" w:ascii="Times New Roman" w:hAnsi="Times New Roman" w:cs="Times New Roman"/>
          <w:bCs/>
          <w:color w:val="auto"/>
          <w:sz w:val="36"/>
          <w:szCs w:val="28"/>
        </w:rPr>
        <w:t>目  录</w:t>
      </w:r>
    </w:p>
    <w:p>
      <w:pPr>
        <w:pStyle w:val="16"/>
        <w:spacing w:line="600" w:lineRule="exact"/>
        <w:jc w:val="center"/>
        <w:rPr>
          <w:rFonts w:hint="default" w:ascii="Times New Roman" w:hAnsi="Times New Roman" w:cs="Times New Roman"/>
          <w:b/>
          <w:color w:val="auto"/>
          <w:sz w:val="36"/>
          <w:szCs w:val="28"/>
        </w:rPr>
      </w:pPr>
    </w:p>
    <w:p>
      <w:pPr>
        <w:pStyle w:val="16"/>
        <w:spacing w:after="156" w:afterLines="50" w:line="600" w:lineRule="exact"/>
        <w:rPr>
          <w:rFonts w:hint="default" w:ascii="Times New Roman" w:hAnsi="Times New Roman" w:cs="Times New Roman"/>
          <w:bCs/>
          <w:color w:val="auto"/>
          <w:sz w:val="32"/>
          <w:szCs w:val="32"/>
        </w:rPr>
      </w:pPr>
      <w:r>
        <w:rPr>
          <w:rFonts w:hint="default" w:ascii="Times New Roman" w:hAnsi="Times New Roman" w:cs="Times New Roman"/>
          <w:bCs/>
          <w:color w:val="auto"/>
          <w:sz w:val="32"/>
          <w:szCs w:val="32"/>
        </w:rPr>
        <w:t>第一部分</w:t>
      </w:r>
      <w:r>
        <w:rPr>
          <w:rFonts w:hint="default" w:ascii="Times New Roman" w:hAnsi="Times New Roman" w:cs="Times New Roman"/>
          <w:bCs/>
          <w:color w:val="auto"/>
          <w:sz w:val="32"/>
          <w:szCs w:val="32"/>
          <w:lang w:eastAsia="zh-CN"/>
        </w:rPr>
        <w:t>湖南省饲料工业办公室</w:t>
      </w:r>
      <w:r>
        <w:rPr>
          <w:rFonts w:hint="default" w:ascii="Times New Roman" w:hAnsi="Times New Roman" w:cs="Times New Roman"/>
          <w:bCs/>
          <w:color w:val="auto"/>
          <w:sz w:val="32"/>
          <w:szCs w:val="32"/>
        </w:rPr>
        <w:t>概况</w:t>
      </w:r>
    </w:p>
    <w:p>
      <w:pPr>
        <w:pStyle w:val="16"/>
        <w:spacing w:line="600" w:lineRule="exac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一、部门职责</w:t>
      </w:r>
    </w:p>
    <w:p>
      <w:pPr>
        <w:pStyle w:val="16"/>
        <w:spacing w:line="600" w:lineRule="exac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二、机构设置及决算单位构成</w:t>
      </w:r>
    </w:p>
    <w:p>
      <w:pPr>
        <w:pStyle w:val="16"/>
        <w:spacing w:before="156" w:beforeLines="50" w:after="156" w:afterLines="50" w:line="600" w:lineRule="exact"/>
        <w:rPr>
          <w:rFonts w:hint="default" w:ascii="Times New Roman" w:hAnsi="Times New Roman" w:cs="Times New Roman"/>
          <w:bCs/>
          <w:color w:val="auto"/>
          <w:sz w:val="32"/>
          <w:szCs w:val="32"/>
        </w:rPr>
      </w:pPr>
      <w:r>
        <w:rPr>
          <w:rFonts w:hint="default" w:ascii="Times New Roman" w:hAnsi="Times New Roman" w:cs="Times New Roman"/>
          <w:bCs/>
          <w:color w:val="auto"/>
          <w:sz w:val="32"/>
          <w:szCs w:val="32"/>
        </w:rPr>
        <w:t>第二部分 部门决算表</w:t>
      </w:r>
    </w:p>
    <w:p>
      <w:pPr>
        <w:pStyle w:val="16"/>
        <w:spacing w:line="600" w:lineRule="exac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一、收入支出决算总表</w:t>
      </w:r>
    </w:p>
    <w:p>
      <w:pPr>
        <w:pStyle w:val="16"/>
        <w:spacing w:line="600" w:lineRule="exac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二、收入决算表</w:t>
      </w:r>
    </w:p>
    <w:p>
      <w:pPr>
        <w:pStyle w:val="16"/>
        <w:spacing w:line="600" w:lineRule="exac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三、支出决算表</w:t>
      </w:r>
    </w:p>
    <w:p>
      <w:pPr>
        <w:pStyle w:val="16"/>
        <w:spacing w:line="600" w:lineRule="exac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四、财政拨款收入支出决算总表</w:t>
      </w:r>
    </w:p>
    <w:p>
      <w:pPr>
        <w:pStyle w:val="16"/>
        <w:spacing w:line="600" w:lineRule="exac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五、一般公共预算财政拨款支出决算表</w:t>
      </w:r>
    </w:p>
    <w:p>
      <w:pPr>
        <w:pStyle w:val="16"/>
        <w:spacing w:line="600" w:lineRule="exac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六、一般公共预算财政拨款基本支出决算明细表</w:t>
      </w:r>
    </w:p>
    <w:p>
      <w:pPr>
        <w:pStyle w:val="16"/>
        <w:spacing w:line="600" w:lineRule="exac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七、政府性基金预算财政拨款收入支出决算表</w:t>
      </w:r>
    </w:p>
    <w:p>
      <w:pPr>
        <w:pStyle w:val="16"/>
        <w:spacing w:line="600" w:lineRule="exac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八、国有资本经营预算财政拨款支出决算表</w:t>
      </w:r>
    </w:p>
    <w:p>
      <w:pPr>
        <w:pStyle w:val="16"/>
        <w:spacing w:line="600" w:lineRule="exac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九、财政拨款“三公”经费支出决算表</w:t>
      </w:r>
    </w:p>
    <w:p>
      <w:pPr>
        <w:pStyle w:val="16"/>
        <w:spacing w:before="156" w:beforeLines="50" w:after="156" w:afterLines="50" w:line="600" w:lineRule="exact"/>
        <w:rPr>
          <w:rFonts w:hint="default" w:ascii="Times New Roman" w:hAnsi="Times New Roman" w:cs="Times New Roman"/>
          <w:bCs/>
          <w:color w:val="auto"/>
          <w:sz w:val="32"/>
          <w:szCs w:val="32"/>
        </w:rPr>
      </w:pPr>
      <w:r>
        <w:rPr>
          <w:rFonts w:hint="default" w:ascii="Times New Roman" w:hAnsi="Times New Roman" w:cs="Times New Roman"/>
          <w:bCs/>
          <w:color w:val="auto"/>
          <w:sz w:val="32"/>
          <w:szCs w:val="32"/>
        </w:rPr>
        <w:t>第三部分 部门决算情况说明</w:t>
      </w:r>
    </w:p>
    <w:p>
      <w:pPr>
        <w:pStyle w:val="16"/>
        <w:spacing w:line="600" w:lineRule="exac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一、收入支出决算总体情况说明</w:t>
      </w:r>
    </w:p>
    <w:p>
      <w:pPr>
        <w:spacing w:line="600" w:lineRule="exact"/>
        <w:jc w:val="lef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二、收入决算情况说明</w:t>
      </w:r>
    </w:p>
    <w:p>
      <w:pPr>
        <w:autoSpaceDE w:val="0"/>
        <w:autoSpaceDN w:val="0"/>
        <w:adjustRightInd w:val="0"/>
        <w:spacing w:line="600" w:lineRule="exact"/>
        <w:jc w:val="left"/>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三、支出决算情况说明</w:t>
      </w:r>
    </w:p>
    <w:p>
      <w:pPr>
        <w:autoSpaceDE w:val="0"/>
        <w:autoSpaceDN w:val="0"/>
        <w:adjustRightInd w:val="0"/>
        <w:spacing w:line="600" w:lineRule="exact"/>
        <w:jc w:val="left"/>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四、财政拨款收入支出决算总体情况说明</w:t>
      </w:r>
    </w:p>
    <w:p>
      <w:pPr>
        <w:autoSpaceDE w:val="0"/>
        <w:autoSpaceDN w:val="0"/>
        <w:adjustRightInd w:val="0"/>
        <w:spacing w:line="600" w:lineRule="exact"/>
        <w:jc w:val="left"/>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五、一般公共预算财政拨款支出决算情况说明</w:t>
      </w:r>
    </w:p>
    <w:p>
      <w:pPr>
        <w:autoSpaceDE w:val="0"/>
        <w:autoSpaceDN w:val="0"/>
        <w:adjustRightInd w:val="0"/>
        <w:spacing w:line="600" w:lineRule="exact"/>
        <w:jc w:val="left"/>
        <w:rPr>
          <w:rFonts w:hint="default" w:ascii="Times New Roman" w:hAnsi="Times New Roman" w:eastAsia="仿宋_GB2312" w:cs="Times New Roman"/>
          <w:color w:val="auto"/>
          <w:kern w:val="0"/>
          <w:sz w:val="32"/>
          <w:szCs w:val="32"/>
        </w:rPr>
        <w:sectPr>
          <w:footerReference r:id="rId3" w:type="default"/>
          <w:pgSz w:w="11906" w:h="16838"/>
          <w:pgMar w:top="1417" w:right="1588" w:bottom="1417" w:left="1588" w:header="851" w:footer="992" w:gutter="0"/>
          <w:pgNumType w:start="1"/>
          <w:cols w:space="425" w:num="1"/>
          <w:docGrid w:type="lines" w:linePitch="312" w:charSpace="0"/>
        </w:sectPr>
      </w:pPr>
    </w:p>
    <w:p>
      <w:pPr>
        <w:autoSpaceDE w:val="0"/>
        <w:autoSpaceDN w:val="0"/>
        <w:adjustRightInd w:val="0"/>
        <w:spacing w:line="600" w:lineRule="exact"/>
        <w:jc w:val="left"/>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六、一般公共预算财政拨款基本支出决算情况说明</w:t>
      </w:r>
    </w:p>
    <w:p>
      <w:pPr>
        <w:autoSpaceDE w:val="0"/>
        <w:autoSpaceDN w:val="0"/>
        <w:adjustRightInd w:val="0"/>
        <w:spacing w:line="600" w:lineRule="exact"/>
        <w:jc w:val="left"/>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七、财政拨款“三公”经费支出决算情况说明</w:t>
      </w:r>
    </w:p>
    <w:p>
      <w:pPr>
        <w:autoSpaceDE w:val="0"/>
        <w:autoSpaceDN w:val="0"/>
        <w:adjustRightInd w:val="0"/>
        <w:spacing w:line="600" w:lineRule="exact"/>
        <w:jc w:val="left"/>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八、政府性基金预算收入支出决算情况</w:t>
      </w:r>
    </w:p>
    <w:p>
      <w:pPr>
        <w:autoSpaceDE w:val="0"/>
        <w:autoSpaceDN w:val="0"/>
        <w:adjustRightInd w:val="0"/>
        <w:spacing w:line="600" w:lineRule="exact"/>
        <w:jc w:val="left"/>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九、关于机关运行经费支出说明</w:t>
      </w:r>
    </w:p>
    <w:p>
      <w:pPr>
        <w:autoSpaceDE w:val="0"/>
        <w:autoSpaceDN w:val="0"/>
        <w:adjustRightInd w:val="0"/>
        <w:spacing w:line="600" w:lineRule="exact"/>
        <w:jc w:val="left"/>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十、一般性支出情况说明</w:t>
      </w:r>
    </w:p>
    <w:p>
      <w:pPr>
        <w:autoSpaceDE w:val="0"/>
        <w:autoSpaceDN w:val="0"/>
        <w:adjustRightInd w:val="0"/>
        <w:spacing w:line="600" w:lineRule="exact"/>
        <w:jc w:val="left"/>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十一、关于政府采购支出说明</w:t>
      </w:r>
    </w:p>
    <w:p>
      <w:pPr>
        <w:pStyle w:val="16"/>
        <w:spacing w:line="600" w:lineRule="exac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十二、关于国有资产占用情况说明</w:t>
      </w:r>
    </w:p>
    <w:p>
      <w:pPr>
        <w:pStyle w:val="16"/>
        <w:spacing w:line="600" w:lineRule="exac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十三、关于2024年度预算绩效管理情况的说明</w:t>
      </w:r>
    </w:p>
    <w:p>
      <w:pPr>
        <w:pStyle w:val="16"/>
        <w:spacing w:before="156" w:beforeLines="50" w:after="156" w:afterLines="50" w:line="600" w:lineRule="exact"/>
        <w:rPr>
          <w:rFonts w:hint="default" w:ascii="Times New Roman" w:hAnsi="Times New Roman" w:cs="Times New Roman"/>
          <w:bCs/>
          <w:color w:val="auto"/>
          <w:sz w:val="32"/>
          <w:szCs w:val="32"/>
        </w:rPr>
      </w:pPr>
      <w:r>
        <w:rPr>
          <w:rFonts w:hint="default" w:ascii="Times New Roman" w:hAnsi="Times New Roman" w:cs="Times New Roman"/>
          <w:bCs/>
          <w:color w:val="auto"/>
          <w:sz w:val="32"/>
          <w:szCs w:val="32"/>
        </w:rPr>
        <w:t>第四部分 名词解释</w:t>
      </w:r>
    </w:p>
    <w:p>
      <w:pPr>
        <w:pStyle w:val="16"/>
        <w:spacing w:before="156" w:beforeLines="50" w:after="156" w:afterLines="50" w:line="600" w:lineRule="exact"/>
        <w:rPr>
          <w:rFonts w:hint="default" w:ascii="Times New Roman" w:hAnsi="Times New Roman" w:cs="Times New Roman"/>
          <w:bCs/>
          <w:color w:val="auto"/>
          <w:sz w:val="32"/>
          <w:szCs w:val="32"/>
        </w:rPr>
      </w:pPr>
      <w:r>
        <w:rPr>
          <w:rFonts w:hint="default" w:ascii="Times New Roman" w:hAnsi="Times New Roman" w:cs="Times New Roman"/>
          <w:bCs/>
          <w:color w:val="auto"/>
          <w:sz w:val="32"/>
          <w:szCs w:val="32"/>
        </w:rPr>
        <w:t>第五部分 附件</w:t>
      </w:r>
    </w:p>
    <w:p>
      <w:pPr>
        <w:pStyle w:val="16"/>
        <w:spacing w:line="600" w:lineRule="exact"/>
        <w:rPr>
          <w:rFonts w:hint="default" w:ascii="Times New Roman" w:hAnsi="Times New Roman" w:cs="Times New Roman"/>
          <w:bCs/>
          <w:color w:val="auto"/>
          <w:sz w:val="28"/>
          <w:szCs w:val="28"/>
        </w:rPr>
      </w:pPr>
    </w:p>
    <w:p>
      <w:pPr>
        <w:jc w:val="center"/>
        <w:rPr>
          <w:rFonts w:hint="default" w:ascii="Times New Roman" w:hAnsi="Times New Roman" w:cs="Times New Roman"/>
          <w:color w:val="auto"/>
          <w:sz w:val="72"/>
          <w:szCs w:val="72"/>
        </w:rPr>
      </w:pPr>
    </w:p>
    <w:p>
      <w:pPr>
        <w:jc w:val="center"/>
        <w:rPr>
          <w:rFonts w:hint="default" w:ascii="Times New Roman" w:hAnsi="Times New Roman" w:cs="Times New Roman"/>
          <w:color w:val="auto"/>
          <w:sz w:val="72"/>
          <w:szCs w:val="72"/>
        </w:rPr>
      </w:pPr>
    </w:p>
    <w:p>
      <w:pPr>
        <w:jc w:val="center"/>
        <w:rPr>
          <w:rFonts w:hint="default" w:ascii="Times New Roman" w:hAnsi="Times New Roman" w:cs="Times New Roman"/>
          <w:color w:val="auto"/>
          <w:sz w:val="72"/>
          <w:szCs w:val="72"/>
        </w:rPr>
      </w:pPr>
    </w:p>
    <w:p>
      <w:pPr>
        <w:pStyle w:val="10"/>
        <w:rPr>
          <w:rFonts w:hint="default" w:ascii="Times New Roman" w:hAnsi="Times New Roman" w:cs="Times New Roman"/>
          <w:color w:val="auto"/>
        </w:rPr>
        <w:sectPr>
          <w:footerReference r:id="rId4" w:type="default"/>
          <w:pgSz w:w="11906" w:h="16838"/>
          <w:pgMar w:top="1417" w:right="1588" w:bottom="1417" w:left="1588" w:header="851" w:footer="992" w:gutter="0"/>
          <w:pgNumType w:start="1"/>
          <w:cols w:space="425" w:num="1"/>
          <w:docGrid w:type="lines" w:linePitch="312" w:charSpace="0"/>
        </w:sectPr>
      </w:pPr>
    </w:p>
    <w:p>
      <w:pPr>
        <w:rPr>
          <w:rFonts w:hint="default" w:ascii="Times New Roman" w:hAnsi="Times New Roman" w:eastAsia="方正小标宋_GBK" w:cs="Times New Roman"/>
          <w:color w:val="auto"/>
          <w:sz w:val="72"/>
          <w:szCs w:val="72"/>
        </w:rPr>
      </w:pPr>
    </w:p>
    <w:p>
      <w:pPr>
        <w:pStyle w:val="16"/>
        <w:spacing w:line="360" w:lineRule="auto"/>
        <w:jc w:val="center"/>
        <w:rPr>
          <w:rFonts w:hint="default" w:ascii="Times New Roman" w:hAnsi="Times New Roman" w:eastAsia="方正小标宋_GBK" w:cs="Times New Roman"/>
          <w:color w:val="auto"/>
          <w:sz w:val="52"/>
          <w:szCs w:val="52"/>
        </w:rPr>
      </w:pPr>
      <w:r>
        <w:rPr>
          <w:rFonts w:hint="default" w:ascii="Times New Roman" w:hAnsi="Times New Roman" w:eastAsia="方正小标宋_GBK" w:cs="Times New Roman"/>
          <w:color w:val="auto"/>
          <w:sz w:val="52"/>
          <w:szCs w:val="52"/>
        </w:rPr>
        <w:t>第一部分</w:t>
      </w:r>
    </w:p>
    <w:p>
      <w:pPr>
        <w:pStyle w:val="16"/>
        <w:spacing w:line="360" w:lineRule="auto"/>
        <w:jc w:val="center"/>
        <w:rPr>
          <w:rFonts w:hint="default" w:ascii="Times New Roman" w:hAnsi="Times New Roman" w:eastAsia="方正小标宋_GBK" w:cs="Times New Roman"/>
          <w:color w:val="auto"/>
          <w:sz w:val="52"/>
          <w:szCs w:val="52"/>
        </w:rPr>
      </w:pPr>
      <w:r>
        <w:rPr>
          <w:rFonts w:hint="default" w:ascii="Times New Roman" w:hAnsi="Times New Roman" w:eastAsia="方正小标宋_GBK" w:cs="Times New Roman"/>
          <w:color w:val="auto"/>
          <w:sz w:val="52"/>
          <w:szCs w:val="52"/>
          <w:lang w:eastAsia="zh-CN"/>
        </w:rPr>
        <w:t>湖南省饲料工业办公室</w:t>
      </w:r>
      <w:r>
        <w:rPr>
          <w:rFonts w:hint="default" w:ascii="Times New Roman" w:hAnsi="Times New Roman" w:eastAsia="方正小标宋_GBK" w:cs="Times New Roman"/>
          <w:color w:val="auto"/>
          <w:sz w:val="52"/>
          <w:szCs w:val="52"/>
        </w:rPr>
        <w:t>概况</w:t>
      </w:r>
    </w:p>
    <w:p>
      <w:pPr>
        <w:pStyle w:val="5"/>
        <w:ind w:left="0" w:leftChars="0" w:firstLine="0" w:firstLineChars="0"/>
        <w:rPr>
          <w:rFonts w:hint="default" w:ascii="Times New Roman" w:hAnsi="Times New Roman" w:cs="Times New Roman"/>
          <w:color w:val="auto"/>
        </w:rPr>
      </w:pPr>
    </w:p>
    <w:p>
      <w:pPr>
        <w:pStyle w:val="17"/>
        <w:spacing w:line="600" w:lineRule="exact"/>
        <w:ind w:firstLine="0" w:firstLineChars="0"/>
        <w:jc w:val="left"/>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一、部门职责</w:t>
      </w:r>
    </w:p>
    <w:p>
      <w:pPr>
        <w:widowControl/>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湖南省饲料工业办公室是湖南省农业农村厅下属正处级参公事业单位，主要</w:t>
      </w:r>
      <w:r>
        <w:rPr>
          <w:rFonts w:hint="default" w:ascii="Times New Roman" w:hAnsi="Times New Roman" w:eastAsia="仿宋_GB2312" w:cs="Times New Roman"/>
          <w:color w:val="auto"/>
          <w:sz w:val="32"/>
          <w:szCs w:val="32"/>
          <w:lang w:val="en-US" w:eastAsia="zh-CN"/>
        </w:rPr>
        <w:t>负责</w:t>
      </w:r>
      <w:r>
        <w:rPr>
          <w:rFonts w:hint="default" w:ascii="Times New Roman" w:hAnsi="Times New Roman" w:eastAsia="仿宋_GB2312" w:cs="Times New Roman"/>
          <w:color w:val="auto"/>
          <w:sz w:val="32"/>
          <w:szCs w:val="32"/>
        </w:rPr>
        <w:t>全省饲料和饲料添加剂行政许可事务性工作</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饲料和饲料添加剂产品质量安全监管</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饲料行业统计监测、技术服务与指导等相关业务工作。</w:t>
      </w:r>
    </w:p>
    <w:p>
      <w:pPr>
        <w:widowControl/>
        <w:spacing w:line="600" w:lineRule="exact"/>
        <w:rPr>
          <w:rFonts w:hint="default" w:ascii="Times New Roman" w:hAnsi="Times New Roman" w:eastAsia="黑体" w:cs="Times New Roman"/>
          <w:b w:val="0"/>
          <w:bCs/>
          <w:color w:val="auto"/>
          <w:kern w:val="0"/>
          <w:sz w:val="32"/>
          <w:szCs w:val="32"/>
        </w:rPr>
      </w:pPr>
      <w:r>
        <w:rPr>
          <w:rFonts w:hint="default" w:ascii="Times New Roman" w:hAnsi="Times New Roman" w:eastAsia="黑体" w:cs="Times New Roman"/>
          <w:b w:val="0"/>
          <w:bCs/>
          <w:color w:val="auto"/>
          <w:kern w:val="0"/>
          <w:sz w:val="32"/>
          <w:szCs w:val="32"/>
        </w:rPr>
        <w:t>二、机构设置及决算单位构成</w:t>
      </w:r>
    </w:p>
    <w:p>
      <w:pPr>
        <w:widowControl/>
        <w:spacing w:line="600" w:lineRule="exact"/>
        <w:ind w:firstLine="640" w:firstLineChars="200"/>
        <w:rPr>
          <w:rFonts w:hint="default" w:ascii="Times New Roman" w:hAnsi="Times New Roman" w:eastAsia="仿宋_GB2312" w:cs="Times New Roman"/>
          <w:bCs/>
          <w:color w:val="auto"/>
          <w:kern w:val="0"/>
          <w:sz w:val="32"/>
          <w:szCs w:val="32"/>
        </w:rPr>
      </w:pPr>
      <w:r>
        <w:rPr>
          <w:rFonts w:hint="default" w:ascii="Times New Roman" w:hAnsi="Times New Roman" w:eastAsia="仿宋_GB2312" w:cs="Times New Roman"/>
          <w:bCs/>
          <w:color w:val="auto"/>
          <w:kern w:val="0"/>
          <w:sz w:val="32"/>
          <w:szCs w:val="32"/>
        </w:rPr>
        <w:t>（一）内设机构设置。湖南省饲料工业办公室现有在职干部</w:t>
      </w:r>
      <w:r>
        <w:rPr>
          <w:rFonts w:hint="default" w:ascii="Times New Roman" w:hAnsi="Times New Roman" w:eastAsia="仿宋_GB2312" w:cs="Times New Roman"/>
          <w:bCs/>
          <w:color w:val="auto"/>
          <w:kern w:val="0"/>
          <w:sz w:val="32"/>
          <w:szCs w:val="32"/>
          <w:lang w:val="en-US" w:eastAsia="zh-CN"/>
        </w:rPr>
        <w:t>5</w:t>
      </w:r>
      <w:r>
        <w:rPr>
          <w:rFonts w:hint="default" w:ascii="Times New Roman" w:hAnsi="Times New Roman" w:eastAsia="仿宋_GB2312" w:cs="Times New Roman"/>
          <w:bCs/>
          <w:color w:val="auto"/>
          <w:kern w:val="0"/>
          <w:sz w:val="32"/>
          <w:szCs w:val="32"/>
        </w:rPr>
        <w:t>名，退休人员</w:t>
      </w:r>
      <w:r>
        <w:rPr>
          <w:rFonts w:hint="default" w:ascii="Times New Roman" w:hAnsi="Times New Roman" w:eastAsia="仿宋_GB2312" w:cs="Times New Roman"/>
          <w:bCs/>
          <w:color w:val="auto"/>
          <w:kern w:val="0"/>
          <w:sz w:val="32"/>
          <w:szCs w:val="32"/>
          <w:lang w:val="en-US" w:eastAsia="zh-CN"/>
        </w:rPr>
        <w:t>6</w:t>
      </w:r>
      <w:r>
        <w:rPr>
          <w:rFonts w:hint="default" w:ascii="Times New Roman" w:hAnsi="Times New Roman" w:eastAsia="仿宋_GB2312" w:cs="Times New Roman"/>
          <w:bCs/>
          <w:color w:val="auto"/>
          <w:kern w:val="0"/>
          <w:sz w:val="32"/>
          <w:szCs w:val="32"/>
        </w:rPr>
        <w:t>名，无内设科室。</w:t>
      </w:r>
    </w:p>
    <w:p>
      <w:pPr>
        <w:widowControl/>
        <w:spacing w:line="600" w:lineRule="exact"/>
        <w:ind w:firstLine="640" w:firstLineChars="200"/>
        <w:rPr>
          <w:rFonts w:hint="default" w:ascii="Times New Roman" w:hAnsi="Times New Roman" w:eastAsia="仿宋_GB2312" w:cs="Times New Roman"/>
          <w:bCs/>
          <w:color w:val="auto"/>
          <w:kern w:val="0"/>
          <w:sz w:val="32"/>
          <w:szCs w:val="32"/>
          <w:lang w:eastAsia="zh-CN"/>
        </w:rPr>
      </w:pPr>
      <w:r>
        <w:rPr>
          <w:rFonts w:hint="default" w:ascii="Times New Roman" w:hAnsi="Times New Roman" w:eastAsia="仿宋_GB2312" w:cs="Times New Roman"/>
          <w:bCs/>
          <w:color w:val="auto"/>
          <w:kern w:val="0"/>
          <w:sz w:val="32"/>
          <w:szCs w:val="32"/>
        </w:rPr>
        <w:t>（二）决算单位构成。湖南省饲料工业办公室</w:t>
      </w:r>
      <w:r>
        <w:rPr>
          <w:rFonts w:hint="eastAsia" w:ascii="Times New Roman" w:hAnsi="Times New Roman" w:eastAsia="仿宋_GB2312"/>
          <w:color w:val="auto"/>
          <w:sz w:val="32"/>
          <w:szCs w:val="32"/>
          <w:highlight w:val="none"/>
          <w:lang w:val="en-US" w:eastAsia="zh-CN"/>
        </w:rPr>
        <w:t>2024年部门决算汇总公开单位构成包括：</w:t>
      </w:r>
      <w:r>
        <w:rPr>
          <w:rFonts w:hint="default" w:ascii="Times New Roman" w:hAnsi="Times New Roman" w:eastAsia="仿宋_GB2312" w:cs="Times New Roman"/>
          <w:bCs/>
          <w:color w:val="auto"/>
          <w:kern w:val="0"/>
          <w:sz w:val="32"/>
          <w:szCs w:val="32"/>
        </w:rPr>
        <w:t>湖南省饲料工业办公室本级</w:t>
      </w:r>
      <w:r>
        <w:rPr>
          <w:rFonts w:hint="default" w:ascii="Times New Roman" w:hAnsi="Times New Roman" w:eastAsia="仿宋_GB2312" w:cs="Times New Roman"/>
          <w:bCs/>
          <w:color w:val="auto"/>
          <w:kern w:val="0"/>
          <w:sz w:val="32"/>
          <w:szCs w:val="32"/>
          <w:lang w:eastAsia="zh-CN"/>
        </w:rPr>
        <w:t>。</w:t>
      </w:r>
    </w:p>
    <w:p>
      <w:pPr>
        <w:widowControl/>
        <w:spacing w:line="600" w:lineRule="exact"/>
        <w:ind w:firstLine="640" w:firstLineChars="200"/>
        <w:rPr>
          <w:rFonts w:hint="default" w:ascii="Times New Roman" w:hAnsi="Times New Roman" w:eastAsia="仿宋_GB2312" w:cs="Times New Roman"/>
          <w:bCs/>
          <w:color w:val="auto"/>
          <w:kern w:val="0"/>
          <w:sz w:val="32"/>
          <w:szCs w:val="32"/>
          <w:lang w:eastAsia="zh-CN"/>
        </w:rPr>
      </w:pPr>
    </w:p>
    <w:p>
      <w:pPr>
        <w:jc w:val="center"/>
        <w:rPr>
          <w:rFonts w:hint="default" w:ascii="Times New Roman" w:hAnsi="Times New Roman" w:eastAsia="黑体" w:cs="Times New Roman"/>
          <w:color w:val="auto"/>
          <w:sz w:val="28"/>
          <w:szCs w:val="28"/>
        </w:rPr>
      </w:pPr>
    </w:p>
    <w:p>
      <w:pPr>
        <w:jc w:val="center"/>
        <w:rPr>
          <w:rFonts w:hint="default" w:ascii="Times New Roman" w:hAnsi="Times New Roman" w:eastAsia="黑体" w:cs="Times New Roman"/>
          <w:color w:val="auto"/>
          <w:sz w:val="28"/>
          <w:szCs w:val="28"/>
        </w:rPr>
      </w:pPr>
    </w:p>
    <w:p>
      <w:pPr>
        <w:jc w:val="center"/>
        <w:rPr>
          <w:rFonts w:hint="default" w:ascii="Times New Roman" w:hAnsi="Times New Roman" w:eastAsia="黑体" w:cs="Times New Roman"/>
          <w:color w:val="auto"/>
          <w:sz w:val="28"/>
          <w:szCs w:val="28"/>
        </w:rPr>
      </w:pPr>
    </w:p>
    <w:p>
      <w:pPr>
        <w:jc w:val="center"/>
        <w:rPr>
          <w:rFonts w:hint="default" w:ascii="Times New Roman" w:hAnsi="Times New Roman" w:eastAsia="黑体" w:cs="Times New Roman"/>
          <w:color w:val="auto"/>
          <w:sz w:val="28"/>
          <w:szCs w:val="28"/>
        </w:rPr>
      </w:pPr>
    </w:p>
    <w:p>
      <w:pPr>
        <w:jc w:val="center"/>
        <w:rPr>
          <w:rFonts w:hint="default" w:ascii="Times New Roman" w:hAnsi="Times New Roman" w:eastAsia="黑体" w:cs="Times New Roman"/>
          <w:color w:val="auto"/>
          <w:sz w:val="28"/>
          <w:szCs w:val="28"/>
        </w:rPr>
      </w:pPr>
    </w:p>
    <w:p>
      <w:pPr>
        <w:pStyle w:val="10"/>
        <w:rPr>
          <w:rFonts w:hint="default" w:ascii="Times New Roman" w:hAnsi="Times New Roman" w:cs="Times New Roman"/>
          <w:color w:val="auto"/>
        </w:rPr>
        <w:sectPr>
          <w:footerReference r:id="rId5" w:type="default"/>
          <w:pgSz w:w="11906" w:h="16838"/>
          <w:pgMar w:top="1417" w:right="1588" w:bottom="1417" w:left="1588" w:header="851" w:footer="992" w:gutter="0"/>
          <w:pgNumType w:start="1"/>
          <w:cols w:space="425" w:num="1"/>
          <w:docGrid w:type="lines" w:linePitch="312" w:charSpace="0"/>
        </w:sectPr>
      </w:pPr>
    </w:p>
    <w:p>
      <w:pPr>
        <w:pStyle w:val="16"/>
        <w:jc w:val="center"/>
        <w:rPr>
          <w:rFonts w:hint="default" w:ascii="Times New Roman" w:hAnsi="Times New Roman" w:eastAsia="方正小标宋_GBK" w:cs="Times New Roman"/>
          <w:color w:val="auto"/>
          <w:sz w:val="52"/>
          <w:szCs w:val="52"/>
        </w:rPr>
      </w:pPr>
      <w:r>
        <w:rPr>
          <w:rFonts w:hint="default" w:ascii="Times New Roman" w:hAnsi="Times New Roman" w:eastAsia="方正小标宋_GBK" w:cs="Times New Roman"/>
          <w:color w:val="auto"/>
          <w:sz w:val="52"/>
          <w:szCs w:val="52"/>
        </w:rPr>
        <w:t>第二部分    部门决算表</w:t>
      </w:r>
    </w:p>
    <w:p>
      <w:pPr>
        <w:widowControl/>
        <w:spacing w:after="156" w:afterLines="50"/>
        <w:jc w:val="center"/>
        <w:textAlignment w:val="center"/>
        <w:rPr>
          <w:rFonts w:hint="default" w:ascii="Times New Roman" w:hAnsi="Times New Roman" w:eastAsia="黑体" w:cs="Times New Roman"/>
          <w:color w:val="auto"/>
          <w:sz w:val="36"/>
          <w:szCs w:val="36"/>
        </w:rPr>
      </w:pPr>
      <w:r>
        <w:rPr>
          <w:rFonts w:hint="default" w:ascii="Times New Roman" w:hAnsi="Times New Roman" w:eastAsia="黑体" w:cs="Times New Roman"/>
          <w:color w:val="auto"/>
          <w:kern w:val="0"/>
          <w:sz w:val="36"/>
          <w:szCs w:val="36"/>
          <w:lang w:bidi="ar"/>
        </w:rPr>
        <w:t>收入支出决算总表</w:t>
      </w:r>
    </w:p>
    <w:p>
      <w:pPr>
        <w:widowControl/>
        <w:tabs>
          <w:tab w:val="left" w:pos="4442"/>
          <w:tab w:val="left" w:pos="5045"/>
          <w:tab w:val="left" w:pos="6444"/>
          <w:tab w:val="left" w:pos="11477"/>
          <w:tab w:val="left" w:pos="13102"/>
        </w:tabs>
        <w:jc w:val="right"/>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4"/>
          <w:szCs w:val="24"/>
        </w:rPr>
        <w:tab/>
      </w:r>
      <w:r>
        <w:rPr>
          <w:rFonts w:hint="default" w:ascii="Times New Roman" w:hAnsi="Times New Roman" w:eastAsia="仿宋_GB2312" w:cs="Times New Roman"/>
          <w:color w:val="auto"/>
          <w:sz w:val="24"/>
          <w:szCs w:val="24"/>
        </w:rPr>
        <w:tab/>
      </w:r>
      <w:r>
        <w:rPr>
          <w:rFonts w:hint="default" w:ascii="Times New Roman" w:hAnsi="Times New Roman" w:eastAsia="仿宋_GB2312" w:cs="Times New Roman"/>
          <w:color w:val="auto"/>
          <w:sz w:val="24"/>
          <w:szCs w:val="24"/>
        </w:rPr>
        <w:tab/>
      </w:r>
      <w:r>
        <w:rPr>
          <w:rFonts w:hint="default" w:ascii="Times New Roman" w:hAnsi="Times New Roman" w:eastAsia="仿宋_GB2312" w:cs="Times New Roman"/>
          <w:color w:val="auto"/>
          <w:sz w:val="24"/>
          <w:szCs w:val="24"/>
        </w:rPr>
        <w:tab/>
      </w:r>
      <w:r>
        <w:rPr>
          <w:rFonts w:hint="default" w:ascii="Times New Roman" w:hAnsi="Times New Roman" w:eastAsia="仿宋_GB2312" w:cs="Times New Roman"/>
          <w:color w:val="auto"/>
          <w:sz w:val="24"/>
          <w:szCs w:val="24"/>
        </w:rPr>
        <w:tab/>
      </w:r>
      <w:r>
        <w:rPr>
          <w:rFonts w:hint="default" w:ascii="Times New Roman" w:hAnsi="Times New Roman" w:eastAsia="仿宋_GB2312" w:cs="Times New Roman"/>
          <w:color w:val="auto"/>
          <w:kern w:val="0"/>
          <w:sz w:val="20"/>
          <w:szCs w:val="20"/>
          <w:lang w:bidi="ar"/>
        </w:rPr>
        <w:t>公开01表</w:t>
      </w:r>
    </w:p>
    <w:p>
      <w:pPr>
        <w:widowControl/>
        <w:tabs>
          <w:tab w:val="left" w:pos="4442"/>
          <w:tab w:val="left" w:pos="5045"/>
          <w:tab w:val="left" w:pos="6444"/>
          <w:tab w:val="left" w:pos="11477"/>
          <w:tab w:val="left" w:pos="13102"/>
        </w:tabs>
        <w:jc w:val="right"/>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lang w:bidi="ar"/>
        </w:rPr>
        <w:t>部门：湖南省饲料工业办公室</w:t>
      </w:r>
      <w:r>
        <w:rPr>
          <w:rFonts w:hint="default" w:ascii="Times New Roman" w:hAnsi="Times New Roman" w:eastAsia="仿宋_GB2312" w:cs="Times New Roman"/>
          <w:color w:val="auto"/>
          <w:sz w:val="20"/>
          <w:szCs w:val="20"/>
        </w:rPr>
        <w:tab/>
      </w:r>
      <w:r>
        <w:rPr>
          <w:rFonts w:hint="default" w:ascii="Times New Roman" w:hAnsi="Times New Roman" w:eastAsia="仿宋_GB2312" w:cs="Times New Roman"/>
          <w:color w:val="auto"/>
          <w:sz w:val="24"/>
          <w:szCs w:val="24"/>
        </w:rPr>
        <w:tab/>
      </w:r>
      <w:r>
        <w:rPr>
          <w:rFonts w:hint="default" w:ascii="Times New Roman" w:hAnsi="Times New Roman" w:eastAsia="仿宋_GB2312" w:cs="Times New Roman"/>
          <w:color w:val="auto"/>
          <w:sz w:val="24"/>
          <w:szCs w:val="24"/>
        </w:rPr>
        <w:tab/>
      </w:r>
      <w:r>
        <w:rPr>
          <w:rFonts w:hint="default" w:ascii="Times New Roman" w:hAnsi="Times New Roman" w:eastAsia="仿宋_GB2312" w:cs="Times New Roman"/>
          <w:color w:val="auto"/>
          <w:sz w:val="24"/>
          <w:szCs w:val="24"/>
        </w:rPr>
        <w:tab/>
      </w:r>
      <w:r>
        <w:rPr>
          <w:rFonts w:hint="default" w:ascii="Times New Roman" w:hAnsi="Times New Roman" w:eastAsia="仿宋_GB2312" w:cs="Times New Roman"/>
          <w:color w:val="auto"/>
          <w:sz w:val="24"/>
          <w:szCs w:val="24"/>
        </w:rPr>
        <w:tab/>
      </w:r>
      <w:r>
        <w:rPr>
          <w:rFonts w:hint="default" w:ascii="Times New Roman" w:hAnsi="Times New Roman" w:eastAsia="仿宋_GB2312" w:cs="Times New Roman"/>
          <w:color w:val="auto"/>
          <w:kern w:val="0"/>
          <w:sz w:val="20"/>
          <w:szCs w:val="20"/>
          <w:lang w:bidi="ar"/>
        </w:rPr>
        <w:t>单位：万元</w:t>
      </w:r>
    </w:p>
    <w:tbl>
      <w:tblPr>
        <w:tblStyle w:val="11"/>
        <w:tblW w:w="1422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530"/>
        <w:gridCol w:w="719"/>
        <w:gridCol w:w="1062"/>
        <w:gridCol w:w="3322"/>
        <w:gridCol w:w="460"/>
        <w:gridCol w:w="31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731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收入</w:t>
            </w:r>
          </w:p>
        </w:tc>
        <w:tc>
          <w:tcPr>
            <w:tcW w:w="691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项目</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行次</w:t>
            </w: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金额</w:t>
            </w:r>
          </w:p>
        </w:tc>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项目</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行次</w:t>
            </w:r>
          </w:p>
        </w:tc>
        <w:tc>
          <w:tcPr>
            <w:tcW w:w="31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栏次</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w:t>
            </w:r>
          </w:p>
        </w:tc>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栏次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一、一般公共预算财政拨款收入</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w:t>
            </w: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231.59</w:t>
            </w:r>
          </w:p>
        </w:tc>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一、一般公共服务支出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31</w:t>
            </w:r>
          </w:p>
        </w:tc>
        <w:tc>
          <w:tcPr>
            <w:tcW w:w="31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二、政府性基金预算财政拨款收入</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w:t>
            </w: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二、外交支出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32</w:t>
            </w:r>
          </w:p>
        </w:tc>
        <w:tc>
          <w:tcPr>
            <w:tcW w:w="31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三、国有资本经营预算财政拨款收入</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w:t>
            </w: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三、国防支出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33</w:t>
            </w:r>
          </w:p>
        </w:tc>
        <w:tc>
          <w:tcPr>
            <w:tcW w:w="31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四、上级补助收入</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4</w:t>
            </w: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四、公共安全支出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34</w:t>
            </w:r>
          </w:p>
        </w:tc>
        <w:tc>
          <w:tcPr>
            <w:tcW w:w="31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五、事业收入</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w:t>
            </w: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五、教育支出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35</w:t>
            </w:r>
          </w:p>
        </w:tc>
        <w:tc>
          <w:tcPr>
            <w:tcW w:w="31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六、经营收入</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六、科学技术支出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36</w:t>
            </w:r>
          </w:p>
        </w:tc>
        <w:tc>
          <w:tcPr>
            <w:tcW w:w="31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七、附属单位上缴收入</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7</w:t>
            </w: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七、文化旅游体育与传媒支出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37</w:t>
            </w:r>
          </w:p>
        </w:tc>
        <w:tc>
          <w:tcPr>
            <w:tcW w:w="31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八、其他收入</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8</w:t>
            </w: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八、社会保障和就业支出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38</w:t>
            </w:r>
          </w:p>
        </w:tc>
        <w:tc>
          <w:tcPr>
            <w:tcW w:w="31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37.45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9</w:t>
            </w: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九、卫生健康支出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39</w:t>
            </w:r>
          </w:p>
        </w:tc>
        <w:tc>
          <w:tcPr>
            <w:tcW w:w="31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十、节能环保支出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40</w:t>
            </w:r>
          </w:p>
        </w:tc>
        <w:tc>
          <w:tcPr>
            <w:tcW w:w="31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11</w:t>
            </w: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十一、城乡社区支出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41</w:t>
            </w:r>
          </w:p>
        </w:tc>
        <w:tc>
          <w:tcPr>
            <w:tcW w:w="31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12</w:t>
            </w: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十二、农林水支出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42</w:t>
            </w:r>
          </w:p>
        </w:tc>
        <w:tc>
          <w:tcPr>
            <w:tcW w:w="31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168.10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13</w:t>
            </w: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十三、交通运输支出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43</w:t>
            </w:r>
          </w:p>
        </w:tc>
        <w:tc>
          <w:tcPr>
            <w:tcW w:w="31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14</w:t>
            </w: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十四、资源勘探工业信息等支出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44</w:t>
            </w:r>
          </w:p>
        </w:tc>
        <w:tc>
          <w:tcPr>
            <w:tcW w:w="31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15</w:t>
            </w: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十五、商业服务业等支出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45</w:t>
            </w:r>
          </w:p>
        </w:tc>
        <w:tc>
          <w:tcPr>
            <w:tcW w:w="31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16</w:t>
            </w: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十六、金融支出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46</w:t>
            </w:r>
          </w:p>
        </w:tc>
        <w:tc>
          <w:tcPr>
            <w:tcW w:w="31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17</w:t>
            </w: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十七、援助其他地区支出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47</w:t>
            </w:r>
          </w:p>
        </w:tc>
        <w:tc>
          <w:tcPr>
            <w:tcW w:w="31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18</w:t>
            </w: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十八、自然资源海洋气象等支出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48</w:t>
            </w:r>
          </w:p>
        </w:tc>
        <w:tc>
          <w:tcPr>
            <w:tcW w:w="31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19</w:t>
            </w: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十九、住房保障支出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49</w:t>
            </w:r>
          </w:p>
        </w:tc>
        <w:tc>
          <w:tcPr>
            <w:tcW w:w="31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10.18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w:t>
            </w: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二十、粮油物资储备支出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50</w:t>
            </w:r>
          </w:p>
        </w:tc>
        <w:tc>
          <w:tcPr>
            <w:tcW w:w="31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21</w:t>
            </w: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二十一、国有资本经营预算支出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51</w:t>
            </w:r>
          </w:p>
        </w:tc>
        <w:tc>
          <w:tcPr>
            <w:tcW w:w="31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22</w:t>
            </w: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二十二、灾害防治及应急管理支出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52</w:t>
            </w:r>
          </w:p>
        </w:tc>
        <w:tc>
          <w:tcPr>
            <w:tcW w:w="31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23</w:t>
            </w: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二十三、其他支出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53</w:t>
            </w:r>
          </w:p>
        </w:tc>
        <w:tc>
          <w:tcPr>
            <w:tcW w:w="31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Times New Roman" w:hAnsi="Times New Roman" w:eastAsia="宋体" w:cs="Times New Roman"/>
                <w:b/>
                <w:i w:val="0"/>
                <w:color w:val="auto"/>
                <w:sz w:val="20"/>
                <w:szCs w:val="20"/>
                <w:u w:val="none"/>
              </w:rPr>
            </w:pP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24</w:t>
            </w: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0"/>
                <w:szCs w:val="20"/>
                <w:u w:val="none"/>
              </w:rPr>
            </w:pPr>
          </w:p>
        </w:tc>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二十四、债务还本支出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54</w:t>
            </w:r>
          </w:p>
        </w:tc>
        <w:tc>
          <w:tcPr>
            <w:tcW w:w="31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0"/>
                <w:szCs w:val="20"/>
                <w:u w:val="none"/>
              </w:rPr>
            </w:pP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25</w:t>
            </w: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0"/>
                <w:szCs w:val="20"/>
                <w:u w:val="none"/>
              </w:rPr>
            </w:pPr>
          </w:p>
        </w:tc>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二十五、债务付息支出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55</w:t>
            </w:r>
          </w:p>
        </w:tc>
        <w:tc>
          <w:tcPr>
            <w:tcW w:w="31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0"/>
                <w:szCs w:val="20"/>
                <w:u w:val="none"/>
              </w:rPr>
            </w:pP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26</w:t>
            </w: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0"/>
                <w:szCs w:val="20"/>
                <w:u w:val="none"/>
              </w:rPr>
            </w:pPr>
          </w:p>
        </w:tc>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二十六、抗疫特别国债安排的支出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56</w:t>
            </w:r>
          </w:p>
        </w:tc>
        <w:tc>
          <w:tcPr>
            <w:tcW w:w="31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auto"/>
                <w:sz w:val="22"/>
                <w:szCs w:val="22"/>
                <w:u w:val="none"/>
              </w:rPr>
            </w:pPr>
            <w:r>
              <w:rPr>
                <w:rFonts w:hint="default" w:ascii="Times New Roman" w:hAnsi="Times New Roman" w:eastAsia="宋体" w:cs="Times New Roman"/>
                <w:b/>
                <w:i w:val="0"/>
                <w:color w:val="auto"/>
                <w:kern w:val="0"/>
                <w:sz w:val="22"/>
                <w:szCs w:val="22"/>
                <w:u w:val="none"/>
                <w:lang w:val="en-US" w:eastAsia="zh-CN" w:bidi="ar"/>
              </w:rPr>
              <w:t>本年收入合计</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27</w:t>
            </w: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231.59</w:t>
            </w:r>
          </w:p>
        </w:tc>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auto"/>
                <w:sz w:val="22"/>
                <w:szCs w:val="22"/>
                <w:u w:val="none"/>
              </w:rPr>
            </w:pPr>
            <w:r>
              <w:rPr>
                <w:rFonts w:hint="default" w:ascii="Times New Roman" w:hAnsi="Times New Roman" w:eastAsia="宋体" w:cs="Times New Roman"/>
                <w:b/>
                <w:i w:val="0"/>
                <w:color w:val="auto"/>
                <w:kern w:val="0"/>
                <w:sz w:val="22"/>
                <w:szCs w:val="22"/>
                <w:u w:val="none"/>
                <w:lang w:val="en-US" w:eastAsia="zh-CN" w:bidi="ar"/>
              </w:rPr>
              <w:t>本年支出合计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57</w:t>
            </w:r>
          </w:p>
        </w:tc>
        <w:tc>
          <w:tcPr>
            <w:tcW w:w="31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217.73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使用非财政拨款结余（含专用结余）</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28</w:t>
            </w: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0.01</w:t>
            </w:r>
          </w:p>
        </w:tc>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结余分配</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58</w:t>
            </w:r>
          </w:p>
        </w:tc>
        <w:tc>
          <w:tcPr>
            <w:tcW w:w="31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年初结转和结余</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29</w:t>
            </w: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14.57</w:t>
            </w:r>
          </w:p>
        </w:tc>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年末结转和结余</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59</w:t>
            </w:r>
          </w:p>
        </w:tc>
        <w:tc>
          <w:tcPr>
            <w:tcW w:w="31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28.45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auto"/>
                <w:sz w:val="22"/>
                <w:szCs w:val="22"/>
                <w:u w:val="none"/>
              </w:rPr>
            </w:pPr>
            <w:r>
              <w:rPr>
                <w:rFonts w:hint="default" w:ascii="Times New Roman" w:hAnsi="Times New Roman" w:eastAsia="宋体" w:cs="Times New Roman"/>
                <w:b/>
                <w:i w:val="0"/>
                <w:color w:val="auto"/>
                <w:kern w:val="0"/>
                <w:sz w:val="22"/>
                <w:szCs w:val="22"/>
                <w:u w:val="none"/>
                <w:lang w:val="en-US" w:eastAsia="zh-CN" w:bidi="ar"/>
              </w:rPr>
              <w:t>总计</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30</w:t>
            </w: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246.18</w:t>
            </w:r>
          </w:p>
        </w:tc>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auto"/>
                <w:sz w:val="22"/>
                <w:szCs w:val="22"/>
                <w:u w:val="none"/>
              </w:rPr>
            </w:pPr>
            <w:r>
              <w:rPr>
                <w:rFonts w:hint="default" w:ascii="Times New Roman" w:hAnsi="Times New Roman" w:eastAsia="宋体" w:cs="Times New Roman"/>
                <w:b/>
                <w:i w:val="0"/>
                <w:color w:val="auto"/>
                <w:kern w:val="0"/>
                <w:sz w:val="22"/>
                <w:szCs w:val="22"/>
                <w:u w:val="none"/>
                <w:lang w:val="en-US" w:eastAsia="zh-CN" w:bidi="ar"/>
              </w:rPr>
              <w:t>总计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60</w:t>
            </w:r>
          </w:p>
        </w:tc>
        <w:tc>
          <w:tcPr>
            <w:tcW w:w="31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246.18</w:t>
            </w:r>
          </w:p>
        </w:tc>
      </w:tr>
    </w:tbl>
    <w:p>
      <w:pPr>
        <w:widowControl/>
        <w:jc w:val="left"/>
        <w:textAlignment w:val="center"/>
        <w:rPr>
          <w:rFonts w:hint="default" w:ascii="Times New Roman" w:hAnsi="Times New Roman" w:eastAsia="宋体" w:cs="Times New Roman"/>
          <w:color w:val="auto"/>
          <w:kern w:val="0"/>
          <w:sz w:val="24"/>
          <w:szCs w:val="24"/>
          <w:lang w:bidi="ar"/>
        </w:rPr>
      </w:pPr>
    </w:p>
    <w:p>
      <w:pPr>
        <w:widowControl/>
        <w:jc w:val="left"/>
        <w:textAlignment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lang w:bidi="ar"/>
        </w:rPr>
        <w:t>注：1.本表反映部门本年度的总收支和年末结转结余情况。</w:t>
      </w:r>
      <w:r>
        <w:rPr>
          <w:rFonts w:hint="default" w:ascii="Times New Roman" w:hAnsi="Times New Roman" w:eastAsia="仿宋_GB2312" w:cs="Times New Roman"/>
          <w:color w:val="auto"/>
          <w:kern w:val="0"/>
          <w:sz w:val="24"/>
          <w:szCs w:val="24"/>
          <w:lang w:bidi="ar"/>
        </w:rPr>
        <w:br w:type="textWrapping"/>
      </w:r>
      <w:r>
        <w:rPr>
          <w:rFonts w:hint="default" w:ascii="Times New Roman" w:hAnsi="Times New Roman" w:eastAsia="仿宋_GB2312" w:cs="Times New Roman"/>
          <w:color w:val="auto"/>
          <w:kern w:val="0"/>
          <w:sz w:val="24"/>
          <w:szCs w:val="24"/>
          <w:lang w:bidi="ar"/>
        </w:rPr>
        <w:t xml:space="preserve">    2.本套报表金额单位转换时可能存在尾数误差。</w:t>
      </w:r>
    </w:p>
    <w:p>
      <w:pPr>
        <w:rPr>
          <w:rFonts w:hint="default" w:ascii="Times New Roman" w:hAnsi="Times New Roman" w:eastAsia="华文中宋" w:cs="Times New Roman"/>
          <w:color w:val="auto"/>
          <w:sz w:val="32"/>
          <w:szCs w:val="32"/>
        </w:rPr>
      </w:pPr>
      <w:r>
        <w:rPr>
          <w:rFonts w:hint="default" w:ascii="Times New Roman" w:hAnsi="Times New Roman" w:eastAsia="华文中宋" w:cs="Times New Roman"/>
          <w:color w:val="auto"/>
          <w:sz w:val="32"/>
          <w:szCs w:val="32"/>
        </w:rPr>
        <w:br w:type="page"/>
      </w:r>
    </w:p>
    <w:p>
      <w:pPr>
        <w:widowControl/>
        <w:spacing w:line="400" w:lineRule="exact"/>
        <w:jc w:val="center"/>
        <w:textAlignment w:val="center"/>
        <w:rPr>
          <w:rFonts w:hint="default" w:ascii="Times New Roman" w:hAnsi="Times New Roman" w:eastAsia="黑体" w:cs="Times New Roman"/>
          <w:color w:val="auto"/>
          <w:kern w:val="0"/>
          <w:sz w:val="32"/>
          <w:szCs w:val="32"/>
          <w:lang w:bidi="ar"/>
        </w:rPr>
      </w:pPr>
    </w:p>
    <w:p>
      <w:pPr>
        <w:widowControl/>
        <w:spacing w:after="156" w:afterLines="50"/>
        <w:jc w:val="center"/>
        <w:textAlignment w:val="center"/>
        <w:rPr>
          <w:rFonts w:hint="default" w:ascii="Times New Roman" w:hAnsi="Times New Roman" w:eastAsia="黑体" w:cs="Times New Roman"/>
          <w:color w:val="auto"/>
          <w:kern w:val="0"/>
          <w:sz w:val="36"/>
          <w:szCs w:val="36"/>
          <w:lang w:bidi="ar"/>
        </w:rPr>
      </w:pPr>
      <w:r>
        <w:rPr>
          <w:rFonts w:hint="default" w:ascii="Times New Roman" w:hAnsi="Times New Roman" w:eastAsia="黑体" w:cs="Times New Roman"/>
          <w:color w:val="auto"/>
          <w:kern w:val="0"/>
          <w:sz w:val="36"/>
          <w:szCs w:val="36"/>
          <w:lang w:bidi="ar"/>
        </w:rPr>
        <w:t>收入决算表</w:t>
      </w:r>
    </w:p>
    <w:p>
      <w:pPr>
        <w:tabs>
          <w:tab w:val="left" w:pos="315"/>
          <w:tab w:val="left" w:pos="630"/>
          <w:tab w:val="left" w:pos="2100"/>
          <w:tab w:val="left" w:pos="3895"/>
          <w:tab w:val="left" w:pos="5690"/>
          <w:tab w:val="left" w:pos="7485"/>
          <w:tab w:val="left" w:pos="9280"/>
          <w:tab w:val="left" w:pos="11075"/>
          <w:tab w:val="left" w:pos="12870"/>
        </w:tabs>
        <w:jc w:val="righ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rPr>
        <w:t>　</w:t>
      </w:r>
      <w:r>
        <w:rPr>
          <w:rFonts w:hint="default" w:ascii="Times New Roman" w:hAnsi="Times New Roman" w:eastAsia="仿宋_GB2312" w:cs="Times New Roman"/>
          <w:color w:val="auto"/>
          <w:sz w:val="24"/>
          <w:szCs w:val="24"/>
        </w:rPr>
        <w:tab/>
      </w:r>
      <w:r>
        <w:rPr>
          <w:rFonts w:hint="default" w:ascii="Times New Roman" w:hAnsi="Times New Roman" w:eastAsia="仿宋_GB2312" w:cs="Times New Roman"/>
          <w:color w:val="auto"/>
        </w:rPr>
        <w:t>　</w:t>
      </w:r>
      <w:r>
        <w:rPr>
          <w:rFonts w:hint="default" w:ascii="Times New Roman" w:hAnsi="Times New Roman" w:eastAsia="仿宋_GB2312" w:cs="Times New Roman"/>
          <w:color w:val="auto"/>
          <w:sz w:val="24"/>
          <w:szCs w:val="24"/>
        </w:rPr>
        <w:tab/>
      </w:r>
      <w:r>
        <w:rPr>
          <w:rFonts w:hint="default" w:ascii="Times New Roman" w:hAnsi="Times New Roman" w:eastAsia="仿宋_GB2312" w:cs="Times New Roman"/>
          <w:color w:val="auto"/>
        </w:rPr>
        <w:t>　</w:t>
      </w:r>
      <w:r>
        <w:rPr>
          <w:rFonts w:hint="default" w:ascii="Times New Roman" w:hAnsi="Times New Roman" w:eastAsia="仿宋_GB2312" w:cs="Times New Roman"/>
          <w:color w:val="auto"/>
          <w:sz w:val="24"/>
          <w:szCs w:val="24"/>
        </w:rPr>
        <w:tab/>
      </w:r>
      <w:r>
        <w:rPr>
          <w:rFonts w:hint="default" w:ascii="Times New Roman" w:hAnsi="Times New Roman" w:eastAsia="仿宋_GB2312" w:cs="Times New Roman"/>
          <w:color w:val="auto"/>
        </w:rPr>
        <w:t>　</w:t>
      </w:r>
      <w:r>
        <w:rPr>
          <w:rFonts w:hint="default" w:ascii="Times New Roman" w:hAnsi="Times New Roman" w:eastAsia="仿宋_GB2312" w:cs="Times New Roman"/>
          <w:color w:val="auto"/>
          <w:sz w:val="24"/>
          <w:szCs w:val="24"/>
        </w:rPr>
        <w:tab/>
      </w:r>
      <w:r>
        <w:rPr>
          <w:rFonts w:hint="default" w:ascii="Times New Roman" w:hAnsi="Times New Roman" w:eastAsia="仿宋_GB2312" w:cs="Times New Roman"/>
          <w:color w:val="auto"/>
        </w:rPr>
        <w:t>　</w:t>
      </w:r>
      <w:r>
        <w:rPr>
          <w:rFonts w:hint="default" w:ascii="Times New Roman" w:hAnsi="Times New Roman" w:eastAsia="仿宋_GB2312" w:cs="Times New Roman"/>
          <w:color w:val="auto"/>
          <w:sz w:val="24"/>
          <w:szCs w:val="24"/>
        </w:rPr>
        <w:tab/>
      </w:r>
      <w:r>
        <w:rPr>
          <w:rFonts w:hint="default" w:ascii="Times New Roman" w:hAnsi="Times New Roman" w:eastAsia="仿宋_GB2312" w:cs="Times New Roman"/>
          <w:color w:val="auto"/>
        </w:rPr>
        <w:t>　</w:t>
      </w:r>
      <w:r>
        <w:rPr>
          <w:rFonts w:hint="default" w:ascii="Times New Roman" w:hAnsi="Times New Roman" w:eastAsia="仿宋_GB2312" w:cs="Times New Roman"/>
          <w:color w:val="auto"/>
          <w:sz w:val="24"/>
          <w:szCs w:val="24"/>
        </w:rPr>
        <w:tab/>
      </w:r>
      <w:r>
        <w:rPr>
          <w:rFonts w:hint="default" w:ascii="Times New Roman" w:hAnsi="Times New Roman" w:eastAsia="仿宋_GB2312" w:cs="Times New Roman"/>
          <w:color w:val="auto"/>
        </w:rPr>
        <w:t>　</w:t>
      </w:r>
      <w:r>
        <w:rPr>
          <w:rFonts w:hint="default" w:ascii="Times New Roman" w:hAnsi="Times New Roman" w:eastAsia="仿宋_GB2312" w:cs="Times New Roman"/>
          <w:color w:val="auto"/>
          <w:sz w:val="24"/>
          <w:szCs w:val="24"/>
        </w:rPr>
        <w:tab/>
      </w:r>
      <w:r>
        <w:rPr>
          <w:rFonts w:hint="default" w:ascii="Times New Roman" w:hAnsi="Times New Roman" w:eastAsia="仿宋_GB2312" w:cs="Times New Roman"/>
          <w:color w:val="auto"/>
        </w:rPr>
        <w:t>　</w:t>
      </w:r>
      <w:r>
        <w:rPr>
          <w:rFonts w:hint="default" w:ascii="Times New Roman" w:hAnsi="Times New Roman" w:eastAsia="仿宋_GB2312" w:cs="Times New Roman"/>
          <w:color w:val="auto"/>
          <w:sz w:val="24"/>
          <w:szCs w:val="24"/>
        </w:rPr>
        <w:tab/>
      </w:r>
      <w:r>
        <w:rPr>
          <w:rFonts w:hint="default" w:ascii="Times New Roman" w:hAnsi="Times New Roman" w:eastAsia="仿宋_GB2312" w:cs="Times New Roman"/>
          <w:color w:val="auto"/>
        </w:rPr>
        <w:t>　</w:t>
      </w:r>
      <w:r>
        <w:rPr>
          <w:rFonts w:hint="default" w:ascii="Times New Roman" w:hAnsi="Times New Roman" w:eastAsia="仿宋_GB2312" w:cs="Times New Roman"/>
          <w:color w:val="auto"/>
          <w:sz w:val="24"/>
          <w:szCs w:val="24"/>
        </w:rPr>
        <w:tab/>
      </w:r>
      <w:r>
        <w:rPr>
          <w:rFonts w:hint="default" w:ascii="Times New Roman" w:hAnsi="Times New Roman" w:eastAsia="仿宋_GB2312" w:cs="Times New Roman"/>
          <w:color w:val="auto"/>
          <w:sz w:val="20"/>
          <w:szCs w:val="20"/>
        </w:rPr>
        <w:t>公开02表</w:t>
      </w:r>
    </w:p>
    <w:p>
      <w:pPr>
        <w:tabs>
          <w:tab w:val="left" w:pos="630"/>
          <w:tab w:val="left" w:pos="2100"/>
          <w:tab w:val="left" w:pos="3895"/>
          <w:tab w:val="left" w:pos="5690"/>
          <w:tab w:val="left" w:pos="7485"/>
          <w:tab w:val="left" w:pos="9280"/>
          <w:tab w:val="left" w:pos="11075"/>
          <w:tab w:val="left" w:pos="12870"/>
        </w:tabs>
        <w:jc w:val="righ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部门：</w:t>
      </w:r>
      <w:r>
        <w:rPr>
          <w:rFonts w:hint="default" w:ascii="Times New Roman" w:hAnsi="Times New Roman" w:eastAsia="仿宋_GB2312" w:cs="Times New Roman"/>
          <w:color w:val="auto"/>
          <w:sz w:val="20"/>
          <w:szCs w:val="20"/>
        </w:rPr>
        <w:tab/>
      </w:r>
      <w:r>
        <w:rPr>
          <w:rFonts w:hint="default" w:ascii="Times New Roman" w:hAnsi="Times New Roman" w:eastAsia="仿宋_GB2312" w:cs="Times New Roman"/>
          <w:color w:val="auto"/>
          <w:kern w:val="0"/>
          <w:sz w:val="20"/>
          <w:szCs w:val="20"/>
          <w:lang w:bidi="ar"/>
        </w:rPr>
        <w:t>湖南省饲料工业办公室</w:t>
      </w:r>
      <w:r>
        <w:rPr>
          <w:rFonts w:hint="default" w:ascii="Times New Roman" w:hAnsi="Times New Roman" w:eastAsia="仿宋_GB2312" w:cs="Times New Roman"/>
          <w:color w:val="auto"/>
        </w:rPr>
        <w:t>　</w:t>
      </w:r>
      <w:r>
        <w:rPr>
          <w:rFonts w:hint="default" w:ascii="Times New Roman" w:hAnsi="Times New Roman" w:eastAsia="仿宋_GB2312" w:cs="Times New Roman"/>
          <w:color w:val="auto"/>
          <w:sz w:val="24"/>
          <w:szCs w:val="24"/>
        </w:rPr>
        <w:tab/>
      </w:r>
      <w:r>
        <w:rPr>
          <w:rFonts w:hint="default" w:ascii="Times New Roman" w:hAnsi="Times New Roman" w:eastAsia="仿宋_GB2312" w:cs="Times New Roman"/>
          <w:color w:val="auto"/>
        </w:rPr>
        <w:t>　</w:t>
      </w:r>
      <w:r>
        <w:rPr>
          <w:rFonts w:hint="default" w:ascii="Times New Roman" w:hAnsi="Times New Roman" w:eastAsia="仿宋_GB2312" w:cs="Times New Roman"/>
          <w:color w:val="auto"/>
          <w:sz w:val="24"/>
          <w:szCs w:val="24"/>
        </w:rPr>
        <w:tab/>
      </w:r>
      <w:r>
        <w:rPr>
          <w:rFonts w:hint="default" w:ascii="Times New Roman" w:hAnsi="Times New Roman" w:eastAsia="仿宋_GB2312" w:cs="Times New Roman"/>
          <w:color w:val="auto"/>
          <w:sz w:val="20"/>
          <w:szCs w:val="20"/>
        </w:rPr>
        <w:t>　</w:t>
      </w:r>
      <w:r>
        <w:rPr>
          <w:rFonts w:hint="default" w:ascii="Times New Roman" w:hAnsi="Times New Roman" w:eastAsia="仿宋_GB2312" w:cs="Times New Roman"/>
          <w:color w:val="auto"/>
          <w:sz w:val="20"/>
          <w:szCs w:val="20"/>
        </w:rPr>
        <w:tab/>
      </w:r>
      <w:r>
        <w:rPr>
          <w:rFonts w:hint="default" w:ascii="Times New Roman" w:hAnsi="Times New Roman" w:eastAsia="仿宋_GB2312" w:cs="Times New Roman"/>
          <w:color w:val="auto"/>
        </w:rPr>
        <w:t>　</w:t>
      </w:r>
      <w:r>
        <w:rPr>
          <w:rFonts w:hint="default" w:ascii="Times New Roman" w:hAnsi="Times New Roman" w:eastAsia="仿宋_GB2312" w:cs="Times New Roman"/>
          <w:color w:val="auto"/>
          <w:sz w:val="24"/>
          <w:szCs w:val="24"/>
        </w:rPr>
        <w:tab/>
      </w:r>
      <w:r>
        <w:rPr>
          <w:rFonts w:hint="default" w:ascii="Times New Roman" w:hAnsi="Times New Roman" w:eastAsia="仿宋_GB2312" w:cs="Times New Roman"/>
          <w:color w:val="auto"/>
        </w:rPr>
        <w:t>　</w:t>
      </w:r>
      <w:r>
        <w:rPr>
          <w:rFonts w:hint="default" w:ascii="Times New Roman" w:hAnsi="Times New Roman" w:eastAsia="仿宋_GB2312" w:cs="Times New Roman"/>
          <w:color w:val="auto"/>
          <w:sz w:val="24"/>
          <w:szCs w:val="24"/>
        </w:rPr>
        <w:tab/>
      </w:r>
      <w:r>
        <w:rPr>
          <w:rFonts w:hint="default" w:ascii="Times New Roman" w:hAnsi="Times New Roman" w:eastAsia="仿宋_GB2312" w:cs="Times New Roman"/>
          <w:color w:val="auto"/>
        </w:rPr>
        <w:t>　</w:t>
      </w:r>
      <w:r>
        <w:rPr>
          <w:rFonts w:hint="default" w:ascii="Times New Roman" w:hAnsi="Times New Roman" w:eastAsia="仿宋_GB2312" w:cs="Times New Roman"/>
          <w:color w:val="auto"/>
          <w:sz w:val="24"/>
          <w:szCs w:val="24"/>
        </w:rPr>
        <w:tab/>
      </w:r>
      <w:r>
        <w:rPr>
          <w:rFonts w:hint="default" w:ascii="Times New Roman" w:hAnsi="Times New Roman" w:eastAsia="仿宋_GB2312" w:cs="Times New Roman"/>
          <w:color w:val="auto"/>
          <w:sz w:val="20"/>
          <w:szCs w:val="20"/>
        </w:rPr>
        <w:t>单位：万元</w:t>
      </w:r>
    </w:p>
    <w:tbl>
      <w:tblPr>
        <w:tblStyle w:val="11"/>
        <w:tblW w:w="171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950"/>
        <w:gridCol w:w="3603"/>
        <w:gridCol w:w="1649"/>
        <w:gridCol w:w="1649"/>
        <w:gridCol w:w="1649"/>
        <w:gridCol w:w="1649"/>
        <w:gridCol w:w="1649"/>
        <w:gridCol w:w="1649"/>
        <w:gridCol w:w="16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5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项目</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本年收入合计</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财政拨款收入</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上级补助收入</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事业收入</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经营收入</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附属单位上缴收入</w:t>
            </w:r>
          </w:p>
        </w:tc>
        <w:tc>
          <w:tcPr>
            <w:tcW w:w="165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功能分类科目编码</w:t>
            </w:r>
          </w:p>
        </w:tc>
        <w:tc>
          <w:tcPr>
            <w:tcW w:w="360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科目名称</w:t>
            </w: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6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6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6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5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栏次</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4</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6</w:t>
            </w:r>
          </w:p>
        </w:tc>
        <w:tc>
          <w:tcPr>
            <w:tcW w:w="1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5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合计</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b/>
                <w:i w:val="0"/>
                <w:color w:val="auto"/>
                <w:sz w:val="22"/>
                <w:szCs w:val="22"/>
                <w:u w:val="none"/>
              </w:rPr>
            </w:pPr>
            <w:r>
              <w:rPr>
                <w:rFonts w:hint="default" w:ascii="Times New Roman" w:hAnsi="Times New Roman" w:eastAsia="宋体" w:cs="Times New Roman"/>
                <w:b/>
                <w:i w:val="0"/>
                <w:color w:val="auto"/>
                <w:kern w:val="0"/>
                <w:sz w:val="22"/>
                <w:szCs w:val="22"/>
                <w:u w:val="none"/>
                <w:lang w:val="en-US" w:eastAsia="zh-CN" w:bidi="ar"/>
              </w:rPr>
              <w:t>231.59</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b/>
                <w:i w:val="0"/>
                <w:color w:val="auto"/>
                <w:sz w:val="22"/>
                <w:szCs w:val="22"/>
                <w:u w:val="none"/>
              </w:rPr>
            </w:pPr>
            <w:r>
              <w:rPr>
                <w:rFonts w:hint="default" w:ascii="Times New Roman" w:hAnsi="Times New Roman" w:eastAsia="宋体" w:cs="Times New Roman"/>
                <w:b/>
                <w:i w:val="0"/>
                <w:color w:val="auto"/>
                <w:kern w:val="0"/>
                <w:sz w:val="22"/>
                <w:szCs w:val="22"/>
                <w:u w:val="none"/>
                <w:lang w:val="en-US" w:eastAsia="zh-CN" w:bidi="ar"/>
              </w:rPr>
              <w:t>231.59</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b/>
                <w:i w:val="0"/>
                <w:color w:val="auto"/>
                <w:sz w:val="22"/>
                <w:szCs w:val="22"/>
                <w:u w:val="none"/>
              </w:rPr>
            </w:pPr>
            <w:r>
              <w:rPr>
                <w:rFonts w:hint="default" w:ascii="Times New Roman" w:hAnsi="Times New Roman" w:eastAsia="宋体" w:cs="Times New Roman"/>
                <w:b/>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b/>
                <w:i w:val="0"/>
                <w:color w:val="auto"/>
                <w:sz w:val="22"/>
                <w:szCs w:val="22"/>
                <w:u w:val="none"/>
              </w:rPr>
            </w:pPr>
            <w:r>
              <w:rPr>
                <w:rFonts w:hint="default" w:ascii="Times New Roman" w:hAnsi="Times New Roman" w:eastAsia="宋体" w:cs="Times New Roman"/>
                <w:b/>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b/>
                <w:i w:val="0"/>
                <w:color w:val="auto"/>
                <w:sz w:val="22"/>
                <w:szCs w:val="22"/>
                <w:u w:val="none"/>
              </w:rPr>
            </w:pPr>
            <w:r>
              <w:rPr>
                <w:rFonts w:hint="default" w:ascii="Times New Roman" w:hAnsi="Times New Roman" w:eastAsia="宋体" w:cs="Times New Roman"/>
                <w:b/>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b/>
                <w:i w:val="0"/>
                <w:color w:val="auto"/>
                <w:sz w:val="22"/>
                <w:szCs w:val="22"/>
                <w:u w:val="none"/>
              </w:rPr>
            </w:pPr>
            <w:r>
              <w:rPr>
                <w:rFonts w:hint="default" w:ascii="Times New Roman" w:hAnsi="Times New Roman" w:eastAsia="宋体" w:cs="Times New Roman"/>
                <w:b/>
                <w:i w:val="0"/>
                <w:color w:val="auto"/>
                <w:kern w:val="0"/>
                <w:sz w:val="22"/>
                <w:szCs w:val="22"/>
                <w:u w:val="none"/>
                <w:lang w:val="en-US" w:eastAsia="zh-CN" w:bidi="ar"/>
              </w:rPr>
              <w:t>0.00</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b/>
                <w:i w:val="0"/>
                <w:color w:val="auto"/>
                <w:sz w:val="22"/>
                <w:szCs w:val="22"/>
                <w:u w:val="none"/>
              </w:rPr>
            </w:pPr>
            <w:r>
              <w:rPr>
                <w:rFonts w:hint="default" w:ascii="Times New Roman" w:hAnsi="Times New Roman" w:eastAsia="宋体" w:cs="Times New Roman"/>
                <w:b/>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教育支出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20508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进修及培训</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2050803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培训支出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社会保障和就业支出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38.58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38.58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20805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行政事业单位养老支出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38.58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38.58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2080501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行政单位离退休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26.40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26.40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2080505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机关事业单位基本养老保险缴费支出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12.18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12.18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213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农林水支出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180.21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180.21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21301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农业农村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180.21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180.21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2130101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行政运行</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126.21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126.21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2130122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农业生产发展</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54.00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54.00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221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住房保障支出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10.80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10.80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22102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住房改革支出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10.80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10.80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2210201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住房公积金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10.80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10.80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0.00</w:t>
            </w:r>
          </w:p>
        </w:tc>
      </w:tr>
    </w:tbl>
    <w:p>
      <w:pPr>
        <w:spacing w:before="120"/>
        <w:rPr>
          <w:rFonts w:hint="default" w:ascii="Times New Roman" w:hAnsi="Times New Roman" w:eastAsia="黑体" w:cs="Times New Roman"/>
          <w:color w:val="auto"/>
          <w:kern w:val="0"/>
          <w:sz w:val="32"/>
          <w:szCs w:val="32"/>
          <w:lang w:bidi="ar"/>
        </w:rPr>
      </w:pPr>
      <w:r>
        <w:rPr>
          <w:rFonts w:hint="default" w:ascii="Times New Roman" w:hAnsi="Times New Roman" w:eastAsia="仿宋_GB2312" w:cs="Times New Roman"/>
          <w:color w:val="auto"/>
        </w:rPr>
        <w:t>注：本表反映部门本年度取得的各项收入情况。</w:t>
      </w:r>
      <w:r>
        <w:rPr>
          <w:rFonts w:hint="default" w:ascii="Times New Roman" w:hAnsi="Times New Roman" w:eastAsia="黑体" w:cs="Times New Roman"/>
          <w:bCs/>
          <w:color w:val="auto"/>
          <w:kern w:val="0"/>
          <w:sz w:val="32"/>
          <w:szCs w:val="32"/>
        </w:rPr>
        <w:t xml:space="preserve"> </w:t>
      </w:r>
      <w:r>
        <w:rPr>
          <w:rFonts w:hint="default" w:ascii="Times New Roman" w:hAnsi="Times New Roman" w:eastAsia="黑体" w:cs="Times New Roman"/>
          <w:bCs/>
          <w:color w:val="auto"/>
          <w:kern w:val="0"/>
          <w:sz w:val="32"/>
          <w:szCs w:val="32"/>
        </w:rPr>
        <w:br w:type="page"/>
      </w:r>
    </w:p>
    <w:p>
      <w:pPr>
        <w:widowControl/>
        <w:spacing w:after="156" w:afterLines="50"/>
        <w:jc w:val="center"/>
        <w:textAlignment w:val="center"/>
        <w:rPr>
          <w:rFonts w:hint="default" w:ascii="Times New Roman" w:hAnsi="Times New Roman" w:eastAsia="黑体" w:cs="Times New Roman"/>
          <w:color w:val="auto"/>
          <w:kern w:val="0"/>
          <w:sz w:val="36"/>
          <w:szCs w:val="36"/>
          <w:lang w:bidi="ar"/>
        </w:rPr>
      </w:pPr>
      <w:r>
        <w:rPr>
          <w:rFonts w:hint="default" w:ascii="Times New Roman" w:hAnsi="Times New Roman" w:eastAsia="黑体" w:cs="Times New Roman"/>
          <w:color w:val="auto"/>
          <w:kern w:val="0"/>
          <w:sz w:val="36"/>
          <w:szCs w:val="36"/>
          <w:lang w:bidi="ar"/>
        </w:rPr>
        <w:t>支出决算表</w:t>
      </w:r>
    </w:p>
    <w:p>
      <w:pPr>
        <w:widowControl/>
        <w:tabs>
          <w:tab w:val="left" w:pos="1236"/>
          <w:tab w:val="left" w:pos="1499"/>
          <w:tab w:val="left" w:pos="2980"/>
          <w:tab w:val="left" w:pos="4932"/>
          <w:tab w:val="left" w:pos="6923"/>
          <w:tab w:val="left" w:pos="8914"/>
          <w:tab w:val="left" w:pos="10905"/>
          <w:tab w:val="left" w:pos="12896"/>
        </w:tabs>
        <w:jc w:val="right"/>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4"/>
          <w:szCs w:val="24"/>
        </w:rPr>
        <w:t>　</w:t>
      </w:r>
      <w:r>
        <w:rPr>
          <w:rFonts w:hint="default" w:ascii="Times New Roman" w:hAnsi="Times New Roman" w:eastAsia="仿宋_GB2312" w:cs="Times New Roman"/>
          <w:color w:val="auto"/>
          <w:kern w:val="0"/>
          <w:sz w:val="24"/>
          <w:szCs w:val="24"/>
        </w:rPr>
        <w:tab/>
      </w:r>
      <w:r>
        <w:rPr>
          <w:rFonts w:hint="default" w:ascii="Times New Roman" w:hAnsi="Times New Roman" w:eastAsia="仿宋_GB2312" w:cs="Times New Roman"/>
          <w:color w:val="auto"/>
          <w:kern w:val="0"/>
          <w:sz w:val="24"/>
          <w:szCs w:val="24"/>
        </w:rPr>
        <w:t>　</w:t>
      </w:r>
      <w:r>
        <w:rPr>
          <w:rFonts w:hint="default" w:ascii="Times New Roman" w:hAnsi="Times New Roman" w:eastAsia="仿宋_GB2312" w:cs="Times New Roman"/>
          <w:color w:val="auto"/>
          <w:kern w:val="0"/>
          <w:sz w:val="24"/>
          <w:szCs w:val="24"/>
        </w:rPr>
        <w:tab/>
      </w:r>
      <w:r>
        <w:rPr>
          <w:rFonts w:hint="default" w:ascii="Times New Roman" w:hAnsi="Times New Roman" w:eastAsia="仿宋_GB2312" w:cs="Times New Roman"/>
          <w:color w:val="auto"/>
          <w:kern w:val="0"/>
          <w:sz w:val="24"/>
          <w:szCs w:val="24"/>
        </w:rPr>
        <w:t>　</w:t>
      </w:r>
      <w:r>
        <w:rPr>
          <w:rFonts w:hint="default" w:ascii="Times New Roman" w:hAnsi="Times New Roman" w:eastAsia="仿宋_GB2312" w:cs="Times New Roman"/>
          <w:color w:val="auto"/>
          <w:kern w:val="0"/>
          <w:sz w:val="24"/>
          <w:szCs w:val="24"/>
        </w:rPr>
        <w:tab/>
      </w:r>
      <w:r>
        <w:rPr>
          <w:rFonts w:hint="default" w:ascii="Times New Roman" w:hAnsi="Times New Roman" w:eastAsia="仿宋_GB2312" w:cs="Times New Roman"/>
          <w:color w:val="auto"/>
          <w:kern w:val="0"/>
          <w:sz w:val="24"/>
          <w:szCs w:val="24"/>
        </w:rPr>
        <w:t>　</w:t>
      </w:r>
      <w:r>
        <w:rPr>
          <w:rFonts w:hint="default" w:ascii="Times New Roman" w:hAnsi="Times New Roman" w:eastAsia="仿宋_GB2312" w:cs="Times New Roman"/>
          <w:color w:val="auto"/>
          <w:kern w:val="0"/>
          <w:sz w:val="24"/>
          <w:szCs w:val="24"/>
        </w:rPr>
        <w:tab/>
      </w:r>
      <w:r>
        <w:rPr>
          <w:rFonts w:hint="default" w:ascii="Times New Roman" w:hAnsi="Times New Roman" w:eastAsia="仿宋_GB2312" w:cs="Times New Roman"/>
          <w:color w:val="auto"/>
          <w:kern w:val="0"/>
          <w:sz w:val="24"/>
          <w:szCs w:val="24"/>
        </w:rPr>
        <w:t>　</w:t>
      </w:r>
      <w:r>
        <w:rPr>
          <w:rFonts w:hint="default" w:ascii="Times New Roman" w:hAnsi="Times New Roman" w:eastAsia="仿宋_GB2312" w:cs="Times New Roman"/>
          <w:color w:val="auto"/>
          <w:kern w:val="0"/>
          <w:sz w:val="24"/>
          <w:szCs w:val="24"/>
        </w:rPr>
        <w:tab/>
      </w:r>
      <w:r>
        <w:rPr>
          <w:rFonts w:hint="default" w:ascii="Times New Roman" w:hAnsi="Times New Roman" w:eastAsia="仿宋_GB2312" w:cs="Times New Roman"/>
          <w:color w:val="auto"/>
          <w:kern w:val="0"/>
          <w:sz w:val="24"/>
          <w:szCs w:val="24"/>
        </w:rPr>
        <w:t>　</w:t>
      </w:r>
      <w:r>
        <w:rPr>
          <w:rFonts w:hint="default" w:ascii="Times New Roman" w:hAnsi="Times New Roman" w:eastAsia="仿宋_GB2312" w:cs="Times New Roman"/>
          <w:color w:val="auto"/>
          <w:kern w:val="0"/>
          <w:sz w:val="24"/>
          <w:szCs w:val="24"/>
        </w:rPr>
        <w:tab/>
      </w:r>
      <w:r>
        <w:rPr>
          <w:rFonts w:hint="default" w:ascii="Times New Roman" w:hAnsi="Times New Roman" w:eastAsia="仿宋_GB2312" w:cs="Times New Roman"/>
          <w:color w:val="auto"/>
          <w:kern w:val="0"/>
          <w:sz w:val="24"/>
          <w:szCs w:val="24"/>
        </w:rPr>
        <w:t>　</w:t>
      </w:r>
      <w:r>
        <w:rPr>
          <w:rFonts w:hint="default" w:ascii="Times New Roman" w:hAnsi="Times New Roman" w:eastAsia="仿宋_GB2312" w:cs="Times New Roman"/>
          <w:color w:val="auto"/>
          <w:kern w:val="0"/>
          <w:sz w:val="24"/>
          <w:szCs w:val="24"/>
        </w:rPr>
        <w:tab/>
      </w:r>
      <w:r>
        <w:rPr>
          <w:rFonts w:hint="default" w:ascii="Times New Roman" w:hAnsi="Times New Roman" w:eastAsia="仿宋_GB2312" w:cs="Times New Roman"/>
          <w:color w:val="auto"/>
          <w:kern w:val="0"/>
          <w:sz w:val="24"/>
          <w:szCs w:val="24"/>
        </w:rPr>
        <w:t>　</w:t>
      </w:r>
      <w:r>
        <w:rPr>
          <w:rFonts w:hint="default" w:ascii="Times New Roman" w:hAnsi="Times New Roman" w:eastAsia="仿宋_GB2312" w:cs="Times New Roman"/>
          <w:color w:val="auto"/>
          <w:kern w:val="0"/>
          <w:sz w:val="24"/>
          <w:szCs w:val="24"/>
        </w:rPr>
        <w:tab/>
      </w:r>
      <w:r>
        <w:rPr>
          <w:rFonts w:hint="default" w:ascii="Times New Roman" w:hAnsi="Times New Roman" w:eastAsia="仿宋_GB2312" w:cs="Times New Roman"/>
          <w:color w:val="auto"/>
          <w:kern w:val="0"/>
          <w:sz w:val="20"/>
          <w:szCs w:val="20"/>
        </w:rPr>
        <w:t>公开03表</w:t>
      </w:r>
    </w:p>
    <w:p>
      <w:pPr>
        <w:widowControl/>
        <w:tabs>
          <w:tab w:val="left" w:pos="1236"/>
          <w:tab w:val="left" w:pos="1499"/>
          <w:tab w:val="left" w:pos="2980"/>
          <w:tab w:val="left" w:pos="4932"/>
          <w:tab w:val="left" w:pos="6923"/>
          <w:tab w:val="left" w:pos="8914"/>
          <w:tab w:val="left" w:pos="10905"/>
          <w:tab w:val="left" w:pos="12896"/>
        </w:tabs>
        <w:jc w:val="right"/>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部门：</w:t>
      </w:r>
      <w:r>
        <w:rPr>
          <w:rFonts w:hint="default" w:ascii="Times New Roman" w:hAnsi="Times New Roman" w:eastAsia="仿宋_GB2312" w:cs="Times New Roman"/>
          <w:color w:val="auto"/>
          <w:kern w:val="0"/>
          <w:sz w:val="20"/>
          <w:szCs w:val="20"/>
          <w:lang w:bidi="ar"/>
        </w:rPr>
        <w:t>湖南省饲料工业办公室</w:t>
      </w:r>
      <w:r>
        <w:rPr>
          <w:rFonts w:hint="default" w:ascii="Times New Roman" w:hAnsi="Times New Roman" w:eastAsia="仿宋_GB2312" w:cs="Times New Roman"/>
          <w:color w:val="auto"/>
          <w:kern w:val="0"/>
          <w:sz w:val="24"/>
          <w:szCs w:val="24"/>
        </w:rPr>
        <w:tab/>
      </w:r>
      <w:r>
        <w:rPr>
          <w:rFonts w:hint="default" w:ascii="Times New Roman" w:hAnsi="Times New Roman" w:eastAsia="仿宋_GB2312" w:cs="Times New Roman"/>
          <w:color w:val="auto"/>
          <w:kern w:val="0"/>
          <w:sz w:val="24"/>
          <w:szCs w:val="24"/>
        </w:rPr>
        <w:t>　</w:t>
      </w:r>
      <w:r>
        <w:rPr>
          <w:rFonts w:hint="default" w:ascii="Times New Roman" w:hAnsi="Times New Roman" w:eastAsia="仿宋_GB2312" w:cs="Times New Roman"/>
          <w:color w:val="auto"/>
          <w:kern w:val="0"/>
          <w:sz w:val="24"/>
          <w:szCs w:val="24"/>
        </w:rPr>
        <w:tab/>
      </w:r>
      <w:r>
        <w:rPr>
          <w:rFonts w:hint="default" w:ascii="Times New Roman" w:hAnsi="Times New Roman" w:eastAsia="仿宋_GB2312" w:cs="Times New Roman"/>
          <w:color w:val="auto"/>
          <w:kern w:val="0"/>
          <w:sz w:val="24"/>
          <w:szCs w:val="24"/>
        </w:rPr>
        <w:t>　</w:t>
      </w:r>
      <w:r>
        <w:rPr>
          <w:rFonts w:hint="default" w:ascii="Times New Roman" w:hAnsi="Times New Roman" w:eastAsia="仿宋_GB2312" w:cs="Times New Roman"/>
          <w:color w:val="auto"/>
          <w:kern w:val="0"/>
          <w:sz w:val="24"/>
          <w:szCs w:val="24"/>
        </w:rPr>
        <w:tab/>
      </w:r>
      <w:r>
        <w:rPr>
          <w:rFonts w:hint="default" w:ascii="Times New Roman" w:hAnsi="Times New Roman" w:eastAsia="仿宋_GB2312" w:cs="Times New Roman"/>
          <w:color w:val="auto"/>
          <w:kern w:val="0"/>
          <w:sz w:val="20"/>
          <w:szCs w:val="20"/>
        </w:rPr>
        <w:t>　</w:t>
      </w:r>
      <w:r>
        <w:rPr>
          <w:rFonts w:hint="default" w:ascii="Times New Roman" w:hAnsi="Times New Roman" w:eastAsia="仿宋_GB2312" w:cs="Times New Roman"/>
          <w:color w:val="auto"/>
          <w:kern w:val="0"/>
          <w:sz w:val="20"/>
          <w:szCs w:val="20"/>
        </w:rPr>
        <w:tab/>
      </w:r>
      <w:r>
        <w:rPr>
          <w:rFonts w:hint="default" w:ascii="Times New Roman" w:hAnsi="Times New Roman" w:eastAsia="仿宋_GB2312" w:cs="Times New Roman"/>
          <w:color w:val="auto"/>
          <w:kern w:val="0"/>
          <w:sz w:val="24"/>
          <w:szCs w:val="24"/>
        </w:rPr>
        <w:t>　</w:t>
      </w:r>
      <w:r>
        <w:rPr>
          <w:rFonts w:hint="default" w:ascii="Times New Roman" w:hAnsi="Times New Roman" w:eastAsia="仿宋_GB2312" w:cs="Times New Roman"/>
          <w:color w:val="auto"/>
          <w:kern w:val="0"/>
          <w:sz w:val="24"/>
          <w:szCs w:val="24"/>
        </w:rPr>
        <w:tab/>
      </w:r>
      <w:r>
        <w:rPr>
          <w:rFonts w:hint="default" w:ascii="Times New Roman" w:hAnsi="Times New Roman" w:eastAsia="仿宋_GB2312" w:cs="Times New Roman"/>
          <w:color w:val="auto"/>
          <w:kern w:val="0"/>
          <w:sz w:val="24"/>
          <w:szCs w:val="24"/>
        </w:rPr>
        <w:t>　</w:t>
      </w:r>
      <w:r>
        <w:rPr>
          <w:rFonts w:hint="default" w:ascii="Times New Roman" w:hAnsi="Times New Roman" w:eastAsia="仿宋_GB2312" w:cs="Times New Roman"/>
          <w:color w:val="auto"/>
          <w:kern w:val="0"/>
          <w:sz w:val="24"/>
          <w:szCs w:val="24"/>
        </w:rPr>
        <w:tab/>
      </w:r>
      <w:r>
        <w:rPr>
          <w:rFonts w:hint="default" w:ascii="Times New Roman" w:hAnsi="Times New Roman" w:eastAsia="仿宋_GB2312" w:cs="Times New Roman"/>
          <w:color w:val="auto"/>
          <w:kern w:val="0"/>
          <w:sz w:val="20"/>
          <w:szCs w:val="20"/>
        </w:rPr>
        <w:t>单位：万元</w:t>
      </w:r>
    </w:p>
    <w:tbl>
      <w:tblPr>
        <w:tblStyle w:val="11"/>
        <w:tblW w:w="145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105"/>
        <w:gridCol w:w="3603"/>
        <w:gridCol w:w="1650"/>
        <w:gridCol w:w="1500"/>
        <w:gridCol w:w="1650"/>
        <w:gridCol w:w="1475"/>
        <w:gridCol w:w="1237"/>
        <w:gridCol w:w="13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70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项目</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本年支出合计</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基本支出</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项目支出</w:t>
            </w:r>
          </w:p>
        </w:tc>
        <w:tc>
          <w:tcPr>
            <w:tcW w:w="147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上缴上级支出</w:t>
            </w:r>
          </w:p>
        </w:tc>
        <w:tc>
          <w:tcPr>
            <w:tcW w:w="123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经营支出</w:t>
            </w: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0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功能分类科目编码</w:t>
            </w:r>
          </w:p>
        </w:tc>
        <w:tc>
          <w:tcPr>
            <w:tcW w:w="360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科目名称</w:t>
            </w: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4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2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4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2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4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2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70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栏次</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w:t>
            </w:r>
          </w:p>
        </w:tc>
        <w:tc>
          <w:tcPr>
            <w:tcW w:w="14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4</w:t>
            </w:r>
          </w:p>
        </w:tc>
        <w:tc>
          <w:tcPr>
            <w:tcW w:w="12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70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合计</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b/>
                <w:i w:val="0"/>
                <w:color w:val="auto"/>
                <w:sz w:val="22"/>
                <w:szCs w:val="22"/>
                <w:u w:val="none"/>
              </w:rPr>
            </w:pPr>
            <w:r>
              <w:rPr>
                <w:rFonts w:hint="default" w:ascii="Times New Roman" w:hAnsi="Times New Roman" w:eastAsia="宋体" w:cs="Times New Roman"/>
                <w:b/>
                <w:i w:val="0"/>
                <w:color w:val="auto"/>
                <w:kern w:val="0"/>
                <w:sz w:val="22"/>
                <w:szCs w:val="22"/>
                <w:u w:val="none"/>
                <w:lang w:val="en-US" w:eastAsia="zh-CN" w:bidi="ar"/>
              </w:rPr>
              <w:t>217.73</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b/>
                <w:i w:val="0"/>
                <w:color w:val="auto"/>
                <w:sz w:val="22"/>
                <w:szCs w:val="22"/>
                <w:u w:val="none"/>
              </w:rPr>
            </w:pPr>
            <w:r>
              <w:rPr>
                <w:rFonts w:hint="default" w:ascii="Times New Roman" w:hAnsi="Times New Roman" w:eastAsia="宋体" w:cs="Times New Roman"/>
                <w:b/>
                <w:i w:val="0"/>
                <w:color w:val="auto"/>
                <w:kern w:val="0"/>
                <w:sz w:val="22"/>
                <w:szCs w:val="22"/>
                <w:u w:val="none"/>
                <w:lang w:val="en-US" w:eastAsia="zh-CN" w:bidi="ar"/>
              </w:rPr>
              <w:t>160.86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b/>
                <w:i w:val="0"/>
                <w:color w:val="auto"/>
                <w:sz w:val="22"/>
                <w:szCs w:val="22"/>
                <w:u w:val="none"/>
              </w:rPr>
            </w:pPr>
            <w:r>
              <w:rPr>
                <w:rFonts w:hint="default" w:ascii="Times New Roman" w:hAnsi="Times New Roman" w:eastAsia="宋体" w:cs="Times New Roman"/>
                <w:b/>
                <w:i w:val="0"/>
                <w:color w:val="auto"/>
                <w:kern w:val="0"/>
                <w:sz w:val="22"/>
                <w:szCs w:val="22"/>
                <w:u w:val="none"/>
                <w:lang w:val="en-US" w:eastAsia="zh-CN" w:bidi="ar"/>
              </w:rPr>
              <w:t>56.87</w:t>
            </w:r>
          </w:p>
        </w:tc>
        <w:tc>
          <w:tcPr>
            <w:tcW w:w="1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b/>
                <w:i w:val="0"/>
                <w:color w:val="auto"/>
                <w:sz w:val="22"/>
                <w:szCs w:val="22"/>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b/>
                <w:i w:val="0"/>
                <w:color w:val="auto"/>
                <w:sz w:val="22"/>
                <w:szCs w:val="22"/>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b/>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教育支出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2.00</w:t>
            </w:r>
          </w:p>
        </w:tc>
        <w:tc>
          <w:tcPr>
            <w:tcW w:w="1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20508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进修及培训</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2.00</w:t>
            </w:r>
          </w:p>
        </w:tc>
        <w:tc>
          <w:tcPr>
            <w:tcW w:w="1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2050803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培训支出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2.00</w:t>
            </w:r>
          </w:p>
        </w:tc>
        <w:tc>
          <w:tcPr>
            <w:tcW w:w="1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社会保障和就业支出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37.45</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37.45</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20805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行政事业单位养老支出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37.45</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37.45</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2080501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行政单位离退休</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26.01</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26.01</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2080505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机关事业单位基本养老保险缴费支出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11.44</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11.44</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213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农林水支出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168.10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113.23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54.87</w:t>
            </w:r>
          </w:p>
        </w:tc>
        <w:tc>
          <w:tcPr>
            <w:tcW w:w="1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21301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农业农村</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168.10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113.23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54.87</w:t>
            </w:r>
          </w:p>
        </w:tc>
        <w:tc>
          <w:tcPr>
            <w:tcW w:w="1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2130101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行政运行</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113.23</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113.23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2130122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农业生产发展</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54.87</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54.87</w:t>
            </w:r>
          </w:p>
        </w:tc>
        <w:tc>
          <w:tcPr>
            <w:tcW w:w="1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221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住房保障支出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10.18</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10.18</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22102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住房改革支出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10.18</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10.18</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2210201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住房公积金</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10.18</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10.18</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bl>
    <w:p>
      <w:pPr>
        <w:widowControl/>
        <w:spacing w:before="120"/>
        <w:jc w:val="left"/>
        <w:rPr>
          <w:rFonts w:hint="default" w:ascii="Times New Roman" w:hAnsi="Times New Roman" w:eastAsia="方正小标宋_GBK" w:cs="Times New Roman"/>
          <w:color w:val="auto"/>
          <w:kern w:val="0"/>
          <w:sz w:val="36"/>
          <w:szCs w:val="21"/>
        </w:rPr>
      </w:pPr>
      <w:r>
        <w:rPr>
          <w:rFonts w:hint="default" w:ascii="Times New Roman" w:hAnsi="Times New Roman" w:eastAsia="仿宋_GB2312" w:cs="Times New Roman"/>
          <w:color w:val="auto"/>
          <w:kern w:val="0"/>
          <w:sz w:val="24"/>
          <w:szCs w:val="24"/>
        </w:rPr>
        <w:t>注：本表反映部门本年度各项支出情况。</w:t>
      </w:r>
    </w:p>
    <w:p>
      <w:pPr>
        <w:widowControl/>
        <w:tabs>
          <w:tab w:val="left" w:pos="3595"/>
          <w:tab w:val="left" w:pos="4031"/>
          <w:tab w:val="left" w:pos="5605"/>
          <w:tab w:val="left" w:pos="9152"/>
          <w:tab w:val="left" w:pos="9587"/>
          <w:tab w:val="left" w:pos="11160"/>
          <w:tab w:val="left" w:pos="12554"/>
          <w:tab w:val="left" w:pos="13948"/>
        </w:tabs>
        <w:jc w:val="right"/>
        <w:rPr>
          <w:rFonts w:hint="default" w:ascii="Times New Roman" w:hAnsi="Times New Roman" w:eastAsia="宋体" w:cs="Times New Roman"/>
          <w:color w:val="auto"/>
          <w:kern w:val="0"/>
          <w:sz w:val="24"/>
          <w:szCs w:val="24"/>
        </w:rPr>
      </w:pPr>
      <w:bookmarkStart w:id="0" w:name="RANGE!A1:I22"/>
      <w:bookmarkEnd w:id="0"/>
      <w:bookmarkStart w:id="1" w:name="RANGE!A1:F16"/>
      <w:r>
        <w:rPr>
          <w:rFonts w:hint="default" w:ascii="Times New Roman" w:hAnsi="Times New Roman" w:eastAsia="黑体" w:cs="Times New Roman"/>
          <w:color w:val="auto"/>
          <w:kern w:val="0"/>
          <w:sz w:val="24"/>
          <w:szCs w:val="24"/>
        </w:rPr>
        <w:tab/>
      </w:r>
      <w:r>
        <w:rPr>
          <w:rFonts w:hint="default" w:ascii="Times New Roman" w:hAnsi="Times New Roman" w:eastAsia="宋体" w:cs="Times New Roman"/>
          <w:color w:val="auto"/>
          <w:kern w:val="0"/>
          <w:sz w:val="24"/>
          <w:szCs w:val="24"/>
        </w:rPr>
        <w:tab/>
      </w:r>
      <w:r>
        <w:rPr>
          <w:rFonts w:hint="default" w:ascii="Times New Roman" w:hAnsi="Times New Roman" w:eastAsia="宋体" w:cs="Times New Roman"/>
          <w:color w:val="auto"/>
          <w:kern w:val="0"/>
          <w:sz w:val="24"/>
          <w:szCs w:val="24"/>
        </w:rPr>
        <w:tab/>
      </w:r>
      <w:r>
        <w:rPr>
          <w:rFonts w:hint="default" w:ascii="Times New Roman" w:hAnsi="Times New Roman" w:eastAsia="宋体" w:cs="Times New Roman"/>
          <w:color w:val="auto"/>
          <w:kern w:val="0"/>
          <w:sz w:val="24"/>
          <w:szCs w:val="24"/>
        </w:rPr>
        <w:tab/>
      </w:r>
      <w:r>
        <w:rPr>
          <w:rFonts w:hint="default" w:ascii="Times New Roman" w:hAnsi="Times New Roman" w:eastAsia="宋体" w:cs="Times New Roman"/>
          <w:color w:val="auto"/>
          <w:kern w:val="0"/>
          <w:sz w:val="24"/>
          <w:szCs w:val="24"/>
        </w:rPr>
        <w:tab/>
      </w:r>
      <w:r>
        <w:rPr>
          <w:rFonts w:hint="default" w:ascii="Times New Roman" w:hAnsi="Times New Roman" w:eastAsia="宋体" w:cs="Times New Roman"/>
          <w:color w:val="auto"/>
          <w:kern w:val="0"/>
          <w:sz w:val="24"/>
          <w:szCs w:val="24"/>
        </w:rPr>
        <w:tab/>
      </w:r>
    </w:p>
    <w:p>
      <w:pPr>
        <w:widowControl/>
        <w:spacing w:line="400" w:lineRule="exact"/>
        <w:jc w:val="center"/>
        <w:textAlignment w:val="center"/>
        <w:rPr>
          <w:rFonts w:hint="default" w:ascii="Times New Roman" w:hAnsi="Times New Roman" w:eastAsia="黑体" w:cs="Times New Roman"/>
          <w:color w:val="auto"/>
          <w:kern w:val="0"/>
          <w:sz w:val="32"/>
          <w:szCs w:val="32"/>
          <w:lang w:bidi="ar"/>
        </w:rPr>
      </w:pPr>
    </w:p>
    <w:p>
      <w:pPr>
        <w:widowControl/>
        <w:spacing w:after="156" w:afterLines="50"/>
        <w:jc w:val="center"/>
        <w:textAlignment w:val="center"/>
        <w:rPr>
          <w:rFonts w:hint="default" w:ascii="Times New Roman" w:hAnsi="Times New Roman" w:eastAsia="黑体" w:cs="Times New Roman"/>
          <w:color w:val="auto"/>
          <w:kern w:val="0"/>
          <w:sz w:val="36"/>
          <w:szCs w:val="36"/>
          <w:lang w:bidi="ar"/>
        </w:rPr>
      </w:pPr>
      <w:r>
        <w:rPr>
          <w:rFonts w:hint="default" w:ascii="Times New Roman" w:hAnsi="Times New Roman" w:eastAsia="黑体" w:cs="Times New Roman"/>
          <w:color w:val="auto"/>
          <w:kern w:val="0"/>
          <w:sz w:val="36"/>
          <w:szCs w:val="36"/>
          <w:lang w:bidi="ar"/>
        </w:rPr>
        <w:t>财政拨款收入支出决算总表</w:t>
      </w:r>
    </w:p>
    <w:p>
      <w:pPr>
        <w:widowControl/>
        <w:tabs>
          <w:tab w:val="left" w:pos="3595"/>
          <w:tab w:val="left" w:pos="4031"/>
          <w:tab w:val="left" w:pos="5109"/>
          <w:tab w:val="left" w:pos="9152"/>
          <w:tab w:val="left" w:pos="9587"/>
          <w:tab w:val="left" w:pos="11160"/>
          <w:tab w:val="left" w:pos="12554"/>
          <w:tab w:val="left" w:pos="13948"/>
        </w:tabs>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 xml:space="preserve">                                                                                                                  公开04表</w:t>
      </w:r>
    </w:p>
    <w:p>
      <w:pPr>
        <w:widowControl/>
        <w:tabs>
          <w:tab w:val="left" w:pos="3595"/>
          <w:tab w:val="left" w:pos="4031"/>
          <w:tab w:val="left" w:pos="5109"/>
          <w:tab w:val="left" w:pos="9152"/>
          <w:tab w:val="left" w:pos="9587"/>
          <w:tab w:val="left" w:pos="11160"/>
          <w:tab w:val="left" w:pos="12554"/>
          <w:tab w:val="left" w:pos="13948"/>
        </w:tabs>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部门：</w:t>
      </w:r>
      <w:r>
        <w:rPr>
          <w:rFonts w:hint="default" w:ascii="Times New Roman" w:hAnsi="Times New Roman" w:eastAsia="仿宋_GB2312" w:cs="Times New Roman"/>
          <w:color w:val="auto"/>
          <w:kern w:val="0"/>
          <w:sz w:val="20"/>
          <w:szCs w:val="20"/>
          <w:lang w:bidi="ar"/>
        </w:rPr>
        <w:t>湖南省饲料工业办公室</w:t>
      </w:r>
      <w:r>
        <w:rPr>
          <w:rFonts w:hint="default" w:ascii="Times New Roman" w:hAnsi="Times New Roman" w:eastAsia="仿宋_GB2312" w:cs="Times New Roman"/>
          <w:color w:val="auto"/>
          <w:kern w:val="0"/>
          <w:sz w:val="20"/>
          <w:szCs w:val="20"/>
        </w:rPr>
        <w:tab/>
      </w:r>
      <w:r>
        <w:rPr>
          <w:rFonts w:hint="default" w:ascii="Times New Roman" w:hAnsi="Times New Roman" w:eastAsia="仿宋_GB2312" w:cs="Times New Roman"/>
          <w:color w:val="auto"/>
          <w:kern w:val="0"/>
          <w:sz w:val="24"/>
          <w:szCs w:val="24"/>
        </w:rPr>
        <w:t>　</w:t>
      </w:r>
      <w:r>
        <w:rPr>
          <w:rFonts w:hint="default" w:ascii="Times New Roman" w:hAnsi="Times New Roman" w:eastAsia="仿宋_GB2312" w:cs="Times New Roman"/>
          <w:color w:val="auto"/>
          <w:kern w:val="0"/>
          <w:sz w:val="24"/>
          <w:szCs w:val="24"/>
        </w:rPr>
        <w:tab/>
      </w:r>
      <w:r>
        <w:rPr>
          <w:rFonts w:hint="default" w:ascii="Times New Roman" w:hAnsi="Times New Roman" w:eastAsia="仿宋_GB2312" w:cs="Times New Roman"/>
          <w:color w:val="auto"/>
          <w:kern w:val="0"/>
          <w:sz w:val="24"/>
          <w:szCs w:val="24"/>
        </w:rPr>
        <w:t>　</w:t>
      </w:r>
      <w:r>
        <w:rPr>
          <w:rFonts w:hint="default" w:ascii="Times New Roman" w:hAnsi="Times New Roman" w:eastAsia="仿宋_GB2312" w:cs="Times New Roman"/>
          <w:color w:val="auto"/>
          <w:kern w:val="0"/>
          <w:sz w:val="24"/>
          <w:szCs w:val="24"/>
        </w:rPr>
        <w:tab/>
      </w:r>
      <w:r>
        <w:rPr>
          <w:rFonts w:hint="default" w:ascii="Times New Roman" w:hAnsi="Times New Roman" w:eastAsia="仿宋_GB2312" w:cs="Times New Roman"/>
          <w:color w:val="auto"/>
          <w:kern w:val="0"/>
          <w:sz w:val="24"/>
          <w:szCs w:val="24"/>
        </w:rPr>
        <w:t>　</w:t>
      </w:r>
      <w:r>
        <w:rPr>
          <w:rFonts w:hint="default" w:ascii="Times New Roman" w:hAnsi="Times New Roman" w:eastAsia="仿宋_GB2312" w:cs="Times New Roman"/>
          <w:color w:val="auto"/>
          <w:kern w:val="0"/>
          <w:sz w:val="24"/>
          <w:szCs w:val="24"/>
        </w:rPr>
        <w:tab/>
      </w:r>
      <w:r>
        <w:rPr>
          <w:rFonts w:hint="default" w:ascii="Times New Roman" w:hAnsi="Times New Roman" w:eastAsia="仿宋_GB2312" w:cs="Times New Roman"/>
          <w:color w:val="auto"/>
          <w:kern w:val="0"/>
          <w:sz w:val="24"/>
          <w:szCs w:val="24"/>
        </w:rPr>
        <w:t>　</w:t>
      </w:r>
      <w:r>
        <w:rPr>
          <w:rFonts w:hint="default" w:ascii="Times New Roman" w:hAnsi="Times New Roman" w:eastAsia="仿宋_GB2312" w:cs="Times New Roman"/>
          <w:color w:val="auto"/>
          <w:kern w:val="0"/>
          <w:sz w:val="24"/>
          <w:szCs w:val="24"/>
        </w:rPr>
        <w:tab/>
      </w:r>
      <w:r>
        <w:rPr>
          <w:rFonts w:hint="default" w:ascii="Times New Roman" w:hAnsi="Times New Roman" w:eastAsia="仿宋_GB2312" w:cs="Times New Roman"/>
          <w:color w:val="auto"/>
          <w:kern w:val="0"/>
          <w:sz w:val="24"/>
          <w:szCs w:val="24"/>
        </w:rPr>
        <w:t>　</w:t>
      </w:r>
      <w:r>
        <w:rPr>
          <w:rFonts w:hint="default" w:ascii="Times New Roman" w:hAnsi="Times New Roman" w:eastAsia="仿宋_GB2312" w:cs="Times New Roman"/>
          <w:color w:val="auto"/>
          <w:kern w:val="0"/>
          <w:sz w:val="24"/>
          <w:szCs w:val="24"/>
        </w:rPr>
        <w:tab/>
      </w:r>
      <w:r>
        <w:rPr>
          <w:rFonts w:hint="default" w:ascii="Times New Roman" w:hAnsi="Times New Roman" w:eastAsia="仿宋_GB2312" w:cs="Times New Roman"/>
          <w:color w:val="auto"/>
          <w:kern w:val="0"/>
          <w:sz w:val="24"/>
          <w:szCs w:val="24"/>
        </w:rPr>
        <w:t>　</w:t>
      </w:r>
      <w:r>
        <w:rPr>
          <w:rFonts w:hint="default" w:ascii="Times New Roman" w:hAnsi="Times New Roman" w:eastAsia="仿宋_GB2312" w:cs="Times New Roman"/>
          <w:color w:val="auto"/>
          <w:kern w:val="0"/>
          <w:sz w:val="20"/>
          <w:szCs w:val="20"/>
        </w:rPr>
        <w:t>单位：万元</w:t>
      </w:r>
    </w:p>
    <w:tbl>
      <w:tblPr>
        <w:tblStyle w:val="11"/>
        <w:tblW w:w="1633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763"/>
        <w:gridCol w:w="523"/>
        <w:gridCol w:w="1540"/>
        <w:gridCol w:w="3712"/>
        <w:gridCol w:w="523"/>
        <w:gridCol w:w="680"/>
        <w:gridCol w:w="1540"/>
        <w:gridCol w:w="1408"/>
        <w:gridCol w:w="26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82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收     入</w:t>
            </w:r>
          </w:p>
        </w:tc>
        <w:tc>
          <w:tcPr>
            <w:tcW w:w="10505"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376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项目</w:t>
            </w:r>
          </w:p>
        </w:tc>
        <w:tc>
          <w:tcPr>
            <w:tcW w:w="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行次</w:t>
            </w:r>
          </w:p>
        </w:tc>
        <w:tc>
          <w:tcPr>
            <w:tcW w:w="15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金额</w:t>
            </w:r>
          </w:p>
        </w:tc>
        <w:tc>
          <w:tcPr>
            <w:tcW w:w="371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项目</w:t>
            </w:r>
          </w:p>
        </w:tc>
        <w:tc>
          <w:tcPr>
            <w:tcW w:w="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行次</w:t>
            </w:r>
          </w:p>
        </w:tc>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合计</w:t>
            </w:r>
          </w:p>
        </w:tc>
        <w:tc>
          <w:tcPr>
            <w:tcW w:w="15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一般公共预算财政拨款</w:t>
            </w:r>
          </w:p>
        </w:tc>
        <w:tc>
          <w:tcPr>
            <w:tcW w:w="140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政府性基金预算财政拨款</w:t>
            </w:r>
          </w:p>
        </w:tc>
        <w:tc>
          <w:tcPr>
            <w:tcW w:w="264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37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5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37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5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26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栏次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w:t>
            </w: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栏次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4</w:t>
            </w: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一、一般公共预算财政拨款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231.59</w:t>
            </w: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一、一般公共服务支出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33</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二、政府性基金预算财政拨款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二、外交支出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34</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三、国有资本经营预算财政拨款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三、国防支出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35</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四、公共安全支出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36</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五、教育支出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37</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2.00</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六、科学技术支出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38</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七、文化旅游体育与传媒支出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39</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八、社会保障和就业支出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40</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37.45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37.45</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九、卫生健康支出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41</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十、节能环保支出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42</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十一、城乡社区支出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43</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十二、农林水支出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44</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168.09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168.09</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十三、交通运输支出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45</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十四、资源勘探工业信息等支出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46</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十五、商业服务业等支出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47</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十六、金融支出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48</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十七、援助其他地区支出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49</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十八、自然资源海洋气象等支出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50</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十九、住房保障支出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51</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10.18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10.18</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二十、粮油物资储备支出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52</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二十一、国有资本经营预算支出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53</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二十二、灾害防治及应急管理支出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54</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二十三、其他支出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55</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Times New Roman" w:hAnsi="Times New Roman" w:eastAsia="宋体" w:cs="Times New Roman"/>
                <w:b/>
                <w:i w:val="0"/>
                <w:color w:val="auto"/>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二十四、债务还本支出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56</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二十五、债务付息支出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57</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二十六、抗疫特别国债安排的支出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58</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auto"/>
                <w:sz w:val="22"/>
                <w:szCs w:val="22"/>
                <w:u w:val="none"/>
              </w:rPr>
            </w:pPr>
            <w:r>
              <w:rPr>
                <w:rFonts w:hint="default" w:ascii="Times New Roman" w:hAnsi="Times New Roman" w:eastAsia="宋体" w:cs="Times New Roman"/>
                <w:b/>
                <w:i w:val="0"/>
                <w:color w:val="auto"/>
                <w:kern w:val="0"/>
                <w:sz w:val="22"/>
                <w:szCs w:val="22"/>
                <w:u w:val="none"/>
                <w:lang w:val="en-US" w:eastAsia="zh-CN" w:bidi="ar"/>
              </w:rPr>
              <w:t>本年收入合计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231.59</w:t>
            </w: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auto"/>
                <w:sz w:val="22"/>
                <w:szCs w:val="22"/>
                <w:u w:val="none"/>
              </w:rPr>
            </w:pPr>
            <w:r>
              <w:rPr>
                <w:rFonts w:hint="default" w:ascii="Times New Roman" w:hAnsi="Times New Roman" w:eastAsia="宋体" w:cs="Times New Roman"/>
                <w:b/>
                <w:i w:val="0"/>
                <w:color w:val="auto"/>
                <w:kern w:val="0"/>
                <w:sz w:val="22"/>
                <w:szCs w:val="22"/>
                <w:u w:val="none"/>
                <w:lang w:val="en-US" w:eastAsia="zh-CN" w:bidi="ar"/>
              </w:rPr>
              <w:t>本年支出合计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59</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217.71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217.71</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年初财政拨款结转和结余</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14.57</w:t>
            </w: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年末财政拨款结转和结余</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60</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28.45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28.45</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 xml:space="preserve">  一般公共预算财政拨款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14.57</w:t>
            </w: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61</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 xml:space="preserve">  政府性基金预算财政拨款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62</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 xml:space="preserve">  国有资本经营预算财政拨款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Times New Roman" w:hAnsi="Times New Roman" w:eastAsia="宋体" w:cs="Times New Roman"/>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63</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auto"/>
                <w:sz w:val="22"/>
                <w:szCs w:val="22"/>
                <w:u w:val="none"/>
              </w:rPr>
            </w:pPr>
            <w:r>
              <w:rPr>
                <w:rFonts w:hint="default" w:ascii="Times New Roman" w:hAnsi="Times New Roman" w:eastAsia="宋体" w:cs="Times New Roman"/>
                <w:b/>
                <w:i w:val="0"/>
                <w:color w:val="auto"/>
                <w:kern w:val="0"/>
                <w:sz w:val="22"/>
                <w:szCs w:val="22"/>
                <w:u w:val="none"/>
                <w:lang w:val="en-US" w:eastAsia="zh-CN" w:bidi="ar"/>
              </w:rPr>
              <w:t>总计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246.16</w:t>
            </w: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auto"/>
                <w:sz w:val="22"/>
                <w:szCs w:val="22"/>
                <w:u w:val="none"/>
              </w:rPr>
            </w:pPr>
            <w:r>
              <w:rPr>
                <w:rFonts w:hint="default" w:ascii="Times New Roman" w:hAnsi="Times New Roman" w:eastAsia="宋体" w:cs="Times New Roman"/>
                <w:b/>
                <w:i w:val="0"/>
                <w:color w:val="auto"/>
                <w:kern w:val="0"/>
                <w:sz w:val="22"/>
                <w:szCs w:val="22"/>
                <w:u w:val="none"/>
                <w:lang w:val="en-US" w:eastAsia="zh-CN" w:bidi="ar"/>
              </w:rPr>
              <w:t>总计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64</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246.16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246.16</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6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bl>
    <w:p>
      <w:pPr>
        <w:widowControl/>
        <w:jc w:val="left"/>
        <w:rPr>
          <w:rFonts w:hint="default" w:ascii="Times New Roman" w:hAnsi="Times New Roman" w:eastAsia="仿宋_GB2312" w:cs="Times New Roman"/>
          <w:color w:val="auto"/>
          <w:kern w:val="0"/>
          <w:sz w:val="24"/>
          <w:szCs w:val="24"/>
        </w:rPr>
      </w:pPr>
      <w:r>
        <w:rPr>
          <w:rFonts w:hint="default" w:ascii="Times New Roman" w:hAnsi="Times New Roman" w:eastAsia="仿宋_GB2312" w:cs="Times New Roman"/>
          <w:color w:val="auto"/>
          <w:kern w:val="0"/>
          <w:sz w:val="24"/>
          <w:szCs w:val="24"/>
        </w:rPr>
        <w:t>注：</w:t>
      </w:r>
      <w:r>
        <w:rPr>
          <w:rFonts w:hint="default" w:ascii="Times New Roman" w:hAnsi="Times New Roman" w:eastAsia="仿宋_GB2312" w:cs="Times New Roman"/>
          <w:color w:val="auto"/>
          <w:spacing w:val="-6"/>
          <w:kern w:val="0"/>
          <w:sz w:val="24"/>
          <w:szCs w:val="24"/>
        </w:rPr>
        <w:t>本表反映部门本年度一般公共预算财政拨款、政府性基金预算财政拨款和国有资本经营预算财政拨款的总收支和年末结转结余情况。</w:t>
      </w:r>
    </w:p>
    <w:p>
      <w:pPr>
        <w:widowControl/>
        <w:jc w:val="center"/>
        <w:rPr>
          <w:rFonts w:hint="default" w:ascii="Times New Roman" w:hAnsi="Times New Roman" w:eastAsia="方正小标宋_GBK" w:cs="Times New Roman"/>
          <w:color w:val="auto"/>
          <w:kern w:val="0"/>
          <w:sz w:val="36"/>
          <w:szCs w:val="36"/>
        </w:rPr>
      </w:pPr>
    </w:p>
    <w:p>
      <w:pPr>
        <w:widowControl/>
        <w:spacing w:after="156" w:afterLines="50"/>
        <w:jc w:val="center"/>
        <w:textAlignment w:val="center"/>
        <w:rPr>
          <w:rFonts w:hint="default" w:ascii="Times New Roman" w:hAnsi="Times New Roman" w:eastAsia="黑体" w:cs="Times New Roman"/>
          <w:color w:val="auto"/>
          <w:kern w:val="0"/>
          <w:sz w:val="36"/>
          <w:szCs w:val="36"/>
          <w:lang w:bidi="ar"/>
        </w:rPr>
      </w:pPr>
    </w:p>
    <w:p>
      <w:pPr>
        <w:widowControl/>
        <w:spacing w:after="156" w:afterLines="50"/>
        <w:jc w:val="center"/>
        <w:textAlignment w:val="center"/>
        <w:rPr>
          <w:rFonts w:hint="default" w:ascii="Times New Roman" w:hAnsi="Times New Roman" w:eastAsia="黑体" w:cs="Times New Roman"/>
          <w:color w:val="auto"/>
          <w:kern w:val="0"/>
          <w:sz w:val="36"/>
          <w:szCs w:val="36"/>
          <w:lang w:bidi="ar"/>
        </w:rPr>
      </w:pPr>
    </w:p>
    <w:p>
      <w:pPr>
        <w:widowControl/>
        <w:spacing w:after="156" w:afterLines="50"/>
        <w:jc w:val="center"/>
        <w:textAlignment w:val="center"/>
        <w:rPr>
          <w:rFonts w:hint="default" w:ascii="Times New Roman" w:hAnsi="Times New Roman" w:eastAsia="黑体" w:cs="Times New Roman"/>
          <w:color w:val="auto"/>
          <w:kern w:val="0"/>
          <w:sz w:val="36"/>
          <w:szCs w:val="36"/>
          <w:lang w:bidi="ar"/>
        </w:rPr>
      </w:pPr>
    </w:p>
    <w:p>
      <w:pPr>
        <w:widowControl/>
        <w:spacing w:after="156" w:afterLines="50"/>
        <w:jc w:val="center"/>
        <w:textAlignment w:val="center"/>
        <w:rPr>
          <w:rFonts w:hint="default" w:ascii="Times New Roman" w:hAnsi="Times New Roman" w:eastAsia="黑体" w:cs="Times New Roman"/>
          <w:color w:val="auto"/>
          <w:kern w:val="0"/>
          <w:sz w:val="36"/>
          <w:szCs w:val="36"/>
          <w:lang w:bidi="ar"/>
        </w:rPr>
      </w:pPr>
    </w:p>
    <w:p>
      <w:pPr>
        <w:widowControl/>
        <w:spacing w:after="156" w:afterLines="50"/>
        <w:jc w:val="center"/>
        <w:textAlignment w:val="center"/>
        <w:rPr>
          <w:rFonts w:hint="default" w:ascii="Times New Roman" w:hAnsi="Times New Roman" w:eastAsia="黑体" w:cs="Times New Roman"/>
          <w:color w:val="auto"/>
          <w:kern w:val="0"/>
          <w:sz w:val="36"/>
          <w:szCs w:val="36"/>
          <w:lang w:bidi="ar"/>
        </w:rPr>
      </w:pPr>
    </w:p>
    <w:p>
      <w:pPr>
        <w:widowControl/>
        <w:spacing w:after="156" w:afterLines="50"/>
        <w:jc w:val="center"/>
        <w:textAlignment w:val="center"/>
        <w:rPr>
          <w:rFonts w:hint="default" w:ascii="Times New Roman" w:hAnsi="Times New Roman" w:eastAsia="黑体" w:cs="Times New Roman"/>
          <w:color w:val="auto"/>
          <w:kern w:val="0"/>
          <w:sz w:val="36"/>
          <w:szCs w:val="36"/>
          <w:lang w:bidi="ar"/>
        </w:rPr>
      </w:pPr>
      <w:r>
        <w:rPr>
          <w:rFonts w:hint="default" w:ascii="Times New Roman" w:hAnsi="Times New Roman" w:eastAsia="黑体" w:cs="Times New Roman"/>
          <w:color w:val="auto"/>
          <w:kern w:val="0"/>
          <w:sz w:val="36"/>
          <w:szCs w:val="36"/>
          <w:lang w:bidi="ar"/>
        </w:rPr>
        <w:t>一般公共预算财政拨款支出决算表</w:t>
      </w:r>
      <w:bookmarkEnd w:id="1"/>
    </w:p>
    <w:p>
      <w:pPr>
        <w:widowControl/>
        <w:spacing w:before="156" w:beforeLines="50"/>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xml:space="preserve">     部门：</w:t>
      </w:r>
      <w:r>
        <w:rPr>
          <w:rFonts w:hint="default" w:ascii="Times New Roman" w:hAnsi="Times New Roman" w:eastAsia="仿宋_GB2312" w:cs="Times New Roman"/>
          <w:color w:val="auto"/>
          <w:kern w:val="0"/>
          <w:sz w:val="20"/>
          <w:szCs w:val="20"/>
          <w:lang w:bidi="ar"/>
        </w:rPr>
        <w:t>湖南省饲料工业办公室</w:t>
      </w:r>
      <w:r>
        <w:rPr>
          <w:rFonts w:hint="default" w:ascii="Times New Roman" w:hAnsi="Times New Roman" w:eastAsia="仿宋_GB2312" w:cs="Times New Roman"/>
          <w:color w:val="auto"/>
          <w:kern w:val="0"/>
          <w:szCs w:val="21"/>
        </w:rPr>
        <w:t xml:space="preserve">                                                                                 公开05表</w:t>
      </w:r>
    </w:p>
    <w:p>
      <w:pPr>
        <w:widowControl/>
        <w:jc w:val="left"/>
        <w:rPr>
          <w:rFonts w:hint="default" w:ascii="Times New Roman" w:hAnsi="Times New Roman" w:eastAsia="宋体" w:cs="Times New Roman"/>
          <w:color w:val="auto"/>
          <w:kern w:val="0"/>
          <w:sz w:val="20"/>
          <w:szCs w:val="20"/>
        </w:rPr>
      </w:pPr>
      <w:r>
        <w:rPr>
          <w:rFonts w:hint="default" w:ascii="Times New Roman" w:hAnsi="Times New Roman" w:eastAsia="仿宋_GB2312" w:cs="Times New Roman"/>
          <w:color w:val="auto"/>
          <w:kern w:val="0"/>
          <w:szCs w:val="21"/>
        </w:rPr>
        <w:t xml:space="preserve">                                                                                                               单位：万元</w:t>
      </w:r>
    </w:p>
    <w:tbl>
      <w:tblPr>
        <w:tblStyle w:val="11"/>
        <w:tblW w:w="1306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986"/>
        <w:gridCol w:w="4901"/>
        <w:gridCol w:w="2060"/>
        <w:gridCol w:w="2060"/>
        <w:gridCol w:w="20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688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项目</w:t>
            </w:r>
          </w:p>
        </w:tc>
        <w:tc>
          <w:tcPr>
            <w:tcW w:w="6181"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功能分类科目编码</w:t>
            </w:r>
          </w:p>
        </w:tc>
        <w:tc>
          <w:tcPr>
            <w:tcW w:w="490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科目名称</w:t>
            </w: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小计</w:t>
            </w: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基本支出</w:t>
            </w:r>
          </w:p>
        </w:tc>
        <w:tc>
          <w:tcPr>
            <w:tcW w:w="206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490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20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490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c>
          <w:tcPr>
            <w:tcW w:w="20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688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栏次</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688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合计</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b/>
                <w:i w:val="0"/>
                <w:color w:val="auto"/>
                <w:sz w:val="22"/>
                <w:szCs w:val="22"/>
                <w:u w:val="none"/>
              </w:rPr>
            </w:pPr>
            <w:r>
              <w:rPr>
                <w:rFonts w:hint="default" w:ascii="Times New Roman" w:hAnsi="Times New Roman" w:eastAsia="宋体" w:cs="Times New Roman"/>
                <w:b/>
                <w:i w:val="0"/>
                <w:color w:val="auto"/>
                <w:kern w:val="0"/>
                <w:sz w:val="22"/>
                <w:szCs w:val="22"/>
                <w:u w:val="none"/>
                <w:lang w:val="en-US" w:eastAsia="zh-CN" w:bidi="ar"/>
              </w:rPr>
              <w:t>217.71</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b/>
                <w:i w:val="0"/>
                <w:color w:val="auto"/>
                <w:sz w:val="22"/>
                <w:szCs w:val="22"/>
                <w:u w:val="none"/>
              </w:rPr>
            </w:pPr>
            <w:r>
              <w:rPr>
                <w:rFonts w:hint="default" w:ascii="Times New Roman" w:hAnsi="Times New Roman" w:eastAsia="宋体" w:cs="Times New Roman"/>
                <w:b/>
                <w:i w:val="0"/>
                <w:color w:val="auto"/>
                <w:kern w:val="0"/>
                <w:sz w:val="22"/>
                <w:szCs w:val="22"/>
                <w:u w:val="none"/>
                <w:lang w:val="en-US" w:eastAsia="zh-CN" w:bidi="ar"/>
              </w:rPr>
              <w:t>160.85</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b/>
                <w:i w:val="0"/>
                <w:color w:val="auto"/>
                <w:sz w:val="22"/>
                <w:szCs w:val="22"/>
                <w:u w:val="none"/>
              </w:rPr>
            </w:pPr>
            <w:r>
              <w:rPr>
                <w:rFonts w:hint="default" w:ascii="Times New Roman" w:hAnsi="Times New Roman" w:eastAsia="宋体" w:cs="Times New Roman"/>
                <w:b/>
                <w:i w:val="0"/>
                <w:color w:val="auto"/>
                <w:kern w:val="0"/>
                <w:sz w:val="22"/>
                <w:szCs w:val="22"/>
                <w:u w:val="none"/>
                <w:lang w:val="en-US" w:eastAsia="zh-CN" w:bidi="ar"/>
              </w:rPr>
              <w:t>56.87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205</w:t>
            </w:r>
          </w:p>
        </w:tc>
        <w:tc>
          <w:tcPr>
            <w:tcW w:w="4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教育支出</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20508</w:t>
            </w:r>
          </w:p>
        </w:tc>
        <w:tc>
          <w:tcPr>
            <w:tcW w:w="4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进修及培训</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2050803</w:t>
            </w:r>
          </w:p>
        </w:tc>
        <w:tc>
          <w:tcPr>
            <w:tcW w:w="4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培训支出</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208</w:t>
            </w:r>
          </w:p>
        </w:tc>
        <w:tc>
          <w:tcPr>
            <w:tcW w:w="4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社会保障和就业支出</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37.45</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37.45</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20805</w:t>
            </w:r>
          </w:p>
        </w:tc>
        <w:tc>
          <w:tcPr>
            <w:tcW w:w="4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行政事业单位养老支出</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37.45</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37.45</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2080501</w:t>
            </w:r>
          </w:p>
        </w:tc>
        <w:tc>
          <w:tcPr>
            <w:tcW w:w="4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行政单位离退休</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26.01</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26.01</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2080505</w:t>
            </w:r>
          </w:p>
        </w:tc>
        <w:tc>
          <w:tcPr>
            <w:tcW w:w="4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机关事业单位基本养老保险缴费支出</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11.44</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11.44</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213</w:t>
            </w:r>
          </w:p>
        </w:tc>
        <w:tc>
          <w:tcPr>
            <w:tcW w:w="4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农林水支出</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168.09</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113.22</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54.87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21301</w:t>
            </w:r>
          </w:p>
        </w:tc>
        <w:tc>
          <w:tcPr>
            <w:tcW w:w="4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农业农村</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168.09</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113.22</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54.87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2130101</w:t>
            </w:r>
          </w:p>
        </w:tc>
        <w:tc>
          <w:tcPr>
            <w:tcW w:w="4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行政运行</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113.22</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113.22</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2130122</w:t>
            </w:r>
          </w:p>
        </w:tc>
        <w:tc>
          <w:tcPr>
            <w:tcW w:w="4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农业生产发展</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54.87</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54.87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221</w:t>
            </w:r>
          </w:p>
        </w:tc>
        <w:tc>
          <w:tcPr>
            <w:tcW w:w="4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住房保障支出</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10.18</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10.18</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22102</w:t>
            </w:r>
          </w:p>
        </w:tc>
        <w:tc>
          <w:tcPr>
            <w:tcW w:w="4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住房改革支出</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10.18</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10.18</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2210201</w:t>
            </w:r>
          </w:p>
        </w:tc>
        <w:tc>
          <w:tcPr>
            <w:tcW w:w="4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住房公积金</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10.18</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10.18</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default" w:ascii="Times New Roman" w:hAnsi="Times New Roman" w:eastAsia="宋体" w:cs="Times New Roman"/>
                <w:i w:val="0"/>
                <w:color w:val="auto"/>
                <w:sz w:val="22"/>
                <w:szCs w:val="22"/>
                <w:u w:val="none"/>
              </w:rPr>
            </w:pPr>
          </w:p>
        </w:tc>
      </w:tr>
    </w:tbl>
    <w:p>
      <w:pPr>
        <w:widowControl/>
        <w:spacing w:before="120"/>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注：本表反映部门本年度一般公共预算财政拨款支出情况。</w:t>
      </w:r>
    </w:p>
    <w:p>
      <w:pPr>
        <w:widowControl/>
        <w:jc w:val="left"/>
        <w:rPr>
          <w:rFonts w:hint="default" w:ascii="Times New Roman" w:hAnsi="Times New Roman" w:eastAsia="仿宋_GB2312" w:cs="Times New Roman"/>
          <w:bCs/>
          <w:color w:val="auto"/>
          <w:kern w:val="0"/>
          <w:szCs w:val="21"/>
        </w:rPr>
      </w:pPr>
    </w:p>
    <w:p>
      <w:pPr>
        <w:widowControl/>
        <w:jc w:val="left"/>
        <w:rPr>
          <w:rFonts w:hint="default" w:ascii="Times New Roman" w:hAnsi="Times New Roman" w:eastAsia="仿宋_GB2312" w:cs="Times New Roman"/>
          <w:bCs/>
          <w:color w:val="auto"/>
          <w:kern w:val="0"/>
          <w:szCs w:val="21"/>
        </w:rPr>
      </w:pPr>
      <w:r>
        <w:rPr>
          <w:rFonts w:hint="default" w:ascii="Times New Roman" w:hAnsi="Times New Roman" w:eastAsia="仿宋_GB2312" w:cs="Times New Roman"/>
          <w:bCs/>
          <w:color w:val="auto"/>
          <w:kern w:val="0"/>
          <w:szCs w:val="21"/>
        </w:rPr>
        <w:br w:type="page"/>
      </w:r>
    </w:p>
    <w:p>
      <w:pPr>
        <w:widowControl/>
        <w:spacing w:after="120"/>
        <w:jc w:val="center"/>
        <w:textAlignment w:val="center"/>
        <w:rPr>
          <w:rFonts w:hint="default" w:ascii="Times New Roman" w:hAnsi="Times New Roman" w:eastAsia="黑体" w:cs="Times New Roman"/>
          <w:color w:val="auto"/>
          <w:kern w:val="0"/>
          <w:sz w:val="36"/>
          <w:szCs w:val="36"/>
          <w:lang w:bidi="ar"/>
        </w:rPr>
      </w:pPr>
      <w:bookmarkStart w:id="2" w:name="RANGE!A1:I34"/>
      <w:r>
        <w:rPr>
          <w:rFonts w:hint="default" w:ascii="Times New Roman" w:hAnsi="Times New Roman" w:eastAsia="黑体" w:cs="Times New Roman"/>
          <w:color w:val="auto"/>
          <w:kern w:val="0"/>
          <w:sz w:val="36"/>
          <w:szCs w:val="36"/>
          <w:lang w:bidi="ar"/>
        </w:rPr>
        <w:t>一般公共预算财政拨款基本支出决算明细表</w:t>
      </w:r>
      <w:bookmarkEnd w:id="2"/>
    </w:p>
    <w:p>
      <w:pPr>
        <w:widowControl/>
        <w:wordWrap w:val="0"/>
        <w:spacing w:line="240" w:lineRule="exact"/>
        <w:jc w:val="righ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xml:space="preserve">  部门：</w:t>
      </w:r>
      <w:r>
        <w:rPr>
          <w:rFonts w:hint="default" w:ascii="Times New Roman" w:hAnsi="Times New Roman" w:eastAsia="仿宋_GB2312" w:cs="Times New Roman"/>
          <w:color w:val="auto"/>
          <w:kern w:val="0"/>
          <w:sz w:val="20"/>
          <w:szCs w:val="20"/>
          <w:lang w:bidi="ar"/>
        </w:rPr>
        <w:t>湖南省饲料工业办公室</w:t>
      </w:r>
      <w:r>
        <w:rPr>
          <w:rFonts w:hint="default" w:ascii="Times New Roman" w:hAnsi="Times New Roman" w:eastAsia="仿宋_GB2312" w:cs="Times New Roman"/>
          <w:color w:val="auto"/>
          <w:kern w:val="0"/>
          <w:szCs w:val="21"/>
        </w:rPr>
        <w:t xml:space="preserve">                                                                                                  公开06表</w:t>
      </w:r>
    </w:p>
    <w:p>
      <w:pPr>
        <w:widowControl/>
        <w:spacing w:line="240" w:lineRule="exact"/>
        <w:jc w:val="right"/>
        <w:rPr>
          <w:rFonts w:hint="default" w:ascii="Times New Roman" w:hAnsi="Times New Roman" w:eastAsia="华文中宋" w:cs="Times New Roman"/>
          <w:color w:val="auto"/>
          <w:kern w:val="0"/>
          <w:szCs w:val="32"/>
        </w:rPr>
      </w:pPr>
      <w:r>
        <w:rPr>
          <w:rFonts w:hint="default" w:ascii="Times New Roman" w:hAnsi="Times New Roman" w:eastAsia="仿宋_GB2312" w:cs="Times New Roman"/>
          <w:color w:val="auto"/>
          <w:kern w:val="0"/>
          <w:szCs w:val="21"/>
        </w:rPr>
        <w:t>单位：万元</w:t>
      </w:r>
    </w:p>
    <w:tbl>
      <w:tblPr>
        <w:tblStyle w:val="11"/>
        <w:tblW w:w="14627" w:type="dxa"/>
        <w:jc w:val="center"/>
        <w:tblLayout w:type="fixed"/>
        <w:tblCellMar>
          <w:top w:w="0" w:type="dxa"/>
          <w:left w:w="108" w:type="dxa"/>
          <w:bottom w:w="0" w:type="dxa"/>
          <w:right w:w="108" w:type="dxa"/>
        </w:tblCellMar>
      </w:tblPr>
      <w:tblGrid>
        <w:gridCol w:w="1081"/>
        <w:gridCol w:w="2850"/>
        <w:gridCol w:w="966"/>
        <w:gridCol w:w="1116"/>
        <w:gridCol w:w="2018"/>
        <w:gridCol w:w="933"/>
        <w:gridCol w:w="1217"/>
        <w:gridCol w:w="3517"/>
        <w:gridCol w:w="929"/>
      </w:tblGrid>
      <w:tr>
        <w:tblPrEx>
          <w:tblCellMar>
            <w:top w:w="0" w:type="dxa"/>
            <w:left w:w="108" w:type="dxa"/>
            <w:bottom w:w="0" w:type="dxa"/>
            <w:right w:w="108" w:type="dxa"/>
          </w:tblCellMar>
        </w:tblPrEx>
        <w:trPr>
          <w:trHeight w:val="578" w:hRule="atLeast"/>
          <w:jc w:val="center"/>
        </w:trPr>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int="default" w:ascii="Times New Roman" w:hAnsi="Times New Roman" w:eastAsia="仿宋_GB2312" w:cs="Times New Roman"/>
                <w:b/>
                <w:bCs/>
                <w:color w:val="auto"/>
                <w:kern w:val="0"/>
                <w:szCs w:val="20"/>
              </w:rPr>
            </w:pPr>
            <w:r>
              <w:rPr>
                <w:rFonts w:hint="default" w:ascii="Times New Roman" w:hAnsi="Times New Roman" w:eastAsia="仿宋_GB2312" w:cs="Times New Roman"/>
                <w:b/>
                <w:bCs/>
                <w:color w:val="auto"/>
                <w:kern w:val="0"/>
                <w:sz w:val="20"/>
                <w:szCs w:val="20"/>
              </w:rPr>
              <w:t>经济分类科目编码</w:t>
            </w:r>
          </w:p>
        </w:tc>
        <w:tc>
          <w:tcPr>
            <w:tcW w:w="285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default" w:ascii="Times New Roman" w:hAnsi="Times New Roman" w:eastAsia="仿宋_GB2312" w:cs="Times New Roman"/>
                <w:b/>
                <w:bCs/>
                <w:color w:val="auto"/>
                <w:kern w:val="0"/>
                <w:szCs w:val="20"/>
              </w:rPr>
            </w:pPr>
            <w:r>
              <w:rPr>
                <w:rFonts w:hint="default" w:ascii="Times New Roman" w:hAnsi="Times New Roman" w:eastAsia="仿宋_GB2312" w:cs="Times New Roman"/>
                <w:b/>
                <w:bCs/>
                <w:color w:val="auto"/>
                <w:kern w:val="0"/>
                <w:szCs w:val="20"/>
              </w:rPr>
              <w:t>科目名称</w:t>
            </w:r>
          </w:p>
        </w:tc>
        <w:tc>
          <w:tcPr>
            <w:tcW w:w="96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default" w:ascii="Times New Roman" w:hAnsi="Times New Roman" w:eastAsia="仿宋_GB2312" w:cs="Times New Roman"/>
                <w:b/>
                <w:bCs/>
                <w:color w:val="auto"/>
                <w:kern w:val="0"/>
                <w:szCs w:val="20"/>
              </w:rPr>
            </w:pPr>
            <w:r>
              <w:rPr>
                <w:rFonts w:hint="default" w:ascii="Times New Roman" w:hAnsi="Times New Roman" w:eastAsia="仿宋_GB2312" w:cs="Times New Roman"/>
                <w:b/>
                <w:bCs/>
                <w:color w:val="auto"/>
                <w:kern w:val="0"/>
                <w:szCs w:val="20"/>
              </w:rPr>
              <w:t>决算数</w:t>
            </w:r>
          </w:p>
        </w:tc>
        <w:tc>
          <w:tcPr>
            <w:tcW w:w="111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default" w:ascii="Times New Roman" w:hAnsi="Times New Roman" w:eastAsia="仿宋_GB2312" w:cs="Times New Roman"/>
                <w:b/>
                <w:bCs/>
                <w:color w:val="auto"/>
                <w:kern w:val="0"/>
                <w:szCs w:val="20"/>
              </w:rPr>
            </w:pPr>
            <w:r>
              <w:rPr>
                <w:rFonts w:hint="default" w:ascii="Times New Roman" w:hAnsi="Times New Roman" w:eastAsia="仿宋_GB2312" w:cs="Times New Roman"/>
                <w:b/>
                <w:bCs/>
                <w:color w:val="auto"/>
                <w:kern w:val="0"/>
                <w:szCs w:val="20"/>
              </w:rPr>
              <w:t>经济分类科目编码</w:t>
            </w:r>
          </w:p>
        </w:tc>
        <w:tc>
          <w:tcPr>
            <w:tcW w:w="2018"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default" w:ascii="Times New Roman" w:hAnsi="Times New Roman" w:eastAsia="仿宋_GB2312" w:cs="Times New Roman"/>
                <w:b/>
                <w:bCs/>
                <w:color w:val="auto"/>
                <w:kern w:val="0"/>
                <w:szCs w:val="20"/>
              </w:rPr>
            </w:pPr>
            <w:r>
              <w:rPr>
                <w:rFonts w:hint="default" w:ascii="Times New Roman" w:hAnsi="Times New Roman" w:eastAsia="仿宋_GB2312" w:cs="Times New Roman"/>
                <w:b/>
                <w:bCs/>
                <w:color w:val="auto"/>
                <w:kern w:val="0"/>
                <w:szCs w:val="20"/>
              </w:rPr>
              <w:t>科目名称</w:t>
            </w:r>
          </w:p>
        </w:tc>
        <w:tc>
          <w:tcPr>
            <w:tcW w:w="933"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default" w:ascii="Times New Roman" w:hAnsi="Times New Roman" w:eastAsia="仿宋_GB2312" w:cs="Times New Roman"/>
                <w:b/>
                <w:bCs/>
                <w:color w:val="auto"/>
                <w:kern w:val="0"/>
                <w:szCs w:val="20"/>
              </w:rPr>
            </w:pPr>
            <w:r>
              <w:rPr>
                <w:rFonts w:hint="default" w:ascii="Times New Roman" w:hAnsi="Times New Roman" w:eastAsia="仿宋_GB2312" w:cs="Times New Roman"/>
                <w:b/>
                <w:bCs/>
                <w:color w:val="auto"/>
                <w:kern w:val="0"/>
                <w:szCs w:val="20"/>
              </w:rPr>
              <w:t>决算数</w:t>
            </w:r>
          </w:p>
        </w:tc>
        <w:tc>
          <w:tcPr>
            <w:tcW w:w="12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default" w:ascii="Times New Roman" w:hAnsi="Times New Roman" w:eastAsia="仿宋_GB2312" w:cs="Times New Roman"/>
                <w:b/>
                <w:bCs/>
                <w:color w:val="auto"/>
                <w:kern w:val="0"/>
                <w:szCs w:val="20"/>
              </w:rPr>
            </w:pPr>
            <w:r>
              <w:rPr>
                <w:rFonts w:hint="default" w:ascii="Times New Roman" w:hAnsi="Times New Roman" w:eastAsia="仿宋_GB2312" w:cs="Times New Roman"/>
                <w:b/>
                <w:bCs/>
                <w:color w:val="auto"/>
                <w:kern w:val="0"/>
                <w:szCs w:val="20"/>
              </w:rPr>
              <w:t>经济分类科目编码</w:t>
            </w:r>
          </w:p>
        </w:tc>
        <w:tc>
          <w:tcPr>
            <w:tcW w:w="35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default" w:ascii="Times New Roman" w:hAnsi="Times New Roman" w:eastAsia="仿宋_GB2312" w:cs="Times New Roman"/>
                <w:b/>
                <w:bCs/>
                <w:color w:val="auto"/>
                <w:kern w:val="0"/>
                <w:szCs w:val="20"/>
              </w:rPr>
            </w:pPr>
            <w:r>
              <w:rPr>
                <w:rFonts w:hint="default" w:ascii="Times New Roman" w:hAnsi="Times New Roman" w:eastAsia="仿宋_GB2312" w:cs="Times New Roman"/>
                <w:b/>
                <w:bCs/>
                <w:color w:val="auto"/>
                <w:kern w:val="0"/>
                <w:szCs w:val="20"/>
              </w:rPr>
              <w:t>科目名称</w:t>
            </w:r>
          </w:p>
        </w:tc>
        <w:tc>
          <w:tcPr>
            <w:tcW w:w="929"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default" w:ascii="Times New Roman" w:hAnsi="Times New Roman" w:eastAsia="仿宋_GB2312" w:cs="Times New Roman"/>
                <w:b/>
                <w:bCs/>
                <w:color w:val="auto"/>
                <w:kern w:val="0"/>
                <w:szCs w:val="20"/>
              </w:rPr>
            </w:pPr>
            <w:r>
              <w:rPr>
                <w:rFonts w:hint="default" w:ascii="Times New Roman" w:hAnsi="Times New Roman" w:eastAsia="仿宋_GB2312" w:cs="Times New Roman"/>
                <w:b/>
                <w:bCs/>
                <w:color w:val="auto"/>
                <w:kern w:val="0"/>
                <w:szCs w:val="20"/>
              </w:rPr>
              <w:t>决算数</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工资福利支出</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lang w:eastAsia="zh-CN"/>
              </w:rPr>
            </w:pPr>
            <w:r>
              <w:rPr>
                <w:rFonts w:hint="default" w:ascii="Times New Roman" w:hAnsi="Times New Roman" w:eastAsia="宋体" w:cs="Times New Roman"/>
                <w:i w:val="0"/>
                <w:color w:val="auto"/>
                <w:kern w:val="0"/>
                <w:sz w:val="21"/>
                <w:szCs w:val="21"/>
                <w:u w:val="none"/>
                <w:lang w:val="en-US" w:eastAsia="zh-CN" w:bidi="ar"/>
              </w:rPr>
              <w:t>124.00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商品和服务支出</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10.37</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债务利息及费用支出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r>
      <w:tr>
        <w:tblPrEx>
          <w:tblCellMar>
            <w:top w:w="0" w:type="dxa"/>
            <w:left w:w="108" w:type="dxa"/>
            <w:bottom w:w="0" w:type="dxa"/>
            <w:right w:w="108" w:type="dxa"/>
          </w:tblCellMar>
        </w:tblPrEx>
        <w:trPr>
          <w:trHeight w:val="210"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30101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基本工资</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33.19</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30201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办公费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0.11</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30701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国内债务付息</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30102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津贴补贴</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19.96</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30202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印刷费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30702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国外债务付息</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30103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奖金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32.24</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30203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咨询费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资本性支出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30106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伙食补助费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3.60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30204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手续费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31001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房屋建筑物购建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30107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绩效工资</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30205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水费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31002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办公设备购置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30108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机关事业单位基本养老保险缴费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11.44</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30206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电费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31003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专用设备购置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30109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职业年金缴费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30207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邮电费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0.30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31005</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基础设施建设</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30110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职工基本医疗保险缴费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13.00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30208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取暖费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31006</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大型修缮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30111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公务员医疗补助缴费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30209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物业管理费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31007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信息网络及软件购置更新</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30112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其他社会保障缴费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0.40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30211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差旅费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31008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物资储备</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30113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住房公积金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10.18</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30212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因公出国（境）费用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31009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土地补偿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30114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医疗费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30213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维修（护）费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31010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安置补助</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30199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其他工资福利支出</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30214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租赁费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31011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地上附着物和青苗补偿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对个人和家庭的补助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26.47</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30215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会议费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31012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拆迁补偿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离休费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30216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培训费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31013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公务用车购置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30302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退休费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26.01</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30217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公务接待费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31019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其他交通工具购置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退职（役）费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30218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专用材料费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31021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文物和陈列品购置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30304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抚恤金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30224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被装购置费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31022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无形资产购置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30305</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生活补助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30225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专用燃料费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31099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其他资本性支出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30306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救济费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30226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劳务费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其他支出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30307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医疗费补助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30227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委托业务费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39907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国家赔偿费用支出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30308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助学金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30228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工会经费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2.13</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39908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对民间非营利组织和群众性自治组织补贴</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30309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奖励金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0.46</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30229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福利费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1.65</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39909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经常性赠与</w:t>
            </w:r>
          </w:p>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资本性赠与</w:t>
            </w:r>
          </w:p>
          <w:p>
            <w:pPr>
              <w:widowControl/>
              <w:jc w:val="left"/>
              <w:rPr>
                <w:rFonts w:hint="default" w:ascii="Times New Roman" w:hAnsi="Times New Roman" w:eastAsia="仿宋_GB2312" w:cs="Times New Roman"/>
                <w:color w:val="auto"/>
                <w:kern w:val="0"/>
                <w:szCs w:val="20"/>
              </w:rPr>
            </w:pPr>
          </w:p>
          <w:tbl>
            <w:tblPr>
              <w:tblStyle w:val="11"/>
              <w:tblW w:w="3946" w:type="dxa"/>
              <w:tblInd w:w="0" w:type="dxa"/>
              <w:tblLayout w:type="fixed"/>
              <w:tblCellMar>
                <w:top w:w="0" w:type="dxa"/>
                <w:left w:w="108" w:type="dxa"/>
                <w:bottom w:w="0" w:type="dxa"/>
                <w:right w:w="108" w:type="dxa"/>
              </w:tblCellMar>
            </w:tblPr>
            <w:tblGrid>
              <w:gridCol w:w="3946"/>
            </w:tblGrid>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lang w:bidi="ar"/>
                    </w:rPr>
                    <w:t xml:space="preserve">  经常性赠与</w:t>
                  </w:r>
                </w:p>
              </w:tc>
            </w:tr>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lang w:bidi="ar"/>
                    </w:rPr>
                    <w:t xml:space="preserve">  资本性赠与</w:t>
                  </w:r>
                </w:p>
              </w:tc>
            </w:tr>
          </w:tbl>
          <w:p>
            <w:pPr>
              <w:widowControl/>
              <w:jc w:val="left"/>
              <w:rPr>
                <w:rFonts w:hint="default" w:ascii="Times New Roman" w:hAnsi="Times New Roman" w:eastAsia="仿宋_GB2312" w:cs="Times New Roman"/>
                <w:color w:val="auto"/>
                <w:kern w:val="0"/>
                <w:szCs w:val="20"/>
              </w:rPr>
            </w:pPr>
          </w:p>
          <w:tbl>
            <w:tblPr>
              <w:tblStyle w:val="11"/>
              <w:tblW w:w="3946" w:type="dxa"/>
              <w:tblInd w:w="0" w:type="dxa"/>
              <w:tblLayout w:type="fixed"/>
              <w:tblCellMar>
                <w:top w:w="0" w:type="dxa"/>
                <w:left w:w="108" w:type="dxa"/>
                <w:bottom w:w="0" w:type="dxa"/>
                <w:right w:w="108" w:type="dxa"/>
              </w:tblCellMar>
            </w:tblPr>
            <w:tblGrid>
              <w:gridCol w:w="3946"/>
            </w:tblGrid>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lang w:bidi="ar"/>
                    </w:rPr>
                    <w:t xml:space="preserve">  经常性赠与</w:t>
                  </w:r>
                </w:p>
              </w:tc>
            </w:tr>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lang w:bidi="ar"/>
                    </w:rPr>
                    <w:t xml:space="preserve">  资本性赠与</w:t>
                  </w:r>
                </w:p>
              </w:tc>
            </w:tr>
          </w:tbl>
          <w:p>
            <w:pPr>
              <w:widowControl/>
              <w:jc w:val="left"/>
              <w:rPr>
                <w:rFonts w:hint="default" w:ascii="Times New Roman" w:hAnsi="Times New Roman" w:eastAsia="仿宋_GB2312" w:cs="Times New Roman"/>
                <w:color w:val="auto"/>
                <w:kern w:val="0"/>
                <w:szCs w:val="20"/>
              </w:rPr>
            </w:pP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30310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个人农业生产补贴</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30231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公务用车运行维护费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39910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资本性赠与</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30311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代缴社会保险费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30239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其他交通费用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4.84</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39999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其他支出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30399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其他对个人和家庭的补助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30240</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税金及附加费用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18"/>
              </w:rPr>
            </w:pPr>
            <w:r>
              <w:rPr>
                <w:rFonts w:hint="default" w:ascii="Times New Roman" w:hAnsi="Times New Roman" w:eastAsia="仿宋_GB2312" w:cs="Times New Roman"/>
                <w:color w:val="auto"/>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18"/>
              </w:rPr>
            </w:pPr>
            <w:r>
              <w:rPr>
                <w:rFonts w:hint="default" w:ascii="Times New Roman" w:hAnsi="Times New Roman" w:eastAsia="仿宋_GB2312" w:cs="Times New Roman"/>
                <w:color w:val="auto"/>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color w:val="auto"/>
                <w:kern w:val="0"/>
                <w:sz w:val="20"/>
                <w:szCs w:val="18"/>
              </w:rPr>
            </w:pP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w:t>
            </w:r>
          </w:p>
        </w:tc>
        <w:tc>
          <w:tcPr>
            <w:tcW w:w="966" w:type="dxa"/>
            <w:tcBorders>
              <w:top w:val="nil"/>
              <w:left w:val="nil"/>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color w:val="auto"/>
                <w:kern w:val="0"/>
                <w:sz w:val="20"/>
                <w:szCs w:val="18"/>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30299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 xml:space="preserve">  其他商品和服务支出</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1.34</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18"/>
              </w:rPr>
            </w:pPr>
            <w:r>
              <w:rPr>
                <w:rFonts w:hint="default" w:ascii="Times New Roman" w:hAnsi="Times New Roman" w:eastAsia="仿宋_GB2312" w:cs="Times New Roman"/>
                <w:color w:val="auto"/>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auto"/>
                <w:kern w:val="0"/>
                <w:szCs w:val="18"/>
              </w:rPr>
            </w:pPr>
            <w:r>
              <w:rPr>
                <w:rFonts w:hint="default" w:ascii="Times New Roman" w:hAnsi="Times New Roman" w:eastAsia="仿宋_GB2312" w:cs="Times New Roman"/>
                <w:color w:val="auto"/>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color w:val="auto"/>
                <w:kern w:val="0"/>
                <w:sz w:val="20"/>
                <w:szCs w:val="18"/>
              </w:rPr>
            </w:pPr>
          </w:p>
        </w:tc>
      </w:tr>
      <w:tr>
        <w:tblPrEx>
          <w:tblCellMar>
            <w:top w:w="0" w:type="dxa"/>
            <w:left w:w="108" w:type="dxa"/>
            <w:bottom w:w="0" w:type="dxa"/>
            <w:right w:w="108" w:type="dxa"/>
          </w:tblCellMar>
        </w:tblPrEx>
        <w:trPr>
          <w:trHeight w:val="255" w:hRule="exact"/>
          <w:jc w:val="center"/>
        </w:trPr>
        <w:tc>
          <w:tcPr>
            <w:tcW w:w="393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人员经费合计</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8"/>
              </w:rPr>
            </w:pPr>
            <w:r>
              <w:rPr>
                <w:rFonts w:hint="default" w:ascii="Times New Roman" w:hAnsi="Times New Roman" w:eastAsia="宋体" w:cs="Times New Roman"/>
                <w:i w:val="0"/>
                <w:color w:val="auto"/>
                <w:kern w:val="0"/>
                <w:sz w:val="21"/>
                <w:szCs w:val="21"/>
                <w:u w:val="none"/>
                <w:lang w:val="en-US" w:eastAsia="zh-CN" w:bidi="ar"/>
              </w:rPr>
              <w:t>150.47</w:t>
            </w:r>
          </w:p>
        </w:tc>
        <w:tc>
          <w:tcPr>
            <w:tcW w:w="8801"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color w:val="auto"/>
                <w:kern w:val="0"/>
                <w:szCs w:val="20"/>
              </w:rPr>
            </w:pPr>
            <w:r>
              <w:rPr>
                <w:rFonts w:hint="default" w:ascii="Times New Roman" w:hAnsi="Times New Roman" w:eastAsia="仿宋_GB2312" w:cs="Times New Roman"/>
                <w:color w:val="auto"/>
                <w:kern w:val="0"/>
                <w:szCs w:val="20"/>
              </w:rPr>
              <w:t>公用经费合计</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color w:val="auto"/>
                <w:kern w:val="0"/>
                <w:sz w:val="20"/>
                <w:szCs w:val="16"/>
              </w:rPr>
            </w:pPr>
            <w:r>
              <w:rPr>
                <w:rFonts w:hint="default" w:ascii="Times New Roman" w:hAnsi="Times New Roman" w:eastAsia="宋体" w:cs="Times New Roman"/>
                <w:i w:val="0"/>
                <w:color w:val="auto"/>
                <w:kern w:val="0"/>
                <w:sz w:val="21"/>
                <w:szCs w:val="21"/>
                <w:u w:val="none"/>
                <w:lang w:val="en-US" w:eastAsia="zh-CN" w:bidi="ar"/>
              </w:rPr>
              <w:t>10.37</w:t>
            </w:r>
          </w:p>
        </w:tc>
      </w:tr>
    </w:tbl>
    <w:p>
      <w:pPr>
        <w:widowControl/>
        <w:jc w:val="left"/>
        <w:rPr>
          <w:rFonts w:hint="default" w:ascii="Times New Roman" w:hAnsi="Times New Roman" w:eastAsia="仿宋_GB2312" w:cs="Times New Roman"/>
          <w:color w:val="auto"/>
          <w:kern w:val="0"/>
          <w:szCs w:val="24"/>
        </w:rPr>
      </w:pPr>
      <w:r>
        <w:rPr>
          <w:rFonts w:hint="default" w:ascii="Times New Roman" w:hAnsi="Times New Roman" w:eastAsia="仿宋_GB2312" w:cs="Times New Roman"/>
          <w:color w:val="auto"/>
          <w:kern w:val="0"/>
          <w:szCs w:val="24"/>
        </w:rPr>
        <w:t>注：本表反映部门本年度一般公共预算财政拨款基本支出明细情况。</w:t>
      </w:r>
    </w:p>
    <w:p>
      <w:pPr>
        <w:widowControl/>
        <w:spacing w:line="400" w:lineRule="exact"/>
        <w:jc w:val="center"/>
        <w:textAlignment w:val="center"/>
        <w:rPr>
          <w:rFonts w:hint="default" w:ascii="Times New Roman" w:hAnsi="Times New Roman" w:eastAsia="仿宋_GB2312" w:cs="Times New Roman"/>
          <w:color w:val="auto"/>
          <w:kern w:val="0"/>
          <w:sz w:val="32"/>
          <w:szCs w:val="32"/>
          <w:lang w:bidi="ar"/>
        </w:rPr>
      </w:pPr>
    </w:p>
    <w:p>
      <w:pPr>
        <w:widowControl/>
        <w:spacing w:after="156" w:afterLines="50"/>
        <w:jc w:val="center"/>
        <w:textAlignment w:val="center"/>
        <w:rPr>
          <w:rFonts w:hint="default" w:ascii="Times New Roman" w:hAnsi="Times New Roman" w:eastAsia="黑体" w:cs="Times New Roman"/>
          <w:color w:val="auto"/>
          <w:kern w:val="0"/>
          <w:sz w:val="36"/>
          <w:szCs w:val="36"/>
          <w:lang w:bidi="ar"/>
        </w:rPr>
      </w:pPr>
      <w:r>
        <w:rPr>
          <w:rFonts w:hint="default" w:ascii="Times New Roman" w:hAnsi="Times New Roman" w:eastAsia="黑体" w:cs="Times New Roman"/>
          <w:color w:val="auto"/>
          <w:kern w:val="0"/>
          <w:sz w:val="36"/>
          <w:szCs w:val="36"/>
          <w:lang w:bidi="ar"/>
        </w:rPr>
        <w:t>政府性基金预算财政拨款收入支出决算表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ab/>
      </w:r>
      <w:r>
        <w:rPr>
          <w:rFonts w:hint="default" w:ascii="Times New Roman" w:hAnsi="Times New Roman" w:eastAsia="仿宋_GB2312" w:cs="Times New Roman"/>
          <w:color w:val="auto"/>
          <w:sz w:val="20"/>
          <w:szCs w:val="20"/>
        </w:rPr>
        <w:tab/>
      </w:r>
      <w:r>
        <w:rPr>
          <w:rFonts w:hint="default" w:ascii="Times New Roman" w:hAnsi="Times New Roman" w:eastAsia="仿宋_GB2312" w:cs="Times New Roman"/>
          <w:color w:val="auto"/>
          <w:sz w:val="20"/>
          <w:szCs w:val="20"/>
        </w:rPr>
        <w:tab/>
      </w:r>
      <w:r>
        <w:rPr>
          <w:rFonts w:hint="default" w:ascii="Times New Roman" w:hAnsi="Times New Roman" w:eastAsia="仿宋_GB2312" w:cs="Times New Roman"/>
          <w:color w:val="auto"/>
          <w:sz w:val="20"/>
          <w:szCs w:val="20"/>
        </w:rPr>
        <w:tab/>
      </w:r>
      <w:r>
        <w:rPr>
          <w:rFonts w:hint="default" w:ascii="Times New Roman" w:hAnsi="Times New Roman" w:eastAsia="仿宋_GB2312" w:cs="Times New Roman"/>
          <w:color w:val="auto"/>
          <w:sz w:val="20"/>
          <w:szCs w:val="20"/>
        </w:rPr>
        <w:tab/>
      </w:r>
      <w:r>
        <w:rPr>
          <w:rFonts w:hint="default" w:ascii="Times New Roman" w:hAnsi="Times New Roman" w:eastAsia="仿宋_GB2312" w:cs="Times New Roman"/>
          <w:color w:val="auto"/>
          <w:sz w:val="20"/>
          <w:szCs w:val="20"/>
        </w:rPr>
        <w:tab/>
      </w:r>
      <w:r>
        <w:rPr>
          <w:rFonts w:hint="default" w:ascii="Times New Roman" w:hAnsi="Times New Roman" w:eastAsia="仿宋_GB2312" w:cs="Times New Roman"/>
          <w:color w:val="auto"/>
          <w:sz w:val="20"/>
          <w:szCs w:val="20"/>
        </w:rPr>
        <w:tab/>
      </w:r>
      <w:r>
        <w:rPr>
          <w:rFonts w:hint="default" w:ascii="Times New Roman" w:hAnsi="Times New Roman" w:eastAsia="仿宋_GB2312" w:cs="Times New Roman"/>
          <w:color w:val="auto"/>
          <w:sz w:val="20"/>
          <w:szCs w:val="20"/>
        </w:rPr>
        <w:tab/>
      </w:r>
      <w:r>
        <w:rPr>
          <w:rFonts w:hint="default" w:ascii="Times New Roman" w:hAnsi="Times New Roman" w:eastAsia="仿宋_GB2312" w:cs="Times New Roman"/>
          <w:color w:val="auto"/>
          <w:kern w:val="0"/>
          <w:sz w:val="20"/>
          <w:szCs w:val="20"/>
          <w:lang w:bidi="ar"/>
        </w:rPr>
        <w:t>公开07表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lang w:bidi="ar"/>
        </w:rPr>
        <w:t>部门：湖南省饲料工业办公室</w:t>
      </w:r>
      <w:r>
        <w:rPr>
          <w:rFonts w:hint="default" w:ascii="Times New Roman" w:hAnsi="Times New Roman" w:eastAsia="仿宋_GB2312" w:cs="Times New Roman"/>
          <w:color w:val="auto"/>
          <w:sz w:val="20"/>
          <w:szCs w:val="20"/>
        </w:rPr>
        <w:tab/>
      </w:r>
      <w:r>
        <w:rPr>
          <w:rFonts w:hint="default" w:ascii="Times New Roman" w:hAnsi="Times New Roman" w:eastAsia="仿宋_GB2312" w:cs="Times New Roman"/>
          <w:color w:val="auto"/>
          <w:sz w:val="20"/>
          <w:szCs w:val="20"/>
        </w:rPr>
        <w:tab/>
      </w:r>
      <w:r>
        <w:rPr>
          <w:rFonts w:hint="default" w:ascii="Times New Roman" w:hAnsi="Times New Roman" w:eastAsia="仿宋_GB2312" w:cs="Times New Roman"/>
          <w:color w:val="auto"/>
          <w:sz w:val="20"/>
          <w:szCs w:val="20"/>
        </w:rPr>
        <w:tab/>
      </w:r>
      <w:r>
        <w:rPr>
          <w:rFonts w:hint="default" w:ascii="Times New Roman" w:hAnsi="Times New Roman" w:eastAsia="仿宋_GB2312" w:cs="Times New Roman"/>
          <w:color w:val="auto"/>
          <w:sz w:val="20"/>
          <w:szCs w:val="20"/>
        </w:rPr>
        <w:tab/>
      </w:r>
      <w:r>
        <w:rPr>
          <w:rFonts w:hint="default" w:ascii="Times New Roman" w:hAnsi="Times New Roman" w:eastAsia="仿宋_GB2312" w:cs="Times New Roman"/>
          <w:color w:val="auto"/>
          <w:sz w:val="20"/>
          <w:szCs w:val="20"/>
        </w:rPr>
        <w:tab/>
      </w:r>
      <w:r>
        <w:rPr>
          <w:rFonts w:hint="default" w:ascii="Times New Roman" w:hAnsi="Times New Roman" w:eastAsia="仿宋_GB2312" w:cs="Times New Roman"/>
          <w:color w:val="auto"/>
          <w:sz w:val="20"/>
          <w:szCs w:val="20"/>
        </w:rPr>
        <w:tab/>
      </w:r>
      <w:r>
        <w:rPr>
          <w:rFonts w:hint="default" w:ascii="Times New Roman" w:hAnsi="Times New Roman" w:eastAsia="仿宋_GB2312" w:cs="Times New Roman"/>
          <w:color w:val="auto"/>
          <w:sz w:val="20"/>
          <w:szCs w:val="20"/>
        </w:rPr>
        <w:tab/>
      </w:r>
      <w:r>
        <w:rPr>
          <w:rFonts w:hint="default" w:ascii="Times New Roman" w:hAnsi="Times New Roman" w:eastAsia="仿宋_GB2312" w:cs="Times New Roman"/>
          <w:color w:val="auto"/>
          <w:sz w:val="20"/>
          <w:szCs w:val="20"/>
        </w:rPr>
        <w:tab/>
      </w:r>
      <w:r>
        <w:rPr>
          <w:rFonts w:hint="default" w:ascii="Times New Roman" w:hAnsi="Times New Roman" w:eastAsia="仿宋_GB2312" w:cs="Times New Roman"/>
          <w:color w:val="auto"/>
          <w:kern w:val="0"/>
          <w:sz w:val="20"/>
          <w:szCs w:val="20"/>
          <w:lang w:bidi="ar"/>
        </w:rPr>
        <w:t>单位：万元</w:t>
      </w:r>
    </w:p>
    <w:tbl>
      <w:tblPr>
        <w:tblStyle w:val="11"/>
        <w:tblW w:w="14326" w:type="dxa"/>
        <w:jc w:val="center"/>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tblPrEx>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kern w:val="0"/>
                <w:sz w:val="24"/>
                <w:szCs w:val="24"/>
                <w:lang w:bidi="ar"/>
              </w:rPr>
              <w:t xml:space="preserve">项 </w:t>
            </w:r>
            <w:r>
              <w:rPr>
                <w:rStyle w:val="19"/>
                <w:rFonts w:hint="default" w:ascii="Times New Roman" w:hAnsi="Times New Roman" w:eastAsia="仿宋_GB2312" w:cs="Times New Roman"/>
                <w:b/>
                <w:bCs/>
                <w:color w:val="auto"/>
                <w:lang w:bidi="ar"/>
              </w:rPr>
              <w:t xml:space="preserve">   </w:t>
            </w:r>
            <w:r>
              <w:rPr>
                <w:rStyle w:val="20"/>
                <w:rFonts w:hint="default" w:ascii="Times New Roman" w:hAnsi="Times New Roman" w:eastAsia="仿宋_GB2312" w:cs="Times New Roman"/>
                <w:b/>
                <w:bCs/>
                <w:color w:val="auto"/>
                <w:lang w:bidi="ar"/>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kern w:val="0"/>
                <w:sz w:val="24"/>
                <w:szCs w:val="24"/>
                <w:lang w:bidi="ar"/>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kern w:val="0"/>
                <w:sz w:val="24"/>
                <w:szCs w:val="24"/>
                <w:lang w:bidi="ar"/>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kern w:val="0"/>
                <w:sz w:val="24"/>
                <w:szCs w:val="24"/>
                <w:lang w:bidi="ar"/>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kern w:val="0"/>
                <w:sz w:val="24"/>
                <w:szCs w:val="24"/>
                <w:lang w:bidi="ar"/>
              </w:rPr>
              <w:t>年末结转和结余</w:t>
            </w:r>
          </w:p>
        </w:tc>
      </w:tr>
      <w:tr>
        <w:tblPrEx>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kern w:val="0"/>
                <w:sz w:val="24"/>
                <w:szCs w:val="24"/>
                <w:lang w:bidi="ar"/>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kern w:val="0"/>
                <w:sz w:val="24"/>
                <w:szCs w:val="24"/>
                <w:lang w:bidi="ar"/>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default" w:ascii="Times New Roman" w:hAnsi="Times New Roman" w:eastAsia="仿宋_GB2312" w:cs="Times New Roman"/>
                <w:b/>
                <w:bCs/>
                <w:color w:val="auto"/>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default" w:ascii="Times New Roman" w:hAnsi="Times New Roman" w:eastAsia="仿宋_GB2312" w:cs="Times New Roman"/>
                <w:b/>
                <w:bCs/>
                <w:color w:val="auto"/>
                <w:sz w:val="24"/>
                <w:szCs w:val="24"/>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kern w:val="0"/>
                <w:sz w:val="24"/>
                <w:szCs w:val="24"/>
                <w:lang w:bidi="ar"/>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kern w:val="0"/>
                <w:sz w:val="24"/>
                <w:szCs w:val="24"/>
                <w:lang w:bidi="ar"/>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kern w:val="0"/>
                <w:sz w:val="24"/>
                <w:szCs w:val="24"/>
                <w:lang w:bidi="ar"/>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default" w:ascii="Times New Roman" w:hAnsi="Times New Roman" w:eastAsia="仿宋_GB2312" w:cs="Times New Roman"/>
                <w:color w:val="auto"/>
                <w:sz w:val="24"/>
                <w:szCs w:val="24"/>
              </w:rPr>
            </w:pPr>
          </w:p>
        </w:tc>
      </w:tr>
      <w:tr>
        <w:tblPrEx>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r>
      <w:tr>
        <w:tblPrEx>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lang w:bidi="ar"/>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lang w:bidi="ar"/>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lang w:bidi="ar"/>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lang w:bidi="ar"/>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lang w:bidi="ar"/>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lang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lang w:bidi="ar"/>
              </w:rPr>
              <w:t>6</w:t>
            </w: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lang w:bidi="ar"/>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r>
    </w:tbl>
    <w:p>
      <w:pPr>
        <w:widowControl/>
        <w:spacing w:before="120"/>
        <w:jc w:val="left"/>
        <w:textAlignment w:val="center"/>
        <w:rPr>
          <w:rFonts w:hint="default" w:ascii="Times New Roman" w:hAnsi="Times New Roman" w:eastAsia="仿宋_GB2312" w:cs="Times New Roman"/>
          <w:color w:val="auto"/>
          <w:kern w:val="0"/>
          <w:sz w:val="24"/>
          <w:szCs w:val="24"/>
          <w:lang w:bidi="ar"/>
        </w:rPr>
      </w:pPr>
      <w:r>
        <w:rPr>
          <w:rFonts w:hint="default" w:ascii="Times New Roman" w:hAnsi="Times New Roman" w:eastAsia="仿宋_GB2312" w:cs="Times New Roman"/>
          <w:color w:val="auto"/>
          <w:kern w:val="0"/>
          <w:sz w:val="24"/>
          <w:szCs w:val="24"/>
          <w:lang w:bidi="ar"/>
        </w:rPr>
        <w:t>注：本表反映部门本年度政府性基金预算财政拨款收入、支出及结转和结余情况。</w:t>
      </w:r>
    </w:p>
    <w:p>
      <w:pPr>
        <w:widowControl/>
        <w:jc w:val="left"/>
        <w:textAlignment w:val="center"/>
        <w:rPr>
          <w:rFonts w:hint="default" w:ascii="Times New Roman" w:hAnsi="Times New Roman" w:eastAsia="仿宋_GB2312" w:cs="Times New Roman"/>
          <w:color w:val="auto"/>
          <w:kern w:val="0"/>
          <w:sz w:val="24"/>
          <w:szCs w:val="24"/>
          <w:lang w:bidi="ar"/>
        </w:rPr>
      </w:pPr>
    </w:p>
    <w:p>
      <w:pPr>
        <w:widowControl/>
        <w:jc w:val="left"/>
        <w:textAlignment w:val="center"/>
        <w:rPr>
          <w:rFonts w:hint="default" w:ascii="Times New Roman" w:hAnsi="Times New Roman" w:eastAsia="仿宋_GB2312" w:cs="Times New Roman"/>
          <w:color w:val="auto"/>
          <w:kern w:val="0"/>
          <w:sz w:val="24"/>
          <w:szCs w:val="24"/>
          <w:lang w:bidi="ar"/>
        </w:rPr>
      </w:pPr>
      <w:r>
        <w:rPr>
          <w:rFonts w:hint="default" w:ascii="Times New Roman" w:hAnsi="Times New Roman" w:eastAsia="仿宋_GB2312" w:cs="Times New Roman"/>
          <w:b/>
          <w:bCs/>
          <w:color w:val="auto"/>
          <w:kern w:val="0"/>
          <w:sz w:val="24"/>
          <w:szCs w:val="24"/>
          <w:lang w:bidi="ar"/>
        </w:rPr>
        <w:t>说明：我单位没有政府性基金收入，也没有使用政府性基金安排的支出，故本表无数据。</w:t>
      </w:r>
    </w:p>
    <w:p>
      <w:pPr>
        <w:widowControl/>
        <w:jc w:val="center"/>
        <w:rPr>
          <w:rFonts w:hint="default" w:ascii="Times New Roman" w:hAnsi="Times New Roman" w:eastAsia="方正小标宋_GBK" w:cs="Times New Roman"/>
          <w:color w:val="auto"/>
          <w:kern w:val="0"/>
          <w:sz w:val="36"/>
          <w:szCs w:val="36"/>
        </w:rPr>
      </w:pPr>
    </w:p>
    <w:p>
      <w:pPr>
        <w:widowControl/>
        <w:spacing w:line="400" w:lineRule="exact"/>
        <w:textAlignment w:val="center"/>
        <w:rPr>
          <w:rFonts w:hint="default" w:ascii="Times New Roman" w:hAnsi="Times New Roman" w:eastAsia="黑体" w:cs="Times New Roman"/>
          <w:color w:val="auto"/>
          <w:kern w:val="0"/>
          <w:sz w:val="36"/>
          <w:szCs w:val="36"/>
          <w:lang w:bidi="ar"/>
        </w:rPr>
      </w:pPr>
    </w:p>
    <w:p>
      <w:pPr>
        <w:widowControl/>
        <w:spacing w:after="156" w:afterLines="50"/>
        <w:jc w:val="center"/>
        <w:textAlignment w:val="center"/>
        <w:rPr>
          <w:rFonts w:hint="default" w:ascii="Times New Roman" w:hAnsi="Times New Roman" w:eastAsia="黑体" w:cs="Times New Roman"/>
          <w:color w:val="auto"/>
          <w:kern w:val="0"/>
          <w:sz w:val="36"/>
          <w:szCs w:val="36"/>
          <w:lang w:bidi="ar"/>
        </w:rPr>
      </w:pPr>
      <w:r>
        <w:rPr>
          <w:rFonts w:hint="default" w:ascii="Times New Roman" w:hAnsi="Times New Roman" w:eastAsia="黑体" w:cs="Times New Roman"/>
          <w:color w:val="auto"/>
          <w:kern w:val="0"/>
          <w:sz w:val="36"/>
          <w:szCs w:val="36"/>
          <w:lang w:bidi="ar"/>
        </w:rPr>
        <w:t>国有资本经营预算财政拨款支出决算表</w:t>
      </w:r>
    </w:p>
    <w:p>
      <w:pPr>
        <w:widowControl/>
        <w:tabs>
          <w:tab w:val="left" w:pos="1326"/>
          <w:tab w:val="left" w:pos="2027"/>
          <w:tab w:val="left" w:pos="4319"/>
          <w:tab w:val="left" w:pos="7634"/>
          <w:tab w:val="left" w:pos="10949"/>
        </w:tabs>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lang w:bidi="ar"/>
        </w:rPr>
        <w:t xml:space="preserve">                                                                                                            公开08表</w:t>
      </w:r>
    </w:p>
    <w:p>
      <w:pPr>
        <w:widowControl/>
        <w:tabs>
          <w:tab w:val="left" w:pos="1326"/>
          <w:tab w:val="left" w:pos="2027"/>
          <w:tab w:val="left" w:pos="4319"/>
          <w:tab w:val="left" w:pos="7634"/>
          <w:tab w:val="left" w:pos="10949"/>
        </w:tabs>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lang w:bidi="ar"/>
        </w:rPr>
        <w:t>部门：湖南省饲料工业办公室</w:t>
      </w:r>
      <w:r>
        <w:rPr>
          <w:rFonts w:hint="default" w:ascii="Times New Roman" w:hAnsi="Times New Roman" w:eastAsia="仿宋_GB2312" w:cs="Times New Roman"/>
          <w:color w:val="auto"/>
          <w:sz w:val="20"/>
          <w:szCs w:val="20"/>
        </w:rPr>
        <w:tab/>
      </w:r>
      <w:r>
        <w:rPr>
          <w:rFonts w:hint="default" w:ascii="Times New Roman" w:hAnsi="Times New Roman" w:eastAsia="仿宋_GB2312" w:cs="Times New Roman"/>
          <w:color w:val="auto"/>
          <w:sz w:val="20"/>
          <w:szCs w:val="20"/>
        </w:rPr>
        <w:tab/>
      </w:r>
      <w:r>
        <w:rPr>
          <w:rFonts w:hint="default" w:ascii="Times New Roman" w:hAnsi="Times New Roman" w:eastAsia="仿宋_GB2312" w:cs="Times New Roman"/>
          <w:color w:val="auto"/>
          <w:sz w:val="20"/>
          <w:szCs w:val="20"/>
        </w:rPr>
        <w:tab/>
      </w:r>
      <w:r>
        <w:rPr>
          <w:rFonts w:hint="default" w:ascii="Times New Roman" w:hAnsi="Times New Roman" w:eastAsia="仿宋_GB2312" w:cs="Times New Roman"/>
          <w:color w:val="auto"/>
          <w:sz w:val="20"/>
          <w:szCs w:val="20"/>
        </w:rPr>
        <w:tab/>
      </w:r>
      <w:r>
        <w:rPr>
          <w:rFonts w:hint="default" w:ascii="Times New Roman" w:hAnsi="Times New Roman" w:eastAsia="仿宋_GB2312" w:cs="Times New Roman"/>
          <w:color w:val="auto"/>
          <w:sz w:val="20"/>
          <w:szCs w:val="20"/>
        </w:rPr>
        <w:tab/>
      </w:r>
      <w:r>
        <w:rPr>
          <w:rFonts w:hint="default" w:ascii="Times New Roman" w:hAnsi="Times New Roman" w:eastAsia="仿宋_GB2312" w:cs="Times New Roman"/>
          <w:color w:val="auto"/>
          <w:kern w:val="0"/>
          <w:sz w:val="20"/>
          <w:szCs w:val="20"/>
          <w:lang w:bidi="ar"/>
        </w:rPr>
        <w:t>单位：万元</w:t>
      </w:r>
    </w:p>
    <w:tbl>
      <w:tblPr>
        <w:tblStyle w:val="11"/>
        <w:tblW w:w="14217" w:type="dxa"/>
        <w:tblInd w:w="0" w:type="dxa"/>
        <w:tblLayout w:type="fixed"/>
        <w:tblCellMar>
          <w:top w:w="0" w:type="dxa"/>
          <w:left w:w="108" w:type="dxa"/>
          <w:bottom w:w="0" w:type="dxa"/>
          <w:right w:w="108" w:type="dxa"/>
        </w:tblCellMar>
      </w:tblPr>
      <w:tblGrid>
        <w:gridCol w:w="3095"/>
        <w:gridCol w:w="3097"/>
        <w:gridCol w:w="1832"/>
        <w:gridCol w:w="3097"/>
        <w:gridCol w:w="3096"/>
      </w:tblGrid>
      <w:tr>
        <w:tblPrEx>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kern w:val="0"/>
                <w:sz w:val="24"/>
                <w:szCs w:val="24"/>
                <w:lang w:bidi="ar"/>
              </w:rPr>
              <w:t xml:space="preserve">项 </w:t>
            </w:r>
            <w:r>
              <w:rPr>
                <w:rFonts w:hint="default" w:ascii="Times New Roman" w:hAnsi="Times New Roman" w:eastAsia="仿宋_GB2312" w:cs="Times New Roman"/>
                <w:b/>
                <w:bCs/>
                <w:color w:val="auto"/>
                <w:kern w:val="0"/>
                <w:sz w:val="22"/>
                <w:lang w:bidi="ar"/>
              </w:rPr>
              <w:t xml:space="preserve">   </w:t>
            </w:r>
            <w:r>
              <w:rPr>
                <w:rStyle w:val="21"/>
                <w:rFonts w:hint="default" w:ascii="Times New Roman" w:hAnsi="Times New Roman" w:eastAsia="仿宋_GB2312" w:cs="Times New Roman"/>
                <w:b/>
                <w:bCs/>
                <w:color w:val="auto"/>
                <w:lang w:bidi="ar"/>
              </w:rPr>
              <w:t>目</w:t>
            </w:r>
          </w:p>
        </w:tc>
        <w:tc>
          <w:tcPr>
            <w:tcW w:w="80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kern w:val="0"/>
                <w:sz w:val="24"/>
                <w:szCs w:val="24"/>
                <w:lang w:bidi="ar"/>
              </w:rPr>
              <w:t>本年支出</w:t>
            </w:r>
          </w:p>
        </w:tc>
      </w:tr>
      <w:tr>
        <w:tblPrEx>
          <w:tblCellMar>
            <w:top w:w="0" w:type="dxa"/>
            <w:left w:w="108" w:type="dxa"/>
            <w:bottom w:w="0" w:type="dxa"/>
            <w:right w:w="108" w:type="dxa"/>
          </w:tblCellMar>
        </w:tblPrEx>
        <w:trPr>
          <w:trHeight w:val="312" w:hRule="exact"/>
        </w:trPr>
        <w:tc>
          <w:tcPr>
            <w:tcW w:w="3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kern w:val="0"/>
                <w:sz w:val="24"/>
                <w:szCs w:val="24"/>
                <w:lang w:bidi="ar"/>
              </w:rPr>
              <w:t>科目代码</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kern w:val="0"/>
                <w:sz w:val="24"/>
                <w:szCs w:val="24"/>
                <w:lang w:bidi="ar"/>
              </w:rPr>
              <w:t>科目名称</w:t>
            </w:r>
          </w:p>
        </w:tc>
        <w:tc>
          <w:tcPr>
            <w:tcW w:w="1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kern w:val="0"/>
                <w:sz w:val="24"/>
                <w:szCs w:val="24"/>
                <w:lang w:bidi="ar"/>
              </w:rPr>
              <w:t>合计</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kern w:val="0"/>
                <w:sz w:val="24"/>
                <w:szCs w:val="24"/>
                <w:lang w:bidi="ar"/>
              </w:rPr>
              <w:t xml:space="preserve">基本支出  </w:t>
            </w:r>
          </w:p>
        </w:tc>
        <w:tc>
          <w:tcPr>
            <w:tcW w:w="30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kern w:val="0"/>
                <w:sz w:val="24"/>
                <w:szCs w:val="24"/>
                <w:lang w:bidi="ar"/>
              </w:rPr>
              <w:t>项目支出</w:t>
            </w:r>
          </w:p>
        </w:tc>
      </w:tr>
      <w:tr>
        <w:tblPrEx>
          <w:tblCellMar>
            <w:top w:w="0" w:type="dxa"/>
            <w:left w:w="108" w:type="dxa"/>
            <w:bottom w:w="0" w:type="dxa"/>
            <w:right w:w="108" w:type="dxa"/>
          </w:tblCellMar>
        </w:tblPrEx>
        <w:trPr>
          <w:trHeight w:val="312" w:hRule="exact"/>
        </w:trPr>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3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r>
      <w:tr>
        <w:tblPrEx>
          <w:tblCellMar>
            <w:top w:w="0" w:type="dxa"/>
            <w:left w:w="108" w:type="dxa"/>
            <w:bottom w:w="0" w:type="dxa"/>
            <w:right w:w="108" w:type="dxa"/>
          </w:tblCellMar>
        </w:tblPrEx>
        <w:trPr>
          <w:trHeight w:val="312" w:hRule="atLeast"/>
        </w:trPr>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3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r>
      <w:tr>
        <w:tblPrEx>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lang w:bidi="ar"/>
              </w:rPr>
              <w:t>栏次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lang w:bidi="ar"/>
              </w:rPr>
              <w:t>1</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lang w:bidi="ar"/>
              </w:rPr>
              <w:t>2</w:t>
            </w: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lang w:bidi="ar"/>
              </w:rPr>
              <w:t>3</w:t>
            </w:r>
          </w:p>
        </w:tc>
      </w:tr>
      <w:tr>
        <w:tblPrEx>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lang w:bidi="ar"/>
              </w:rPr>
              <w:t>合计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color w:val="auto"/>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宋体" w:cs="Times New Roman"/>
                <w:color w:val="auto"/>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宋体" w:cs="Times New Roman"/>
                <w:color w:val="auto"/>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宋体" w:cs="Times New Roman"/>
                <w:color w:val="auto"/>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宋体" w:cs="Times New Roman"/>
                <w:color w:val="auto"/>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宋体" w:cs="Times New Roman"/>
                <w:color w:val="auto"/>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宋体" w:cs="Times New Roman"/>
                <w:color w:val="auto"/>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宋体" w:cs="Times New Roman"/>
                <w:color w:val="auto"/>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宋体" w:cs="Times New Roman"/>
                <w:color w:val="auto"/>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宋体" w:cs="Times New Roman"/>
                <w:color w:val="auto"/>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宋体" w:cs="Times New Roman"/>
                <w:color w:val="auto"/>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宋体" w:cs="Times New Roman"/>
                <w:color w:val="auto"/>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宋体" w:cs="Times New Roman"/>
                <w:color w:val="auto"/>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宋体" w:cs="Times New Roman"/>
                <w:color w:val="auto"/>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宋体" w:cs="Times New Roman"/>
                <w:color w:val="auto"/>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宋体" w:cs="Times New Roman"/>
                <w:color w:val="auto"/>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宋体" w:cs="Times New Roman"/>
                <w:color w:val="auto"/>
                <w:sz w:val="24"/>
                <w:szCs w:val="24"/>
              </w:rPr>
            </w:pPr>
          </w:p>
        </w:tc>
      </w:tr>
    </w:tbl>
    <w:p>
      <w:pPr>
        <w:widowControl/>
        <w:spacing w:before="120"/>
        <w:jc w:val="left"/>
        <w:textAlignment w:val="center"/>
        <w:rPr>
          <w:rFonts w:hint="default" w:ascii="Times New Roman" w:hAnsi="Times New Roman" w:eastAsia="仿宋_GB2312" w:cs="Times New Roman"/>
          <w:color w:val="auto"/>
          <w:kern w:val="0"/>
          <w:sz w:val="24"/>
          <w:szCs w:val="24"/>
          <w:lang w:bidi="ar"/>
        </w:rPr>
      </w:pPr>
      <w:r>
        <w:rPr>
          <w:rFonts w:hint="default" w:ascii="Times New Roman" w:hAnsi="Times New Roman" w:eastAsia="仿宋_GB2312" w:cs="Times New Roman"/>
          <w:color w:val="auto"/>
          <w:kern w:val="0"/>
          <w:sz w:val="24"/>
          <w:szCs w:val="24"/>
          <w:lang w:bidi="ar"/>
        </w:rPr>
        <w:t>注：本表反映部门本年度国有资本经营预算财政拨款支出情况。</w:t>
      </w:r>
    </w:p>
    <w:p>
      <w:pPr>
        <w:widowControl/>
        <w:jc w:val="left"/>
        <w:textAlignment w:val="center"/>
        <w:rPr>
          <w:rFonts w:hint="default" w:ascii="Times New Roman" w:hAnsi="Times New Roman" w:eastAsia="宋体" w:cs="Times New Roman"/>
          <w:color w:val="auto"/>
          <w:kern w:val="0"/>
          <w:sz w:val="24"/>
          <w:szCs w:val="24"/>
          <w:lang w:bidi="ar"/>
        </w:rPr>
      </w:pPr>
    </w:p>
    <w:p>
      <w:pPr>
        <w:widowControl/>
        <w:jc w:val="left"/>
        <w:textAlignment w:val="center"/>
        <w:rPr>
          <w:rFonts w:hint="default" w:ascii="Times New Roman" w:hAnsi="Times New Roman" w:eastAsia="楷体_GB2312" w:cs="Times New Roman"/>
          <w:color w:val="auto"/>
          <w:kern w:val="0"/>
          <w:sz w:val="24"/>
          <w:szCs w:val="24"/>
          <w:lang w:bidi="ar"/>
        </w:rPr>
      </w:pPr>
      <w:r>
        <w:rPr>
          <w:rFonts w:hint="default" w:ascii="Times New Roman" w:hAnsi="Times New Roman" w:eastAsia="楷体_GB2312" w:cs="Times New Roman"/>
          <w:b/>
          <w:bCs/>
          <w:color w:val="auto"/>
          <w:kern w:val="0"/>
          <w:sz w:val="24"/>
          <w:szCs w:val="24"/>
          <w:lang w:bidi="ar"/>
        </w:rPr>
        <w:t>说明：我单位没有使用国有资本经营预算安排的支出，故本表无数据。</w:t>
      </w:r>
    </w:p>
    <w:p>
      <w:pPr>
        <w:widowControl/>
        <w:jc w:val="center"/>
        <w:rPr>
          <w:rFonts w:hint="default" w:ascii="Times New Roman" w:hAnsi="Times New Roman" w:eastAsia="方正小标宋_GBK" w:cs="Times New Roman"/>
          <w:color w:val="auto"/>
          <w:kern w:val="0"/>
          <w:sz w:val="36"/>
          <w:szCs w:val="36"/>
        </w:rPr>
      </w:pPr>
    </w:p>
    <w:p>
      <w:pPr>
        <w:pStyle w:val="10"/>
        <w:spacing w:line="400" w:lineRule="exact"/>
        <w:rPr>
          <w:rFonts w:hint="default" w:ascii="Times New Roman" w:hAnsi="Times New Roman" w:eastAsia="华文中宋" w:cs="Times New Roman"/>
          <w:color w:val="auto"/>
          <w:kern w:val="0"/>
          <w:sz w:val="32"/>
          <w:szCs w:val="32"/>
          <w:lang w:bidi="ar"/>
        </w:rPr>
      </w:pPr>
    </w:p>
    <w:p>
      <w:pPr>
        <w:widowControl/>
        <w:spacing w:after="156" w:afterLines="50"/>
        <w:jc w:val="center"/>
        <w:textAlignment w:val="center"/>
        <w:rPr>
          <w:rFonts w:hint="default" w:ascii="Times New Roman" w:hAnsi="Times New Roman" w:eastAsia="黑体" w:cs="Times New Roman"/>
          <w:color w:val="auto"/>
          <w:kern w:val="0"/>
          <w:sz w:val="36"/>
          <w:szCs w:val="36"/>
          <w:lang w:bidi="ar"/>
        </w:rPr>
      </w:pPr>
      <w:r>
        <w:rPr>
          <w:rFonts w:hint="default" w:ascii="Times New Roman" w:hAnsi="Times New Roman" w:eastAsia="黑体" w:cs="Times New Roman"/>
          <w:color w:val="auto"/>
          <w:kern w:val="0"/>
          <w:sz w:val="36"/>
          <w:szCs w:val="36"/>
          <w:lang w:bidi="ar"/>
        </w:rPr>
        <w:t>财政拨款“三公”经费支出决算表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hint="default" w:ascii="Times New Roman" w:hAnsi="Times New Roman" w:eastAsia="楷体_GB2312" w:cs="Times New Roman"/>
          <w:color w:val="auto"/>
          <w:sz w:val="20"/>
          <w:szCs w:val="20"/>
        </w:rPr>
      </w:pPr>
      <w:r>
        <w:rPr>
          <w:rFonts w:hint="default" w:ascii="Times New Roman" w:hAnsi="Times New Roman" w:eastAsia="宋体" w:cs="Times New Roman"/>
          <w:color w:val="auto"/>
          <w:sz w:val="20"/>
          <w:szCs w:val="20"/>
        </w:rPr>
        <w:tab/>
      </w:r>
      <w:r>
        <w:rPr>
          <w:rFonts w:hint="default" w:ascii="Times New Roman" w:hAnsi="Times New Roman" w:eastAsia="宋体" w:cs="Times New Roman"/>
          <w:color w:val="auto"/>
          <w:sz w:val="20"/>
          <w:szCs w:val="20"/>
        </w:rPr>
        <w:tab/>
      </w:r>
      <w:r>
        <w:rPr>
          <w:rFonts w:hint="default" w:ascii="Times New Roman" w:hAnsi="Times New Roman" w:eastAsia="宋体" w:cs="Times New Roman"/>
          <w:color w:val="auto"/>
          <w:sz w:val="20"/>
          <w:szCs w:val="20"/>
        </w:rPr>
        <w:tab/>
      </w:r>
      <w:r>
        <w:rPr>
          <w:rFonts w:hint="default" w:ascii="Times New Roman" w:hAnsi="Times New Roman" w:eastAsia="宋体" w:cs="Times New Roman"/>
          <w:color w:val="auto"/>
          <w:sz w:val="20"/>
          <w:szCs w:val="20"/>
        </w:rPr>
        <w:tab/>
      </w:r>
      <w:r>
        <w:rPr>
          <w:rFonts w:hint="default" w:ascii="Times New Roman" w:hAnsi="Times New Roman" w:eastAsia="宋体" w:cs="Times New Roman"/>
          <w:color w:val="auto"/>
          <w:sz w:val="20"/>
          <w:szCs w:val="20"/>
        </w:rPr>
        <w:tab/>
      </w:r>
      <w:r>
        <w:rPr>
          <w:rFonts w:hint="default" w:ascii="Times New Roman" w:hAnsi="Times New Roman" w:eastAsia="宋体" w:cs="Times New Roman"/>
          <w:color w:val="auto"/>
          <w:sz w:val="20"/>
          <w:szCs w:val="20"/>
        </w:rPr>
        <w:tab/>
      </w:r>
      <w:r>
        <w:rPr>
          <w:rFonts w:hint="default" w:ascii="Times New Roman" w:hAnsi="Times New Roman" w:eastAsia="宋体" w:cs="Times New Roman"/>
          <w:color w:val="auto"/>
          <w:sz w:val="20"/>
          <w:szCs w:val="20"/>
        </w:rPr>
        <w:tab/>
      </w:r>
      <w:r>
        <w:rPr>
          <w:rFonts w:hint="default" w:ascii="Times New Roman" w:hAnsi="Times New Roman" w:eastAsia="宋体" w:cs="Times New Roman"/>
          <w:color w:val="auto"/>
          <w:sz w:val="20"/>
          <w:szCs w:val="20"/>
        </w:rPr>
        <w:tab/>
      </w:r>
      <w:r>
        <w:rPr>
          <w:rFonts w:hint="default" w:ascii="Times New Roman" w:hAnsi="Times New Roman" w:eastAsia="宋体" w:cs="Times New Roman"/>
          <w:color w:val="auto"/>
          <w:sz w:val="20"/>
          <w:szCs w:val="20"/>
        </w:rPr>
        <w:tab/>
      </w:r>
      <w:r>
        <w:rPr>
          <w:rFonts w:hint="default" w:ascii="Times New Roman" w:hAnsi="Times New Roman" w:eastAsia="宋体" w:cs="Times New Roman"/>
          <w:color w:val="auto"/>
          <w:sz w:val="20"/>
          <w:szCs w:val="20"/>
        </w:rPr>
        <w:tab/>
      </w:r>
      <w:r>
        <w:rPr>
          <w:rFonts w:hint="default" w:ascii="Times New Roman" w:hAnsi="Times New Roman" w:eastAsia="楷体_GB2312" w:cs="Times New Roman"/>
          <w:color w:val="auto"/>
          <w:sz w:val="20"/>
          <w:szCs w:val="20"/>
        </w:rPr>
        <w:tab/>
      </w:r>
      <w:r>
        <w:rPr>
          <w:rFonts w:hint="default" w:ascii="Times New Roman" w:hAnsi="Times New Roman" w:eastAsia="楷体_GB2312" w:cs="Times New Roman"/>
          <w:color w:val="auto"/>
          <w:kern w:val="0"/>
          <w:sz w:val="20"/>
          <w:szCs w:val="20"/>
          <w:lang w:bidi="ar"/>
        </w:rPr>
        <w:t>公开09表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hint="default" w:ascii="Times New Roman" w:hAnsi="Times New Roman" w:eastAsia="楷体_GB2312" w:cs="Times New Roman"/>
          <w:color w:val="auto"/>
          <w:sz w:val="20"/>
          <w:szCs w:val="20"/>
        </w:rPr>
      </w:pPr>
      <w:r>
        <w:rPr>
          <w:rFonts w:hint="default" w:ascii="Times New Roman" w:hAnsi="Times New Roman" w:eastAsia="楷体_GB2312" w:cs="Times New Roman"/>
          <w:color w:val="auto"/>
          <w:kern w:val="0"/>
          <w:sz w:val="20"/>
          <w:szCs w:val="20"/>
          <w:lang w:bidi="ar"/>
        </w:rPr>
        <w:t>部门：</w:t>
      </w:r>
      <w:r>
        <w:rPr>
          <w:rFonts w:hint="default" w:ascii="Times New Roman" w:hAnsi="Times New Roman" w:eastAsia="仿宋_GB2312" w:cs="Times New Roman"/>
          <w:color w:val="auto"/>
          <w:kern w:val="0"/>
          <w:sz w:val="20"/>
          <w:szCs w:val="20"/>
          <w:lang w:bidi="ar"/>
        </w:rPr>
        <w:t>湖南省饲料工业办公室</w:t>
      </w:r>
      <w:r>
        <w:rPr>
          <w:rFonts w:hint="default" w:ascii="Times New Roman" w:hAnsi="Times New Roman" w:eastAsia="楷体_GB2312" w:cs="Times New Roman"/>
          <w:color w:val="auto"/>
          <w:sz w:val="20"/>
          <w:szCs w:val="20"/>
        </w:rPr>
        <w:tab/>
      </w:r>
      <w:r>
        <w:rPr>
          <w:rFonts w:hint="default" w:ascii="Times New Roman" w:hAnsi="Times New Roman" w:eastAsia="楷体_GB2312" w:cs="Times New Roman"/>
          <w:color w:val="auto"/>
          <w:sz w:val="20"/>
          <w:szCs w:val="20"/>
        </w:rPr>
        <w:tab/>
      </w:r>
      <w:r>
        <w:rPr>
          <w:rFonts w:hint="default" w:ascii="Times New Roman" w:hAnsi="Times New Roman" w:eastAsia="楷体_GB2312" w:cs="Times New Roman"/>
          <w:color w:val="auto"/>
          <w:sz w:val="20"/>
          <w:szCs w:val="20"/>
        </w:rPr>
        <w:tab/>
      </w:r>
      <w:r>
        <w:rPr>
          <w:rFonts w:hint="default" w:ascii="Times New Roman" w:hAnsi="Times New Roman" w:eastAsia="楷体_GB2312" w:cs="Times New Roman"/>
          <w:color w:val="auto"/>
          <w:sz w:val="20"/>
          <w:szCs w:val="20"/>
        </w:rPr>
        <w:tab/>
      </w:r>
      <w:r>
        <w:rPr>
          <w:rFonts w:hint="default" w:ascii="Times New Roman" w:hAnsi="Times New Roman" w:eastAsia="楷体_GB2312" w:cs="Times New Roman"/>
          <w:color w:val="auto"/>
          <w:sz w:val="20"/>
          <w:szCs w:val="20"/>
        </w:rPr>
        <w:tab/>
      </w:r>
      <w:r>
        <w:rPr>
          <w:rFonts w:hint="default" w:ascii="Times New Roman" w:hAnsi="Times New Roman" w:eastAsia="楷体_GB2312" w:cs="Times New Roman"/>
          <w:color w:val="auto"/>
          <w:sz w:val="20"/>
          <w:szCs w:val="20"/>
        </w:rPr>
        <w:tab/>
      </w:r>
      <w:r>
        <w:rPr>
          <w:rFonts w:hint="default" w:ascii="Times New Roman" w:hAnsi="Times New Roman" w:eastAsia="楷体_GB2312" w:cs="Times New Roman"/>
          <w:color w:val="auto"/>
          <w:sz w:val="20"/>
          <w:szCs w:val="20"/>
        </w:rPr>
        <w:tab/>
      </w:r>
      <w:r>
        <w:rPr>
          <w:rFonts w:hint="default" w:ascii="Times New Roman" w:hAnsi="Times New Roman" w:eastAsia="楷体_GB2312" w:cs="Times New Roman"/>
          <w:color w:val="auto"/>
          <w:sz w:val="20"/>
          <w:szCs w:val="20"/>
        </w:rPr>
        <w:tab/>
      </w:r>
      <w:r>
        <w:rPr>
          <w:rFonts w:hint="default" w:ascii="Times New Roman" w:hAnsi="Times New Roman" w:eastAsia="楷体_GB2312" w:cs="Times New Roman"/>
          <w:color w:val="auto"/>
          <w:sz w:val="20"/>
          <w:szCs w:val="20"/>
        </w:rPr>
        <w:tab/>
      </w:r>
      <w:r>
        <w:rPr>
          <w:rFonts w:hint="default" w:ascii="Times New Roman" w:hAnsi="Times New Roman" w:eastAsia="楷体_GB2312" w:cs="Times New Roman"/>
          <w:color w:val="auto"/>
          <w:kern w:val="0"/>
          <w:sz w:val="20"/>
          <w:szCs w:val="20"/>
          <w:lang w:bidi="ar"/>
        </w:rPr>
        <w:t>单位：万元</w:t>
      </w:r>
    </w:p>
    <w:tbl>
      <w:tblPr>
        <w:tblStyle w:val="11"/>
        <w:tblW w:w="14544" w:type="dxa"/>
        <w:jc w:val="center"/>
        <w:tblLayout w:type="fixed"/>
        <w:tblCellMar>
          <w:top w:w="0" w:type="dxa"/>
          <w:left w:w="108" w:type="dxa"/>
          <w:bottom w:w="0" w:type="dxa"/>
          <w:right w:w="108" w:type="dxa"/>
        </w:tblCellMar>
      </w:tblPr>
      <w:tblGrid>
        <w:gridCol w:w="935"/>
        <w:gridCol w:w="1229"/>
        <w:gridCol w:w="1086"/>
        <w:gridCol w:w="1188"/>
        <w:gridCol w:w="1425"/>
        <w:gridCol w:w="1373"/>
        <w:gridCol w:w="1050"/>
        <w:gridCol w:w="1166"/>
        <w:gridCol w:w="1166"/>
        <w:gridCol w:w="1166"/>
        <w:gridCol w:w="1358"/>
        <w:gridCol w:w="1402"/>
      </w:tblGrid>
      <w:tr>
        <w:tblPrEx>
          <w:tblCellMar>
            <w:top w:w="0" w:type="dxa"/>
            <w:left w:w="108" w:type="dxa"/>
            <w:bottom w:w="0" w:type="dxa"/>
            <w:right w:w="108" w:type="dxa"/>
          </w:tblCellMar>
        </w:tblPrEx>
        <w:trPr>
          <w:trHeight w:val="606" w:hRule="atLeast"/>
          <w:jc w:val="center"/>
        </w:trPr>
        <w:tc>
          <w:tcPr>
            <w:tcW w:w="72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2"/>
              </w:rPr>
            </w:pPr>
            <w:r>
              <w:rPr>
                <w:rFonts w:hint="default" w:ascii="Times New Roman" w:hAnsi="Times New Roman" w:eastAsia="仿宋_GB2312" w:cs="Times New Roman"/>
                <w:b/>
                <w:bCs/>
                <w:color w:val="auto"/>
                <w:kern w:val="0"/>
                <w:sz w:val="22"/>
                <w:lang w:bidi="ar"/>
              </w:rPr>
              <w:t>预算数</w:t>
            </w:r>
          </w:p>
        </w:tc>
        <w:tc>
          <w:tcPr>
            <w:tcW w:w="73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2"/>
              </w:rPr>
            </w:pPr>
            <w:r>
              <w:rPr>
                <w:rFonts w:hint="default" w:ascii="Times New Roman" w:hAnsi="Times New Roman" w:eastAsia="仿宋_GB2312" w:cs="Times New Roman"/>
                <w:b/>
                <w:bCs/>
                <w:color w:val="auto"/>
                <w:kern w:val="0"/>
                <w:sz w:val="22"/>
                <w:lang w:bidi="ar"/>
              </w:rPr>
              <w:t>决算数</w:t>
            </w:r>
          </w:p>
        </w:tc>
      </w:tr>
      <w:tr>
        <w:tblPrEx>
          <w:tblCellMar>
            <w:top w:w="0" w:type="dxa"/>
            <w:left w:w="108" w:type="dxa"/>
            <w:bottom w:w="0" w:type="dxa"/>
            <w:right w:w="108" w:type="dxa"/>
          </w:tblCellMar>
        </w:tblPrEx>
        <w:trPr>
          <w:trHeight w:val="495" w:hRule="atLeast"/>
          <w:jc w:val="center"/>
        </w:trPr>
        <w:tc>
          <w:tcPr>
            <w:tcW w:w="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2"/>
              </w:rPr>
            </w:pPr>
            <w:r>
              <w:rPr>
                <w:rFonts w:hint="default" w:ascii="Times New Roman" w:hAnsi="Times New Roman" w:eastAsia="仿宋_GB2312" w:cs="Times New Roman"/>
                <w:b/>
                <w:bCs/>
                <w:color w:val="auto"/>
                <w:kern w:val="0"/>
                <w:sz w:val="22"/>
                <w:lang w:bidi="ar"/>
              </w:rPr>
              <w:t>合计</w:t>
            </w:r>
          </w:p>
        </w:tc>
        <w:tc>
          <w:tcPr>
            <w:tcW w:w="12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2"/>
              </w:rPr>
            </w:pPr>
            <w:r>
              <w:rPr>
                <w:rFonts w:hint="default" w:ascii="Times New Roman" w:hAnsi="Times New Roman" w:eastAsia="仿宋_GB2312" w:cs="Times New Roman"/>
                <w:b/>
                <w:bCs/>
                <w:color w:val="auto"/>
                <w:kern w:val="0"/>
                <w:sz w:val="22"/>
                <w:lang w:bidi="ar"/>
              </w:rPr>
              <w:t>因公出国（境）费</w:t>
            </w:r>
          </w:p>
        </w:tc>
        <w:tc>
          <w:tcPr>
            <w:tcW w:w="36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2"/>
              </w:rPr>
            </w:pPr>
            <w:r>
              <w:rPr>
                <w:rFonts w:hint="default" w:ascii="Times New Roman" w:hAnsi="Times New Roman" w:eastAsia="仿宋_GB2312" w:cs="Times New Roman"/>
                <w:b/>
                <w:bCs/>
                <w:color w:val="auto"/>
                <w:kern w:val="0"/>
                <w:sz w:val="22"/>
                <w:lang w:bidi="ar"/>
              </w:rPr>
              <w:t>公务用车购置及运行维护费</w:t>
            </w:r>
          </w:p>
        </w:tc>
        <w:tc>
          <w:tcPr>
            <w:tcW w:w="13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2"/>
              </w:rPr>
            </w:pPr>
            <w:r>
              <w:rPr>
                <w:rFonts w:hint="default" w:ascii="Times New Roman" w:hAnsi="Times New Roman" w:eastAsia="仿宋_GB2312" w:cs="Times New Roman"/>
                <w:b/>
                <w:bCs/>
                <w:color w:val="auto"/>
                <w:kern w:val="0"/>
                <w:sz w:val="22"/>
                <w:lang w:bidi="ar"/>
              </w:rPr>
              <w:t>公务接待费</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2"/>
              </w:rPr>
            </w:pPr>
            <w:r>
              <w:rPr>
                <w:rFonts w:hint="default" w:ascii="Times New Roman" w:hAnsi="Times New Roman" w:eastAsia="仿宋_GB2312" w:cs="Times New Roman"/>
                <w:b/>
                <w:bCs/>
                <w:color w:val="auto"/>
                <w:kern w:val="0"/>
                <w:sz w:val="22"/>
                <w:lang w:bidi="ar"/>
              </w:rPr>
              <w:t>合计</w:t>
            </w:r>
          </w:p>
        </w:tc>
        <w:tc>
          <w:tcPr>
            <w:tcW w:w="11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2"/>
              </w:rPr>
            </w:pPr>
            <w:r>
              <w:rPr>
                <w:rFonts w:hint="default" w:ascii="Times New Roman" w:hAnsi="Times New Roman" w:eastAsia="仿宋_GB2312" w:cs="Times New Roman"/>
                <w:b/>
                <w:bCs/>
                <w:color w:val="auto"/>
                <w:kern w:val="0"/>
                <w:sz w:val="22"/>
                <w:lang w:bidi="ar"/>
              </w:rPr>
              <w:t>因公出国（境）费</w:t>
            </w:r>
          </w:p>
        </w:tc>
        <w:tc>
          <w:tcPr>
            <w:tcW w:w="3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2"/>
              </w:rPr>
            </w:pPr>
            <w:r>
              <w:rPr>
                <w:rFonts w:hint="default" w:ascii="Times New Roman" w:hAnsi="Times New Roman" w:eastAsia="仿宋_GB2312" w:cs="Times New Roman"/>
                <w:b/>
                <w:bCs/>
                <w:color w:val="auto"/>
                <w:kern w:val="0"/>
                <w:sz w:val="22"/>
                <w:lang w:bidi="ar"/>
              </w:rPr>
              <w:t>公务用车购置及运行维护费</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2"/>
              </w:rPr>
            </w:pPr>
            <w:r>
              <w:rPr>
                <w:rFonts w:hint="default" w:ascii="Times New Roman" w:hAnsi="Times New Roman" w:eastAsia="仿宋_GB2312" w:cs="Times New Roman"/>
                <w:b/>
                <w:bCs/>
                <w:color w:val="auto"/>
                <w:kern w:val="0"/>
                <w:sz w:val="22"/>
                <w:lang w:bidi="ar"/>
              </w:rPr>
              <w:t>公务接待费</w:t>
            </w:r>
          </w:p>
        </w:tc>
      </w:tr>
      <w:tr>
        <w:tblPrEx>
          <w:tblCellMar>
            <w:top w:w="0" w:type="dxa"/>
            <w:left w:w="108" w:type="dxa"/>
            <w:bottom w:w="0" w:type="dxa"/>
            <w:right w:w="108" w:type="dxa"/>
          </w:tblCellMar>
        </w:tblPrEx>
        <w:trPr>
          <w:trHeight w:val="864" w:hRule="atLeast"/>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2"/>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2"/>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2"/>
              </w:rPr>
            </w:pPr>
            <w:r>
              <w:rPr>
                <w:rFonts w:hint="default" w:ascii="Times New Roman" w:hAnsi="Times New Roman" w:eastAsia="仿宋_GB2312" w:cs="Times New Roman"/>
                <w:b/>
                <w:bCs/>
                <w:color w:val="auto"/>
                <w:kern w:val="0"/>
                <w:sz w:val="22"/>
                <w:lang w:bidi="ar"/>
              </w:rPr>
              <w:t>小计</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2"/>
              </w:rPr>
            </w:pPr>
            <w:r>
              <w:rPr>
                <w:rFonts w:hint="default" w:ascii="Times New Roman" w:hAnsi="Times New Roman" w:eastAsia="仿宋_GB2312" w:cs="Times New Roman"/>
                <w:b/>
                <w:bCs/>
                <w:color w:val="auto"/>
                <w:kern w:val="0"/>
                <w:sz w:val="22"/>
                <w:lang w:bidi="ar"/>
              </w:rPr>
              <w:t>公务用车</w:t>
            </w:r>
            <w:r>
              <w:rPr>
                <w:rFonts w:hint="default" w:ascii="Times New Roman" w:hAnsi="Times New Roman" w:eastAsia="仿宋_GB2312" w:cs="Times New Roman"/>
                <w:b/>
                <w:bCs/>
                <w:color w:val="auto"/>
                <w:kern w:val="0"/>
                <w:sz w:val="22"/>
                <w:lang w:bidi="ar"/>
              </w:rPr>
              <w:br w:type="textWrapping"/>
            </w:r>
            <w:r>
              <w:rPr>
                <w:rFonts w:hint="default" w:ascii="Times New Roman" w:hAnsi="Times New Roman" w:eastAsia="仿宋_GB2312" w:cs="Times New Roman"/>
                <w:b/>
                <w:bCs/>
                <w:color w:val="auto"/>
                <w:kern w:val="0"/>
                <w:sz w:val="22"/>
                <w:lang w:bidi="ar"/>
              </w:rPr>
              <w:t>购置费</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2"/>
              </w:rPr>
            </w:pPr>
            <w:r>
              <w:rPr>
                <w:rFonts w:hint="default" w:ascii="Times New Roman" w:hAnsi="Times New Roman" w:eastAsia="仿宋_GB2312" w:cs="Times New Roman"/>
                <w:b/>
                <w:bCs/>
                <w:color w:val="auto"/>
                <w:kern w:val="0"/>
                <w:sz w:val="22"/>
                <w:lang w:bidi="ar"/>
              </w:rPr>
              <w:t>公务用车</w:t>
            </w:r>
            <w:r>
              <w:rPr>
                <w:rFonts w:hint="default" w:ascii="Times New Roman" w:hAnsi="Times New Roman" w:eastAsia="仿宋_GB2312" w:cs="Times New Roman"/>
                <w:b/>
                <w:bCs/>
                <w:color w:val="auto"/>
                <w:kern w:val="0"/>
                <w:sz w:val="22"/>
                <w:lang w:bidi="ar"/>
              </w:rPr>
              <w:br w:type="textWrapping"/>
            </w:r>
            <w:r>
              <w:rPr>
                <w:rFonts w:hint="default" w:ascii="Times New Roman" w:hAnsi="Times New Roman" w:eastAsia="仿宋_GB2312" w:cs="Times New Roman"/>
                <w:b/>
                <w:bCs/>
                <w:color w:val="auto"/>
                <w:kern w:val="0"/>
                <w:sz w:val="22"/>
                <w:lang w:bidi="ar"/>
              </w:rPr>
              <w:t>运行维护费</w:t>
            </w:r>
          </w:p>
        </w:tc>
        <w:tc>
          <w:tcPr>
            <w:tcW w:w="13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2"/>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2"/>
              </w:rPr>
            </w:pPr>
          </w:p>
        </w:tc>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2"/>
              </w:rPr>
            </w:pPr>
            <w:r>
              <w:rPr>
                <w:rFonts w:hint="default" w:ascii="Times New Roman" w:hAnsi="Times New Roman" w:eastAsia="仿宋_GB2312" w:cs="Times New Roman"/>
                <w:b/>
                <w:bCs/>
                <w:color w:val="auto"/>
                <w:kern w:val="0"/>
                <w:sz w:val="22"/>
                <w:lang w:bidi="ar"/>
              </w:rPr>
              <w:t>小计</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2"/>
              </w:rPr>
            </w:pPr>
            <w:r>
              <w:rPr>
                <w:rFonts w:hint="default" w:ascii="Times New Roman" w:hAnsi="Times New Roman" w:eastAsia="仿宋_GB2312" w:cs="Times New Roman"/>
                <w:b/>
                <w:bCs/>
                <w:color w:val="auto"/>
                <w:kern w:val="0"/>
                <w:sz w:val="22"/>
                <w:lang w:bidi="ar"/>
              </w:rPr>
              <w:t>公务用车</w:t>
            </w:r>
            <w:r>
              <w:rPr>
                <w:rFonts w:hint="default" w:ascii="Times New Roman" w:hAnsi="Times New Roman" w:eastAsia="仿宋_GB2312" w:cs="Times New Roman"/>
                <w:b/>
                <w:bCs/>
                <w:color w:val="auto"/>
                <w:kern w:val="0"/>
                <w:sz w:val="22"/>
                <w:lang w:bidi="ar"/>
              </w:rPr>
              <w:br w:type="textWrapping"/>
            </w:r>
            <w:r>
              <w:rPr>
                <w:rFonts w:hint="default" w:ascii="Times New Roman" w:hAnsi="Times New Roman" w:eastAsia="仿宋_GB2312" w:cs="Times New Roman"/>
                <w:b/>
                <w:bCs/>
                <w:color w:val="auto"/>
                <w:kern w:val="0"/>
                <w:sz w:val="22"/>
                <w:lang w:bidi="ar"/>
              </w:rPr>
              <w:t>购置费</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2"/>
              </w:rPr>
            </w:pPr>
            <w:r>
              <w:rPr>
                <w:rFonts w:hint="default" w:ascii="Times New Roman" w:hAnsi="Times New Roman" w:eastAsia="仿宋_GB2312" w:cs="Times New Roman"/>
                <w:b/>
                <w:bCs/>
                <w:color w:val="auto"/>
                <w:kern w:val="0"/>
                <w:sz w:val="22"/>
                <w:lang w:bidi="ar"/>
              </w:rPr>
              <w:t>公务用车</w:t>
            </w:r>
            <w:r>
              <w:rPr>
                <w:rFonts w:hint="default" w:ascii="Times New Roman" w:hAnsi="Times New Roman" w:eastAsia="仿宋_GB2312" w:cs="Times New Roman"/>
                <w:b/>
                <w:bCs/>
                <w:color w:val="auto"/>
                <w:kern w:val="0"/>
                <w:sz w:val="22"/>
                <w:lang w:bidi="ar"/>
              </w:rPr>
              <w:br w:type="textWrapping"/>
            </w:r>
            <w:r>
              <w:rPr>
                <w:rFonts w:hint="default" w:ascii="Times New Roman" w:hAnsi="Times New Roman" w:eastAsia="仿宋_GB2312" w:cs="Times New Roman"/>
                <w:b/>
                <w:bCs/>
                <w:color w:val="auto"/>
                <w:kern w:val="0"/>
                <w:sz w:val="22"/>
                <w:lang w:bidi="ar"/>
              </w:rPr>
              <w:t>运行维护费</w:t>
            </w: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2"/>
              </w:rPr>
            </w:pPr>
          </w:p>
        </w:tc>
      </w:tr>
      <w:tr>
        <w:tblPrEx>
          <w:tblCellMar>
            <w:top w:w="0" w:type="dxa"/>
            <w:left w:w="108" w:type="dxa"/>
            <w:bottom w:w="0" w:type="dxa"/>
            <w:right w:w="108" w:type="dxa"/>
          </w:tblCellMar>
        </w:tblPrEx>
        <w:trPr>
          <w:trHeight w:val="614" w:hRule="atLeast"/>
          <w:jc w:val="center"/>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2"/>
              </w:rPr>
            </w:pPr>
            <w:r>
              <w:rPr>
                <w:rFonts w:hint="default" w:ascii="Times New Roman" w:hAnsi="Times New Roman" w:eastAsia="仿宋_GB2312" w:cs="Times New Roman"/>
                <w:color w:val="auto"/>
                <w:kern w:val="0"/>
                <w:sz w:val="22"/>
                <w:lang w:bidi="ar"/>
              </w:rPr>
              <w:t>1</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2"/>
              </w:rPr>
            </w:pPr>
            <w:r>
              <w:rPr>
                <w:rFonts w:hint="default" w:ascii="Times New Roman" w:hAnsi="Times New Roman" w:eastAsia="仿宋_GB2312" w:cs="Times New Roman"/>
                <w:color w:val="auto"/>
                <w:kern w:val="0"/>
                <w:sz w:val="22"/>
                <w:lang w:bidi="ar"/>
              </w:rPr>
              <w:t>2</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2"/>
              </w:rPr>
            </w:pPr>
            <w:r>
              <w:rPr>
                <w:rFonts w:hint="default" w:ascii="Times New Roman" w:hAnsi="Times New Roman" w:eastAsia="仿宋_GB2312" w:cs="Times New Roman"/>
                <w:color w:val="auto"/>
                <w:kern w:val="0"/>
                <w:sz w:val="22"/>
                <w:lang w:bidi="ar"/>
              </w:rPr>
              <w:t>3</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2"/>
              </w:rPr>
            </w:pPr>
            <w:r>
              <w:rPr>
                <w:rFonts w:hint="default" w:ascii="Times New Roman" w:hAnsi="Times New Roman" w:eastAsia="仿宋_GB2312" w:cs="Times New Roman"/>
                <w:color w:val="auto"/>
                <w:kern w:val="0"/>
                <w:sz w:val="22"/>
                <w:lang w:bidi="ar"/>
              </w:rPr>
              <w:t>4</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2"/>
              </w:rPr>
            </w:pPr>
            <w:r>
              <w:rPr>
                <w:rFonts w:hint="default" w:ascii="Times New Roman" w:hAnsi="Times New Roman" w:eastAsia="仿宋_GB2312" w:cs="Times New Roman"/>
                <w:color w:val="auto"/>
                <w:kern w:val="0"/>
                <w:sz w:val="22"/>
                <w:lang w:bidi="ar"/>
              </w:rPr>
              <w:t>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2"/>
              </w:rPr>
            </w:pPr>
            <w:r>
              <w:rPr>
                <w:rFonts w:hint="default" w:ascii="Times New Roman" w:hAnsi="Times New Roman" w:eastAsia="仿宋_GB2312" w:cs="Times New Roman"/>
                <w:color w:val="auto"/>
                <w:kern w:val="0"/>
                <w:sz w:val="22"/>
                <w:lang w:bidi="ar"/>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2"/>
              </w:rPr>
            </w:pPr>
            <w:r>
              <w:rPr>
                <w:rFonts w:hint="default" w:ascii="Times New Roman" w:hAnsi="Times New Roman" w:eastAsia="仿宋_GB2312" w:cs="Times New Roman"/>
                <w:color w:val="auto"/>
                <w:kern w:val="0"/>
                <w:sz w:val="22"/>
                <w:lang w:bidi="ar"/>
              </w:rPr>
              <w:t>7</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2"/>
              </w:rPr>
            </w:pPr>
            <w:r>
              <w:rPr>
                <w:rFonts w:hint="default" w:ascii="Times New Roman" w:hAnsi="Times New Roman" w:eastAsia="仿宋_GB2312" w:cs="Times New Roman"/>
                <w:color w:val="auto"/>
                <w:kern w:val="0"/>
                <w:sz w:val="22"/>
                <w:lang w:bidi="ar"/>
              </w:rPr>
              <w:t>8</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2"/>
              </w:rPr>
            </w:pPr>
            <w:r>
              <w:rPr>
                <w:rFonts w:hint="default" w:ascii="Times New Roman" w:hAnsi="Times New Roman" w:eastAsia="仿宋_GB2312" w:cs="Times New Roman"/>
                <w:color w:val="auto"/>
                <w:kern w:val="0"/>
                <w:sz w:val="22"/>
                <w:lang w:bidi="ar"/>
              </w:rPr>
              <w:t>9</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2"/>
              </w:rPr>
            </w:pPr>
            <w:r>
              <w:rPr>
                <w:rFonts w:hint="default" w:ascii="Times New Roman" w:hAnsi="Times New Roman" w:eastAsia="仿宋_GB2312" w:cs="Times New Roman"/>
                <w:color w:val="auto"/>
                <w:kern w:val="0"/>
                <w:sz w:val="22"/>
                <w:lang w:bidi="ar"/>
              </w:rPr>
              <w:t>10</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2"/>
              </w:rPr>
            </w:pPr>
            <w:r>
              <w:rPr>
                <w:rFonts w:hint="default" w:ascii="Times New Roman" w:hAnsi="Times New Roman" w:eastAsia="仿宋_GB2312" w:cs="Times New Roman"/>
                <w:color w:val="auto"/>
                <w:kern w:val="0"/>
                <w:sz w:val="22"/>
                <w:lang w:bidi="ar"/>
              </w:rPr>
              <w:t>11</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2"/>
              </w:rPr>
            </w:pPr>
            <w:r>
              <w:rPr>
                <w:rFonts w:hint="default" w:ascii="Times New Roman" w:hAnsi="Times New Roman" w:eastAsia="仿宋_GB2312" w:cs="Times New Roman"/>
                <w:color w:val="auto"/>
                <w:kern w:val="0"/>
                <w:sz w:val="22"/>
                <w:lang w:bidi="ar"/>
              </w:rPr>
              <w:t>12</w:t>
            </w:r>
          </w:p>
        </w:tc>
      </w:tr>
      <w:tr>
        <w:tblPrEx>
          <w:tblCellMar>
            <w:top w:w="0" w:type="dxa"/>
            <w:left w:w="108" w:type="dxa"/>
            <w:bottom w:w="0" w:type="dxa"/>
            <w:right w:w="108" w:type="dxa"/>
          </w:tblCellMar>
        </w:tblPrEx>
        <w:trPr>
          <w:trHeight w:val="579" w:hRule="atLeast"/>
          <w:jc w:val="center"/>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color w:val="auto"/>
                <w:sz w:val="22"/>
              </w:rPr>
            </w:pPr>
            <w:r>
              <w:rPr>
                <w:rFonts w:hint="default" w:ascii="Times New Roman" w:hAnsi="Times New Roman" w:eastAsia="宋体" w:cs="Times New Roman"/>
                <w:i w:val="0"/>
                <w:color w:val="auto"/>
                <w:kern w:val="0"/>
                <w:sz w:val="22"/>
                <w:szCs w:val="22"/>
                <w:u w:val="none"/>
                <w:lang w:val="en-US" w:eastAsia="zh-CN" w:bidi="ar"/>
              </w:rPr>
              <w:t>0.30</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Times New Roman" w:hAnsi="Times New Roman" w:eastAsia="仿宋_GB2312" w:cs="Times New Roman"/>
                <w:color w:val="auto"/>
                <w:sz w:val="22"/>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Times New Roman" w:hAnsi="Times New Roman" w:eastAsia="仿宋_GB2312" w:cs="Times New Roman"/>
                <w:color w:val="auto"/>
                <w:sz w:val="22"/>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Times New Roman" w:hAnsi="Times New Roman" w:eastAsia="仿宋_GB2312" w:cs="Times New Roman"/>
                <w:color w:val="auto"/>
                <w:sz w:val="22"/>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Times New Roman" w:hAnsi="Times New Roman" w:eastAsia="仿宋_GB2312" w:cs="Times New Roman"/>
                <w:color w:val="auto"/>
                <w:sz w:val="22"/>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color w:val="auto"/>
                <w:sz w:val="22"/>
              </w:rPr>
            </w:pPr>
            <w:r>
              <w:rPr>
                <w:rFonts w:hint="default" w:ascii="Times New Roman" w:hAnsi="Times New Roman" w:eastAsia="宋体" w:cs="Times New Roman"/>
                <w:i w:val="0"/>
                <w:color w:val="auto"/>
                <w:kern w:val="0"/>
                <w:sz w:val="22"/>
                <w:szCs w:val="22"/>
                <w:u w:val="none"/>
                <w:lang w:val="en-US" w:eastAsia="zh-CN" w:bidi="ar"/>
              </w:rPr>
              <w:t>0.30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Times New Roman" w:hAnsi="Times New Roman" w:eastAsia="仿宋_GB2312" w:cs="Times New Roman"/>
                <w:color w:val="auto"/>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Times New Roman" w:hAnsi="Times New Roman" w:eastAsia="仿宋_GB2312" w:cs="Times New Roman"/>
                <w:color w:val="auto"/>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Times New Roman" w:hAnsi="Times New Roman" w:eastAsia="仿宋_GB2312" w:cs="Times New Roman"/>
                <w:color w:val="auto"/>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Times New Roman" w:hAnsi="Times New Roman" w:eastAsia="仿宋_GB2312" w:cs="Times New Roman"/>
                <w:color w:val="auto"/>
                <w:sz w:val="22"/>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Times New Roman" w:hAnsi="Times New Roman" w:eastAsia="仿宋_GB2312" w:cs="Times New Roman"/>
                <w:color w:val="auto"/>
                <w:sz w:val="22"/>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Times New Roman" w:hAnsi="Times New Roman" w:eastAsia="仿宋_GB2312" w:cs="Times New Roman"/>
                <w:color w:val="auto"/>
                <w:sz w:val="22"/>
              </w:rPr>
            </w:pPr>
          </w:p>
        </w:tc>
      </w:tr>
    </w:tbl>
    <w:p>
      <w:pPr>
        <w:widowControl/>
        <w:spacing w:before="120"/>
        <w:jc w:val="left"/>
        <w:textAlignment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lang w:bidi="ar"/>
        </w:rPr>
        <w:t>注：本表反映部门本年度财政拨款“三公”经费支出预决算情况。其中，预算数为“三公”经费全年预算数，反映按规定程序调整后的预算数；决算数是包括当年财政拨款和以前年度结转资金安排的实际支出。</w:t>
      </w:r>
    </w:p>
    <w:p>
      <w:pPr>
        <w:autoSpaceDE w:val="0"/>
        <w:autoSpaceDN w:val="0"/>
        <w:adjustRightInd w:val="0"/>
        <w:ind w:left="315" w:leftChars="150"/>
        <w:jc w:val="left"/>
        <w:rPr>
          <w:rFonts w:hint="default" w:ascii="Times New Roman" w:hAnsi="Times New Roman" w:eastAsia="宋体" w:cs="Times New Roman"/>
          <w:color w:val="auto"/>
          <w:kern w:val="0"/>
          <w:sz w:val="24"/>
          <w:szCs w:val="24"/>
        </w:rPr>
      </w:pPr>
    </w:p>
    <w:p>
      <w:pPr>
        <w:autoSpaceDE w:val="0"/>
        <w:autoSpaceDN w:val="0"/>
        <w:adjustRightInd w:val="0"/>
        <w:ind w:left="315" w:leftChars="150"/>
        <w:jc w:val="left"/>
        <w:rPr>
          <w:rFonts w:hint="default" w:ascii="Times New Roman" w:hAnsi="Times New Roman" w:eastAsia="宋体" w:cs="Times New Roman"/>
          <w:color w:val="auto"/>
          <w:kern w:val="0"/>
          <w:sz w:val="24"/>
          <w:szCs w:val="24"/>
        </w:rPr>
      </w:pPr>
    </w:p>
    <w:p>
      <w:pPr>
        <w:autoSpaceDE w:val="0"/>
        <w:autoSpaceDN w:val="0"/>
        <w:adjustRightInd w:val="0"/>
        <w:ind w:left="315" w:leftChars="150"/>
        <w:jc w:val="left"/>
        <w:rPr>
          <w:rFonts w:hint="default" w:ascii="Times New Roman" w:hAnsi="Times New Roman" w:eastAsia="宋体" w:cs="Times New Roman"/>
          <w:color w:val="auto"/>
          <w:kern w:val="0"/>
          <w:sz w:val="24"/>
          <w:szCs w:val="24"/>
        </w:rPr>
      </w:pPr>
    </w:p>
    <w:p>
      <w:pPr>
        <w:autoSpaceDE w:val="0"/>
        <w:autoSpaceDN w:val="0"/>
        <w:adjustRightInd w:val="0"/>
        <w:ind w:left="315" w:leftChars="150"/>
        <w:jc w:val="left"/>
        <w:rPr>
          <w:rFonts w:hint="default" w:ascii="Times New Roman" w:hAnsi="Times New Roman" w:eastAsia="宋体" w:cs="Times New Roman"/>
          <w:color w:val="auto"/>
          <w:kern w:val="0"/>
          <w:sz w:val="24"/>
          <w:szCs w:val="24"/>
        </w:rPr>
      </w:pPr>
    </w:p>
    <w:p>
      <w:pPr>
        <w:autoSpaceDE w:val="0"/>
        <w:autoSpaceDN w:val="0"/>
        <w:adjustRightInd w:val="0"/>
        <w:ind w:left="315" w:leftChars="150"/>
        <w:jc w:val="left"/>
        <w:rPr>
          <w:rFonts w:hint="default" w:ascii="Times New Roman" w:hAnsi="Times New Roman" w:eastAsia="宋体" w:cs="Times New Roman"/>
          <w:color w:val="auto"/>
          <w:kern w:val="0"/>
          <w:sz w:val="24"/>
          <w:szCs w:val="24"/>
        </w:rPr>
      </w:pPr>
    </w:p>
    <w:p>
      <w:pPr>
        <w:widowControl/>
        <w:rPr>
          <w:rFonts w:hint="default" w:ascii="Times New Roman" w:hAnsi="Times New Roman" w:cs="Times New Roman"/>
          <w:color w:val="auto"/>
          <w:sz w:val="72"/>
          <w:szCs w:val="72"/>
        </w:rPr>
        <w:sectPr>
          <w:pgSz w:w="16838" w:h="11906" w:orient="landscape"/>
          <w:pgMar w:top="1134" w:right="1417" w:bottom="1134" w:left="1417" w:header="851" w:footer="992" w:gutter="0"/>
          <w:cols w:space="425" w:num="1"/>
          <w:docGrid w:type="lines" w:linePitch="312" w:charSpace="0"/>
        </w:sectPr>
      </w:pPr>
      <w:r>
        <w:rPr>
          <w:rFonts w:hint="default" w:ascii="Times New Roman" w:hAnsi="Times New Roman" w:eastAsia="黑体" w:cs="Times New Roman"/>
          <w:color w:val="auto"/>
          <w:szCs w:val="21"/>
        </w:rPr>
        <w:br w:type="page"/>
      </w:r>
    </w:p>
    <w:p>
      <w:pPr>
        <w:pStyle w:val="16"/>
        <w:rPr>
          <w:rFonts w:hint="default" w:ascii="Times New Roman" w:hAnsi="Times New Roman" w:cs="Times New Roman"/>
          <w:color w:val="auto"/>
          <w:sz w:val="72"/>
          <w:szCs w:val="72"/>
        </w:rPr>
      </w:pPr>
    </w:p>
    <w:p>
      <w:pPr>
        <w:pStyle w:val="16"/>
        <w:rPr>
          <w:rFonts w:hint="default" w:ascii="Times New Roman" w:hAnsi="Times New Roman" w:cs="Times New Roman"/>
          <w:color w:val="auto"/>
          <w:sz w:val="72"/>
          <w:szCs w:val="72"/>
        </w:rPr>
      </w:pPr>
    </w:p>
    <w:p>
      <w:pPr>
        <w:pStyle w:val="16"/>
        <w:rPr>
          <w:rFonts w:hint="default" w:ascii="Times New Roman" w:hAnsi="Times New Roman" w:cs="Times New Roman"/>
          <w:color w:val="auto"/>
          <w:sz w:val="72"/>
          <w:szCs w:val="72"/>
        </w:rPr>
      </w:pPr>
    </w:p>
    <w:p>
      <w:pPr>
        <w:pStyle w:val="16"/>
        <w:jc w:val="center"/>
        <w:rPr>
          <w:rFonts w:hint="default" w:ascii="Times New Roman" w:hAnsi="Times New Roman" w:cs="Times New Roman"/>
          <w:color w:val="auto"/>
          <w:sz w:val="72"/>
          <w:szCs w:val="72"/>
        </w:rPr>
      </w:pPr>
    </w:p>
    <w:p>
      <w:pPr>
        <w:pStyle w:val="16"/>
        <w:jc w:val="center"/>
        <w:rPr>
          <w:rFonts w:hint="default" w:ascii="Times New Roman" w:hAnsi="Times New Roman" w:eastAsia="方正小标宋_GBK" w:cs="Times New Roman"/>
          <w:color w:val="auto"/>
          <w:sz w:val="72"/>
          <w:szCs w:val="72"/>
        </w:rPr>
      </w:pPr>
    </w:p>
    <w:p>
      <w:pPr>
        <w:pStyle w:val="16"/>
        <w:spacing w:line="360" w:lineRule="auto"/>
        <w:jc w:val="center"/>
        <w:rPr>
          <w:rFonts w:hint="default" w:ascii="Times New Roman" w:hAnsi="Times New Roman" w:eastAsia="方正小标宋_GBK" w:cs="Times New Roman"/>
          <w:color w:val="auto"/>
          <w:sz w:val="52"/>
          <w:szCs w:val="52"/>
        </w:rPr>
      </w:pPr>
      <w:r>
        <w:rPr>
          <w:rFonts w:hint="default" w:ascii="Times New Roman" w:hAnsi="Times New Roman" w:eastAsia="方正小标宋_GBK" w:cs="Times New Roman"/>
          <w:color w:val="auto"/>
          <w:sz w:val="52"/>
          <w:szCs w:val="52"/>
        </w:rPr>
        <w:t>第三部分</w:t>
      </w:r>
    </w:p>
    <w:p>
      <w:pPr>
        <w:pStyle w:val="16"/>
        <w:spacing w:line="360" w:lineRule="auto"/>
        <w:jc w:val="center"/>
        <w:rPr>
          <w:rFonts w:hint="default" w:ascii="Times New Roman" w:hAnsi="Times New Roman" w:eastAsia="方正小标宋_GBK" w:cs="Times New Roman"/>
          <w:color w:val="auto"/>
          <w:sz w:val="52"/>
          <w:szCs w:val="52"/>
        </w:rPr>
      </w:pPr>
      <w:r>
        <w:rPr>
          <w:rFonts w:hint="default" w:ascii="Times New Roman" w:hAnsi="Times New Roman" w:eastAsia="方正小标宋_GBK" w:cs="Times New Roman"/>
          <w:color w:val="auto"/>
          <w:sz w:val="52"/>
          <w:szCs w:val="52"/>
        </w:rPr>
        <w:t>2024年度部门决算情况说明</w:t>
      </w:r>
    </w:p>
    <w:p>
      <w:pPr>
        <w:widowControl/>
        <w:jc w:val="left"/>
        <w:rPr>
          <w:rFonts w:hint="default" w:ascii="Times New Roman" w:hAnsi="Times New Roman" w:cs="Times New Roman"/>
          <w:color w:val="auto"/>
          <w:sz w:val="32"/>
          <w:szCs w:val="32"/>
        </w:rPr>
      </w:pPr>
      <w:r>
        <w:rPr>
          <w:rFonts w:hint="default" w:ascii="Times New Roman" w:hAnsi="Times New Roman" w:eastAsia="方正小标宋_GBK" w:cs="Times New Roman"/>
          <w:color w:val="auto"/>
          <w:sz w:val="70"/>
          <w:szCs w:val="70"/>
        </w:rPr>
        <w:br w:type="page"/>
      </w:r>
    </w:p>
    <w:p>
      <w:pPr>
        <w:pStyle w:val="16"/>
        <w:overflowPunct w:val="0"/>
        <w:autoSpaceDE/>
        <w:autoSpaceDN/>
        <w:spacing w:line="600" w:lineRule="exact"/>
        <w:ind w:firstLine="640" w:firstLineChars="200"/>
        <w:jc w:val="both"/>
        <w:rPr>
          <w:rFonts w:hint="default" w:ascii="Times New Roman" w:hAnsi="Times New Roman" w:cs="Times New Roman"/>
          <w:bCs/>
          <w:color w:val="auto"/>
          <w:sz w:val="32"/>
          <w:szCs w:val="32"/>
        </w:rPr>
      </w:pPr>
      <w:r>
        <w:rPr>
          <w:rFonts w:hint="default" w:ascii="Times New Roman" w:hAnsi="Times New Roman" w:cs="Times New Roman"/>
          <w:bCs/>
          <w:color w:val="auto"/>
          <w:sz w:val="32"/>
          <w:szCs w:val="32"/>
        </w:rPr>
        <w:t>一、收入支出决算总体情况说明</w:t>
      </w:r>
    </w:p>
    <w:p>
      <w:pPr>
        <w:pStyle w:val="16"/>
        <w:overflowPunct w:val="0"/>
        <w:autoSpaceDE/>
        <w:autoSpaceDN/>
        <w:spacing w:line="600" w:lineRule="exact"/>
        <w:ind w:firstLine="640" w:firstLineChars="200"/>
        <w:jc w:val="both"/>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2024年度收、支总计</w:t>
      </w:r>
      <w:r>
        <w:rPr>
          <w:rFonts w:hint="default" w:ascii="Times New Roman" w:hAnsi="Times New Roman" w:eastAsia="仿宋_GB2312" w:cs="Times New Roman"/>
          <w:color w:val="auto"/>
          <w:sz w:val="32"/>
          <w:szCs w:val="32"/>
          <w:lang w:val="en-US" w:eastAsia="zh-CN"/>
        </w:rPr>
        <w:t>246.18</w:t>
      </w:r>
      <w:r>
        <w:rPr>
          <w:rFonts w:hint="default" w:ascii="Times New Roman" w:hAnsi="Times New Roman" w:eastAsia="仿宋_GB2312" w:cs="Times New Roman"/>
          <w:color w:val="auto"/>
          <w:sz w:val="32"/>
          <w:szCs w:val="32"/>
        </w:rPr>
        <w:t>万元。与上年相比，减少</w:t>
      </w:r>
      <w:r>
        <w:rPr>
          <w:rFonts w:hint="default" w:ascii="Times New Roman" w:hAnsi="Times New Roman" w:eastAsia="仿宋_GB2312" w:cs="Times New Roman"/>
          <w:color w:val="auto"/>
          <w:sz w:val="32"/>
          <w:szCs w:val="32"/>
          <w:lang w:val="en-US" w:eastAsia="zh-CN"/>
        </w:rPr>
        <w:t>17.36</w:t>
      </w:r>
      <w:r>
        <w:rPr>
          <w:rFonts w:hint="default" w:ascii="Times New Roman" w:hAnsi="Times New Roman" w:eastAsia="仿宋_GB2312" w:cs="Times New Roman"/>
          <w:color w:val="auto"/>
          <w:sz w:val="32"/>
          <w:szCs w:val="32"/>
        </w:rPr>
        <w:t>万元，降低</w:t>
      </w:r>
      <w:r>
        <w:rPr>
          <w:rFonts w:hint="default" w:ascii="Times New Roman" w:hAnsi="Times New Roman" w:eastAsia="仿宋_GB2312" w:cs="Times New Roman"/>
          <w:color w:val="auto"/>
          <w:sz w:val="32"/>
          <w:szCs w:val="32"/>
          <w:lang w:val="en-US" w:eastAsia="zh-CN"/>
        </w:rPr>
        <w:t>6.59</w:t>
      </w:r>
      <w:r>
        <w:rPr>
          <w:rFonts w:hint="default" w:ascii="Times New Roman" w:hAnsi="Times New Roman" w:eastAsia="仿宋_GB2312" w:cs="Times New Roman"/>
          <w:color w:val="auto"/>
          <w:sz w:val="32"/>
          <w:szCs w:val="32"/>
        </w:rPr>
        <w:t>%，主要</w:t>
      </w:r>
      <w:r>
        <w:rPr>
          <w:rFonts w:hint="default" w:ascii="Times New Roman" w:hAnsi="Times New Roman" w:eastAsia="仿宋_GB2312" w:cs="Times New Roman"/>
          <w:color w:val="auto"/>
          <w:sz w:val="32"/>
          <w:szCs w:val="32"/>
          <w:highlight w:val="none"/>
        </w:rPr>
        <w:t>是因为</w:t>
      </w:r>
      <w:r>
        <w:rPr>
          <w:rFonts w:hint="default" w:ascii="Times New Roman" w:hAnsi="Times New Roman" w:eastAsia="仿宋_GB2312" w:cs="Times New Roman"/>
          <w:color w:val="auto"/>
          <w:sz w:val="32"/>
          <w:szCs w:val="32"/>
          <w:highlight w:val="none"/>
          <w:lang w:val="en-US" w:eastAsia="zh-CN"/>
        </w:rPr>
        <w:t>年初结转结余减少。</w:t>
      </w:r>
    </w:p>
    <w:p>
      <w:pPr>
        <w:pStyle w:val="16"/>
        <w:overflowPunct w:val="0"/>
        <w:autoSpaceDE/>
        <w:autoSpaceDN/>
        <w:spacing w:line="600" w:lineRule="exact"/>
        <w:ind w:firstLine="640" w:firstLineChars="200"/>
        <w:jc w:val="both"/>
        <w:rPr>
          <w:rFonts w:hint="default" w:ascii="Times New Roman" w:hAnsi="Times New Roman" w:cs="Times New Roman"/>
          <w:bCs/>
          <w:color w:val="auto"/>
          <w:sz w:val="32"/>
          <w:szCs w:val="32"/>
        </w:rPr>
      </w:pPr>
      <w:r>
        <w:rPr>
          <w:rFonts w:hint="default" w:ascii="Times New Roman" w:hAnsi="Times New Roman" w:cs="Times New Roman"/>
          <w:bCs/>
          <w:color w:val="auto"/>
          <w:sz w:val="32"/>
          <w:szCs w:val="32"/>
        </w:rPr>
        <w:t>二、收入决算情况说明</w:t>
      </w:r>
    </w:p>
    <w:p>
      <w:pPr>
        <w:pStyle w:val="16"/>
        <w:overflowPunct w:val="0"/>
        <w:autoSpaceDE/>
        <w:autoSpaceDN/>
        <w:spacing w:line="600" w:lineRule="exact"/>
        <w:ind w:firstLine="640" w:firstLineChars="200"/>
        <w:jc w:val="both"/>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2024年度收入合计</w:t>
      </w:r>
      <w:r>
        <w:rPr>
          <w:rFonts w:hint="default" w:ascii="Times New Roman" w:hAnsi="Times New Roman" w:eastAsia="仿宋_GB2312" w:cs="Times New Roman"/>
          <w:color w:val="auto"/>
          <w:sz w:val="32"/>
          <w:szCs w:val="32"/>
          <w:lang w:val="en-US" w:eastAsia="zh-CN"/>
        </w:rPr>
        <w:t>231.59</w:t>
      </w:r>
      <w:r>
        <w:rPr>
          <w:rFonts w:hint="default" w:ascii="Times New Roman" w:hAnsi="Times New Roman" w:eastAsia="仿宋_GB2312" w:cs="Times New Roman"/>
          <w:color w:val="auto"/>
          <w:sz w:val="32"/>
          <w:szCs w:val="32"/>
        </w:rPr>
        <w:t>万元，其中：财政拨款收入</w:t>
      </w:r>
      <w:r>
        <w:rPr>
          <w:rFonts w:hint="default" w:ascii="Times New Roman" w:hAnsi="Times New Roman" w:eastAsia="仿宋_GB2312" w:cs="Times New Roman"/>
          <w:color w:val="auto"/>
          <w:sz w:val="32"/>
          <w:szCs w:val="32"/>
          <w:lang w:val="en-US" w:eastAsia="zh-CN"/>
        </w:rPr>
        <w:t>231.59</w:t>
      </w:r>
      <w:r>
        <w:rPr>
          <w:rFonts w:hint="default" w:ascii="Times New Roman" w:hAnsi="Times New Roman" w:eastAsia="仿宋_GB2312" w:cs="Times New Roman"/>
          <w:color w:val="auto"/>
          <w:sz w:val="32"/>
          <w:szCs w:val="32"/>
        </w:rPr>
        <w:t>万元，占</w:t>
      </w:r>
      <w:r>
        <w:rPr>
          <w:rFonts w:hint="default" w:ascii="Times New Roman" w:hAnsi="Times New Roman"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rPr>
        <w:t>%；上级补助收入</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万元，占</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%；事业收入</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万元，占</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%；经营收入</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万元，占</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%；附属单位上缴收入</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万元，占</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%；其他收入</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万元，占</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w:t>
      </w:r>
    </w:p>
    <w:p>
      <w:pPr>
        <w:pStyle w:val="16"/>
        <w:overflowPunct w:val="0"/>
        <w:autoSpaceDE/>
        <w:autoSpaceDN/>
        <w:spacing w:line="600" w:lineRule="exact"/>
        <w:ind w:firstLine="640" w:firstLineChars="200"/>
        <w:jc w:val="both"/>
        <w:rPr>
          <w:rFonts w:hint="default" w:ascii="Times New Roman" w:hAnsi="Times New Roman" w:cs="Times New Roman"/>
          <w:bCs/>
          <w:color w:val="auto"/>
          <w:sz w:val="32"/>
          <w:szCs w:val="32"/>
        </w:rPr>
      </w:pPr>
      <w:r>
        <w:rPr>
          <w:rFonts w:hint="default" w:ascii="Times New Roman" w:hAnsi="Times New Roman" w:cs="Times New Roman"/>
          <w:bCs/>
          <w:color w:val="auto"/>
          <w:sz w:val="32"/>
          <w:szCs w:val="32"/>
        </w:rPr>
        <w:t>三、支出决算情况说明</w:t>
      </w:r>
    </w:p>
    <w:p>
      <w:pPr>
        <w:pStyle w:val="16"/>
        <w:overflowPunct w:val="0"/>
        <w:autoSpaceDE/>
        <w:autoSpaceDN/>
        <w:spacing w:line="600" w:lineRule="exact"/>
        <w:ind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2024年度支出合计</w:t>
      </w:r>
      <w:r>
        <w:rPr>
          <w:rFonts w:hint="default" w:ascii="Times New Roman" w:hAnsi="Times New Roman" w:eastAsia="仿宋_GB2312" w:cs="Times New Roman"/>
          <w:color w:val="auto"/>
          <w:sz w:val="32"/>
          <w:szCs w:val="32"/>
          <w:highlight w:val="none"/>
          <w:lang w:val="en-US" w:eastAsia="zh-CN"/>
        </w:rPr>
        <w:t>217.73</w:t>
      </w:r>
      <w:r>
        <w:rPr>
          <w:rFonts w:hint="default" w:ascii="Times New Roman" w:hAnsi="Times New Roman" w:eastAsia="仿宋_GB2312" w:cs="Times New Roman"/>
          <w:color w:val="auto"/>
          <w:sz w:val="32"/>
          <w:szCs w:val="32"/>
          <w:highlight w:val="none"/>
        </w:rPr>
        <w:t>万元，其中：基本支出</w:t>
      </w:r>
      <w:r>
        <w:rPr>
          <w:rFonts w:hint="default" w:ascii="Times New Roman" w:hAnsi="Times New Roman" w:eastAsia="仿宋_GB2312" w:cs="Times New Roman"/>
          <w:color w:val="auto"/>
          <w:sz w:val="32"/>
          <w:szCs w:val="32"/>
          <w:highlight w:val="none"/>
          <w:lang w:val="en-US" w:eastAsia="zh-CN"/>
        </w:rPr>
        <w:t>160.86</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en-US" w:eastAsia="zh-CN"/>
        </w:rPr>
        <w:t>73.88</w:t>
      </w:r>
      <w:r>
        <w:rPr>
          <w:rFonts w:hint="default" w:ascii="Times New Roman" w:hAnsi="Times New Roman" w:eastAsia="仿宋_GB2312" w:cs="Times New Roman"/>
          <w:color w:val="auto"/>
          <w:sz w:val="32"/>
          <w:szCs w:val="32"/>
          <w:highlight w:val="none"/>
        </w:rPr>
        <w:t>%；项目支出</w:t>
      </w:r>
      <w:r>
        <w:rPr>
          <w:rFonts w:hint="default" w:ascii="Times New Roman" w:hAnsi="Times New Roman" w:eastAsia="仿宋_GB2312" w:cs="Times New Roman"/>
          <w:color w:val="auto"/>
          <w:sz w:val="32"/>
          <w:szCs w:val="32"/>
          <w:highlight w:val="none"/>
          <w:lang w:val="en-US" w:eastAsia="zh-CN"/>
        </w:rPr>
        <w:t>56.87</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en-US" w:eastAsia="zh-CN"/>
        </w:rPr>
        <w:t>26.12</w:t>
      </w:r>
      <w:r>
        <w:rPr>
          <w:rFonts w:hint="default" w:ascii="Times New Roman" w:hAnsi="Times New Roman" w:eastAsia="仿宋_GB2312" w:cs="Times New Roman"/>
          <w:color w:val="auto"/>
          <w:sz w:val="32"/>
          <w:szCs w:val="32"/>
          <w:highlight w:val="none"/>
        </w:rPr>
        <w:t>%；上缴上级支出</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%；经营支出</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%；对附属单位补助支出</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w:t>
      </w:r>
    </w:p>
    <w:p>
      <w:pPr>
        <w:pStyle w:val="16"/>
        <w:overflowPunct w:val="0"/>
        <w:autoSpaceDE/>
        <w:autoSpaceDN/>
        <w:spacing w:line="600" w:lineRule="exact"/>
        <w:ind w:firstLine="640" w:firstLineChars="200"/>
        <w:jc w:val="both"/>
        <w:rPr>
          <w:rFonts w:hint="default" w:ascii="Times New Roman" w:hAnsi="Times New Roman" w:cs="Times New Roman"/>
          <w:bCs/>
          <w:color w:val="auto"/>
          <w:sz w:val="32"/>
          <w:szCs w:val="32"/>
          <w:highlight w:val="none"/>
        </w:rPr>
      </w:pPr>
      <w:r>
        <w:rPr>
          <w:rFonts w:hint="default" w:ascii="Times New Roman" w:hAnsi="Times New Roman" w:cs="Times New Roman"/>
          <w:bCs/>
          <w:color w:val="auto"/>
          <w:sz w:val="32"/>
          <w:szCs w:val="32"/>
          <w:highlight w:val="none"/>
        </w:rPr>
        <w:t>四、财政拨款收入支出决算总体情况说明</w:t>
      </w:r>
    </w:p>
    <w:p>
      <w:pPr>
        <w:pStyle w:val="16"/>
        <w:overflowPunct w:val="0"/>
        <w:autoSpaceDE/>
        <w:autoSpaceDN/>
        <w:spacing w:line="600" w:lineRule="exact"/>
        <w:ind w:firstLine="640" w:firstLineChars="200"/>
        <w:jc w:val="both"/>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2024年度财政拨款收、支总计</w:t>
      </w:r>
      <w:r>
        <w:rPr>
          <w:rFonts w:hint="default" w:ascii="Times New Roman" w:hAnsi="Times New Roman" w:eastAsia="仿宋_GB2312" w:cs="Times New Roman"/>
          <w:color w:val="auto"/>
          <w:sz w:val="32"/>
          <w:szCs w:val="32"/>
          <w:highlight w:val="none"/>
          <w:lang w:val="en-US" w:eastAsia="zh-CN"/>
        </w:rPr>
        <w:t>246.16</w:t>
      </w:r>
      <w:r>
        <w:rPr>
          <w:rFonts w:hint="default" w:ascii="Times New Roman" w:hAnsi="Times New Roman" w:eastAsia="仿宋_GB2312" w:cs="Times New Roman"/>
          <w:color w:val="auto"/>
          <w:sz w:val="32"/>
          <w:szCs w:val="32"/>
          <w:highlight w:val="none"/>
        </w:rPr>
        <w:t>万元，与上年相比，减少</w:t>
      </w:r>
      <w:r>
        <w:rPr>
          <w:rFonts w:hint="default" w:ascii="Times New Roman" w:hAnsi="Times New Roman" w:eastAsia="仿宋_GB2312" w:cs="Times New Roman"/>
          <w:color w:val="auto"/>
          <w:sz w:val="32"/>
          <w:szCs w:val="32"/>
          <w:highlight w:val="none"/>
          <w:lang w:val="en-US" w:eastAsia="zh-CN"/>
        </w:rPr>
        <w:t>17.28</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降低</w:t>
      </w:r>
      <w:r>
        <w:rPr>
          <w:rFonts w:hint="default" w:ascii="Times New Roman" w:hAnsi="Times New Roman" w:eastAsia="仿宋_GB2312" w:cs="Times New Roman"/>
          <w:color w:val="auto"/>
          <w:sz w:val="32"/>
          <w:szCs w:val="32"/>
          <w:highlight w:val="none"/>
          <w:lang w:val="en-US" w:eastAsia="zh-CN"/>
        </w:rPr>
        <w:t>6.56</w:t>
      </w:r>
      <w:r>
        <w:rPr>
          <w:rFonts w:hint="default" w:ascii="Times New Roman" w:hAnsi="Times New Roman" w:eastAsia="仿宋_GB2312" w:cs="Times New Roman"/>
          <w:color w:val="auto"/>
          <w:sz w:val="32"/>
          <w:szCs w:val="32"/>
          <w:highlight w:val="none"/>
        </w:rPr>
        <w:t>%，主要是因为</w:t>
      </w:r>
      <w:r>
        <w:rPr>
          <w:rFonts w:hint="default" w:ascii="Times New Roman" w:hAnsi="Times New Roman" w:eastAsia="仿宋_GB2312" w:cs="Times New Roman"/>
          <w:color w:val="auto"/>
          <w:sz w:val="32"/>
          <w:szCs w:val="32"/>
          <w:highlight w:val="none"/>
          <w:lang w:val="en-US" w:eastAsia="zh-CN"/>
        </w:rPr>
        <w:t>年初结转结余减少。</w:t>
      </w:r>
    </w:p>
    <w:p>
      <w:pPr>
        <w:pStyle w:val="16"/>
        <w:overflowPunct w:val="0"/>
        <w:autoSpaceDE/>
        <w:autoSpaceDN/>
        <w:spacing w:line="600" w:lineRule="exact"/>
        <w:ind w:firstLine="640" w:firstLineChars="200"/>
        <w:jc w:val="both"/>
        <w:rPr>
          <w:rFonts w:hint="default" w:ascii="Times New Roman" w:hAnsi="Times New Roman" w:cs="Times New Roman"/>
          <w:bCs/>
          <w:color w:val="auto"/>
          <w:sz w:val="32"/>
          <w:szCs w:val="32"/>
          <w:highlight w:val="none"/>
        </w:rPr>
      </w:pPr>
      <w:r>
        <w:rPr>
          <w:rFonts w:hint="default" w:ascii="Times New Roman" w:hAnsi="Times New Roman" w:cs="Times New Roman"/>
          <w:bCs/>
          <w:color w:val="auto"/>
          <w:sz w:val="32"/>
          <w:szCs w:val="32"/>
          <w:highlight w:val="none"/>
        </w:rPr>
        <w:t>五、一般公共预算财政拨款支出决算情况说明</w:t>
      </w:r>
    </w:p>
    <w:p>
      <w:pPr>
        <w:pStyle w:val="16"/>
        <w:overflowPunct w:val="0"/>
        <w:autoSpaceDE/>
        <w:autoSpaceDN/>
        <w:spacing w:line="600" w:lineRule="exact"/>
        <w:ind w:firstLine="640" w:firstLineChars="200"/>
        <w:jc w:val="both"/>
        <w:rPr>
          <w:rFonts w:hint="default" w:ascii="Times New Roman" w:hAnsi="Times New Roman" w:eastAsia="楷体_GB2312" w:cs="Times New Roman"/>
          <w:b/>
          <w:color w:val="auto"/>
          <w:sz w:val="32"/>
          <w:szCs w:val="32"/>
          <w:highlight w:val="none"/>
        </w:rPr>
      </w:pPr>
      <w:r>
        <w:rPr>
          <w:rFonts w:hint="default" w:ascii="Times New Roman" w:hAnsi="Times New Roman" w:eastAsia="楷体_GB2312" w:cs="Times New Roman"/>
          <w:b/>
          <w:color w:val="auto"/>
          <w:sz w:val="32"/>
          <w:szCs w:val="32"/>
          <w:highlight w:val="none"/>
        </w:rPr>
        <w:t>（一）一般公共预算财政拨款支出决算总体情况</w:t>
      </w:r>
    </w:p>
    <w:p>
      <w:pPr>
        <w:pStyle w:val="16"/>
        <w:overflowPunct w:val="0"/>
        <w:autoSpaceDE/>
        <w:autoSpaceDN/>
        <w:spacing w:line="600" w:lineRule="exact"/>
        <w:ind w:firstLine="640" w:firstLineChars="200"/>
        <w:jc w:val="both"/>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2024年度财政拨款支出</w:t>
      </w:r>
      <w:r>
        <w:rPr>
          <w:rFonts w:hint="default" w:ascii="Times New Roman" w:hAnsi="Times New Roman" w:eastAsia="仿宋_GB2312" w:cs="Times New Roman"/>
          <w:color w:val="auto"/>
          <w:sz w:val="32"/>
          <w:szCs w:val="32"/>
          <w:highlight w:val="none"/>
          <w:lang w:val="en-US" w:eastAsia="zh-CN"/>
        </w:rPr>
        <w:t>217.71</w:t>
      </w:r>
      <w:r>
        <w:rPr>
          <w:rFonts w:hint="default" w:ascii="Times New Roman" w:hAnsi="Times New Roman" w:eastAsia="仿宋_GB2312" w:cs="Times New Roman"/>
          <w:color w:val="auto"/>
          <w:sz w:val="32"/>
          <w:szCs w:val="32"/>
          <w:highlight w:val="none"/>
        </w:rPr>
        <w:t>万元，占本年支出合计的</w:t>
      </w:r>
      <w:r>
        <w:rPr>
          <w:rFonts w:hint="default" w:ascii="Times New Roman" w:hAnsi="Times New Roman" w:eastAsia="仿宋_GB2312" w:cs="Times New Roman"/>
          <w:color w:val="auto"/>
          <w:sz w:val="32"/>
          <w:szCs w:val="32"/>
          <w:highlight w:val="none"/>
          <w:lang w:val="en-US" w:eastAsia="zh-CN"/>
        </w:rPr>
        <w:t>99.99</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rPr>
        <w:t>，与上年相比，财政拨款支出减少</w:t>
      </w:r>
      <w:r>
        <w:rPr>
          <w:rFonts w:hint="default" w:ascii="Times New Roman" w:hAnsi="Times New Roman" w:eastAsia="仿宋_GB2312" w:cs="Times New Roman"/>
          <w:color w:val="auto"/>
          <w:sz w:val="32"/>
          <w:szCs w:val="32"/>
          <w:lang w:val="en-US" w:eastAsia="zh-CN"/>
        </w:rPr>
        <w:t>10.66</w:t>
      </w:r>
      <w:r>
        <w:rPr>
          <w:rFonts w:hint="default" w:ascii="Times New Roman" w:hAnsi="Times New Roman" w:eastAsia="仿宋_GB2312" w:cs="Times New Roman"/>
          <w:color w:val="auto"/>
          <w:sz w:val="32"/>
          <w:szCs w:val="32"/>
        </w:rPr>
        <w:t>万元，降低</w:t>
      </w:r>
      <w:r>
        <w:rPr>
          <w:rFonts w:hint="default" w:ascii="Times New Roman" w:hAnsi="Times New Roman" w:eastAsia="仿宋_GB2312" w:cs="Times New Roman"/>
          <w:color w:val="auto"/>
          <w:sz w:val="32"/>
          <w:szCs w:val="32"/>
          <w:highlight w:val="none"/>
          <w:lang w:val="en-US" w:eastAsia="zh-CN"/>
        </w:rPr>
        <w:t>4.48</w:t>
      </w:r>
      <w:r>
        <w:rPr>
          <w:rFonts w:hint="default" w:ascii="Times New Roman" w:hAnsi="Times New Roman" w:eastAsia="仿宋_GB2312" w:cs="Times New Roman"/>
          <w:color w:val="auto"/>
          <w:sz w:val="32"/>
          <w:szCs w:val="32"/>
          <w:highlight w:val="none"/>
        </w:rPr>
        <w:t>%，主要是因为</w:t>
      </w:r>
      <w:r>
        <w:rPr>
          <w:rFonts w:hint="default" w:ascii="Times New Roman" w:hAnsi="Times New Roman" w:eastAsia="仿宋_GB2312" w:cs="Times New Roman"/>
          <w:color w:val="auto"/>
          <w:sz w:val="32"/>
          <w:szCs w:val="32"/>
          <w:highlight w:val="none"/>
          <w:lang w:val="en-US" w:eastAsia="zh-CN"/>
        </w:rPr>
        <w:t>人员经费减少。</w:t>
      </w:r>
    </w:p>
    <w:p>
      <w:pPr>
        <w:pStyle w:val="16"/>
        <w:overflowPunct w:val="0"/>
        <w:autoSpaceDE/>
        <w:autoSpaceDN/>
        <w:spacing w:line="600" w:lineRule="exact"/>
        <w:ind w:firstLine="640" w:firstLineChars="200"/>
        <w:jc w:val="both"/>
        <w:rPr>
          <w:rFonts w:hint="default" w:ascii="Times New Roman" w:hAnsi="Times New Roman" w:eastAsia="楷体_GB2312" w:cs="Times New Roman"/>
          <w:b/>
          <w:color w:val="auto"/>
          <w:sz w:val="32"/>
          <w:szCs w:val="32"/>
        </w:rPr>
      </w:pPr>
      <w:r>
        <w:rPr>
          <w:rFonts w:hint="default" w:ascii="Times New Roman" w:hAnsi="Times New Roman" w:eastAsia="楷体_GB2312" w:cs="Times New Roman"/>
          <w:b/>
          <w:color w:val="auto"/>
          <w:sz w:val="32"/>
          <w:szCs w:val="32"/>
        </w:rPr>
        <w:t>（二）一般公共预算财政拨款支出决算结构情况</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2024年度财政拨款支出</w:t>
      </w:r>
      <w:r>
        <w:rPr>
          <w:rFonts w:hint="default" w:ascii="Times New Roman" w:hAnsi="Times New Roman" w:eastAsia="仿宋_GB2312" w:cs="Times New Roman"/>
          <w:color w:val="auto"/>
          <w:sz w:val="32"/>
          <w:szCs w:val="32"/>
          <w:lang w:val="en-US" w:eastAsia="zh-CN"/>
        </w:rPr>
        <w:t>217.71</w:t>
      </w:r>
      <w:r>
        <w:rPr>
          <w:rFonts w:hint="default" w:ascii="Times New Roman" w:hAnsi="Times New Roman" w:eastAsia="仿宋_GB2312" w:cs="Times New Roman"/>
          <w:color w:val="auto"/>
          <w:sz w:val="32"/>
          <w:szCs w:val="32"/>
        </w:rPr>
        <w:t>万元，主要用于以下方面：教育（类）支出</w:t>
      </w:r>
      <w:r>
        <w:rPr>
          <w:rFonts w:hint="default" w:ascii="Times New Roman" w:hAnsi="Times New Roman" w:eastAsia="仿宋_GB2312" w:cs="Times New Roman"/>
          <w:color w:val="auto"/>
          <w:sz w:val="32"/>
          <w:szCs w:val="32"/>
          <w:lang w:val="en-US" w:eastAsia="zh-CN"/>
        </w:rPr>
        <w:t>2.00</w:t>
      </w:r>
      <w:r>
        <w:rPr>
          <w:rFonts w:hint="default" w:ascii="Times New Roman" w:hAnsi="Times New Roman" w:eastAsia="仿宋_GB2312" w:cs="Times New Roman"/>
          <w:color w:val="auto"/>
          <w:sz w:val="32"/>
          <w:szCs w:val="32"/>
        </w:rPr>
        <w:t>万元，占</w:t>
      </w:r>
      <w:r>
        <w:rPr>
          <w:rFonts w:hint="default" w:ascii="Times New Roman" w:hAnsi="Times New Roman" w:eastAsia="仿宋_GB2312" w:cs="Times New Roman"/>
          <w:color w:val="auto"/>
          <w:sz w:val="32"/>
          <w:szCs w:val="32"/>
          <w:lang w:val="en-US" w:eastAsia="zh-CN"/>
        </w:rPr>
        <w:t>0.92</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rPr>
        <w:t>社会保障和就业（类）支出</w:t>
      </w:r>
      <w:r>
        <w:rPr>
          <w:rFonts w:hint="default" w:ascii="Times New Roman" w:hAnsi="Times New Roman" w:eastAsia="仿宋_GB2312" w:cs="Times New Roman"/>
          <w:color w:val="auto"/>
          <w:sz w:val="32"/>
          <w:szCs w:val="32"/>
          <w:lang w:val="en-US" w:eastAsia="zh-CN"/>
        </w:rPr>
        <w:t>37.45</w:t>
      </w:r>
      <w:r>
        <w:rPr>
          <w:rFonts w:hint="default" w:ascii="Times New Roman" w:hAnsi="Times New Roman" w:eastAsia="仿宋_GB2312" w:cs="Times New Roman"/>
          <w:color w:val="auto"/>
          <w:sz w:val="32"/>
          <w:szCs w:val="32"/>
        </w:rPr>
        <w:t>万元，占</w:t>
      </w:r>
      <w:r>
        <w:rPr>
          <w:rFonts w:hint="default" w:ascii="Times New Roman" w:hAnsi="Times New Roman" w:eastAsia="仿宋_GB2312" w:cs="Times New Roman"/>
          <w:color w:val="auto"/>
          <w:sz w:val="32"/>
          <w:szCs w:val="32"/>
          <w:lang w:val="en-US" w:eastAsia="zh-CN"/>
        </w:rPr>
        <w:t>17.20</w:t>
      </w:r>
      <w:r>
        <w:rPr>
          <w:rFonts w:hint="default" w:ascii="Times New Roman" w:hAnsi="Times New Roman" w:eastAsia="仿宋_GB2312" w:cs="Times New Roman"/>
          <w:color w:val="auto"/>
          <w:sz w:val="32"/>
          <w:szCs w:val="32"/>
        </w:rPr>
        <w:t>%；农林水（类）支出</w:t>
      </w:r>
      <w:r>
        <w:rPr>
          <w:rFonts w:hint="default" w:ascii="Times New Roman" w:hAnsi="Times New Roman" w:eastAsia="仿宋_GB2312" w:cs="Times New Roman"/>
          <w:color w:val="auto"/>
          <w:sz w:val="32"/>
          <w:szCs w:val="32"/>
          <w:lang w:val="en-US" w:eastAsia="zh-CN"/>
        </w:rPr>
        <w:t>168.09</w:t>
      </w:r>
      <w:r>
        <w:rPr>
          <w:rFonts w:hint="default" w:ascii="Times New Roman" w:hAnsi="Times New Roman" w:eastAsia="仿宋_GB2312" w:cs="Times New Roman"/>
          <w:color w:val="auto"/>
          <w:sz w:val="32"/>
          <w:szCs w:val="32"/>
        </w:rPr>
        <w:t>万元，占</w:t>
      </w:r>
      <w:r>
        <w:rPr>
          <w:rFonts w:hint="default" w:ascii="Times New Roman" w:hAnsi="Times New Roman" w:eastAsia="仿宋_GB2312" w:cs="Times New Roman"/>
          <w:color w:val="auto"/>
          <w:sz w:val="32"/>
          <w:szCs w:val="32"/>
          <w:lang w:val="en-US" w:eastAsia="zh-CN"/>
        </w:rPr>
        <w:t>77.20</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rPr>
        <w:t>住房保障（类）支出</w:t>
      </w:r>
      <w:r>
        <w:rPr>
          <w:rFonts w:hint="default" w:ascii="Times New Roman" w:hAnsi="Times New Roman" w:eastAsia="仿宋_GB2312" w:cs="Times New Roman"/>
          <w:color w:val="auto"/>
          <w:sz w:val="32"/>
          <w:szCs w:val="32"/>
          <w:lang w:val="en-US" w:eastAsia="zh-CN"/>
        </w:rPr>
        <w:t>10.18</w:t>
      </w:r>
      <w:r>
        <w:rPr>
          <w:rFonts w:hint="default" w:ascii="Times New Roman" w:hAnsi="Times New Roman" w:eastAsia="仿宋_GB2312" w:cs="Times New Roman"/>
          <w:color w:val="auto"/>
          <w:sz w:val="32"/>
          <w:szCs w:val="32"/>
        </w:rPr>
        <w:t>万元，占</w:t>
      </w:r>
      <w:r>
        <w:rPr>
          <w:rFonts w:hint="default" w:ascii="Times New Roman" w:hAnsi="Times New Roman" w:eastAsia="仿宋_GB2312" w:cs="Times New Roman"/>
          <w:color w:val="auto"/>
          <w:sz w:val="32"/>
          <w:szCs w:val="32"/>
          <w:lang w:val="en-US" w:eastAsia="zh-CN"/>
        </w:rPr>
        <w:t>4.68</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eastAsia="zh-CN"/>
        </w:rPr>
        <w:t>。</w:t>
      </w:r>
    </w:p>
    <w:p>
      <w:pPr>
        <w:pStyle w:val="16"/>
        <w:overflowPunct w:val="0"/>
        <w:autoSpaceDE/>
        <w:autoSpaceDN/>
        <w:spacing w:line="600" w:lineRule="exact"/>
        <w:ind w:firstLine="640" w:firstLineChars="200"/>
        <w:jc w:val="both"/>
        <w:rPr>
          <w:rFonts w:hint="default" w:ascii="Times New Roman" w:hAnsi="Times New Roman" w:eastAsia="楷体_GB2312" w:cs="Times New Roman"/>
          <w:b/>
          <w:color w:val="auto"/>
          <w:sz w:val="32"/>
          <w:szCs w:val="32"/>
        </w:rPr>
      </w:pPr>
      <w:r>
        <w:rPr>
          <w:rFonts w:hint="default" w:ascii="Times New Roman" w:hAnsi="Times New Roman" w:eastAsia="楷体_GB2312" w:cs="Times New Roman"/>
          <w:b/>
          <w:color w:val="auto"/>
          <w:sz w:val="32"/>
          <w:szCs w:val="32"/>
        </w:rPr>
        <w:t>（三）一般公共预算财政拨款支出决算具体情况</w:t>
      </w:r>
    </w:p>
    <w:p>
      <w:pPr>
        <w:pStyle w:val="16"/>
        <w:overflowPunct w:val="0"/>
        <w:autoSpaceDE/>
        <w:autoSpaceDN/>
        <w:spacing w:line="600" w:lineRule="exact"/>
        <w:ind w:firstLine="640" w:firstLineChars="200"/>
        <w:jc w:val="both"/>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2024年度财政拨款支出年初预算数为</w:t>
      </w:r>
      <w:r>
        <w:rPr>
          <w:rFonts w:hint="default" w:ascii="Times New Roman" w:hAnsi="Times New Roman" w:eastAsia="仿宋_GB2312" w:cs="Times New Roman"/>
          <w:color w:val="auto"/>
          <w:sz w:val="32"/>
          <w:szCs w:val="32"/>
          <w:lang w:val="en-US" w:eastAsia="zh-CN"/>
        </w:rPr>
        <w:t>237.46</w:t>
      </w:r>
      <w:r>
        <w:rPr>
          <w:rFonts w:hint="default" w:ascii="Times New Roman" w:hAnsi="Times New Roman" w:eastAsia="仿宋_GB2312" w:cs="Times New Roman"/>
          <w:color w:val="auto"/>
          <w:sz w:val="32"/>
          <w:szCs w:val="32"/>
        </w:rPr>
        <w:t>万元，支出决算数为</w:t>
      </w:r>
      <w:r>
        <w:rPr>
          <w:rFonts w:hint="default" w:ascii="Times New Roman" w:hAnsi="Times New Roman" w:eastAsia="仿宋_GB2312" w:cs="Times New Roman"/>
          <w:color w:val="auto"/>
          <w:sz w:val="32"/>
          <w:szCs w:val="32"/>
          <w:lang w:val="en-US" w:eastAsia="zh-CN"/>
        </w:rPr>
        <w:t>217.71</w:t>
      </w:r>
      <w:r>
        <w:rPr>
          <w:rFonts w:hint="default" w:ascii="Times New Roman" w:hAnsi="Times New Roman" w:eastAsia="仿宋_GB2312" w:cs="Times New Roman"/>
          <w:color w:val="auto"/>
          <w:sz w:val="32"/>
          <w:szCs w:val="32"/>
        </w:rPr>
        <w:t>万元，完成年初预算的</w:t>
      </w:r>
      <w:r>
        <w:rPr>
          <w:rFonts w:hint="default" w:ascii="Times New Roman" w:hAnsi="Times New Roman" w:eastAsia="仿宋_GB2312" w:cs="Times New Roman"/>
          <w:color w:val="auto"/>
          <w:sz w:val="32"/>
          <w:szCs w:val="32"/>
          <w:lang w:val="en-US" w:eastAsia="zh-CN"/>
        </w:rPr>
        <w:t>91.69</w:t>
      </w:r>
      <w:r>
        <w:rPr>
          <w:rFonts w:hint="default" w:ascii="Times New Roman" w:hAnsi="Times New Roman" w:eastAsia="仿宋_GB2312" w:cs="Times New Roman"/>
          <w:color w:val="auto"/>
          <w:sz w:val="32"/>
          <w:szCs w:val="32"/>
        </w:rPr>
        <w:t>%，其中：</w:t>
      </w:r>
    </w:p>
    <w:p>
      <w:pPr>
        <w:pStyle w:val="16"/>
        <w:spacing w:line="600" w:lineRule="exact"/>
        <w:ind w:firstLine="800" w:firstLineChars="25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w:t>
      </w:r>
      <w:r>
        <w:rPr>
          <w:rFonts w:hint="default" w:ascii="Times New Roman" w:hAnsi="Times New Roman" w:eastAsia="仿宋_GB2312" w:cs="Times New Roman"/>
          <w:color w:val="auto"/>
          <w:sz w:val="32"/>
          <w:szCs w:val="32"/>
          <w:lang w:val="en-US" w:eastAsia="zh-CN"/>
        </w:rPr>
        <w:t>教育支出</w:t>
      </w:r>
      <w:r>
        <w:rPr>
          <w:rFonts w:hint="default" w:ascii="Times New Roman" w:hAnsi="Times New Roman" w:eastAsia="仿宋_GB2312" w:cs="Times New Roman"/>
          <w:color w:val="auto"/>
          <w:sz w:val="32"/>
          <w:szCs w:val="32"/>
        </w:rPr>
        <w:t>（类）进修及培训（款）培训支出（项）。</w:t>
      </w:r>
    </w:p>
    <w:p>
      <w:pPr>
        <w:pStyle w:val="16"/>
        <w:spacing w:line="600" w:lineRule="exact"/>
        <w:ind w:firstLine="800" w:firstLineChars="25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年初预算为</w:t>
      </w:r>
      <w:r>
        <w:rPr>
          <w:rFonts w:hint="default" w:ascii="Times New Roman" w:hAnsi="Times New Roman" w:eastAsia="仿宋_GB2312" w:cs="Times New Roman"/>
          <w:color w:val="auto"/>
          <w:sz w:val="32"/>
          <w:szCs w:val="32"/>
          <w:lang w:val="en-US" w:eastAsia="zh-CN"/>
        </w:rPr>
        <w:t>2.00</w:t>
      </w:r>
      <w:r>
        <w:rPr>
          <w:rFonts w:hint="default" w:ascii="Times New Roman" w:hAnsi="Times New Roman" w:eastAsia="仿宋_GB2312" w:cs="Times New Roman"/>
          <w:color w:val="auto"/>
          <w:sz w:val="32"/>
          <w:szCs w:val="32"/>
        </w:rPr>
        <w:t>万元，支出决算为</w:t>
      </w:r>
      <w:r>
        <w:rPr>
          <w:rFonts w:hint="default" w:ascii="Times New Roman" w:hAnsi="Times New Roman" w:eastAsia="仿宋_GB2312" w:cs="Times New Roman"/>
          <w:color w:val="auto"/>
          <w:sz w:val="32"/>
          <w:szCs w:val="32"/>
          <w:lang w:val="en-US" w:eastAsia="zh-CN"/>
        </w:rPr>
        <w:t>2.00</w:t>
      </w:r>
      <w:r>
        <w:rPr>
          <w:rFonts w:hint="default" w:ascii="Times New Roman" w:hAnsi="Times New Roman" w:eastAsia="仿宋_GB2312" w:cs="Times New Roman"/>
          <w:color w:val="auto"/>
          <w:sz w:val="32"/>
          <w:szCs w:val="32"/>
        </w:rPr>
        <w:t>万元，完成年初预算的</w:t>
      </w:r>
      <w:r>
        <w:rPr>
          <w:rFonts w:hint="default" w:ascii="Times New Roman" w:hAnsi="Times New Roman"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rPr>
        <w:t>%。</w:t>
      </w:r>
    </w:p>
    <w:p>
      <w:pPr>
        <w:pStyle w:val="16"/>
        <w:spacing w:line="600" w:lineRule="exact"/>
        <w:ind w:firstLine="800" w:firstLineChars="25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社会保障和就业支出（类）行政事业单位养老支出（款）事业单位离退休（项）。</w:t>
      </w:r>
    </w:p>
    <w:p>
      <w:pPr>
        <w:pStyle w:val="16"/>
        <w:spacing w:line="600" w:lineRule="exact"/>
        <w:ind w:firstLine="800" w:firstLineChars="25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rPr>
        <w:t>年初预算为</w:t>
      </w:r>
      <w:r>
        <w:rPr>
          <w:rFonts w:hint="default" w:ascii="Times New Roman" w:hAnsi="Times New Roman" w:eastAsia="仿宋_GB2312" w:cs="Times New Roman"/>
          <w:color w:val="auto"/>
          <w:sz w:val="32"/>
          <w:szCs w:val="32"/>
          <w:lang w:val="en-US" w:eastAsia="zh-CN"/>
        </w:rPr>
        <w:t>26.40</w:t>
      </w:r>
      <w:r>
        <w:rPr>
          <w:rFonts w:hint="default" w:ascii="Times New Roman" w:hAnsi="Times New Roman" w:eastAsia="仿宋_GB2312" w:cs="Times New Roman"/>
          <w:color w:val="auto"/>
          <w:sz w:val="32"/>
          <w:szCs w:val="32"/>
        </w:rPr>
        <w:t>万元，支出决算为</w:t>
      </w:r>
      <w:r>
        <w:rPr>
          <w:rFonts w:hint="default" w:ascii="Times New Roman" w:hAnsi="Times New Roman" w:eastAsia="仿宋_GB2312" w:cs="Times New Roman"/>
          <w:color w:val="auto"/>
          <w:sz w:val="32"/>
          <w:szCs w:val="32"/>
          <w:lang w:val="en-US" w:eastAsia="zh-CN"/>
        </w:rPr>
        <w:t>26.01</w:t>
      </w:r>
      <w:r>
        <w:rPr>
          <w:rFonts w:hint="default" w:ascii="Times New Roman" w:hAnsi="Times New Roman" w:eastAsia="仿宋_GB2312" w:cs="Times New Roman"/>
          <w:color w:val="auto"/>
          <w:sz w:val="32"/>
          <w:szCs w:val="32"/>
        </w:rPr>
        <w:t>万元，完成年初</w:t>
      </w:r>
      <w:bookmarkStart w:id="25" w:name="_GoBack"/>
      <w:bookmarkEnd w:id="25"/>
      <w:r>
        <w:rPr>
          <w:rFonts w:hint="default" w:ascii="Times New Roman" w:hAnsi="Times New Roman" w:eastAsia="仿宋_GB2312" w:cs="Times New Roman"/>
          <w:color w:val="auto"/>
          <w:sz w:val="32"/>
          <w:szCs w:val="32"/>
        </w:rPr>
        <w:t>预算的9</w:t>
      </w:r>
      <w:r>
        <w:rPr>
          <w:rFonts w:hint="default" w:ascii="Times New Roman" w:hAnsi="Times New Roman" w:eastAsia="仿宋_GB2312" w:cs="Times New Roman"/>
          <w:color w:val="auto"/>
          <w:sz w:val="32"/>
          <w:szCs w:val="32"/>
          <w:lang w:val="en-US" w:eastAsia="zh-CN"/>
        </w:rPr>
        <w:t>8.53</w:t>
      </w:r>
      <w:r>
        <w:rPr>
          <w:rFonts w:hint="default" w:ascii="Times New Roman" w:hAnsi="Times New Roman" w:eastAsia="仿宋_GB2312" w:cs="Times New Roman"/>
          <w:color w:val="auto"/>
          <w:sz w:val="32"/>
          <w:szCs w:val="32"/>
        </w:rPr>
        <w:t>%，决算数小于年初预算数的主要原因是：</w:t>
      </w:r>
      <w:r>
        <w:rPr>
          <w:rFonts w:hint="eastAsia" w:ascii="Times New Roman" w:hAnsi="Times New Roman" w:eastAsia="仿宋_GB2312" w:cs="Times New Roman"/>
          <w:color w:val="auto"/>
          <w:sz w:val="32"/>
          <w:szCs w:val="32"/>
          <w:highlight w:val="none"/>
          <w:lang w:val="en-US" w:eastAsia="zh-CN"/>
        </w:rPr>
        <w:t>人员经费有结余</w:t>
      </w:r>
      <w:r>
        <w:rPr>
          <w:rFonts w:hint="default" w:ascii="Times New Roman" w:hAnsi="Times New Roman" w:eastAsia="仿宋_GB2312" w:cs="Times New Roman"/>
          <w:color w:val="auto"/>
          <w:sz w:val="32"/>
          <w:szCs w:val="32"/>
          <w:highlight w:val="none"/>
          <w:lang w:val="en-US" w:eastAsia="zh-CN"/>
        </w:rPr>
        <w:t>。</w:t>
      </w:r>
    </w:p>
    <w:p>
      <w:pPr>
        <w:pStyle w:val="16"/>
        <w:spacing w:line="600" w:lineRule="exact"/>
        <w:ind w:firstLine="800" w:firstLineChars="25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社会保障和就业支出（类）行政事业单位养老支出（款）机关事业单位基本养老保险缴费支出（项）。</w:t>
      </w:r>
    </w:p>
    <w:p>
      <w:pPr>
        <w:pStyle w:val="16"/>
        <w:spacing w:line="600" w:lineRule="exact"/>
        <w:ind w:firstLine="800" w:firstLineChars="25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highlight w:val="none"/>
        </w:rPr>
        <w:t>年初预算为</w:t>
      </w:r>
      <w:r>
        <w:rPr>
          <w:rFonts w:hint="default" w:ascii="Times New Roman" w:hAnsi="Times New Roman" w:eastAsia="仿宋_GB2312" w:cs="Times New Roman"/>
          <w:color w:val="auto"/>
          <w:sz w:val="32"/>
          <w:szCs w:val="32"/>
          <w:highlight w:val="none"/>
          <w:lang w:val="en-US" w:eastAsia="zh-CN"/>
        </w:rPr>
        <w:t>12.18</w:t>
      </w:r>
      <w:r>
        <w:rPr>
          <w:rFonts w:hint="default" w:ascii="Times New Roman" w:hAnsi="Times New Roman" w:eastAsia="仿宋_GB2312" w:cs="Times New Roman"/>
          <w:color w:val="auto"/>
          <w:sz w:val="32"/>
          <w:szCs w:val="32"/>
          <w:highlight w:val="none"/>
        </w:rPr>
        <w:t>万元，支出决算为</w:t>
      </w:r>
      <w:r>
        <w:rPr>
          <w:rFonts w:hint="default" w:ascii="Times New Roman" w:hAnsi="Times New Roman" w:eastAsia="仿宋_GB2312" w:cs="Times New Roman"/>
          <w:color w:val="auto"/>
          <w:sz w:val="32"/>
          <w:szCs w:val="32"/>
          <w:highlight w:val="none"/>
          <w:lang w:val="en-US" w:eastAsia="zh-CN"/>
        </w:rPr>
        <w:t>11.44</w:t>
      </w:r>
      <w:r>
        <w:rPr>
          <w:rFonts w:hint="default" w:ascii="Times New Roman" w:hAnsi="Times New Roman" w:eastAsia="仿宋_GB2312" w:cs="Times New Roman"/>
          <w:color w:val="auto"/>
          <w:sz w:val="32"/>
          <w:szCs w:val="32"/>
          <w:highlight w:val="none"/>
        </w:rPr>
        <w:t>万元，完成年初预算的9</w:t>
      </w:r>
      <w:r>
        <w:rPr>
          <w:rFonts w:hint="default" w:ascii="Times New Roman" w:hAnsi="Times New Roman" w:eastAsia="仿宋_GB2312" w:cs="Times New Roman"/>
          <w:color w:val="auto"/>
          <w:sz w:val="32"/>
          <w:szCs w:val="32"/>
          <w:highlight w:val="none"/>
          <w:lang w:val="en-US" w:eastAsia="zh-CN"/>
        </w:rPr>
        <w:t>3.93</w:t>
      </w:r>
      <w:r>
        <w:rPr>
          <w:rFonts w:hint="default" w:ascii="Times New Roman" w:hAnsi="Times New Roman" w:eastAsia="仿宋_GB2312" w:cs="Times New Roman"/>
          <w:color w:val="auto"/>
          <w:sz w:val="32"/>
          <w:szCs w:val="32"/>
          <w:highlight w:val="none"/>
        </w:rPr>
        <w:t>%，决算数小于年初预算数的主要原因是：</w:t>
      </w:r>
      <w:r>
        <w:rPr>
          <w:rFonts w:hint="default" w:ascii="Times New Roman" w:hAnsi="Times New Roman" w:eastAsia="仿宋_GB2312" w:cs="Times New Roman"/>
          <w:color w:val="auto"/>
          <w:sz w:val="32"/>
          <w:szCs w:val="32"/>
          <w:lang w:val="en-US" w:eastAsia="zh-CN"/>
        </w:rPr>
        <w:t>年中在职人员减少1名。</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、农林水（类）农业农村（款）行政运行（项）。</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年初预算为</w:t>
      </w:r>
      <w:r>
        <w:rPr>
          <w:rFonts w:hint="default" w:ascii="Times New Roman" w:hAnsi="Times New Roman" w:eastAsia="仿宋_GB2312" w:cs="Times New Roman"/>
          <w:color w:val="auto"/>
          <w:sz w:val="32"/>
          <w:szCs w:val="32"/>
          <w:lang w:val="en-US" w:eastAsia="zh-CN"/>
        </w:rPr>
        <w:t>117.51</w:t>
      </w:r>
      <w:r>
        <w:rPr>
          <w:rFonts w:hint="default" w:ascii="Times New Roman" w:hAnsi="Times New Roman" w:eastAsia="仿宋_GB2312" w:cs="Times New Roman"/>
          <w:color w:val="auto"/>
          <w:sz w:val="32"/>
          <w:szCs w:val="32"/>
        </w:rPr>
        <w:t>万元，支出决算为</w:t>
      </w:r>
      <w:r>
        <w:rPr>
          <w:rFonts w:hint="default" w:ascii="Times New Roman" w:hAnsi="Times New Roman" w:eastAsia="仿宋_GB2312" w:cs="Times New Roman"/>
          <w:color w:val="auto"/>
          <w:sz w:val="32"/>
          <w:szCs w:val="32"/>
          <w:lang w:val="en-US" w:eastAsia="zh-CN"/>
        </w:rPr>
        <w:t>113.22</w:t>
      </w:r>
      <w:r>
        <w:rPr>
          <w:rFonts w:hint="default" w:ascii="Times New Roman" w:hAnsi="Times New Roman" w:eastAsia="仿宋_GB2312" w:cs="Times New Roman"/>
          <w:color w:val="auto"/>
          <w:sz w:val="32"/>
          <w:szCs w:val="32"/>
        </w:rPr>
        <w:t>万元，完成年初预算的</w:t>
      </w:r>
      <w:r>
        <w:rPr>
          <w:rFonts w:hint="default" w:ascii="Times New Roman" w:hAnsi="Times New Roman" w:eastAsia="仿宋_GB2312" w:cs="Times New Roman"/>
          <w:color w:val="auto"/>
          <w:sz w:val="32"/>
          <w:szCs w:val="32"/>
          <w:lang w:val="en-US" w:eastAsia="zh-CN"/>
        </w:rPr>
        <w:t>96.35</w:t>
      </w:r>
      <w:r>
        <w:rPr>
          <w:rFonts w:hint="default" w:ascii="Times New Roman" w:hAnsi="Times New Roman" w:eastAsia="仿宋_GB2312" w:cs="Times New Roman"/>
          <w:color w:val="auto"/>
          <w:sz w:val="32"/>
          <w:szCs w:val="32"/>
        </w:rPr>
        <w:t>%，决算数</w:t>
      </w:r>
      <w:r>
        <w:rPr>
          <w:rFonts w:hint="default" w:ascii="Times New Roman" w:hAnsi="Times New Roman" w:eastAsia="仿宋_GB2312" w:cs="Times New Roman"/>
          <w:color w:val="auto"/>
          <w:sz w:val="32"/>
          <w:szCs w:val="32"/>
          <w:lang w:val="en-US" w:eastAsia="zh-CN"/>
        </w:rPr>
        <w:t>小</w:t>
      </w:r>
      <w:r>
        <w:rPr>
          <w:rFonts w:hint="default" w:ascii="Times New Roman" w:hAnsi="Times New Roman" w:eastAsia="仿宋_GB2312" w:cs="Times New Roman"/>
          <w:color w:val="auto"/>
          <w:sz w:val="32"/>
          <w:szCs w:val="32"/>
        </w:rPr>
        <w:t>于年初预算数的主要原因是：</w:t>
      </w:r>
      <w:r>
        <w:rPr>
          <w:rFonts w:hint="default" w:ascii="Times New Roman" w:hAnsi="Times New Roman" w:eastAsia="仿宋_GB2312" w:cs="Times New Roman"/>
          <w:color w:val="auto"/>
          <w:sz w:val="32"/>
          <w:szCs w:val="32"/>
          <w:lang w:val="en-US" w:eastAsia="zh-CN"/>
        </w:rPr>
        <w:t>单位厉行节约，贯彻落实过“紧日子”要求，支出减少。</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、农林水（类）农业农村（款）农业生产发展（项）。</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年初预算为</w:t>
      </w:r>
      <w:r>
        <w:rPr>
          <w:rFonts w:hint="default" w:ascii="Times New Roman" w:hAnsi="Times New Roman" w:eastAsia="仿宋_GB2312" w:cs="Times New Roman"/>
          <w:color w:val="auto"/>
          <w:sz w:val="32"/>
          <w:szCs w:val="32"/>
          <w:lang w:val="en-US" w:eastAsia="zh-CN"/>
        </w:rPr>
        <w:t>68.57</w:t>
      </w:r>
      <w:r>
        <w:rPr>
          <w:rFonts w:hint="default" w:ascii="Times New Roman" w:hAnsi="Times New Roman" w:eastAsia="仿宋_GB2312" w:cs="Times New Roman"/>
          <w:color w:val="auto"/>
          <w:sz w:val="32"/>
          <w:szCs w:val="32"/>
        </w:rPr>
        <w:t>万元，支出决算为</w:t>
      </w:r>
      <w:r>
        <w:rPr>
          <w:rFonts w:hint="default" w:ascii="Times New Roman" w:hAnsi="Times New Roman" w:eastAsia="仿宋_GB2312" w:cs="Times New Roman"/>
          <w:color w:val="auto"/>
          <w:sz w:val="32"/>
          <w:szCs w:val="32"/>
          <w:lang w:val="en-US" w:eastAsia="zh-CN"/>
        </w:rPr>
        <w:t>54.87</w:t>
      </w:r>
      <w:r>
        <w:rPr>
          <w:rFonts w:hint="default" w:ascii="Times New Roman" w:hAnsi="Times New Roman" w:eastAsia="仿宋_GB2312" w:cs="Times New Roman"/>
          <w:color w:val="auto"/>
          <w:sz w:val="32"/>
          <w:szCs w:val="32"/>
        </w:rPr>
        <w:t>万元，完成年初预算的</w:t>
      </w:r>
      <w:r>
        <w:rPr>
          <w:rFonts w:hint="default" w:ascii="Times New Roman" w:hAnsi="Times New Roman" w:eastAsia="仿宋_GB2312" w:cs="Times New Roman"/>
          <w:color w:val="auto"/>
          <w:sz w:val="32"/>
          <w:szCs w:val="32"/>
          <w:lang w:val="en-US" w:eastAsia="zh-CN"/>
        </w:rPr>
        <w:t>80.02</w:t>
      </w:r>
      <w:r>
        <w:rPr>
          <w:rFonts w:hint="default" w:ascii="Times New Roman" w:hAnsi="Times New Roman" w:eastAsia="仿宋_GB2312" w:cs="Times New Roman"/>
          <w:color w:val="auto"/>
          <w:sz w:val="32"/>
          <w:szCs w:val="32"/>
        </w:rPr>
        <w:t>%，决算数小于年初预算数的主要原因是：</w:t>
      </w:r>
      <w:r>
        <w:rPr>
          <w:rFonts w:hint="default" w:ascii="Times New Roman" w:hAnsi="Times New Roman" w:eastAsia="仿宋_GB2312" w:cs="Times New Roman"/>
          <w:color w:val="auto"/>
          <w:sz w:val="32"/>
          <w:szCs w:val="32"/>
          <w:lang w:val="en-US" w:eastAsia="zh-CN"/>
        </w:rPr>
        <w:t>项目跨年实施。</w:t>
      </w:r>
    </w:p>
    <w:p>
      <w:pPr>
        <w:pStyle w:val="16"/>
        <w:spacing w:line="600" w:lineRule="exact"/>
        <w:ind w:firstLine="800" w:firstLineChars="25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6、</w:t>
      </w:r>
      <w:r>
        <w:rPr>
          <w:rFonts w:hint="default" w:ascii="Times New Roman" w:hAnsi="Times New Roman" w:eastAsia="仿宋_GB2312" w:cs="Times New Roman"/>
          <w:color w:val="auto"/>
          <w:sz w:val="32"/>
          <w:szCs w:val="32"/>
        </w:rPr>
        <w:t>住房保障支出（类）住房改革支出（款）住房公积金（项）。</w:t>
      </w:r>
    </w:p>
    <w:p>
      <w:pPr>
        <w:pStyle w:val="16"/>
        <w:spacing w:line="600" w:lineRule="exact"/>
        <w:ind w:firstLine="800" w:firstLineChars="25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年初预算为</w:t>
      </w:r>
      <w:r>
        <w:rPr>
          <w:rFonts w:hint="default" w:ascii="Times New Roman" w:hAnsi="Times New Roman" w:eastAsia="仿宋_GB2312" w:cs="Times New Roman"/>
          <w:color w:val="auto"/>
          <w:sz w:val="32"/>
          <w:szCs w:val="32"/>
          <w:lang w:val="en-US" w:eastAsia="zh-CN"/>
        </w:rPr>
        <w:t>10.80</w:t>
      </w:r>
      <w:r>
        <w:rPr>
          <w:rFonts w:hint="default" w:ascii="Times New Roman" w:hAnsi="Times New Roman" w:eastAsia="仿宋_GB2312" w:cs="Times New Roman"/>
          <w:color w:val="auto"/>
          <w:sz w:val="32"/>
          <w:szCs w:val="32"/>
        </w:rPr>
        <w:t>万元，支出决算为</w:t>
      </w:r>
      <w:r>
        <w:rPr>
          <w:rFonts w:hint="default" w:ascii="Times New Roman" w:hAnsi="Times New Roman" w:eastAsia="仿宋_GB2312" w:cs="Times New Roman"/>
          <w:color w:val="auto"/>
          <w:sz w:val="32"/>
          <w:szCs w:val="32"/>
          <w:lang w:val="en-US" w:eastAsia="zh-CN"/>
        </w:rPr>
        <w:t>10.18</w:t>
      </w:r>
      <w:r>
        <w:rPr>
          <w:rFonts w:hint="default" w:ascii="Times New Roman" w:hAnsi="Times New Roman" w:eastAsia="仿宋_GB2312" w:cs="Times New Roman"/>
          <w:color w:val="auto"/>
          <w:sz w:val="32"/>
          <w:szCs w:val="32"/>
        </w:rPr>
        <w:t>万元，完成年初预算的</w:t>
      </w:r>
      <w:r>
        <w:rPr>
          <w:rFonts w:hint="default" w:ascii="Times New Roman" w:hAnsi="Times New Roman" w:eastAsia="仿宋_GB2312" w:cs="Times New Roman"/>
          <w:color w:val="auto"/>
          <w:sz w:val="32"/>
          <w:szCs w:val="32"/>
          <w:lang w:val="en-US" w:eastAsia="zh-CN"/>
        </w:rPr>
        <w:t>94.26</w:t>
      </w:r>
      <w:r>
        <w:rPr>
          <w:rFonts w:hint="default" w:ascii="Times New Roman" w:hAnsi="Times New Roman" w:eastAsia="仿宋_GB2312" w:cs="Times New Roman"/>
          <w:color w:val="auto"/>
          <w:sz w:val="32"/>
          <w:szCs w:val="32"/>
        </w:rPr>
        <w:t>%，决算数小于年初预算数的主要原因是：</w:t>
      </w:r>
      <w:r>
        <w:rPr>
          <w:rFonts w:hint="default" w:ascii="Times New Roman" w:hAnsi="Times New Roman" w:eastAsia="仿宋_GB2312" w:cs="Times New Roman"/>
          <w:color w:val="auto"/>
          <w:sz w:val="32"/>
          <w:szCs w:val="32"/>
          <w:lang w:val="en-US" w:eastAsia="zh-CN"/>
        </w:rPr>
        <w:t>年中在职人员减少1名。</w:t>
      </w:r>
    </w:p>
    <w:p>
      <w:pPr>
        <w:pStyle w:val="16"/>
        <w:overflowPunct w:val="0"/>
        <w:autoSpaceDE/>
        <w:autoSpaceDN/>
        <w:spacing w:line="600" w:lineRule="exact"/>
        <w:ind w:firstLine="640" w:firstLineChars="200"/>
        <w:jc w:val="both"/>
        <w:rPr>
          <w:rFonts w:hint="default" w:ascii="Times New Roman" w:hAnsi="Times New Roman" w:cs="Times New Roman"/>
          <w:bCs/>
          <w:color w:val="auto"/>
          <w:sz w:val="32"/>
          <w:szCs w:val="32"/>
        </w:rPr>
      </w:pPr>
      <w:r>
        <w:rPr>
          <w:rFonts w:hint="default" w:ascii="Times New Roman" w:hAnsi="Times New Roman" w:cs="Times New Roman"/>
          <w:bCs/>
          <w:color w:val="auto"/>
          <w:sz w:val="32"/>
          <w:szCs w:val="32"/>
        </w:rPr>
        <w:t>六、一般公共预算财政拨款基本支出决算情况说明</w:t>
      </w:r>
    </w:p>
    <w:p>
      <w:pPr>
        <w:pStyle w:val="16"/>
        <w:overflowPunct w:val="0"/>
        <w:autoSpaceDE/>
        <w:autoSpaceDN/>
        <w:spacing w:line="600" w:lineRule="exact"/>
        <w:ind w:firstLine="640" w:firstLineChars="200"/>
        <w:jc w:val="both"/>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2024年度一般公共预算财政拨款基本支出</w:t>
      </w:r>
      <w:r>
        <w:rPr>
          <w:rFonts w:hint="default" w:ascii="Times New Roman" w:hAnsi="Times New Roman" w:eastAsia="仿宋_GB2312" w:cs="Times New Roman"/>
          <w:color w:val="auto"/>
          <w:sz w:val="32"/>
          <w:szCs w:val="32"/>
          <w:lang w:val="en-US" w:eastAsia="zh-CN"/>
        </w:rPr>
        <w:t>160.85</w:t>
      </w:r>
      <w:r>
        <w:rPr>
          <w:rFonts w:hint="default" w:ascii="Times New Roman" w:hAnsi="Times New Roman" w:eastAsia="仿宋_GB2312" w:cs="Times New Roman"/>
          <w:color w:val="auto"/>
          <w:sz w:val="32"/>
          <w:szCs w:val="32"/>
        </w:rPr>
        <w:t>万元，其中：</w:t>
      </w:r>
    </w:p>
    <w:p>
      <w:pPr>
        <w:pStyle w:val="16"/>
        <w:overflowPunct w:val="0"/>
        <w:autoSpaceDE/>
        <w:autoSpaceDN/>
        <w:spacing w:line="600" w:lineRule="exact"/>
        <w:ind w:firstLine="640" w:firstLineChars="200"/>
        <w:jc w:val="both"/>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rPr>
        <w:t>人员经费</w:t>
      </w:r>
      <w:r>
        <w:rPr>
          <w:rFonts w:hint="default" w:ascii="Times New Roman" w:hAnsi="Times New Roman" w:eastAsia="仿宋_GB2312" w:cs="Times New Roman"/>
          <w:color w:val="auto"/>
          <w:sz w:val="32"/>
          <w:szCs w:val="32"/>
          <w:lang w:val="en-US" w:eastAsia="zh-CN"/>
        </w:rPr>
        <w:t>150.47</w:t>
      </w:r>
      <w:r>
        <w:rPr>
          <w:rFonts w:hint="default" w:ascii="Times New Roman" w:hAnsi="Times New Roman" w:eastAsia="仿宋_GB2312" w:cs="Times New Roman"/>
          <w:color w:val="auto"/>
          <w:sz w:val="32"/>
          <w:szCs w:val="32"/>
        </w:rPr>
        <w:t>万元，占基本支出的</w:t>
      </w:r>
      <w:r>
        <w:rPr>
          <w:rFonts w:hint="default" w:ascii="Times New Roman" w:hAnsi="Times New Roman" w:eastAsia="仿宋_GB2312" w:cs="Times New Roman"/>
          <w:color w:val="auto"/>
          <w:sz w:val="32"/>
          <w:szCs w:val="32"/>
          <w:lang w:val="en-US" w:eastAsia="zh-CN"/>
        </w:rPr>
        <w:t>93.55</w:t>
      </w:r>
      <w:r>
        <w:rPr>
          <w:rFonts w:hint="default" w:ascii="Times New Roman" w:hAnsi="Times New Roman" w:eastAsia="仿宋_GB2312" w:cs="Times New Roman"/>
          <w:color w:val="auto"/>
          <w:sz w:val="32"/>
          <w:szCs w:val="32"/>
        </w:rPr>
        <w:t>%,主要包括基本工资、津贴补贴、奖金、伙食补助费</w:t>
      </w:r>
      <w:r>
        <w:rPr>
          <w:rFonts w:hint="default" w:ascii="Times New Roman" w:hAnsi="Times New Roman" w:eastAsia="仿宋_GB2312" w:cs="Times New Roman"/>
          <w:color w:val="auto"/>
          <w:sz w:val="32"/>
          <w:szCs w:val="32"/>
          <w:lang w:eastAsia="zh-CN"/>
        </w:rPr>
        <w:t>、绩效工资、机关事业单位基本养老保险缴费、职工基本医疗保险缴费、住房公积金、退休费</w:t>
      </w:r>
      <w:r>
        <w:rPr>
          <w:rFonts w:hint="default" w:ascii="Times New Roman" w:hAnsi="Times New Roman" w:eastAsia="仿宋_GB2312" w:cs="Times New Roman"/>
          <w:color w:val="auto"/>
          <w:sz w:val="32"/>
          <w:szCs w:val="32"/>
          <w:lang w:val="en-US" w:eastAsia="zh-CN"/>
        </w:rPr>
        <w:t>等</w:t>
      </w:r>
      <w:r>
        <w:rPr>
          <w:rFonts w:hint="default" w:ascii="Times New Roman" w:hAnsi="Times New Roman" w:eastAsia="仿宋_GB2312" w:cs="Times New Roman"/>
          <w:color w:val="auto"/>
          <w:sz w:val="32"/>
          <w:szCs w:val="32"/>
        </w:rPr>
        <w:t>。</w:t>
      </w:r>
    </w:p>
    <w:p>
      <w:pPr>
        <w:pStyle w:val="16"/>
        <w:overflowPunct w:val="0"/>
        <w:autoSpaceDE/>
        <w:autoSpaceDN/>
        <w:spacing w:line="600" w:lineRule="exact"/>
        <w:ind w:firstLine="640" w:firstLineChars="200"/>
        <w:jc w:val="both"/>
        <w:rPr>
          <w:rFonts w:hint="default" w:ascii="Times New Roman" w:hAnsi="Times New Roman" w:eastAsia="仿宋_GB2312" w:cs="Times New Roman"/>
          <w:b/>
          <w:color w:val="auto"/>
          <w:sz w:val="32"/>
          <w:szCs w:val="32"/>
        </w:rPr>
      </w:pPr>
      <w:r>
        <w:rPr>
          <w:rFonts w:hint="default" w:ascii="Times New Roman" w:hAnsi="Times New Roman" w:eastAsia="仿宋_GB2312" w:cs="Times New Roman"/>
          <w:b/>
          <w:bCs/>
          <w:color w:val="auto"/>
          <w:sz w:val="32"/>
          <w:szCs w:val="32"/>
        </w:rPr>
        <w:t>公用经费</w:t>
      </w:r>
      <w:r>
        <w:rPr>
          <w:rFonts w:hint="default" w:ascii="Times New Roman" w:hAnsi="Times New Roman" w:eastAsia="仿宋_GB2312" w:cs="Times New Roman"/>
          <w:color w:val="auto"/>
          <w:sz w:val="32"/>
          <w:szCs w:val="32"/>
          <w:lang w:val="en-US" w:eastAsia="zh-CN"/>
        </w:rPr>
        <w:t>10.37</w:t>
      </w:r>
      <w:r>
        <w:rPr>
          <w:rFonts w:hint="default" w:ascii="Times New Roman" w:hAnsi="Times New Roman" w:eastAsia="仿宋_GB2312" w:cs="Times New Roman"/>
          <w:color w:val="auto"/>
          <w:sz w:val="32"/>
          <w:szCs w:val="32"/>
        </w:rPr>
        <w:t>万元，占基本支出的</w:t>
      </w:r>
      <w:r>
        <w:rPr>
          <w:rFonts w:hint="default" w:ascii="Times New Roman" w:hAnsi="Times New Roman" w:eastAsia="仿宋_GB2312" w:cs="Times New Roman"/>
          <w:color w:val="auto"/>
          <w:sz w:val="32"/>
          <w:szCs w:val="32"/>
          <w:lang w:val="en-US" w:eastAsia="zh-CN"/>
        </w:rPr>
        <w:t>6.45</w:t>
      </w:r>
      <w:r>
        <w:rPr>
          <w:rFonts w:hint="default" w:ascii="Times New Roman" w:hAnsi="Times New Roman" w:eastAsia="仿宋_GB2312" w:cs="Times New Roman"/>
          <w:color w:val="auto"/>
          <w:sz w:val="32"/>
          <w:szCs w:val="32"/>
        </w:rPr>
        <w:t>%，主要包括办公费、</w:t>
      </w:r>
      <w:r>
        <w:rPr>
          <w:rFonts w:hint="default" w:ascii="Times New Roman" w:hAnsi="Times New Roman" w:eastAsia="仿宋_GB2312" w:cs="Times New Roman"/>
          <w:color w:val="auto"/>
          <w:sz w:val="32"/>
          <w:szCs w:val="32"/>
          <w:lang w:val="en-US" w:eastAsia="zh-CN"/>
        </w:rPr>
        <w:t>劳务费、委托业务费、其他交通费用、其他商品和服务支出等</w:t>
      </w:r>
      <w:r>
        <w:rPr>
          <w:rFonts w:hint="default" w:ascii="Times New Roman" w:hAnsi="Times New Roman" w:eastAsia="仿宋_GB2312" w:cs="Times New Roman"/>
          <w:color w:val="auto"/>
          <w:sz w:val="32"/>
          <w:szCs w:val="32"/>
        </w:rPr>
        <w:t>。</w:t>
      </w:r>
    </w:p>
    <w:p>
      <w:pPr>
        <w:pStyle w:val="16"/>
        <w:overflowPunct w:val="0"/>
        <w:autoSpaceDE/>
        <w:autoSpaceDN/>
        <w:spacing w:line="600" w:lineRule="exact"/>
        <w:ind w:firstLine="640" w:firstLineChars="200"/>
        <w:jc w:val="both"/>
        <w:rPr>
          <w:rFonts w:hint="default" w:ascii="Times New Roman" w:hAnsi="Times New Roman" w:eastAsia="仿宋_GB2312" w:cs="Times New Roman"/>
          <w:b/>
          <w:color w:val="auto"/>
          <w:sz w:val="32"/>
          <w:szCs w:val="32"/>
        </w:rPr>
      </w:pPr>
      <w:r>
        <w:rPr>
          <w:rFonts w:hint="default" w:ascii="Times New Roman" w:hAnsi="Times New Roman" w:cs="Times New Roman"/>
          <w:bCs/>
          <w:color w:val="auto"/>
          <w:sz w:val="32"/>
          <w:szCs w:val="32"/>
        </w:rPr>
        <w:t>七、财政拨款“三公”经费支出决算情况说明</w:t>
      </w:r>
    </w:p>
    <w:p>
      <w:pPr>
        <w:pStyle w:val="16"/>
        <w:overflowPunct w:val="0"/>
        <w:autoSpaceDE/>
        <w:autoSpaceDN/>
        <w:spacing w:line="600" w:lineRule="exact"/>
        <w:ind w:firstLine="640" w:firstLineChars="200"/>
        <w:jc w:val="both"/>
        <w:rPr>
          <w:rFonts w:hint="default" w:ascii="Times New Roman" w:hAnsi="Times New Roman" w:eastAsia="楷体_GB2312" w:cs="Times New Roman"/>
          <w:b/>
          <w:color w:val="auto"/>
          <w:sz w:val="32"/>
          <w:szCs w:val="32"/>
        </w:rPr>
      </w:pPr>
      <w:r>
        <w:rPr>
          <w:rFonts w:hint="default" w:ascii="Times New Roman" w:hAnsi="Times New Roman" w:eastAsia="楷体_GB2312" w:cs="Times New Roman"/>
          <w:b/>
          <w:color w:val="auto"/>
          <w:sz w:val="32"/>
          <w:szCs w:val="32"/>
        </w:rPr>
        <w:t>（一）“三公”经费财政拨款支出决算总体情况说明</w:t>
      </w:r>
    </w:p>
    <w:p>
      <w:pPr>
        <w:pStyle w:val="16"/>
        <w:overflowPunct w:val="0"/>
        <w:autoSpaceDE/>
        <w:autoSpaceDN/>
        <w:spacing w:line="600" w:lineRule="exact"/>
        <w:ind w:firstLine="640" w:firstLineChars="200"/>
        <w:jc w:val="both"/>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2024年度“三公”经费财政拨款支出预算为</w:t>
      </w:r>
      <w:r>
        <w:rPr>
          <w:rFonts w:hint="default" w:ascii="Times New Roman" w:hAnsi="Times New Roman" w:eastAsia="仿宋_GB2312" w:cs="Times New Roman"/>
          <w:color w:val="auto"/>
          <w:sz w:val="32"/>
          <w:szCs w:val="32"/>
          <w:lang w:val="en-US" w:eastAsia="zh-CN"/>
        </w:rPr>
        <w:t>0.30</w:t>
      </w:r>
      <w:r>
        <w:rPr>
          <w:rFonts w:hint="default" w:ascii="Times New Roman" w:hAnsi="Times New Roman" w:eastAsia="仿宋_GB2312" w:cs="Times New Roman"/>
          <w:color w:val="auto"/>
          <w:sz w:val="32"/>
          <w:szCs w:val="32"/>
        </w:rPr>
        <w:t>万元，支出决算为</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万元，完成预算的</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%；与上年</w:t>
      </w:r>
      <w:r>
        <w:rPr>
          <w:rFonts w:hint="default" w:ascii="Times New Roman" w:hAnsi="Times New Roman" w:eastAsia="仿宋_GB2312" w:cs="Times New Roman"/>
          <w:color w:val="auto"/>
          <w:sz w:val="32"/>
          <w:szCs w:val="32"/>
          <w:lang w:val="en-US" w:eastAsia="zh-CN"/>
        </w:rPr>
        <w:t>持平</w:t>
      </w:r>
      <w:r>
        <w:rPr>
          <w:rFonts w:hint="default" w:ascii="Times New Roman" w:hAnsi="Times New Roman" w:eastAsia="仿宋_GB2312" w:cs="Times New Roman"/>
          <w:color w:val="auto"/>
          <w:sz w:val="32"/>
          <w:szCs w:val="32"/>
        </w:rPr>
        <w:t>。决算数小于预算数的主要原因是本单位严格</w:t>
      </w:r>
      <w:r>
        <w:rPr>
          <w:rFonts w:hint="default" w:ascii="Times New Roman" w:hAnsi="Times New Roman" w:eastAsia="仿宋_GB2312" w:cs="Times New Roman"/>
          <w:color w:val="auto"/>
          <w:sz w:val="32"/>
          <w:szCs w:val="32"/>
          <w:highlight w:val="none"/>
          <w:lang w:eastAsia="zh-CN"/>
        </w:rPr>
        <w:t>控制</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三公</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经费开支。</w:t>
      </w:r>
    </w:p>
    <w:p>
      <w:pPr>
        <w:pStyle w:val="16"/>
        <w:overflowPunct w:val="0"/>
        <w:autoSpaceDE/>
        <w:autoSpaceDN/>
        <w:spacing w:line="600" w:lineRule="exact"/>
        <w:ind w:firstLine="640" w:firstLineChars="200"/>
        <w:jc w:val="both"/>
        <w:rPr>
          <w:rFonts w:hint="default" w:ascii="Times New Roman" w:hAnsi="Times New Roman" w:eastAsia="楷体_GB2312" w:cs="Times New Roman"/>
          <w:b/>
          <w:color w:val="auto"/>
          <w:sz w:val="32"/>
          <w:szCs w:val="32"/>
        </w:rPr>
      </w:pPr>
      <w:r>
        <w:rPr>
          <w:rFonts w:hint="default" w:ascii="Times New Roman" w:hAnsi="Times New Roman" w:eastAsia="楷体_GB2312" w:cs="Times New Roman"/>
          <w:b/>
          <w:color w:val="auto"/>
          <w:sz w:val="32"/>
          <w:szCs w:val="32"/>
        </w:rPr>
        <w:t>（二）“三公”经费财政拨款支出决算具体情况说明</w:t>
      </w:r>
    </w:p>
    <w:p>
      <w:pPr>
        <w:pStyle w:val="16"/>
        <w:overflowPunct w:val="0"/>
        <w:autoSpaceDE/>
        <w:autoSpaceDN/>
        <w:spacing w:line="600" w:lineRule="exact"/>
        <w:ind w:firstLine="640" w:firstLineChars="200"/>
        <w:jc w:val="both"/>
        <w:rPr>
          <w:rFonts w:hint="default" w:ascii="Times New Roman" w:hAnsi="Times New Roman" w:eastAsia="仿宋_GB2312" w:cs="Times New Roman"/>
          <w:b/>
          <w:bCs/>
          <w:i/>
          <w:color w:val="auto"/>
          <w:sz w:val="32"/>
          <w:szCs w:val="32"/>
          <w:lang w:eastAsia="zh-CN"/>
        </w:rPr>
      </w:pPr>
      <w:r>
        <w:rPr>
          <w:rFonts w:hint="default" w:ascii="Times New Roman" w:hAnsi="Times New Roman" w:eastAsia="仿宋_GB2312" w:cs="Times New Roman"/>
          <w:color w:val="auto"/>
          <w:sz w:val="32"/>
          <w:szCs w:val="32"/>
        </w:rPr>
        <w:t>1.因公出国（境）费支出预算为</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万元，支出决算为</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万元，与上年相</w:t>
      </w:r>
      <w:r>
        <w:rPr>
          <w:rFonts w:hint="default" w:ascii="Times New Roman" w:hAnsi="Times New Roman" w:eastAsia="仿宋_GB2312" w:cs="Times New Roman"/>
          <w:color w:val="auto"/>
          <w:sz w:val="32"/>
          <w:szCs w:val="32"/>
          <w:lang w:val="en-US" w:eastAsia="zh-CN"/>
        </w:rPr>
        <w:t>持平</w:t>
      </w:r>
      <w:r>
        <w:rPr>
          <w:rFonts w:hint="default" w:ascii="Times New Roman" w:hAnsi="Times New Roman" w:eastAsia="仿宋_GB2312" w:cs="Times New Roman"/>
          <w:color w:val="auto"/>
          <w:sz w:val="32"/>
          <w:szCs w:val="32"/>
        </w:rPr>
        <w:t>。2024年度安排因公出国（境）团组</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个，累计</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人次</w:t>
      </w:r>
      <w:r>
        <w:rPr>
          <w:rFonts w:hint="default" w:ascii="Times New Roman" w:hAnsi="Times New Roman" w:eastAsia="仿宋_GB2312" w:cs="Times New Roman"/>
          <w:color w:val="auto"/>
          <w:sz w:val="32"/>
          <w:szCs w:val="32"/>
          <w:lang w:eastAsia="zh-CN"/>
        </w:rPr>
        <w:t>。</w:t>
      </w:r>
    </w:p>
    <w:p>
      <w:pPr>
        <w:pStyle w:val="16"/>
        <w:overflowPunct w:val="0"/>
        <w:autoSpaceDE/>
        <w:autoSpaceDN/>
        <w:spacing w:line="600" w:lineRule="exact"/>
        <w:ind w:firstLine="640" w:firstLineChars="200"/>
        <w:jc w:val="both"/>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2.公务用车购置费及运行维护费支出预算为</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万元，支出决算为</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万元，与上年</w:t>
      </w:r>
      <w:r>
        <w:rPr>
          <w:rFonts w:hint="default" w:ascii="Times New Roman" w:hAnsi="Times New Roman" w:eastAsia="仿宋_GB2312" w:cs="Times New Roman"/>
          <w:color w:val="auto"/>
          <w:sz w:val="32"/>
          <w:szCs w:val="32"/>
          <w:highlight w:val="none"/>
          <w:lang w:val="en-US" w:eastAsia="zh-CN"/>
        </w:rPr>
        <w:t>持平</w:t>
      </w:r>
      <w:r>
        <w:rPr>
          <w:rFonts w:hint="default" w:ascii="Times New Roman" w:hAnsi="Times New Roman" w:eastAsia="仿宋_GB2312" w:cs="Times New Roman"/>
          <w:color w:val="auto"/>
          <w:sz w:val="32"/>
          <w:szCs w:val="32"/>
        </w:rPr>
        <w:t>。</w:t>
      </w:r>
    </w:p>
    <w:p>
      <w:pPr>
        <w:pStyle w:val="16"/>
        <w:overflowPunct w:val="0"/>
        <w:autoSpaceDE/>
        <w:autoSpaceDN/>
        <w:spacing w:line="600" w:lineRule="exact"/>
        <w:ind w:firstLine="640" w:firstLineChars="200"/>
        <w:jc w:val="both"/>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公务用车购置费支出预算为</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万元，支出决算为</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万元，与上年相</w:t>
      </w:r>
      <w:r>
        <w:rPr>
          <w:rFonts w:hint="default" w:ascii="Times New Roman" w:hAnsi="Times New Roman" w:eastAsia="仿宋_GB2312" w:cs="Times New Roman"/>
          <w:color w:val="auto"/>
          <w:sz w:val="32"/>
          <w:szCs w:val="32"/>
          <w:lang w:val="en-US" w:eastAsia="zh-CN"/>
        </w:rPr>
        <w:t>持平</w:t>
      </w:r>
      <w:r>
        <w:rPr>
          <w:rFonts w:hint="default" w:ascii="Times New Roman" w:hAnsi="Times New Roman" w:eastAsia="仿宋_GB2312" w:cs="Times New Roman"/>
          <w:color w:val="auto"/>
          <w:sz w:val="32"/>
          <w:szCs w:val="32"/>
        </w:rPr>
        <w:t>。单位本级更新公务用车</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辆</w:t>
      </w:r>
      <w:r>
        <w:rPr>
          <w:rFonts w:hint="default" w:ascii="Times New Roman" w:hAnsi="Times New Roman" w:eastAsia="仿宋_GB2312" w:cs="Times New Roman"/>
          <w:color w:val="auto"/>
          <w:sz w:val="32"/>
          <w:szCs w:val="32"/>
          <w:lang w:eastAsia="zh-CN"/>
        </w:rPr>
        <w:t>。</w:t>
      </w:r>
    </w:p>
    <w:p>
      <w:pPr>
        <w:pStyle w:val="16"/>
        <w:overflowPunct w:val="0"/>
        <w:autoSpaceDE/>
        <w:autoSpaceDN/>
        <w:spacing w:line="600" w:lineRule="exact"/>
        <w:ind w:firstLine="640" w:firstLineChars="200"/>
        <w:jc w:val="both"/>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公务用车运行维护费支出预算为</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万元，支出决算为</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万元，与上年</w:t>
      </w:r>
      <w:r>
        <w:rPr>
          <w:rFonts w:hint="default" w:ascii="Times New Roman" w:hAnsi="Times New Roman" w:eastAsia="仿宋_GB2312" w:cs="Times New Roman"/>
          <w:color w:val="auto"/>
          <w:sz w:val="32"/>
          <w:szCs w:val="32"/>
          <w:lang w:val="en-US" w:eastAsia="zh-CN"/>
        </w:rPr>
        <w:t>持平</w:t>
      </w:r>
      <w:r>
        <w:rPr>
          <w:rFonts w:hint="default" w:ascii="Times New Roman" w:hAnsi="Times New Roman" w:eastAsia="仿宋_GB2312" w:cs="Times New Roman"/>
          <w:color w:val="auto"/>
          <w:sz w:val="32"/>
          <w:szCs w:val="32"/>
        </w:rPr>
        <w:t>。截止2024年12月31日，我单位开支财政拨款的公务用车保有量为</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辆。</w:t>
      </w:r>
    </w:p>
    <w:p>
      <w:pPr>
        <w:pStyle w:val="16"/>
        <w:overflowPunct w:val="0"/>
        <w:autoSpaceDE/>
        <w:autoSpaceDN/>
        <w:spacing w:line="600" w:lineRule="exact"/>
        <w:ind w:firstLine="640" w:firstLineChars="200"/>
        <w:jc w:val="both"/>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3.公务接待费支出预算为</w:t>
      </w:r>
      <w:r>
        <w:rPr>
          <w:rFonts w:hint="default" w:ascii="Times New Roman" w:hAnsi="Times New Roman" w:eastAsia="仿宋_GB2312" w:cs="Times New Roman"/>
          <w:color w:val="auto"/>
          <w:sz w:val="32"/>
          <w:szCs w:val="32"/>
          <w:lang w:val="en-US" w:eastAsia="zh-CN"/>
        </w:rPr>
        <w:t>0.30</w:t>
      </w:r>
      <w:r>
        <w:rPr>
          <w:rFonts w:hint="default" w:ascii="Times New Roman" w:hAnsi="Times New Roman" w:eastAsia="仿宋_GB2312" w:cs="Times New Roman"/>
          <w:color w:val="auto"/>
          <w:sz w:val="32"/>
          <w:szCs w:val="32"/>
        </w:rPr>
        <w:t>万元，支出决算为</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万元，完成预算的</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%；与上年</w:t>
      </w:r>
      <w:r>
        <w:rPr>
          <w:rFonts w:hint="default" w:ascii="Times New Roman" w:hAnsi="Times New Roman" w:eastAsia="仿宋_GB2312" w:cs="Times New Roman"/>
          <w:color w:val="auto"/>
          <w:sz w:val="32"/>
          <w:szCs w:val="32"/>
          <w:lang w:val="en-US" w:eastAsia="zh-CN"/>
        </w:rPr>
        <w:t>持平</w:t>
      </w:r>
      <w:r>
        <w:rPr>
          <w:rFonts w:hint="default" w:ascii="Times New Roman" w:hAnsi="Times New Roman" w:eastAsia="仿宋_GB2312" w:cs="Times New Roman"/>
          <w:color w:val="auto"/>
          <w:sz w:val="32"/>
          <w:szCs w:val="32"/>
        </w:rPr>
        <w:t>。决算数小于预算数的主要原因是本单位严格</w:t>
      </w:r>
      <w:r>
        <w:rPr>
          <w:rFonts w:hint="default" w:ascii="Times New Roman" w:hAnsi="Times New Roman" w:eastAsia="仿宋_GB2312" w:cs="Times New Roman"/>
          <w:color w:val="auto"/>
          <w:sz w:val="32"/>
          <w:szCs w:val="32"/>
          <w:highlight w:val="none"/>
          <w:lang w:eastAsia="zh-CN"/>
        </w:rPr>
        <w:t>控制</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三公</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经费开支。2024年度共接待来访团组</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个、来宾</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人次</w:t>
      </w:r>
      <w:r>
        <w:rPr>
          <w:rFonts w:hint="default" w:ascii="Times New Roman" w:hAnsi="Times New Roman" w:eastAsia="仿宋_GB2312" w:cs="Times New Roman"/>
          <w:color w:val="auto"/>
          <w:sz w:val="32"/>
          <w:szCs w:val="32"/>
          <w:lang w:eastAsia="zh-CN"/>
        </w:rPr>
        <w:t>。</w:t>
      </w:r>
    </w:p>
    <w:p>
      <w:pPr>
        <w:pStyle w:val="16"/>
        <w:overflowPunct w:val="0"/>
        <w:autoSpaceDE/>
        <w:autoSpaceDN/>
        <w:spacing w:line="600" w:lineRule="exact"/>
        <w:ind w:firstLine="640" w:firstLineChars="200"/>
        <w:jc w:val="both"/>
        <w:rPr>
          <w:rFonts w:hint="default" w:ascii="Times New Roman" w:hAnsi="Times New Roman" w:cs="Times New Roman"/>
          <w:bCs/>
          <w:color w:val="auto"/>
          <w:sz w:val="32"/>
          <w:szCs w:val="32"/>
        </w:rPr>
      </w:pPr>
      <w:r>
        <w:rPr>
          <w:rFonts w:hint="default" w:ascii="Times New Roman" w:hAnsi="Times New Roman" w:cs="Times New Roman"/>
          <w:bCs/>
          <w:color w:val="auto"/>
          <w:sz w:val="32"/>
          <w:szCs w:val="32"/>
        </w:rPr>
        <w:t>八、政府性基金预算收入支出决算情况</w:t>
      </w:r>
    </w:p>
    <w:p>
      <w:pPr>
        <w:pStyle w:val="16"/>
        <w:overflowPunct w:val="0"/>
        <w:autoSpaceDE/>
        <w:autoSpaceDN/>
        <w:spacing w:line="600" w:lineRule="exact"/>
        <w:ind w:firstLine="640" w:firstLineChars="200"/>
        <w:jc w:val="both"/>
        <w:rPr>
          <w:rFonts w:hint="default" w:ascii="Times New Roman" w:hAnsi="Times New Roman" w:eastAsia="仿宋_GB2312" w:cs="Times New Roman"/>
          <w:color w:val="auto"/>
          <w:sz w:val="32"/>
          <w:szCs w:val="32"/>
          <w:lang w:val="en" w:eastAsia="zh-CN"/>
        </w:rPr>
      </w:pPr>
      <w:r>
        <w:rPr>
          <w:rFonts w:hint="default" w:ascii="Times New Roman" w:hAnsi="Times New Roman" w:eastAsia="仿宋_GB2312" w:cs="Times New Roman"/>
          <w:color w:val="auto"/>
          <w:sz w:val="32"/>
          <w:szCs w:val="32"/>
          <w:lang w:val="en-US" w:eastAsia="zh-CN"/>
        </w:rPr>
        <w:t>本</w:t>
      </w:r>
      <w:r>
        <w:rPr>
          <w:rFonts w:hint="default" w:ascii="Times New Roman" w:hAnsi="Times New Roman" w:eastAsia="仿宋_GB2312" w:cs="Times New Roman"/>
          <w:color w:val="auto"/>
          <w:sz w:val="32"/>
          <w:szCs w:val="32"/>
        </w:rPr>
        <w:t>单位</w:t>
      </w:r>
      <w:r>
        <w:rPr>
          <w:rFonts w:hint="eastAsia" w:ascii="Times New Roman" w:hAnsi="Times New Roman" w:eastAsia="仿宋_GB2312" w:cs="Times New Roman"/>
          <w:color w:val="auto"/>
          <w:sz w:val="32"/>
          <w:szCs w:val="32"/>
          <w:lang w:val="en-US" w:eastAsia="zh-CN"/>
        </w:rPr>
        <w:t>2024年</w:t>
      </w:r>
      <w:r>
        <w:rPr>
          <w:rFonts w:hint="default" w:ascii="Times New Roman" w:hAnsi="Times New Roman" w:eastAsia="仿宋_GB2312" w:cs="Times New Roman"/>
          <w:color w:val="auto"/>
          <w:sz w:val="32"/>
          <w:szCs w:val="32"/>
        </w:rPr>
        <w:t>无政府性基金收支</w:t>
      </w:r>
      <w:r>
        <w:rPr>
          <w:rFonts w:hint="default" w:ascii="Times New Roman" w:hAnsi="Times New Roman" w:eastAsia="仿宋_GB2312" w:cs="Times New Roman"/>
          <w:color w:val="auto"/>
          <w:sz w:val="32"/>
          <w:szCs w:val="32"/>
          <w:lang w:eastAsia="zh-CN"/>
        </w:rPr>
        <w:t>。</w:t>
      </w:r>
    </w:p>
    <w:p>
      <w:pPr>
        <w:pStyle w:val="16"/>
        <w:overflowPunct w:val="0"/>
        <w:autoSpaceDE/>
        <w:autoSpaceDN/>
        <w:spacing w:line="600" w:lineRule="exact"/>
        <w:ind w:firstLine="640" w:firstLineChars="200"/>
        <w:jc w:val="both"/>
        <w:rPr>
          <w:rFonts w:hint="default" w:ascii="Times New Roman" w:hAnsi="Times New Roman" w:cs="Times New Roman"/>
          <w:bCs/>
          <w:color w:val="auto"/>
          <w:sz w:val="32"/>
          <w:szCs w:val="32"/>
        </w:rPr>
      </w:pPr>
      <w:r>
        <w:rPr>
          <w:rFonts w:hint="default" w:ascii="Times New Roman" w:hAnsi="Times New Roman" w:cs="Times New Roman"/>
          <w:bCs/>
          <w:color w:val="auto"/>
          <w:sz w:val="32"/>
          <w:szCs w:val="32"/>
        </w:rPr>
        <w:t>九、关于机关运行经费支出说明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本部门2024年度机关运行经费支出</w:t>
      </w:r>
      <w:r>
        <w:rPr>
          <w:rFonts w:hint="default" w:ascii="Times New Roman" w:hAnsi="Times New Roman" w:eastAsia="仿宋_GB2312" w:cs="Times New Roman"/>
          <w:color w:val="auto"/>
          <w:sz w:val="32"/>
          <w:szCs w:val="32"/>
          <w:lang w:val="en-US" w:eastAsia="zh-CN"/>
        </w:rPr>
        <w:t>10.37</w:t>
      </w:r>
      <w:r>
        <w:rPr>
          <w:rFonts w:hint="default" w:ascii="Times New Roman" w:hAnsi="Times New Roman" w:eastAsia="仿宋_GB2312" w:cs="Times New Roman"/>
          <w:color w:val="auto"/>
          <w:sz w:val="32"/>
          <w:szCs w:val="32"/>
        </w:rPr>
        <w:t>万元，比年初预算数减少</w:t>
      </w:r>
      <w:r>
        <w:rPr>
          <w:rFonts w:hint="default" w:ascii="Times New Roman" w:hAnsi="Times New Roman" w:eastAsia="仿宋_GB2312" w:cs="Times New Roman"/>
          <w:color w:val="auto"/>
          <w:sz w:val="32"/>
          <w:szCs w:val="32"/>
          <w:lang w:val="en-US" w:eastAsia="zh-CN"/>
        </w:rPr>
        <w:t>1.40</w:t>
      </w:r>
      <w:r>
        <w:rPr>
          <w:rFonts w:hint="default" w:ascii="Times New Roman" w:hAnsi="Times New Roman" w:eastAsia="仿宋_GB2312" w:cs="Times New Roman"/>
          <w:color w:val="auto"/>
          <w:sz w:val="32"/>
          <w:szCs w:val="32"/>
        </w:rPr>
        <w:t xml:space="preserve"> 万元，降低</w:t>
      </w:r>
      <w:r>
        <w:rPr>
          <w:rFonts w:hint="default" w:ascii="Times New Roman" w:hAnsi="Times New Roman" w:eastAsia="仿宋_GB2312" w:cs="Times New Roman"/>
          <w:color w:val="auto"/>
          <w:sz w:val="32"/>
          <w:szCs w:val="32"/>
          <w:lang w:val="en-US" w:eastAsia="zh-CN"/>
        </w:rPr>
        <w:t>11.89</w:t>
      </w:r>
      <w:r>
        <w:rPr>
          <w:rFonts w:hint="default" w:ascii="Times New Roman" w:hAnsi="Times New Roman" w:eastAsia="仿宋_GB2312" w:cs="Times New Roman"/>
          <w:color w:val="auto"/>
          <w:sz w:val="32"/>
          <w:szCs w:val="32"/>
        </w:rPr>
        <w:t>%。主要原因是：</w:t>
      </w:r>
      <w:r>
        <w:rPr>
          <w:rFonts w:hint="default" w:ascii="Times New Roman" w:hAnsi="Times New Roman" w:eastAsia="仿宋_GB2312" w:cs="Times New Roman"/>
          <w:color w:val="auto"/>
          <w:sz w:val="32"/>
          <w:szCs w:val="32"/>
          <w:lang w:val="en-US" w:eastAsia="zh-CN"/>
        </w:rPr>
        <w:t>单位贯彻落实过紧日子要求，大力压减公用经费支出</w:t>
      </w:r>
      <w:r>
        <w:rPr>
          <w:rFonts w:hint="default" w:ascii="Times New Roman" w:hAnsi="Times New Roman" w:eastAsia="仿宋_GB2312" w:cs="Times New Roman"/>
          <w:color w:val="auto"/>
          <w:sz w:val="32"/>
          <w:szCs w:val="32"/>
        </w:rPr>
        <w:t>。</w:t>
      </w:r>
    </w:p>
    <w:p>
      <w:pPr>
        <w:pStyle w:val="16"/>
        <w:overflowPunct w:val="0"/>
        <w:autoSpaceDE/>
        <w:autoSpaceDN/>
        <w:spacing w:line="600" w:lineRule="exact"/>
        <w:ind w:firstLine="640" w:firstLineChars="200"/>
        <w:jc w:val="both"/>
        <w:rPr>
          <w:rFonts w:hint="default" w:ascii="Times New Roman" w:hAnsi="Times New Roman" w:cs="Times New Roman"/>
          <w:bCs/>
          <w:color w:val="auto"/>
          <w:sz w:val="32"/>
          <w:szCs w:val="32"/>
        </w:rPr>
      </w:pPr>
      <w:r>
        <w:rPr>
          <w:rFonts w:hint="default" w:ascii="Times New Roman" w:hAnsi="Times New Roman" w:cs="Times New Roman"/>
          <w:bCs/>
          <w:color w:val="auto"/>
          <w:sz w:val="32"/>
          <w:szCs w:val="32"/>
        </w:rPr>
        <w:t>十、一般性支出情况说明</w:t>
      </w:r>
    </w:p>
    <w:p>
      <w:pPr>
        <w:ind w:firstLine="640" w:firstLineChars="200"/>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2024年本部门开支会议费</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万元；开支培训费</w:t>
      </w:r>
      <w:r>
        <w:rPr>
          <w:rFonts w:hint="default" w:ascii="Times New Roman" w:hAnsi="Times New Roman" w:eastAsia="仿宋_GB2312" w:cs="Times New Roman"/>
          <w:color w:val="auto"/>
          <w:sz w:val="32"/>
          <w:szCs w:val="32"/>
          <w:lang w:val="en-US" w:eastAsia="zh-CN"/>
        </w:rPr>
        <w:t>10.65</w:t>
      </w:r>
      <w:r>
        <w:rPr>
          <w:rFonts w:hint="default" w:ascii="Times New Roman" w:hAnsi="Times New Roman" w:eastAsia="仿宋_GB2312" w:cs="Times New Roman"/>
          <w:color w:val="auto"/>
          <w:sz w:val="32"/>
          <w:szCs w:val="32"/>
        </w:rPr>
        <w:t>万元，用于开展</w:t>
      </w:r>
      <w:r>
        <w:rPr>
          <w:rFonts w:hint="default" w:ascii="Times New Roman" w:hAnsi="Times New Roman" w:eastAsia="仿宋_GB2312" w:cs="Times New Roman"/>
          <w:color w:val="auto"/>
          <w:sz w:val="32"/>
          <w:szCs w:val="32"/>
          <w:lang w:val="en-US" w:eastAsia="zh-CN"/>
        </w:rPr>
        <w:t>以下</w:t>
      </w:r>
      <w:r>
        <w:rPr>
          <w:rFonts w:hint="default" w:ascii="Times New Roman" w:hAnsi="Times New Roman" w:eastAsia="仿宋_GB2312" w:cs="Times New Roman"/>
          <w:color w:val="auto"/>
          <w:sz w:val="32"/>
          <w:szCs w:val="32"/>
          <w:highlight w:val="none"/>
        </w:rPr>
        <w:t>培训</w:t>
      </w:r>
      <w:r>
        <w:rPr>
          <w:rFonts w:hint="default" w:ascii="Times New Roman" w:hAnsi="Times New Roman" w:eastAsia="仿宋_GB2312" w:cs="Times New Roman"/>
          <w:color w:val="auto"/>
          <w:sz w:val="32"/>
          <w:szCs w:val="32"/>
          <w:lang w:eastAsia="zh-CN"/>
        </w:rPr>
        <w:t>：</w:t>
      </w:r>
    </w:p>
    <w:p>
      <w:pPr>
        <w:ind w:firstLine="640" w:firstLineChars="200"/>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湖南省饲料和饲料添加剂生产许可技术评审专家线上培训</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78人，0.24万元，内容为</w:t>
      </w:r>
      <w:r>
        <w:rPr>
          <w:rFonts w:hint="default" w:ascii="Times New Roman" w:hAnsi="Times New Roman" w:eastAsia="仿宋_GB2312" w:cs="Times New Roman"/>
          <w:color w:val="auto"/>
          <w:sz w:val="32"/>
          <w:szCs w:val="32"/>
        </w:rPr>
        <w:t>饲料和饲料添加剂生产许可</w:t>
      </w:r>
      <w:r>
        <w:rPr>
          <w:rFonts w:hint="default" w:ascii="Times New Roman" w:hAnsi="Times New Roman" w:eastAsia="仿宋_GB2312" w:cs="Times New Roman"/>
          <w:color w:val="auto"/>
          <w:sz w:val="32"/>
          <w:szCs w:val="32"/>
          <w:lang w:val="en-US" w:eastAsia="zh-CN"/>
        </w:rPr>
        <w:t>专家现场</w:t>
      </w:r>
      <w:r>
        <w:rPr>
          <w:rFonts w:hint="default" w:ascii="Times New Roman" w:hAnsi="Times New Roman" w:eastAsia="仿宋_GB2312" w:cs="Times New Roman"/>
          <w:color w:val="auto"/>
          <w:sz w:val="32"/>
          <w:szCs w:val="32"/>
        </w:rPr>
        <w:t>技术评审</w:t>
      </w:r>
      <w:r>
        <w:rPr>
          <w:rFonts w:hint="default" w:ascii="Times New Roman" w:hAnsi="Times New Roman" w:eastAsia="仿宋_GB2312" w:cs="Times New Roman"/>
          <w:color w:val="auto"/>
          <w:sz w:val="32"/>
          <w:szCs w:val="32"/>
          <w:lang w:val="en-US" w:eastAsia="zh-CN"/>
        </w:rPr>
        <w:t>要点培训</w:t>
      </w:r>
      <w:r>
        <w:rPr>
          <w:rFonts w:hint="default" w:ascii="Times New Roman" w:hAnsi="Times New Roman" w:eastAsia="仿宋_GB2312" w:cs="Times New Roman"/>
          <w:color w:val="auto"/>
          <w:sz w:val="32"/>
          <w:szCs w:val="32"/>
          <w:lang w:eastAsia="zh-CN"/>
        </w:rPr>
        <w:t>。</w:t>
      </w:r>
    </w:p>
    <w:p>
      <w:pPr>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2.全省饲料行业高质量发展，42人，0.52万元，内容为，全省饲料行业高质量发展培训。</w:t>
      </w:r>
    </w:p>
    <w:p>
      <w:pPr>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3.全省饲料统计监测培训，31人，0.52万元，内容为全省重点饲料企业统计员业务培训。</w:t>
      </w:r>
    </w:p>
    <w:p>
      <w:pPr>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4.全省饲料行业安全生产质量安全培训，432人，9.43万元，内容为全省饲料企业质量安全、生产安全负责同志业务培训。</w:t>
      </w:r>
    </w:p>
    <w:p>
      <w:pPr>
        <w:pStyle w:val="6"/>
        <w:ind w:firstLine="640" w:firstLineChars="200"/>
        <w:rPr>
          <w:rFonts w:hint="default" w:ascii="Times New Roman" w:hAnsi="Times New Roman" w:cs="Times New Roman"/>
          <w:color w:val="auto"/>
          <w:lang w:val="en-US" w:eastAsia="zh-CN"/>
        </w:rPr>
      </w:pPr>
      <w:r>
        <w:rPr>
          <w:rFonts w:hint="default" w:ascii="Times New Roman" w:hAnsi="Times New Roman" w:eastAsia="仿宋_GB2312" w:cs="Times New Roman"/>
          <w:color w:val="auto"/>
          <w:sz w:val="32"/>
          <w:szCs w:val="32"/>
          <w:lang w:val="en-US" w:eastAsia="zh-CN"/>
        </w:rPr>
        <w:t>5.事业单位人员培训，5人，0.46万元，内容为事业单位人员培训。</w:t>
      </w:r>
    </w:p>
    <w:p>
      <w:pPr>
        <w:pStyle w:val="16"/>
        <w:overflowPunct w:val="0"/>
        <w:autoSpaceDE/>
        <w:autoSpaceDN/>
        <w:spacing w:line="600" w:lineRule="exact"/>
        <w:ind w:firstLine="640" w:firstLineChars="200"/>
        <w:jc w:val="both"/>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未</w:t>
      </w:r>
      <w:r>
        <w:rPr>
          <w:rFonts w:hint="default" w:ascii="Times New Roman" w:hAnsi="Times New Roman" w:eastAsia="仿宋_GB2312" w:cs="Times New Roman"/>
          <w:color w:val="auto"/>
          <w:sz w:val="32"/>
          <w:szCs w:val="32"/>
        </w:rPr>
        <w:t>举办节庆、晚会、论坛、赛事活动。</w:t>
      </w:r>
    </w:p>
    <w:p>
      <w:pPr>
        <w:pStyle w:val="16"/>
        <w:overflowPunct w:val="0"/>
        <w:autoSpaceDE/>
        <w:autoSpaceDN/>
        <w:spacing w:line="600" w:lineRule="exact"/>
        <w:ind w:firstLine="640" w:firstLineChars="200"/>
        <w:jc w:val="both"/>
        <w:rPr>
          <w:rFonts w:hint="default" w:ascii="Times New Roman" w:hAnsi="Times New Roman" w:cs="Times New Roman"/>
          <w:bCs/>
          <w:color w:val="auto"/>
          <w:sz w:val="32"/>
          <w:szCs w:val="32"/>
        </w:rPr>
      </w:pPr>
      <w:r>
        <w:rPr>
          <w:rFonts w:hint="default" w:ascii="Times New Roman" w:hAnsi="Times New Roman" w:cs="Times New Roman"/>
          <w:bCs/>
          <w:color w:val="auto"/>
          <w:sz w:val="32"/>
          <w:szCs w:val="32"/>
        </w:rPr>
        <w:t>十一、关于政府采购支出说明</w:t>
      </w:r>
    </w:p>
    <w:p>
      <w:pPr>
        <w:pStyle w:val="16"/>
        <w:overflowPunct w:val="0"/>
        <w:autoSpaceDE/>
        <w:autoSpaceDN/>
        <w:spacing w:line="600" w:lineRule="exact"/>
        <w:ind w:firstLine="640" w:firstLineChars="200"/>
        <w:jc w:val="both"/>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本部门2024年度政府采购支出总额</w:t>
      </w:r>
      <w:r>
        <w:rPr>
          <w:rFonts w:hint="default" w:ascii="Times New Roman" w:hAnsi="Times New Roman" w:eastAsia="仿宋_GB2312" w:cs="Times New Roman"/>
          <w:color w:val="auto"/>
          <w:sz w:val="32"/>
          <w:szCs w:val="32"/>
          <w:lang w:val="en-US" w:eastAsia="zh-CN"/>
        </w:rPr>
        <w:t>29.27</w:t>
      </w:r>
      <w:r>
        <w:rPr>
          <w:rFonts w:hint="default" w:ascii="Times New Roman" w:hAnsi="Times New Roman" w:eastAsia="仿宋_GB2312" w:cs="Times New Roman"/>
          <w:color w:val="auto"/>
          <w:sz w:val="32"/>
          <w:szCs w:val="32"/>
        </w:rPr>
        <w:t>万元，其中：政府采购货物支出</w:t>
      </w:r>
      <w:r>
        <w:rPr>
          <w:rFonts w:hint="default" w:ascii="Times New Roman" w:hAnsi="Times New Roman" w:eastAsia="仿宋_GB2312" w:cs="Times New Roman"/>
          <w:color w:val="auto"/>
          <w:sz w:val="32"/>
          <w:szCs w:val="32"/>
          <w:lang w:val="en-US" w:eastAsia="zh-CN"/>
        </w:rPr>
        <w:t>1.15</w:t>
      </w:r>
      <w:r>
        <w:rPr>
          <w:rFonts w:hint="default" w:ascii="Times New Roman" w:hAnsi="Times New Roman" w:eastAsia="仿宋_GB2312" w:cs="Times New Roman"/>
          <w:color w:val="auto"/>
          <w:sz w:val="32"/>
          <w:szCs w:val="32"/>
        </w:rPr>
        <w:t xml:space="preserve"> 万元、政府采购工程支出</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万元、政府采购服务支出</w:t>
      </w:r>
      <w:r>
        <w:rPr>
          <w:rFonts w:hint="default" w:ascii="Times New Roman" w:hAnsi="Times New Roman" w:eastAsia="仿宋_GB2312" w:cs="Times New Roman"/>
          <w:color w:val="auto"/>
          <w:sz w:val="32"/>
          <w:szCs w:val="32"/>
          <w:lang w:val="en-US" w:eastAsia="zh-CN"/>
        </w:rPr>
        <w:t>28.12</w:t>
      </w:r>
      <w:r>
        <w:rPr>
          <w:rFonts w:hint="default" w:ascii="Times New Roman" w:hAnsi="Times New Roman" w:eastAsia="仿宋_GB2312" w:cs="Times New Roman"/>
          <w:color w:val="auto"/>
          <w:sz w:val="32"/>
          <w:szCs w:val="32"/>
        </w:rPr>
        <w:t>万元。授予中小企业合同金额</w:t>
      </w:r>
      <w:r>
        <w:rPr>
          <w:rFonts w:hint="default" w:ascii="Times New Roman" w:hAnsi="Times New Roman" w:eastAsia="仿宋_GB2312" w:cs="Times New Roman"/>
          <w:color w:val="auto"/>
          <w:sz w:val="32"/>
          <w:szCs w:val="32"/>
          <w:lang w:val="en-US" w:eastAsia="zh-CN"/>
        </w:rPr>
        <w:t>29.27</w:t>
      </w:r>
      <w:r>
        <w:rPr>
          <w:rFonts w:hint="default" w:ascii="Times New Roman" w:hAnsi="Times New Roman" w:eastAsia="仿宋_GB2312" w:cs="Times New Roman"/>
          <w:color w:val="auto"/>
          <w:sz w:val="32"/>
          <w:szCs w:val="32"/>
        </w:rPr>
        <w:t>万元，占政府采购支出总额的</w:t>
      </w:r>
      <w:r>
        <w:rPr>
          <w:rFonts w:hint="default" w:ascii="Times New Roman" w:hAnsi="Times New Roman"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rPr>
        <w:t>%，其中：授予小微企业合同金额</w:t>
      </w:r>
      <w:r>
        <w:rPr>
          <w:rFonts w:hint="default" w:ascii="Times New Roman" w:hAnsi="Times New Roman" w:eastAsia="仿宋_GB2312" w:cs="Times New Roman"/>
          <w:color w:val="auto"/>
          <w:sz w:val="32"/>
          <w:szCs w:val="32"/>
          <w:lang w:val="en-US" w:eastAsia="zh-CN"/>
        </w:rPr>
        <w:t>29.27</w:t>
      </w:r>
      <w:r>
        <w:rPr>
          <w:rFonts w:hint="default" w:ascii="Times New Roman" w:hAnsi="Times New Roman" w:eastAsia="仿宋_GB2312" w:cs="Times New Roman"/>
          <w:color w:val="auto"/>
          <w:sz w:val="32"/>
          <w:szCs w:val="32"/>
        </w:rPr>
        <w:t>万元，占授予中小企业合同金额的</w:t>
      </w:r>
      <w:r>
        <w:rPr>
          <w:rFonts w:hint="default" w:ascii="Times New Roman" w:hAnsi="Times New Roman"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rPr>
        <w:t>%。货物采购授予中小企业合同金额占货物支出金额的</w:t>
      </w:r>
      <w:r>
        <w:rPr>
          <w:rFonts w:hint="default" w:ascii="Times New Roman" w:hAnsi="Times New Roman"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rPr>
        <w:t>%，服务采购授予中小企业合同金额占服务支出金额的</w:t>
      </w:r>
      <w:r>
        <w:rPr>
          <w:rFonts w:hint="default" w:ascii="Times New Roman" w:hAnsi="Times New Roman"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rPr>
        <w:t>%。</w:t>
      </w:r>
    </w:p>
    <w:p>
      <w:pPr>
        <w:pStyle w:val="16"/>
        <w:overflowPunct w:val="0"/>
        <w:autoSpaceDE/>
        <w:autoSpaceDN/>
        <w:spacing w:line="600" w:lineRule="exact"/>
        <w:ind w:firstLine="640" w:firstLineChars="200"/>
        <w:jc w:val="both"/>
        <w:rPr>
          <w:rFonts w:hint="default" w:ascii="Times New Roman" w:hAnsi="Times New Roman" w:cs="Times New Roman"/>
          <w:bCs/>
          <w:color w:val="auto"/>
          <w:sz w:val="32"/>
          <w:szCs w:val="32"/>
        </w:rPr>
      </w:pPr>
      <w:r>
        <w:rPr>
          <w:rFonts w:hint="default" w:ascii="Times New Roman" w:hAnsi="Times New Roman" w:cs="Times New Roman"/>
          <w:bCs/>
          <w:color w:val="auto"/>
          <w:sz w:val="32"/>
          <w:szCs w:val="32"/>
        </w:rPr>
        <w:t>十二、关于国有资产占用情况说明</w:t>
      </w:r>
    </w:p>
    <w:p>
      <w:pPr>
        <w:pStyle w:val="16"/>
        <w:overflowPunct w:val="0"/>
        <w:autoSpaceDE/>
        <w:autoSpaceDN/>
        <w:spacing w:line="600" w:lineRule="exact"/>
        <w:ind w:firstLine="640" w:firstLineChars="200"/>
        <w:jc w:val="both"/>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截至2024年12月31日，部门（单位）共有车辆</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辆，其中，副部（省）级及以上领导用车</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辆、主要负责人用车</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辆、机要通信用车</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辆、应急保障用车</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辆、执法执勤用车</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辆、特种专业技术用车</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辆、离退休干部服务用车</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辆、其他用车</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辆；单位价值100万元以上设备（不含车辆）</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台（套）。</w:t>
      </w:r>
    </w:p>
    <w:p>
      <w:pPr>
        <w:pStyle w:val="16"/>
        <w:overflowPunct w:val="0"/>
        <w:autoSpaceDE/>
        <w:autoSpaceDN/>
        <w:spacing w:line="600" w:lineRule="exact"/>
        <w:ind w:firstLine="640" w:firstLineChars="200"/>
        <w:jc w:val="both"/>
        <w:rPr>
          <w:rFonts w:hint="default" w:ascii="Times New Roman" w:hAnsi="Times New Roman" w:cs="Times New Roman"/>
          <w:bCs/>
          <w:color w:val="auto"/>
          <w:sz w:val="32"/>
          <w:szCs w:val="32"/>
        </w:rPr>
      </w:pPr>
      <w:r>
        <w:rPr>
          <w:rFonts w:hint="default" w:ascii="Times New Roman" w:hAnsi="Times New Roman" w:cs="Times New Roman"/>
          <w:bCs/>
          <w:color w:val="auto"/>
          <w:sz w:val="32"/>
          <w:szCs w:val="32"/>
        </w:rPr>
        <w:t>十三、关于</w:t>
      </w:r>
      <w:r>
        <w:rPr>
          <w:rFonts w:hint="default" w:ascii="Times New Roman" w:hAnsi="Times New Roman" w:eastAsia="仿宋_GB2312" w:cs="Times New Roman"/>
          <w:color w:val="auto"/>
          <w:sz w:val="32"/>
          <w:szCs w:val="32"/>
        </w:rPr>
        <w:t>2024</w:t>
      </w:r>
      <w:r>
        <w:rPr>
          <w:rFonts w:hint="default" w:ascii="Times New Roman" w:hAnsi="Times New Roman" w:cs="Times New Roman"/>
          <w:bCs/>
          <w:color w:val="auto"/>
          <w:sz w:val="32"/>
          <w:szCs w:val="32"/>
        </w:rPr>
        <w:t>年度预算绩效情况的说明</w:t>
      </w:r>
    </w:p>
    <w:p>
      <w:pPr>
        <w:overflowPunct w:val="0"/>
        <w:spacing w:line="600" w:lineRule="exact"/>
        <w:ind w:firstLine="640" w:firstLineChars="200"/>
        <w:rPr>
          <w:rFonts w:hint="default" w:ascii="Times New Roman" w:hAnsi="Times New Roman" w:eastAsia="仿宋_GB2312" w:cs="Times New Roman"/>
          <w:color w:val="auto"/>
          <w:kern w:val="0"/>
          <w:sz w:val="32"/>
          <w:szCs w:val="32"/>
        </w:rPr>
      </w:pPr>
      <w:r>
        <w:rPr>
          <w:rFonts w:hint="default" w:ascii="Times New Roman" w:hAnsi="Times New Roman" w:eastAsia="楷体_GB2312" w:cs="Times New Roman"/>
          <w:b/>
          <w:bCs/>
          <w:color w:val="auto"/>
          <w:sz w:val="32"/>
          <w:szCs w:val="32"/>
        </w:rPr>
        <w:t>（一）绩效评价工作开展情况。</w:t>
      </w:r>
      <w:r>
        <w:rPr>
          <w:rFonts w:hint="default" w:ascii="Times New Roman" w:hAnsi="Times New Roman" w:eastAsia="仿宋_GB2312" w:cs="Times New Roman"/>
          <w:b/>
          <w:bCs/>
          <w:color w:val="auto"/>
          <w:kern w:val="0"/>
          <w:sz w:val="32"/>
          <w:szCs w:val="32"/>
        </w:rPr>
        <w:t>一是绩效自评开展情况。</w:t>
      </w:r>
      <w:r>
        <w:rPr>
          <w:rFonts w:hint="default" w:ascii="Times New Roman" w:hAnsi="Times New Roman" w:eastAsia="仿宋_GB2312" w:cs="Times New Roman"/>
          <w:color w:val="auto"/>
          <w:kern w:val="0"/>
          <w:sz w:val="32"/>
          <w:szCs w:val="32"/>
        </w:rPr>
        <w:t>组织对2024年度本部门（单位）整体支出开展绩效自评，涉及项目</w:t>
      </w:r>
      <w:r>
        <w:rPr>
          <w:rFonts w:hint="default" w:ascii="Times New Roman" w:hAnsi="Times New Roman" w:eastAsia="仿宋_GB2312" w:cs="Times New Roman"/>
          <w:color w:val="auto"/>
          <w:kern w:val="0"/>
          <w:sz w:val="32"/>
          <w:szCs w:val="32"/>
          <w:lang w:val="en-US" w:eastAsia="zh-CN"/>
        </w:rPr>
        <w:t>2</w:t>
      </w:r>
      <w:r>
        <w:rPr>
          <w:rFonts w:hint="default" w:ascii="Times New Roman" w:hAnsi="Times New Roman" w:eastAsia="仿宋_GB2312" w:cs="Times New Roman"/>
          <w:color w:val="auto"/>
          <w:kern w:val="0"/>
          <w:sz w:val="32"/>
          <w:szCs w:val="32"/>
        </w:rPr>
        <w:t xml:space="preserve"> 个，共涉及资金</w:t>
      </w:r>
      <w:r>
        <w:rPr>
          <w:rFonts w:hint="default" w:ascii="Times New Roman" w:hAnsi="Times New Roman" w:eastAsia="仿宋_GB2312" w:cs="Times New Roman"/>
          <w:color w:val="auto"/>
          <w:kern w:val="0"/>
          <w:sz w:val="32"/>
          <w:szCs w:val="32"/>
          <w:lang w:val="en-US" w:eastAsia="zh-CN"/>
        </w:rPr>
        <w:t>56.87</w:t>
      </w:r>
      <w:r>
        <w:rPr>
          <w:rFonts w:hint="default" w:ascii="Times New Roman" w:hAnsi="Times New Roman" w:eastAsia="仿宋_GB2312" w:cs="Times New Roman"/>
          <w:color w:val="auto"/>
          <w:kern w:val="0"/>
          <w:sz w:val="32"/>
          <w:szCs w:val="32"/>
        </w:rPr>
        <w:t>万元。其中，一般公共预算项目</w:t>
      </w:r>
      <w:r>
        <w:rPr>
          <w:rFonts w:hint="default" w:ascii="Times New Roman" w:hAnsi="Times New Roman" w:eastAsia="仿宋_GB2312" w:cs="Times New Roman"/>
          <w:color w:val="auto"/>
          <w:kern w:val="0"/>
          <w:sz w:val="32"/>
          <w:szCs w:val="32"/>
          <w:lang w:val="en-US" w:eastAsia="zh-CN"/>
        </w:rPr>
        <w:t>2</w:t>
      </w:r>
      <w:r>
        <w:rPr>
          <w:rFonts w:hint="default" w:ascii="Times New Roman" w:hAnsi="Times New Roman" w:eastAsia="仿宋_GB2312" w:cs="Times New Roman"/>
          <w:color w:val="auto"/>
          <w:kern w:val="0"/>
          <w:sz w:val="32"/>
          <w:szCs w:val="32"/>
        </w:rPr>
        <w:t xml:space="preserve"> 个</w:t>
      </w:r>
      <w:r>
        <w:rPr>
          <w:rFonts w:hint="default" w:ascii="Times New Roman" w:hAnsi="Times New Roman" w:eastAsia="仿宋_GB2312" w:cs="Times New Roman"/>
          <w:color w:val="auto"/>
          <w:kern w:val="0"/>
          <w:sz w:val="32"/>
          <w:szCs w:val="32"/>
          <w:lang w:val="en-US" w:eastAsia="zh-CN"/>
        </w:rPr>
        <w:t>56.87</w:t>
      </w:r>
      <w:r>
        <w:rPr>
          <w:rFonts w:hint="default" w:ascii="Times New Roman" w:hAnsi="Times New Roman" w:eastAsia="仿宋_GB2312" w:cs="Times New Roman"/>
          <w:color w:val="auto"/>
          <w:kern w:val="0"/>
          <w:sz w:val="32"/>
          <w:szCs w:val="32"/>
        </w:rPr>
        <w:t>万元，占一般公共预算支出总额的</w:t>
      </w:r>
      <w:r>
        <w:rPr>
          <w:rFonts w:hint="default" w:ascii="Times New Roman" w:hAnsi="Times New Roman" w:eastAsia="仿宋_GB2312" w:cs="Times New Roman"/>
          <w:color w:val="auto"/>
          <w:kern w:val="0"/>
          <w:sz w:val="32"/>
          <w:szCs w:val="32"/>
          <w:highlight w:val="none"/>
          <w:lang w:val="en-US" w:eastAsia="zh-CN"/>
        </w:rPr>
        <w:t>26.12</w:t>
      </w:r>
      <w:r>
        <w:rPr>
          <w:rFonts w:hint="default" w:ascii="Times New Roman" w:hAnsi="Times New Roman" w:eastAsia="仿宋_GB2312" w:cs="Times New Roman"/>
          <w:color w:val="auto"/>
          <w:kern w:val="0"/>
          <w:sz w:val="32"/>
          <w:szCs w:val="32"/>
          <w:highlight w:val="none"/>
        </w:rPr>
        <w:t>%</w:t>
      </w:r>
      <w:r>
        <w:rPr>
          <w:rFonts w:hint="default" w:ascii="Times New Roman" w:hAnsi="Times New Roman" w:eastAsia="仿宋_GB2312" w:cs="Times New Roman"/>
          <w:color w:val="auto"/>
          <w:kern w:val="0"/>
          <w:sz w:val="32"/>
          <w:szCs w:val="32"/>
        </w:rPr>
        <w:t>；政府性基金预算项目</w:t>
      </w:r>
      <w:r>
        <w:rPr>
          <w:rFonts w:hint="default" w:ascii="Times New Roman" w:hAnsi="Times New Roman" w:eastAsia="仿宋_GB2312" w:cs="Times New Roman"/>
          <w:color w:val="auto"/>
          <w:kern w:val="0"/>
          <w:sz w:val="32"/>
          <w:szCs w:val="32"/>
          <w:lang w:val="en-US" w:eastAsia="zh-CN"/>
        </w:rPr>
        <w:t>0</w:t>
      </w:r>
      <w:r>
        <w:rPr>
          <w:rFonts w:hint="default" w:ascii="Times New Roman" w:hAnsi="Times New Roman" w:eastAsia="仿宋_GB2312" w:cs="Times New Roman"/>
          <w:color w:val="auto"/>
          <w:kern w:val="0"/>
          <w:sz w:val="32"/>
          <w:szCs w:val="32"/>
        </w:rPr>
        <w:t xml:space="preserve"> 个</w:t>
      </w:r>
      <w:r>
        <w:rPr>
          <w:rFonts w:hint="default" w:ascii="Times New Roman" w:hAnsi="Times New Roman" w:eastAsia="仿宋_GB2312" w:cs="Times New Roman"/>
          <w:color w:val="auto"/>
          <w:kern w:val="0"/>
          <w:sz w:val="32"/>
          <w:szCs w:val="32"/>
          <w:lang w:val="en-US" w:eastAsia="zh-CN"/>
        </w:rPr>
        <w:t>0</w:t>
      </w:r>
      <w:r>
        <w:rPr>
          <w:rFonts w:hint="default" w:ascii="Times New Roman" w:hAnsi="Times New Roman" w:eastAsia="仿宋_GB2312" w:cs="Times New Roman"/>
          <w:color w:val="auto"/>
          <w:kern w:val="0"/>
          <w:sz w:val="32"/>
          <w:szCs w:val="32"/>
        </w:rPr>
        <w:t xml:space="preserve"> 万元；国有资本经营预算项目</w:t>
      </w:r>
      <w:r>
        <w:rPr>
          <w:rFonts w:hint="default" w:ascii="Times New Roman" w:hAnsi="Times New Roman" w:eastAsia="仿宋_GB2312" w:cs="Times New Roman"/>
          <w:color w:val="auto"/>
          <w:kern w:val="0"/>
          <w:sz w:val="32"/>
          <w:szCs w:val="32"/>
          <w:lang w:val="en-US" w:eastAsia="zh-CN"/>
        </w:rPr>
        <w:t>0</w:t>
      </w:r>
      <w:r>
        <w:rPr>
          <w:rFonts w:hint="default" w:ascii="Times New Roman" w:hAnsi="Times New Roman" w:eastAsia="仿宋_GB2312" w:cs="Times New Roman"/>
          <w:color w:val="auto"/>
          <w:kern w:val="0"/>
          <w:sz w:val="32"/>
          <w:szCs w:val="32"/>
        </w:rPr>
        <w:t xml:space="preserve"> 个</w:t>
      </w:r>
      <w:r>
        <w:rPr>
          <w:rFonts w:hint="default" w:ascii="Times New Roman" w:hAnsi="Times New Roman" w:eastAsia="仿宋_GB2312" w:cs="Times New Roman"/>
          <w:color w:val="auto"/>
          <w:kern w:val="0"/>
          <w:sz w:val="32"/>
          <w:szCs w:val="32"/>
          <w:lang w:val="en-US" w:eastAsia="zh-CN"/>
        </w:rPr>
        <w:t>0</w:t>
      </w:r>
      <w:r>
        <w:rPr>
          <w:rFonts w:hint="default" w:ascii="Times New Roman" w:hAnsi="Times New Roman" w:eastAsia="仿宋_GB2312" w:cs="Times New Roman"/>
          <w:color w:val="auto"/>
          <w:kern w:val="0"/>
          <w:sz w:val="32"/>
          <w:szCs w:val="32"/>
        </w:rPr>
        <w:t>万元；社会保险基金预算项目</w:t>
      </w:r>
      <w:r>
        <w:rPr>
          <w:rFonts w:hint="default" w:ascii="Times New Roman" w:hAnsi="Times New Roman" w:eastAsia="仿宋_GB2312" w:cs="Times New Roman"/>
          <w:color w:val="auto"/>
          <w:kern w:val="0"/>
          <w:sz w:val="32"/>
          <w:szCs w:val="32"/>
          <w:lang w:val="en-US" w:eastAsia="zh-CN"/>
        </w:rPr>
        <w:t>0</w:t>
      </w:r>
      <w:r>
        <w:rPr>
          <w:rFonts w:hint="default" w:ascii="Times New Roman" w:hAnsi="Times New Roman" w:eastAsia="仿宋_GB2312" w:cs="Times New Roman"/>
          <w:color w:val="auto"/>
          <w:kern w:val="0"/>
          <w:sz w:val="32"/>
          <w:szCs w:val="32"/>
        </w:rPr>
        <w:t xml:space="preserve"> 个</w:t>
      </w:r>
      <w:r>
        <w:rPr>
          <w:rFonts w:hint="default" w:ascii="Times New Roman" w:hAnsi="Times New Roman" w:eastAsia="仿宋_GB2312" w:cs="Times New Roman"/>
          <w:color w:val="auto"/>
          <w:kern w:val="0"/>
          <w:sz w:val="32"/>
          <w:szCs w:val="32"/>
          <w:lang w:val="en-US" w:eastAsia="zh-CN"/>
        </w:rPr>
        <w:t>0</w:t>
      </w:r>
      <w:r>
        <w:rPr>
          <w:rFonts w:hint="default" w:ascii="Times New Roman" w:hAnsi="Times New Roman" w:eastAsia="仿宋_GB2312" w:cs="Times New Roman"/>
          <w:color w:val="auto"/>
          <w:kern w:val="0"/>
          <w:sz w:val="32"/>
          <w:szCs w:val="32"/>
        </w:rPr>
        <w:t xml:space="preserve"> 万元。</w:t>
      </w:r>
    </w:p>
    <w:p>
      <w:pPr>
        <w:pStyle w:val="16"/>
        <w:numPr>
          <w:ilvl w:val="0"/>
          <w:numId w:val="0"/>
        </w:numPr>
        <w:spacing w:line="360" w:lineRule="auto"/>
        <w:ind w:firstLine="641" w:firstLineChars="0"/>
        <w:jc w:val="left"/>
        <w:rPr>
          <w:rFonts w:hint="default" w:ascii="Times New Roman" w:hAnsi="Times New Roman" w:eastAsia="仿宋_GB2312" w:cs="Times New Roman"/>
          <w:color w:val="auto"/>
          <w:kern w:val="2"/>
          <w:sz w:val="32"/>
          <w:szCs w:val="32"/>
        </w:rPr>
      </w:pPr>
      <w:r>
        <w:rPr>
          <w:rFonts w:hint="default" w:ascii="Times New Roman" w:hAnsi="Times New Roman" w:eastAsia="楷体_GB2312" w:cs="Times New Roman"/>
          <w:b/>
          <w:bCs/>
          <w:color w:val="auto"/>
          <w:sz w:val="32"/>
          <w:szCs w:val="32"/>
        </w:rPr>
        <w:t>（二）绩效评价结果。</w:t>
      </w:r>
      <w:r>
        <w:rPr>
          <w:rFonts w:hint="default" w:ascii="Times New Roman" w:hAnsi="Times New Roman" w:eastAsia="仿宋_GB2312" w:cs="Times New Roman"/>
          <w:color w:val="auto"/>
          <w:kern w:val="0"/>
          <w:sz w:val="32"/>
          <w:szCs w:val="32"/>
        </w:rPr>
        <w:t>2024年度本单位整体支出</w:t>
      </w:r>
      <w:r>
        <w:rPr>
          <w:rFonts w:hint="default" w:ascii="Times New Roman" w:hAnsi="Times New Roman" w:eastAsia="仿宋_GB2312" w:cs="Times New Roman"/>
          <w:color w:val="auto"/>
          <w:sz w:val="32"/>
          <w:szCs w:val="32"/>
        </w:rPr>
        <w:t>全年预算数</w:t>
      </w:r>
      <w:r>
        <w:rPr>
          <w:rFonts w:hint="default" w:ascii="Times New Roman" w:hAnsi="Times New Roman" w:eastAsia="仿宋_GB2312" w:cs="Times New Roman"/>
          <w:color w:val="auto"/>
          <w:sz w:val="32"/>
          <w:szCs w:val="32"/>
          <w:lang w:val="en-US" w:eastAsia="zh-CN"/>
        </w:rPr>
        <w:t>246.18</w:t>
      </w:r>
      <w:r>
        <w:rPr>
          <w:rFonts w:hint="default" w:ascii="Times New Roman" w:hAnsi="Times New Roman" w:eastAsia="仿宋_GB2312" w:cs="Times New Roman"/>
          <w:color w:val="auto"/>
          <w:sz w:val="32"/>
          <w:szCs w:val="32"/>
        </w:rPr>
        <w:t>万元，执行数</w:t>
      </w:r>
      <w:r>
        <w:rPr>
          <w:rFonts w:hint="default" w:ascii="Times New Roman" w:hAnsi="Times New Roman" w:eastAsia="仿宋_GB2312" w:cs="Times New Roman"/>
          <w:color w:val="auto"/>
          <w:sz w:val="32"/>
          <w:szCs w:val="32"/>
          <w:lang w:val="en-US" w:eastAsia="zh-CN"/>
        </w:rPr>
        <w:t>217.73</w:t>
      </w:r>
      <w:r>
        <w:rPr>
          <w:rFonts w:hint="default" w:ascii="Times New Roman" w:hAnsi="Times New Roman" w:eastAsia="仿宋_GB2312" w:cs="Times New Roman"/>
          <w:color w:val="auto"/>
          <w:sz w:val="32"/>
          <w:szCs w:val="32"/>
        </w:rPr>
        <w:t>万元，完成预算的</w:t>
      </w:r>
      <w:r>
        <w:rPr>
          <w:rFonts w:hint="default" w:ascii="Times New Roman" w:hAnsi="Times New Roman" w:eastAsia="仿宋_GB2312" w:cs="Times New Roman"/>
          <w:color w:val="auto"/>
          <w:sz w:val="32"/>
          <w:szCs w:val="32"/>
          <w:lang w:val="en-US" w:eastAsia="zh-CN"/>
        </w:rPr>
        <w:t>88.44</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rPr>
        <w:t>绩效自评得分</w:t>
      </w:r>
      <w:r>
        <w:rPr>
          <w:rFonts w:hint="default" w:ascii="Times New Roman" w:hAnsi="Times New Roman" w:eastAsia="仿宋_GB2312" w:cs="Times New Roman"/>
          <w:color w:val="auto"/>
          <w:sz w:val="32"/>
          <w:szCs w:val="32"/>
          <w:lang w:val="en-US" w:eastAsia="zh-CN"/>
        </w:rPr>
        <w:t>98.84</w:t>
      </w:r>
      <w:r>
        <w:rPr>
          <w:rFonts w:hint="default" w:ascii="Times New Roman" w:hAnsi="Times New Roman" w:eastAsia="仿宋_GB2312" w:cs="Times New Roman"/>
          <w:color w:val="auto"/>
          <w:sz w:val="32"/>
          <w:szCs w:val="32"/>
        </w:rPr>
        <w:t>分</w:t>
      </w:r>
      <w:r>
        <w:rPr>
          <w:rFonts w:hint="default" w:ascii="Times New Roman" w:hAnsi="Times New Roman" w:eastAsia="仿宋_GB2312" w:cs="Times New Roman"/>
          <w:color w:val="auto"/>
          <w:kern w:val="0"/>
          <w:sz w:val="32"/>
          <w:szCs w:val="32"/>
        </w:rPr>
        <w:t>，评价等级为</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优</w:t>
      </w:r>
      <w:r>
        <w:rPr>
          <w:rFonts w:hint="default" w:ascii="Times New Roman" w:hAnsi="Times New Roman" w:eastAsia="仿宋_GB2312" w:cs="Times New Roman"/>
          <w:color w:val="auto"/>
          <w:sz w:val="32"/>
          <w:szCs w:val="32"/>
        </w:rPr>
        <w:t>”。绩效目标完成情况：</w:t>
      </w:r>
      <w:r>
        <w:rPr>
          <w:rFonts w:hint="default" w:ascii="Times New Roman" w:hAnsi="Times New Roman" w:eastAsia="仿宋_GB2312" w:cs="Times New Roman"/>
          <w:color w:val="auto"/>
          <w:sz w:val="32"/>
          <w:szCs w:val="32"/>
          <w:lang w:val="en-US" w:eastAsia="zh-CN"/>
        </w:rPr>
        <w:t>一是产业发展稳中有进。全年饲料总产量1374.8万吨、生产总值524.8亿元，生产形势好于全国平均水平约1.2个百分点，有望实现新的进位。1家企业进入全国十强、4家集团企业年产量突破100万吨。一批龙头企业通过推动产品提档、产业升级，拓展国际市场，全年新增优质产能200万吨，有14家企业开拓出口业务，出口产品6.26万吨，出口总值3.12亿元，创历年新高。二是特色工作成效明显。我省饲料统计监测工作连续7年得到农业农村部畜牧兽医局表扬。饲料节粮取得阶段性成效，全年配合饲料中豆粕、玉米用量占比分别为10.53%、37.71%，低于全国平均水平2.07、1.59个百分点。率先全国启动动物源蛋白水解物饲料化利用试点。获得新饲料和饲料添加剂产品证书2个，我省已成为全国获得新饲料产品证书最多省份之一。生产安全、质量安全水产稳步提升，连续多年未发生一起安全事故。</w:t>
      </w:r>
    </w:p>
    <w:p>
      <w:pPr>
        <w:widowControl/>
        <w:spacing w:line="600" w:lineRule="exact"/>
        <w:ind w:firstLine="645"/>
        <w:jc w:val="left"/>
        <w:rPr>
          <w:rFonts w:hint="default" w:ascii="Times New Roman" w:hAnsi="Times New Roman" w:eastAsia="仿宋_GB2312" w:cs="Times New Roman"/>
          <w:color w:val="auto"/>
          <w:sz w:val="32"/>
          <w:szCs w:val="32"/>
          <w:lang w:val="en-US" w:eastAsia="zh-CN"/>
        </w:rPr>
      </w:pPr>
      <w:r>
        <w:rPr>
          <w:rFonts w:hint="default" w:ascii="Times New Roman" w:hAnsi="Times New Roman" w:eastAsia="楷体_GB2312" w:cs="Times New Roman"/>
          <w:b/>
          <w:bCs/>
          <w:color w:val="auto"/>
          <w:kern w:val="2"/>
          <w:sz w:val="32"/>
          <w:szCs w:val="32"/>
        </w:rPr>
        <w:t>（三）评价结果应用情况。</w:t>
      </w:r>
      <w:r>
        <w:rPr>
          <w:rFonts w:hint="default" w:ascii="Times New Roman" w:hAnsi="Times New Roman" w:eastAsia="仿宋_GB2312" w:cs="Times New Roman"/>
          <w:color w:val="auto"/>
          <w:sz w:val="32"/>
          <w:szCs w:val="32"/>
          <w:lang w:val="en-US" w:eastAsia="zh-CN"/>
        </w:rPr>
        <w:t>我办将加强预算管理意识，严格按照预算编制的相关制度和要求，结合年度收支计划，科学编制预算，遵循预算管理办法。</w:t>
      </w:r>
    </w:p>
    <w:p>
      <w:pPr>
        <w:pStyle w:val="16"/>
        <w:overflowPunct w:val="0"/>
        <w:autoSpaceDE/>
        <w:autoSpaceDN/>
        <w:spacing w:line="600" w:lineRule="exact"/>
        <w:ind w:firstLine="1440" w:firstLineChars="200"/>
        <w:jc w:val="both"/>
        <w:rPr>
          <w:rFonts w:hint="default" w:ascii="Times New Roman" w:hAnsi="Times New Roman" w:eastAsia="仿宋_GB2312" w:cs="Times New Roman"/>
          <w:color w:val="auto"/>
          <w:sz w:val="72"/>
          <w:szCs w:val="72"/>
        </w:rPr>
      </w:pPr>
    </w:p>
    <w:p>
      <w:pPr>
        <w:pStyle w:val="16"/>
        <w:jc w:val="center"/>
        <w:rPr>
          <w:rFonts w:hint="default" w:ascii="Times New Roman" w:hAnsi="Times New Roman" w:cs="Times New Roman"/>
          <w:color w:val="auto"/>
          <w:sz w:val="72"/>
          <w:szCs w:val="72"/>
        </w:rPr>
      </w:pPr>
    </w:p>
    <w:p>
      <w:pPr>
        <w:pStyle w:val="16"/>
        <w:jc w:val="center"/>
        <w:rPr>
          <w:rFonts w:hint="default" w:ascii="Times New Roman" w:hAnsi="Times New Roman" w:cs="Times New Roman"/>
          <w:color w:val="auto"/>
          <w:sz w:val="72"/>
          <w:szCs w:val="72"/>
        </w:rPr>
      </w:pPr>
    </w:p>
    <w:p>
      <w:pPr>
        <w:pStyle w:val="16"/>
        <w:jc w:val="center"/>
        <w:rPr>
          <w:rFonts w:hint="default" w:ascii="Times New Roman" w:hAnsi="Times New Roman" w:cs="Times New Roman"/>
          <w:color w:val="auto"/>
          <w:sz w:val="72"/>
          <w:szCs w:val="72"/>
        </w:rPr>
      </w:pPr>
    </w:p>
    <w:p>
      <w:pPr>
        <w:pStyle w:val="16"/>
        <w:jc w:val="center"/>
        <w:rPr>
          <w:rFonts w:hint="default" w:ascii="Times New Roman" w:hAnsi="Times New Roman" w:cs="Times New Roman"/>
          <w:color w:val="auto"/>
          <w:sz w:val="72"/>
          <w:szCs w:val="72"/>
        </w:rPr>
      </w:pPr>
    </w:p>
    <w:p>
      <w:pPr>
        <w:pStyle w:val="16"/>
        <w:jc w:val="center"/>
        <w:rPr>
          <w:rFonts w:hint="default" w:ascii="Times New Roman" w:hAnsi="Times New Roman" w:cs="Times New Roman"/>
          <w:color w:val="auto"/>
          <w:sz w:val="72"/>
          <w:szCs w:val="72"/>
        </w:rPr>
      </w:pPr>
    </w:p>
    <w:p>
      <w:pPr>
        <w:pStyle w:val="16"/>
        <w:jc w:val="center"/>
        <w:rPr>
          <w:rFonts w:hint="default" w:ascii="Times New Roman" w:hAnsi="Times New Roman" w:cs="Times New Roman"/>
          <w:color w:val="auto"/>
          <w:sz w:val="72"/>
          <w:szCs w:val="72"/>
        </w:rPr>
      </w:pPr>
    </w:p>
    <w:p>
      <w:pPr>
        <w:pStyle w:val="16"/>
        <w:jc w:val="both"/>
        <w:rPr>
          <w:rFonts w:hint="default" w:ascii="Times New Roman" w:hAnsi="Times New Roman" w:cs="Times New Roman"/>
          <w:color w:val="auto"/>
          <w:sz w:val="72"/>
          <w:szCs w:val="72"/>
        </w:rPr>
      </w:pPr>
    </w:p>
    <w:p>
      <w:pPr>
        <w:pStyle w:val="16"/>
        <w:jc w:val="center"/>
        <w:rPr>
          <w:rFonts w:hint="default" w:ascii="Times New Roman" w:hAnsi="Times New Roman" w:cs="Times New Roman"/>
          <w:color w:val="auto"/>
          <w:sz w:val="72"/>
          <w:szCs w:val="72"/>
        </w:rPr>
      </w:pPr>
    </w:p>
    <w:p>
      <w:pPr>
        <w:pStyle w:val="16"/>
        <w:spacing w:line="360" w:lineRule="auto"/>
        <w:jc w:val="center"/>
        <w:rPr>
          <w:rFonts w:hint="default" w:ascii="Times New Roman" w:hAnsi="Times New Roman" w:eastAsia="方正小标宋_GBK" w:cs="Times New Roman"/>
          <w:color w:val="auto"/>
          <w:sz w:val="52"/>
          <w:szCs w:val="52"/>
        </w:rPr>
      </w:pPr>
      <w:r>
        <w:rPr>
          <w:rFonts w:hint="default" w:ascii="Times New Roman" w:hAnsi="Times New Roman" w:eastAsia="方正小标宋_GBK" w:cs="Times New Roman"/>
          <w:color w:val="auto"/>
          <w:sz w:val="52"/>
          <w:szCs w:val="52"/>
        </w:rPr>
        <w:t>第四部分    名词解释</w:t>
      </w:r>
    </w:p>
    <w:p>
      <w:pPr>
        <w:widowControl/>
        <w:jc w:val="left"/>
        <w:rPr>
          <w:rFonts w:hint="default" w:ascii="Times New Roman" w:hAnsi="Times New Roman" w:cs="Times New Roman"/>
          <w:color w:val="auto"/>
          <w:kern w:val="0"/>
          <w:sz w:val="32"/>
          <w:szCs w:val="32"/>
        </w:rPr>
      </w:pPr>
    </w:p>
    <w:p>
      <w:pPr>
        <w:pStyle w:val="16"/>
        <w:ind w:firstLine="600" w:firstLineChars="200"/>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lang w:val="en-US" w:eastAsia="zh-CN"/>
        </w:rPr>
        <w:t>一、</w:t>
      </w:r>
      <w:r>
        <w:rPr>
          <w:rFonts w:hint="default" w:ascii="Times New Roman" w:hAnsi="Times New Roman" w:eastAsia="仿宋" w:cs="Times New Roman"/>
          <w:color w:val="auto"/>
          <w:sz w:val="30"/>
          <w:szCs w:val="30"/>
        </w:rPr>
        <w:t>基本支出：指为保障机构正常运转、完成日常工作任务而 发生的各项支出，包括人员支出和公用支出。</w:t>
      </w:r>
    </w:p>
    <w:p>
      <w:pPr>
        <w:pStyle w:val="16"/>
        <w:ind w:firstLine="450" w:firstLineChars="150"/>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lang w:val="en-US" w:eastAsia="zh-CN"/>
        </w:rPr>
        <w:t>二、</w:t>
      </w:r>
      <w:r>
        <w:rPr>
          <w:rFonts w:hint="default" w:ascii="Times New Roman" w:hAnsi="Times New Roman" w:eastAsia="仿宋" w:cs="Times New Roman"/>
          <w:color w:val="auto"/>
          <w:sz w:val="30"/>
          <w:szCs w:val="30"/>
        </w:rPr>
        <w:t xml:space="preserve"> 项目支出：指在基本支出以外为完成相关行政任务和事业 发展目标所发生的各项支出。 </w:t>
      </w:r>
    </w:p>
    <w:p>
      <w:pPr>
        <w:pStyle w:val="16"/>
        <w:ind w:firstLine="600" w:firstLineChars="200"/>
        <w:rPr>
          <w:rFonts w:hint="default" w:ascii="Times New Roman" w:hAnsi="Times New Roman" w:eastAsia="仿宋" w:cs="Times New Roman"/>
          <w:bCs/>
          <w:color w:val="auto"/>
          <w:sz w:val="32"/>
          <w:szCs w:val="32"/>
        </w:rPr>
      </w:pPr>
      <w:r>
        <w:rPr>
          <w:rFonts w:hint="default" w:ascii="Times New Roman" w:hAnsi="Times New Roman" w:eastAsia="仿宋" w:cs="Times New Roman"/>
          <w:color w:val="auto"/>
          <w:sz w:val="30"/>
          <w:szCs w:val="30"/>
          <w:lang w:val="en-US" w:eastAsia="zh-CN"/>
        </w:rPr>
        <w:t>三、</w:t>
      </w:r>
      <w:r>
        <w:rPr>
          <w:rFonts w:hint="default" w:ascii="Times New Roman" w:hAnsi="Times New Roman" w:eastAsia="仿宋" w:cs="Times New Roman"/>
          <w:bCs/>
          <w:color w:val="auto"/>
          <w:kern w:val="0"/>
          <w:sz w:val="32"/>
          <w:szCs w:val="32"/>
          <w:lang w:val="en-US" w:eastAsia="zh-CN" w:bidi="ar-SA"/>
        </w:rPr>
        <w:t>“三公”经费:纳入省财政预算管理的“三</w:t>
      </w:r>
      <w:r>
        <w:rPr>
          <w:rFonts w:hint="default" w:ascii="Times New Roman" w:hAnsi="Times New Roman" w:eastAsia="仿宋" w:cs="Times New Roman"/>
          <w:bCs/>
          <w:color w:val="auto"/>
          <w:sz w:val="32"/>
          <w:szCs w:val="32"/>
        </w:rPr>
        <w:t>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widowControl/>
        <w:ind w:firstLine="600" w:firstLineChars="200"/>
        <w:jc w:val="left"/>
        <w:rPr>
          <w:rFonts w:hint="default" w:ascii="Times New Roman" w:hAnsi="Times New Roman" w:eastAsia="黑体" w:cs="Times New Roman"/>
          <w:color w:val="auto"/>
          <w:kern w:val="0"/>
          <w:sz w:val="70"/>
          <w:szCs w:val="70"/>
        </w:rPr>
      </w:pPr>
      <w:r>
        <w:rPr>
          <w:rFonts w:hint="default" w:ascii="Times New Roman" w:hAnsi="Times New Roman" w:eastAsia="仿宋" w:cs="Times New Roman"/>
          <w:color w:val="auto"/>
          <w:sz w:val="30"/>
          <w:szCs w:val="30"/>
          <w:lang w:val="en-US" w:eastAsia="zh-CN"/>
        </w:rPr>
        <w:t>四、</w:t>
      </w:r>
      <w:r>
        <w:rPr>
          <w:rFonts w:hint="default" w:ascii="Times New Roman" w:hAnsi="Times New Roman" w:eastAsia="仿宋" w:cs="Times New Roman"/>
          <w:color w:val="auto"/>
          <w:sz w:val="30"/>
          <w:szCs w:val="30"/>
        </w:rPr>
        <w:t>机关运行经费：是指各部门的公用经费，包括办公及印刷 费、邮电费、差旅费、会议费、福利费、日常维修费、专用材 料及一般设备购置费、办公用房水电费、办公用房取暖费、办公用房物业管理费、公务用车运行维护费以及其他费用。</w:t>
      </w:r>
    </w:p>
    <w:p>
      <w:pPr>
        <w:pStyle w:val="16"/>
        <w:jc w:val="center"/>
        <w:rPr>
          <w:rFonts w:hint="default" w:ascii="Times New Roman" w:hAnsi="Times New Roman" w:cs="Times New Roman"/>
          <w:color w:val="auto"/>
          <w:sz w:val="72"/>
          <w:szCs w:val="72"/>
        </w:rPr>
      </w:pPr>
    </w:p>
    <w:p>
      <w:pPr>
        <w:pStyle w:val="16"/>
        <w:jc w:val="center"/>
        <w:rPr>
          <w:rFonts w:hint="default" w:ascii="Times New Roman" w:hAnsi="Times New Roman" w:cs="Times New Roman"/>
          <w:color w:val="auto"/>
          <w:sz w:val="72"/>
          <w:szCs w:val="72"/>
        </w:rPr>
      </w:pPr>
    </w:p>
    <w:p>
      <w:pPr>
        <w:pStyle w:val="16"/>
        <w:jc w:val="both"/>
        <w:rPr>
          <w:rFonts w:hint="default" w:ascii="Times New Roman" w:hAnsi="Times New Roman" w:cs="Times New Roman"/>
          <w:color w:val="auto"/>
          <w:sz w:val="72"/>
          <w:szCs w:val="72"/>
        </w:rPr>
      </w:pPr>
    </w:p>
    <w:p>
      <w:pPr>
        <w:pStyle w:val="16"/>
        <w:spacing w:line="360" w:lineRule="auto"/>
        <w:jc w:val="center"/>
        <w:rPr>
          <w:rFonts w:hint="default" w:ascii="Times New Roman" w:hAnsi="Times New Roman" w:eastAsia="方正小标宋_GBK" w:cs="Times New Roman"/>
          <w:color w:val="auto"/>
          <w:sz w:val="52"/>
          <w:szCs w:val="52"/>
        </w:rPr>
      </w:pPr>
      <w:r>
        <w:rPr>
          <w:rFonts w:hint="default" w:ascii="Times New Roman" w:hAnsi="Times New Roman" w:eastAsia="方正小标宋_GBK" w:cs="Times New Roman"/>
          <w:color w:val="auto"/>
          <w:sz w:val="52"/>
          <w:szCs w:val="52"/>
        </w:rPr>
        <w:t>第五部分   附 件</w:t>
      </w:r>
    </w:p>
    <w:p>
      <w:pPr>
        <w:rPr>
          <w:rFonts w:hint="default" w:ascii="Times New Roman" w:hAnsi="Times New Roman" w:cs="Times New Roman"/>
          <w:color w:val="auto"/>
          <w:sz w:val="72"/>
          <w:szCs w:val="72"/>
        </w:rPr>
      </w:pPr>
    </w:p>
    <w:p>
      <w:pPr>
        <w:pStyle w:val="16"/>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rPr>
        <w:t>一、</w:t>
      </w:r>
      <w:r>
        <w:rPr>
          <w:rFonts w:hint="default" w:ascii="Times New Roman" w:hAnsi="Times New Roman" w:eastAsia="仿宋_GB2312" w:cs="Times New Roman"/>
          <w:color w:val="auto"/>
          <w:sz w:val="32"/>
          <w:szCs w:val="32"/>
        </w:rPr>
        <w:t>2024年度单位整体支出绩效自评报告。</w:t>
      </w:r>
    </w:p>
    <w:p>
      <w:pPr>
        <w:pStyle w:val="16"/>
        <w:spacing w:line="600" w:lineRule="exact"/>
        <w:ind w:firstLine="640" w:firstLineChars="200"/>
        <w:rPr>
          <w:rFonts w:hint="default" w:ascii="Times New Roman" w:hAnsi="Times New Roman" w:eastAsia="仿宋_GB2312" w:cs="Times New Roman"/>
          <w:color w:val="auto"/>
          <w:sz w:val="32"/>
          <w:szCs w:val="32"/>
        </w:rPr>
      </w:pPr>
    </w:p>
    <w:p>
      <w:pPr>
        <w:pStyle w:val="16"/>
        <w:spacing w:line="600" w:lineRule="exact"/>
        <w:ind w:firstLine="640" w:firstLineChars="200"/>
        <w:rPr>
          <w:rFonts w:hint="default" w:ascii="Times New Roman" w:hAnsi="Times New Roman" w:eastAsia="仿宋_GB2312" w:cs="Times New Roman"/>
          <w:color w:val="auto"/>
          <w:sz w:val="32"/>
          <w:szCs w:val="32"/>
        </w:rPr>
      </w:pPr>
    </w:p>
    <w:p>
      <w:pPr>
        <w:pStyle w:val="16"/>
        <w:spacing w:line="600" w:lineRule="exact"/>
        <w:ind w:firstLine="640" w:firstLineChars="200"/>
        <w:rPr>
          <w:rFonts w:hint="default" w:ascii="Times New Roman" w:hAnsi="Times New Roman" w:eastAsia="仿宋_GB2312" w:cs="Times New Roman"/>
          <w:color w:val="auto"/>
          <w:sz w:val="32"/>
          <w:szCs w:val="32"/>
        </w:rPr>
      </w:pPr>
    </w:p>
    <w:p>
      <w:pPr>
        <w:pStyle w:val="16"/>
        <w:spacing w:line="600" w:lineRule="exact"/>
        <w:ind w:firstLine="640" w:firstLineChars="200"/>
        <w:rPr>
          <w:rFonts w:hint="default" w:ascii="Times New Roman" w:hAnsi="Times New Roman" w:eastAsia="仿宋_GB2312" w:cs="Times New Roman"/>
          <w:color w:val="auto"/>
          <w:sz w:val="32"/>
          <w:szCs w:val="32"/>
        </w:rPr>
      </w:pPr>
    </w:p>
    <w:p>
      <w:pPr>
        <w:pStyle w:val="16"/>
        <w:spacing w:line="600" w:lineRule="exact"/>
        <w:ind w:firstLine="640" w:firstLineChars="200"/>
        <w:rPr>
          <w:rFonts w:hint="default" w:ascii="Times New Roman" w:hAnsi="Times New Roman" w:eastAsia="仿宋_GB2312" w:cs="Times New Roman"/>
          <w:color w:val="auto"/>
          <w:sz w:val="32"/>
          <w:szCs w:val="32"/>
        </w:rPr>
      </w:pPr>
    </w:p>
    <w:p>
      <w:pPr>
        <w:pStyle w:val="16"/>
        <w:spacing w:line="600" w:lineRule="exact"/>
        <w:ind w:firstLine="640" w:firstLineChars="200"/>
        <w:rPr>
          <w:rFonts w:hint="default" w:ascii="Times New Roman" w:hAnsi="Times New Roman" w:eastAsia="仿宋_GB2312" w:cs="Times New Roman"/>
          <w:color w:val="auto"/>
          <w:sz w:val="32"/>
          <w:szCs w:val="32"/>
        </w:rPr>
      </w:pPr>
    </w:p>
    <w:p>
      <w:pPr>
        <w:pStyle w:val="16"/>
        <w:spacing w:line="600" w:lineRule="exact"/>
        <w:ind w:firstLine="640" w:firstLineChars="200"/>
        <w:rPr>
          <w:rFonts w:hint="default" w:ascii="Times New Roman" w:hAnsi="Times New Roman" w:eastAsia="仿宋_GB2312" w:cs="Times New Roman"/>
          <w:color w:val="auto"/>
          <w:sz w:val="32"/>
          <w:szCs w:val="32"/>
        </w:rPr>
      </w:pPr>
    </w:p>
    <w:p>
      <w:pPr>
        <w:pStyle w:val="16"/>
        <w:spacing w:line="600" w:lineRule="exact"/>
        <w:ind w:firstLine="640" w:firstLineChars="200"/>
        <w:rPr>
          <w:rFonts w:hint="default" w:ascii="Times New Roman" w:hAnsi="Times New Roman" w:eastAsia="仿宋_GB2312" w:cs="Times New Roman"/>
          <w:color w:val="auto"/>
          <w:sz w:val="32"/>
          <w:szCs w:val="32"/>
        </w:rPr>
      </w:pPr>
    </w:p>
    <w:p>
      <w:pPr>
        <w:pStyle w:val="16"/>
        <w:spacing w:line="600" w:lineRule="exact"/>
        <w:ind w:firstLine="640" w:firstLineChars="200"/>
        <w:rPr>
          <w:rFonts w:hint="default" w:ascii="Times New Roman" w:hAnsi="Times New Roman" w:eastAsia="仿宋_GB2312" w:cs="Times New Roman"/>
          <w:color w:val="auto"/>
          <w:sz w:val="32"/>
          <w:szCs w:val="32"/>
        </w:rPr>
      </w:pPr>
    </w:p>
    <w:p>
      <w:pPr>
        <w:pStyle w:val="16"/>
        <w:spacing w:line="600" w:lineRule="exact"/>
        <w:ind w:firstLine="640" w:firstLineChars="200"/>
        <w:rPr>
          <w:rFonts w:hint="default" w:ascii="Times New Roman" w:hAnsi="Times New Roman" w:eastAsia="仿宋_GB2312" w:cs="Times New Roman"/>
          <w:color w:val="auto"/>
          <w:sz w:val="32"/>
          <w:szCs w:val="32"/>
        </w:rPr>
      </w:pPr>
    </w:p>
    <w:p>
      <w:pPr>
        <w:pStyle w:val="16"/>
        <w:spacing w:line="600" w:lineRule="exact"/>
        <w:ind w:firstLine="640" w:firstLineChars="200"/>
        <w:rPr>
          <w:rFonts w:hint="default" w:ascii="Times New Roman" w:hAnsi="Times New Roman" w:eastAsia="仿宋_GB2312" w:cs="Times New Roman"/>
          <w:color w:val="auto"/>
          <w:sz w:val="32"/>
          <w:szCs w:val="32"/>
        </w:rPr>
      </w:pPr>
    </w:p>
    <w:p>
      <w:pPr>
        <w:pStyle w:val="16"/>
        <w:spacing w:line="600" w:lineRule="exact"/>
        <w:ind w:firstLine="640" w:firstLineChars="200"/>
        <w:rPr>
          <w:rFonts w:hint="default" w:ascii="Times New Roman" w:hAnsi="Times New Roman" w:eastAsia="仿宋_GB2312" w:cs="Times New Roman"/>
          <w:color w:val="auto"/>
          <w:sz w:val="32"/>
          <w:szCs w:val="32"/>
        </w:rPr>
      </w:pPr>
    </w:p>
    <w:p>
      <w:pPr>
        <w:pStyle w:val="16"/>
        <w:spacing w:line="600" w:lineRule="exact"/>
        <w:ind w:firstLine="640" w:firstLineChars="200"/>
        <w:rPr>
          <w:rFonts w:hint="default" w:ascii="Times New Roman" w:hAnsi="Times New Roman" w:eastAsia="仿宋_GB2312" w:cs="Times New Roman"/>
          <w:color w:val="auto"/>
          <w:sz w:val="32"/>
          <w:szCs w:val="32"/>
        </w:rPr>
      </w:pPr>
    </w:p>
    <w:p>
      <w:pPr>
        <w:pStyle w:val="16"/>
        <w:spacing w:line="600" w:lineRule="exact"/>
        <w:ind w:firstLine="640" w:firstLineChars="200"/>
        <w:rPr>
          <w:rFonts w:hint="default" w:ascii="Times New Roman" w:hAnsi="Times New Roman" w:eastAsia="仿宋_GB2312" w:cs="Times New Roman"/>
          <w:color w:val="auto"/>
          <w:sz w:val="32"/>
          <w:szCs w:val="32"/>
        </w:rPr>
      </w:pPr>
    </w:p>
    <w:p>
      <w:pPr>
        <w:pStyle w:val="16"/>
        <w:spacing w:line="600" w:lineRule="exact"/>
        <w:ind w:firstLine="640" w:firstLineChars="200"/>
        <w:rPr>
          <w:rFonts w:hint="default" w:ascii="Times New Roman" w:hAnsi="Times New Roman" w:eastAsia="仿宋_GB2312" w:cs="Times New Roman"/>
          <w:color w:val="auto"/>
          <w:sz w:val="32"/>
          <w:szCs w:val="32"/>
        </w:rPr>
      </w:pPr>
    </w:p>
    <w:p>
      <w:pPr>
        <w:pStyle w:val="16"/>
        <w:spacing w:line="600" w:lineRule="exact"/>
        <w:ind w:firstLine="640" w:firstLineChars="200"/>
        <w:rPr>
          <w:rFonts w:hint="default" w:ascii="Times New Roman" w:hAnsi="Times New Roman" w:eastAsia="仿宋_GB2312" w:cs="Times New Roman"/>
          <w:color w:val="auto"/>
          <w:sz w:val="32"/>
          <w:szCs w:val="32"/>
        </w:rPr>
      </w:pPr>
    </w:p>
    <w:p>
      <w:pPr>
        <w:pStyle w:val="16"/>
        <w:spacing w:line="600" w:lineRule="exact"/>
        <w:ind w:firstLine="640" w:firstLineChars="200"/>
        <w:rPr>
          <w:rFonts w:hint="default" w:ascii="Times New Roman" w:hAnsi="Times New Roman" w:eastAsia="仿宋_GB2312" w:cs="Times New Roman"/>
          <w:color w:val="auto"/>
          <w:sz w:val="32"/>
          <w:szCs w:val="32"/>
        </w:rPr>
      </w:pPr>
    </w:p>
    <w:p>
      <w:pPr>
        <w:spacing w:line="600" w:lineRule="exact"/>
        <w:rPr>
          <w:rFonts w:hint="default" w:ascii="Times New Roman" w:hAnsi="Times New Roman" w:eastAsia="黑体" w:cs="Times New Roman"/>
          <w:color w:val="auto"/>
          <w:kern w:val="0"/>
          <w:sz w:val="32"/>
          <w:szCs w:val="32"/>
        </w:rPr>
      </w:pPr>
    </w:p>
    <w:p>
      <w:pPr>
        <w:spacing w:line="600" w:lineRule="exact"/>
        <w:rPr>
          <w:rFonts w:hint="default" w:ascii="Times New Roman" w:hAnsi="Times New Roman" w:eastAsia="黑体" w:cs="Times New Roman"/>
          <w:color w:val="auto"/>
          <w:kern w:val="0"/>
          <w:sz w:val="32"/>
          <w:szCs w:val="32"/>
        </w:rPr>
      </w:pPr>
    </w:p>
    <w:p>
      <w:pPr>
        <w:jc w:val="center"/>
        <w:rPr>
          <w:rFonts w:hint="default" w:ascii="Times New Roman" w:hAnsi="Times New Roman" w:eastAsia="方正小标宋_GBK" w:cs="Times New Roman"/>
          <w:color w:val="auto"/>
          <w:sz w:val="48"/>
          <w:szCs w:val="48"/>
          <w:lang w:val="en-US" w:eastAsia="zh-CN"/>
        </w:rPr>
      </w:pPr>
      <w:r>
        <w:rPr>
          <w:rFonts w:hint="default" w:ascii="Times New Roman" w:hAnsi="Times New Roman" w:eastAsia="方正小标宋_GBK" w:cs="Times New Roman"/>
          <w:color w:val="auto"/>
          <w:sz w:val="48"/>
          <w:szCs w:val="48"/>
          <w:lang w:val="en-US" w:eastAsia="zh-CN"/>
        </w:rPr>
        <w:t>2024</w:t>
      </w:r>
      <w:r>
        <w:rPr>
          <w:rFonts w:hint="default" w:ascii="Times New Roman" w:hAnsi="Times New Roman" w:eastAsia="方正小标宋_GBK" w:cs="Times New Roman"/>
          <w:color w:val="auto"/>
          <w:sz w:val="48"/>
          <w:szCs w:val="48"/>
        </w:rPr>
        <w:t>年度</w:t>
      </w:r>
      <w:r>
        <w:rPr>
          <w:rFonts w:hint="default" w:ascii="Times New Roman" w:hAnsi="Times New Roman" w:eastAsia="方正小标宋_GBK" w:cs="Times New Roman"/>
          <w:color w:val="auto"/>
          <w:sz w:val="48"/>
          <w:szCs w:val="48"/>
          <w:lang w:val="en-US" w:eastAsia="zh-CN"/>
        </w:rPr>
        <w:t>湖南省饲料工业办公室</w:t>
      </w:r>
    </w:p>
    <w:p>
      <w:pPr>
        <w:jc w:val="center"/>
        <w:rPr>
          <w:rFonts w:hint="default" w:ascii="Times New Roman" w:hAnsi="Times New Roman" w:eastAsia="方正小标宋_GBK" w:cs="Times New Roman"/>
          <w:color w:val="auto"/>
          <w:sz w:val="48"/>
          <w:szCs w:val="48"/>
        </w:rPr>
      </w:pPr>
      <w:r>
        <w:rPr>
          <w:rFonts w:hint="default" w:ascii="Times New Roman" w:hAnsi="Times New Roman" w:eastAsia="方正小标宋_GBK" w:cs="Times New Roman"/>
          <w:color w:val="auto"/>
          <w:sz w:val="48"/>
          <w:szCs w:val="48"/>
        </w:rPr>
        <w:t>整体支出</w:t>
      </w:r>
    </w:p>
    <w:p>
      <w:pPr>
        <w:jc w:val="center"/>
        <w:rPr>
          <w:rFonts w:hint="default" w:ascii="Times New Roman" w:hAnsi="Times New Roman" w:eastAsia="方正小标宋_GBK" w:cs="Times New Roman"/>
          <w:color w:val="auto"/>
          <w:sz w:val="48"/>
          <w:szCs w:val="48"/>
        </w:rPr>
      </w:pPr>
      <w:r>
        <w:rPr>
          <w:rFonts w:hint="default" w:ascii="Times New Roman" w:hAnsi="Times New Roman" w:eastAsia="方正小标宋_GBK" w:cs="Times New Roman"/>
          <w:color w:val="auto"/>
          <w:sz w:val="48"/>
          <w:szCs w:val="48"/>
        </w:rPr>
        <w:t>绩效自评报告</w:t>
      </w:r>
    </w:p>
    <w:p>
      <w:pPr>
        <w:jc w:val="center"/>
        <w:rPr>
          <w:rFonts w:hint="default" w:ascii="Times New Roman" w:hAnsi="Times New Roman" w:eastAsia="黑体" w:cs="Times New Roman"/>
          <w:color w:val="auto"/>
          <w:sz w:val="32"/>
          <w:szCs w:val="32"/>
        </w:rPr>
      </w:pPr>
    </w:p>
    <w:p>
      <w:pPr>
        <w:jc w:val="center"/>
        <w:rPr>
          <w:rFonts w:hint="default" w:ascii="Times New Roman" w:hAnsi="Times New Roman" w:eastAsia="黑体" w:cs="Times New Roman"/>
          <w:color w:val="auto"/>
          <w:sz w:val="32"/>
          <w:szCs w:val="32"/>
        </w:rPr>
      </w:pPr>
    </w:p>
    <w:p>
      <w:pPr>
        <w:jc w:val="center"/>
        <w:rPr>
          <w:rFonts w:hint="default" w:ascii="Times New Roman" w:hAnsi="Times New Roman" w:eastAsia="黑体" w:cs="Times New Roman"/>
          <w:color w:val="auto"/>
          <w:sz w:val="32"/>
          <w:szCs w:val="32"/>
        </w:rPr>
      </w:pPr>
    </w:p>
    <w:p>
      <w:pPr>
        <w:jc w:val="center"/>
        <w:rPr>
          <w:rFonts w:hint="default" w:ascii="Times New Roman" w:hAnsi="Times New Roman" w:eastAsia="黑体" w:cs="Times New Roman"/>
          <w:color w:val="auto"/>
          <w:sz w:val="32"/>
          <w:szCs w:val="32"/>
        </w:rPr>
      </w:pPr>
    </w:p>
    <w:p>
      <w:pPr>
        <w:jc w:val="center"/>
        <w:rPr>
          <w:rFonts w:hint="default" w:ascii="Times New Roman" w:hAnsi="Times New Roman" w:eastAsia="黑体" w:cs="Times New Roman"/>
          <w:color w:val="auto"/>
          <w:sz w:val="32"/>
          <w:szCs w:val="32"/>
        </w:rPr>
      </w:pPr>
    </w:p>
    <w:p>
      <w:pPr>
        <w:jc w:val="center"/>
        <w:rPr>
          <w:rFonts w:hint="default" w:ascii="Times New Roman" w:hAnsi="Times New Roman" w:eastAsia="黑体" w:cs="Times New Roman"/>
          <w:color w:val="auto"/>
          <w:sz w:val="32"/>
          <w:szCs w:val="32"/>
        </w:rPr>
      </w:pPr>
    </w:p>
    <w:p>
      <w:pPr>
        <w:jc w:val="center"/>
        <w:rPr>
          <w:rFonts w:hint="default" w:ascii="Times New Roman" w:hAnsi="Times New Roman" w:eastAsia="黑体" w:cs="Times New Roman"/>
          <w:color w:val="auto"/>
          <w:sz w:val="32"/>
          <w:szCs w:val="32"/>
        </w:rPr>
      </w:pPr>
    </w:p>
    <w:p>
      <w:pPr>
        <w:ind w:firstLine="880" w:firstLineChars="200"/>
        <w:jc w:val="center"/>
        <w:rPr>
          <w:rFonts w:hint="default" w:ascii="Times New Roman" w:hAnsi="Times New Roman" w:eastAsia="黑体" w:cs="Times New Roman"/>
          <w:color w:val="auto"/>
          <w:sz w:val="44"/>
          <w:szCs w:val="44"/>
        </w:rPr>
      </w:pPr>
    </w:p>
    <w:p>
      <w:pPr>
        <w:ind w:firstLine="880" w:firstLineChars="200"/>
        <w:jc w:val="center"/>
        <w:rPr>
          <w:rFonts w:hint="default" w:ascii="Times New Roman" w:hAnsi="Times New Roman" w:eastAsia="黑体" w:cs="Times New Roman"/>
          <w:color w:val="auto"/>
          <w:sz w:val="44"/>
          <w:szCs w:val="44"/>
        </w:rPr>
      </w:pPr>
    </w:p>
    <w:p>
      <w:pPr>
        <w:ind w:firstLine="880" w:firstLineChars="200"/>
        <w:jc w:val="center"/>
        <w:rPr>
          <w:rFonts w:hint="default" w:ascii="Times New Roman" w:hAnsi="Times New Roman" w:eastAsia="黑体" w:cs="Times New Roman"/>
          <w:color w:val="auto"/>
          <w:sz w:val="44"/>
          <w:szCs w:val="44"/>
        </w:rPr>
      </w:pPr>
    </w:p>
    <w:p>
      <w:pPr>
        <w:ind w:firstLine="720" w:firstLineChars="200"/>
        <w:jc w:val="center"/>
        <w:rPr>
          <w:rFonts w:hint="default" w:ascii="Times New Roman" w:hAnsi="Times New Roman" w:eastAsia="黑体" w:cs="Times New Roman"/>
          <w:color w:val="auto"/>
          <w:sz w:val="36"/>
          <w:szCs w:val="36"/>
        </w:rPr>
      </w:pPr>
      <w:r>
        <w:rPr>
          <w:rFonts w:hint="default" w:ascii="Times New Roman" w:hAnsi="Times New Roman" w:eastAsia="黑体" w:cs="Times New Roman"/>
          <w:color w:val="auto"/>
          <w:sz w:val="36"/>
          <w:szCs w:val="36"/>
        </w:rPr>
        <w:t>单位名称（盖章）：</w:t>
      </w:r>
    </w:p>
    <w:p>
      <w:pPr>
        <w:jc w:val="center"/>
        <w:rPr>
          <w:rFonts w:hint="default" w:ascii="Times New Roman" w:hAnsi="Times New Roman" w:eastAsia="黑体" w:cs="Times New Roman"/>
          <w:color w:val="auto"/>
          <w:sz w:val="36"/>
          <w:szCs w:val="36"/>
        </w:rPr>
      </w:pPr>
    </w:p>
    <w:p>
      <w:pPr>
        <w:jc w:val="center"/>
        <w:rPr>
          <w:rFonts w:hint="default" w:ascii="Times New Roman" w:hAnsi="Times New Roman" w:eastAsia="黑体" w:cs="Times New Roman"/>
          <w:color w:val="auto"/>
          <w:sz w:val="32"/>
          <w:szCs w:val="32"/>
        </w:rPr>
      </w:pPr>
    </w:p>
    <w:p>
      <w:pPr>
        <w:jc w:val="center"/>
        <w:rPr>
          <w:rFonts w:hint="default" w:ascii="Times New Roman" w:hAnsi="Times New Roman" w:eastAsia="黑体" w:cs="Times New Roman"/>
          <w:color w:val="auto"/>
          <w:sz w:val="32"/>
          <w:szCs w:val="32"/>
        </w:rPr>
      </w:pPr>
    </w:p>
    <w:p>
      <w:pPr>
        <w:jc w:val="center"/>
        <w:rPr>
          <w:rFonts w:hint="default" w:ascii="Times New Roman" w:hAnsi="Times New Roman" w:eastAsia="黑体" w:cs="Times New Roman"/>
          <w:color w:val="auto"/>
          <w:sz w:val="32"/>
          <w:szCs w:val="32"/>
        </w:rPr>
      </w:pPr>
    </w:p>
    <w:p>
      <w:pPr>
        <w:jc w:val="center"/>
        <w:rPr>
          <w:rFonts w:hint="default" w:ascii="Times New Roman" w:hAnsi="Times New Roman" w:eastAsia="黑体" w:cs="Times New Roman"/>
          <w:color w:val="auto"/>
          <w:sz w:val="32"/>
          <w:szCs w:val="32"/>
        </w:rPr>
      </w:pPr>
    </w:p>
    <w:p>
      <w:pPr>
        <w:jc w:val="center"/>
        <w:rPr>
          <w:rFonts w:hint="default" w:ascii="Times New Roman" w:hAnsi="Times New Roman" w:eastAsia="黑体" w:cs="Times New Roman"/>
          <w:color w:val="auto"/>
          <w:sz w:val="32"/>
          <w:szCs w:val="32"/>
        </w:rPr>
      </w:pPr>
    </w:p>
    <w:p>
      <w:pPr>
        <w:jc w:val="center"/>
        <w:rPr>
          <w:rFonts w:hint="default" w:ascii="Times New Roman" w:hAnsi="Times New Roman" w:eastAsia="黑体" w:cs="Times New Roman"/>
          <w:color w:val="auto"/>
          <w:sz w:val="32"/>
          <w:szCs w:val="32"/>
        </w:rPr>
      </w:pPr>
    </w:p>
    <w:p>
      <w:pPr>
        <w:spacing w:line="60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一、基本情况</w:t>
      </w:r>
    </w:p>
    <w:p>
      <w:pPr>
        <w:spacing w:line="600" w:lineRule="exact"/>
        <w:ind w:firstLine="640" w:firstLineChars="200"/>
        <w:rPr>
          <w:rFonts w:hint="default" w:ascii="Times New Roman" w:hAnsi="Times New Roman" w:eastAsia="楷体_GB2312" w:cs="Times New Roman"/>
          <w:b/>
          <w:color w:val="auto"/>
          <w:sz w:val="32"/>
          <w:szCs w:val="32"/>
        </w:rPr>
      </w:pPr>
      <w:r>
        <w:rPr>
          <w:rFonts w:hint="default" w:ascii="Times New Roman" w:hAnsi="Times New Roman" w:eastAsia="楷体_GB2312" w:cs="Times New Roman"/>
          <w:b/>
          <w:color w:val="auto"/>
          <w:sz w:val="32"/>
          <w:szCs w:val="32"/>
        </w:rPr>
        <w:t>（一）单位基本情况</w:t>
      </w:r>
    </w:p>
    <w:p>
      <w:pPr>
        <w:widowControl/>
        <w:spacing w:line="600" w:lineRule="exact"/>
        <w:ind w:firstLine="640" w:firstLineChars="200"/>
        <w:rPr>
          <w:rFonts w:hint="default" w:ascii="Times New Roman" w:hAnsi="Times New Roman" w:eastAsia="仿宋_GB2312" w:cs="Times New Roman"/>
          <w:bCs/>
          <w:color w:val="auto"/>
          <w:kern w:val="0"/>
          <w:sz w:val="32"/>
          <w:szCs w:val="32"/>
        </w:rPr>
      </w:pP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职责：</w:t>
      </w:r>
      <w:r>
        <w:rPr>
          <w:rFonts w:hint="default" w:ascii="Times New Roman" w:hAnsi="Times New Roman" w:eastAsia="仿宋_GB2312" w:cs="Times New Roman"/>
          <w:color w:val="auto"/>
          <w:sz w:val="32"/>
          <w:szCs w:val="32"/>
        </w:rPr>
        <w:t>湖南省饲料工业办公室是湖南省农业农村厅下属正处级参公事业单位，主要</w:t>
      </w:r>
      <w:r>
        <w:rPr>
          <w:rFonts w:hint="default" w:ascii="Times New Roman" w:hAnsi="Times New Roman" w:eastAsia="仿宋_GB2312" w:cs="Times New Roman"/>
          <w:color w:val="auto"/>
          <w:sz w:val="32"/>
          <w:szCs w:val="32"/>
          <w:lang w:val="en-US" w:eastAsia="zh-CN"/>
        </w:rPr>
        <w:t>负责</w:t>
      </w:r>
      <w:r>
        <w:rPr>
          <w:rFonts w:hint="default" w:ascii="Times New Roman" w:hAnsi="Times New Roman" w:eastAsia="仿宋_GB2312" w:cs="Times New Roman"/>
          <w:color w:val="auto"/>
          <w:sz w:val="32"/>
          <w:szCs w:val="32"/>
        </w:rPr>
        <w:t>全省饲料和饲料添加剂行政许可事务性工作</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饲料和饲料添加剂产品质量安全监管</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饲料行业统计监测、技术服务与指导等相关业务工作。</w:t>
      </w:r>
      <w:r>
        <w:rPr>
          <w:rFonts w:hint="default" w:ascii="Times New Roman" w:hAnsi="Times New Roman" w:eastAsia="仿宋_GB2312" w:cs="Times New Roman"/>
          <w:bCs/>
          <w:color w:val="auto"/>
          <w:kern w:val="0"/>
          <w:sz w:val="32"/>
          <w:szCs w:val="32"/>
        </w:rPr>
        <w:t>湖南省饲料工业办公室现有在职干部</w:t>
      </w:r>
      <w:r>
        <w:rPr>
          <w:rFonts w:hint="default" w:ascii="Times New Roman" w:hAnsi="Times New Roman" w:eastAsia="仿宋_GB2312" w:cs="Times New Roman"/>
          <w:bCs/>
          <w:color w:val="auto"/>
          <w:kern w:val="0"/>
          <w:sz w:val="32"/>
          <w:szCs w:val="32"/>
          <w:lang w:val="en-US" w:eastAsia="zh-CN"/>
        </w:rPr>
        <w:t>5</w:t>
      </w:r>
      <w:r>
        <w:rPr>
          <w:rFonts w:hint="default" w:ascii="Times New Roman" w:hAnsi="Times New Roman" w:eastAsia="仿宋_GB2312" w:cs="Times New Roman"/>
          <w:bCs/>
          <w:color w:val="auto"/>
          <w:kern w:val="0"/>
          <w:sz w:val="32"/>
          <w:szCs w:val="32"/>
        </w:rPr>
        <w:t>名，退休人员</w:t>
      </w:r>
      <w:r>
        <w:rPr>
          <w:rFonts w:hint="default" w:ascii="Times New Roman" w:hAnsi="Times New Roman" w:eastAsia="仿宋_GB2312" w:cs="Times New Roman"/>
          <w:bCs/>
          <w:color w:val="auto"/>
          <w:kern w:val="0"/>
          <w:sz w:val="32"/>
          <w:szCs w:val="32"/>
          <w:lang w:val="en-US" w:eastAsia="zh-CN"/>
        </w:rPr>
        <w:t>6</w:t>
      </w:r>
      <w:r>
        <w:rPr>
          <w:rFonts w:hint="default" w:ascii="Times New Roman" w:hAnsi="Times New Roman" w:eastAsia="仿宋_GB2312" w:cs="Times New Roman"/>
          <w:bCs/>
          <w:color w:val="auto"/>
          <w:kern w:val="0"/>
          <w:sz w:val="32"/>
          <w:szCs w:val="32"/>
        </w:rPr>
        <w:t>名，无内设科室。</w:t>
      </w:r>
    </w:p>
    <w:p>
      <w:pPr>
        <w:numPr>
          <w:ilvl w:val="0"/>
          <w:numId w:val="0"/>
        </w:numPr>
        <w:spacing w:line="600" w:lineRule="exact"/>
        <w:ind w:firstLine="640" w:firstLineChars="200"/>
        <w:rPr>
          <w:rFonts w:hint="default" w:ascii="Times New Roman" w:hAnsi="Times New Roman" w:eastAsia="仿宋_GB2312" w:cs="Times New Roman"/>
          <w:color w:val="auto"/>
          <w:sz w:val="32"/>
          <w:szCs w:val="32"/>
          <w:lang w:eastAsia="zh-CN"/>
        </w:rPr>
      </w:pPr>
      <w:r>
        <w:rPr>
          <w:rFonts w:hint="default" w:ascii="Times New Roman" w:hAnsi="Times New Roman" w:eastAsia="楷体_GB2312" w:cs="Times New Roman"/>
          <w:b/>
          <w:color w:val="auto"/>
          <w:sz w:val="32"/>
          <w:szCs w:val="32"/>
          <w:lang w:eastAsia="zh-CN"/>
        </w:rPr>
        <w:t>（</w:t>
      </w:r>
      <w:r>
        <w:rPr>
          <w:rFonts w:hint="default" w:ascii="Times New Roman" w:hAnsi="Times New Roman" w:eastAsia="楷体_GB2312" w:cs="Times New Roman"/>
          <w:b/>
          <w:color w:val="auto"/>
          <w:sz w:val="32"/>
          <w:szCs w:val="32"/>
          <w:lang w:val="en-US" w:eastAsia="zh-CN"/>
        </w:rPr>
        <w:t>二</w:t>
      </w:r>
      <w:r>
        <w:rPr>
          <w:rFonts w:hint="default" w:ascii="Times New Roman" w:hAnsi="Times New Roman" w:eastAsia="楷体_GB2312" w:cs="Times New Roman"/>
          <w:b/>
          <w:color w:val="auto"/>
          <w:sz w:val="32"/>
          <w:szCs w:val="32"/>
          <w:lang w:eastAsia="zh-CN"/>
        </w:rPr>
        <w:t>）</w:t>
      </w:r>
      <w:r>
        <w:rPr>
          <w:rFonts w:hint="default" w:ascii="Times New Roman" w:hAnsi="Times New Roman" w:eastAsia="楷体_GB2312" w:cs="Times New Roman"/>
          <w:b/>
          <w:color w:val="auto"/>
          <w:sz w:val="32"/>
          <w:szCs w:val="32"/>
        </w:rPr>
        <w:t>单位年度整体支出绩效目标</w:t>
      </w:r>
      <w:r>
        <w:rPr>
          <w:rFonts w:hint="default" w:ascii="Times New Roman" w:hAnsi="Times New Roman" w:eastAsia="楷体_GB2312" w:cs="Times New Roman"/>
          <w:b/>
          <w:color w:val="auto"/>
          <w:sz w:val="32"/>
          <w:szCs w:val="32"/>
          <w:lang w:eastAsia="zh-CN"/>
        </w:rPr>
        <w:t>：</w:t>
      </w:r>
      <w:r>
        <w:rPr>
          <w:rFonts w:hint="default" w:ascii="Times New Roman" w:hAnsi="Times New Roman" w:eastAsia="仿宋_GB2312" w:cs="Times New Roman"/>
          <w:color w:val="auto"/>
          <w:sz w:val="32"/>
          <w:szCs w:val="32"/>
          <w:lang w:val="en-US" w:eastAsia="zh-CN"/>
        </w:rPr>
        <w:t>推进全省饲料产业高质量发展，年饲料总产量1350万吨以上，不发生重大质量安全事故和生产安全事故。完成厅党组安排的各类工作任务。</w:t>
      </w:r>
    </w:p>
    <w:p>
      <w:pPr>
        <w:numPr>
          <w:ilvl w:val="0"/>
          <w:numId w:val="0"/>
        </w:numPr>
        <w:spacing w:line="600" w:lineRule="exact"/>
        <w:ind w:firstLine="640" w:firstLineChars="200"/>
        <w:rPr>
          <w:rFonts w:hint="default" w:ascii="Times New Roman" w:hAnsi="Times New Roman" w:eastAsia="楷体_GB2312" w:cs="Times New Roman"/>
          <w:b/>
          <w:color w:val="auto"/>
          <w:sz w:val="32"/>
          <w:szCs w:val="32"/>
        </w:rPr>
      </w:pPr>
      <w:r>
        <w:rPr>
          <w:rFonts w:hint="default" w:ascii="Times New Roman" w:hAnsi="Times New Roman" w:eastAsia="楷体_GB2312" w:cs="Times New Roman"/>
          <w:b/>
          <w:color w:val="auto"/>
          <w:sz w:val="32"/>
          <w:szCs w:val="32"/>
          <w:lang w:eastAsia="zh-CN"/>
        </w:rPr>
        <w:t>（</w:t>
      </w:r>
      <w:r>
        <w:rPr>
          <w:rFonts w:hint="default" w:ascii="Times New Roman" w:hAnsi="Times New Roman" w:eastAsia="楷体_GB2312" w:cs="Times New Roman"/>
          <w:b/>
          <w:color w:val="auto"/>
          <w:sz w:val="32"/>
          <w:szCs w:val="32"/>
          <w:lang w:val="en-US" w:eastAsia="zh-CN"/>
        </w:rPr>
        <w:t>三</w:t>
      </w:r>
      <w:r>
        <w:rPr>
          <w:rFonts w:hint="default" w:ascii="Times New Roman" w:hAnsi="Times New Roman" w:eastAsia="楷体_GB2312" w:cs="Times New Roman"/>
          <w:b/>
          <w:color w:val="auto"/>
          <w:sz w:val="32"/>
          <w:szCs w:val="32"/>
          <w:lang w:eastAsia="zh-CN"/>
        </w:rPr>
        <w:t>）</w:t>
      </w:r>
      <w:r>
        <w:rPr>
          <w:rFonts w:hint="default" w:ascii="Times New Roman" w:hAnsi="Times New Roman" w:eastAsia="楷体_GB2312" w:cs="Times New Roman"/>
          <w:b/>
          <w:color w:val="auto"/>
          <w:sz w:val="32"/>
          <w:szCs w:val="32"/>
        </w:rPr>
        <w:t>省级专项资金绩效目标</w:t>
      </w:r>
      <w:r>
        <w:rPr>
          <w:rFonts w:hint="default" w:ascii="Times New Roman" w:hAnsi="Times New Roman" w:eastAsia="楷体_GB2312" w:cs="Times New Roman"/>
          <w:b/>
          <w:color w:val="auto"/>
          <w:sz w:val="32"/>
          <w:szCs w:val="32"/>
          <w:lang w:eastAsia="zh-CN"/>
        </w:rPr>
        <w:t>：</w:t>
      </w:r>
      <w:bookmarkStart w:id="3" w:name="OLE_LINK18"/>
      <w:r>
        <w:rPr>
          <w:rFonts w:hint="default" w:ascii="Times New Roman" w:hAnsi="Times New Roman" w:eastAsia="仿宋_GB2312" w:cs="Times New Roman"/>
          <w:b w:val="0"/>
          <w:bCs/>
          <w:color w:val="auto"/>
          <w:kern w:val="0"/>
          <w:sz w:val="32"/>
          <w:szCs w:val="32"/>
          <w:lang w:eastAsia="zh-CN"/>
        </w:rPr>
        <w:t>全省饲料和饲料添加剂生产许可的现场审核；饲料行质量安全监管；组织开展饲料工业统计</w:t>
      </w:r>
      <w:r>
        <w:rPr>
          <w:rFonts w:hint="default" w:ascii="Times New Roman" w:hAnsi="Times New Roman" w:eastAsia="仿宋_GB2312" w:cs="Times New Roman"/>
          <w:b w:val="0"/>
          <w:bCs/>
          <w:color w:val="auto"/>
          <w:kern w:val="0"/>
          <w:sz w:val="32"/>
          <w:szCs w:val="32"/>
          <w:lang w:val="en-US" w:eastAsia="zh-CN"/>
        </w:rPr>
        <w:t>监测</w:t>
      </w:r>
      <w:r>
        <w:rPr>
          <w:rFonts w:hint="default" w:ascii="Times New Roman" w:hAnsi="Times New Roman" w:eastAsia="仿宋_GB2312" w:cs="Times New Roman"/>
          <w:b w:val="0"/>
          <w:bCs/>
          <w:color w:val="auto"/>
          <w:kern w:val="0"/>
          <w:sz w:val="32"/>
          <w:szCs w:val="32"/>
          <w:lang w:eastAsia="zh-CN"/>
        </w:rPr>
        <w:t>及</w:t>
      </w:r>
      <w:r>
        <w:rPr>
          <w:rFonts w:hint="default" w:ascii="Times New Roman" w:hAnsi="Times New Roman" w:eastAsia="仿宋_GB2312" w:cs="Times New Roman"/>
          <w:b w:val="0"/>
          <w:bCs/>
          <w:color w:val="auto"/>
          <w:kern w:val="0"/>
          <w:sz w:val="32"/>
          <w:szCs w:val="32"/>
          <w:lang w:val="en-US" w:eastAsia="zh-CN"/>
        </w:rPr>
        <w:t>业务培训</w:t>
      </w:r>
      <w:r>
        <w:rPr>
          <w:rFonts w:hint="default" w:ascii="Times New Roman" w:hAnsi="Times New Roman" w:eastAsia="仿宋_GB2312" w:cs="Times New Roman"/>
          <w:b w:val="0"/>
          <w:bCs/>
          <w:color w:val="auto"/>
          <w:kern w:val="0"/>
          <w:sz w:val="32"/>
          <w:szCs w:val="32"/>
          <w:lang w:eastAsia="zh-CN"/>
        </w:rPr>
        <w:t>；政策性粮食进入饲料加工企业加工成饲料产品后的质量安全监管；</w:t>
      </w:r>
      <w:r>
        <w:rPr>
          <w:rFonts w:hint="default" w:ascii="Times New Roman" w:hAnsi="Times New Roman" w:eastAsia="仿宋_GB2312" w:cs="Times New Roman"/>
          <w:b w:val="0"/>
          <w:bCs/>
          <w:color w:val="auto"/>
          <w:kern w:val="0"/>
          <w:sz w:val="32"/>
          <w:szCs w:val="32"/>
          <w:lang w:val="en-US" w:eastAsia="zh-CN"/>
        </w:rPr>
        <w:t>推进饲料节粮和饲用豆粕减量替代</w:t>
      </w:r>
      <w:r>
        <w:rPr>
          <w:rFonts w:hint="default" w:ascii="Times New Roman" w:hAnsi="Times New Roman" w:eastAsia="仿宋_GB2312" w:cs="Times New Roman"/>
          <w:b w:val="0"/>
          <w:bCs/>
          <w:color w:val="auto"/>
          <w:kern w:val="0"/>
          <w:sz w:val="32"/>
          <w:szCs w:val="32"/>
          <w:lang w:eastAsia="zh-CN"/>
        </w:rPr>
        <w:t>。</w:t>
      </w:r>
      <w:bookmarkEnd w:id="3"/>
    </w:p>
    <w:p>
      <w:pPr>
        <w:numPr>
          <w:ilvl w:val="0"/>
          <w:numId w:val="1"/>
        </w:numPr>
        <w:spacing w:line="600" w:lineRule="exact"/>
        <w:ind w:firstLine="640" w:firstLineChars="200"/>
        <w:rPr>
          <w:rFonts w:hint="default" w:ascii="Times New Roman" w:hAnsi="Times New Roman" w:eastAsia="楷体_GB2312" w:cs="Times New Roman"/>
          <w:b/>
          <w:color w:val="auto"/>
          <w:sz w:val="32"/>
          <w:szCs w:val="32"/>
        </w:rPr>
      </w:pPr>
      <w:r>
        <w:rPr>
          <w:rFonts w:hint="default" w:ascii="Times New Roman" w:hAnsi="Times New Roman" w:eastAsia="楷体_GB2312" w:cs="Times New Roman"/>
          <w:b/>
          <w:color w:val="auto"/>
          <w:sz w:val="32"/>
          <w:szCs w:val="32"/>
        </w:rPr>
        <w:t>其他项目支出（除省级专项资金以外）绩效目标</w:t>
      </w:r>
      <w:r>
        <w:rPr>
          <w:rFonts w:hint="default" w:ascii="Times New Roman" w:hAnsi="Times New Roman" w:eastAsia="楷体_GB2312" w:cs="Times New Roman"/>
          <w:b/>
          <w:color w:val="auto"/>
          <w:sz w:val="32"/>
          <w:szCs w:val="32"/>
          <w:lang w:eastAsia="zh-CN"/>
        </w:rPr>
        <w:t>：</w:t>
      </w:r>
      <w:r>
        <w:rPr>
          <w:rFonts w:hint="default" w:ascii="Times New Roman" w:hAnsi="Times New Roman" w:eastAsia="楷体_GB2312" w:cs="Times New Roman"/>
          <w:b w:val="0"/>
          <w:bCs/>
          <w:color w:val="auto"/>
          <w:sz w:val="32"/>
          <w:szCs w:val="32"/>
          <w:lang w:val="en-US" w:eastAsia="zh-CN"/>
        </w:rPr>
        <w:t>无</w:t>
      </w:r>
    </w:p>
    <w:p>
      <w:pPr>
        <w:pStyle w:val="17"/>
        <w:spacing w:line="600" w:lineRule="exact"/>
        <w:ind w:firstLine="64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二、一般公共预算支出情况</w:t>
      </w:r>
    </w:p>
    <w:p>
      <w:pPr>
        <w:pStyle w:val="17"/>
        <w:spacing w:line="600" w:lineRule="exact"/>
        <w:ind w:firstLine="643"/>
        <w:rPr>
          <w:rFonts w:hint="default" w:ascii="Times New Roman" w:hAnsi="Times New Roman" w:eastAsia="楷体_GB2312" w:cs="Times New Roman"/>
          <w:b/>
          <w:color w:val="auto"/>
          <w:sz w:val="32"/>
          <w:szCs w:val="32"/>
        </w:rPr>
      </w:pPr>
      <w:r>
        <w:rPr>
          <w:rFonts w:hint="default" w:ascii="Times New Roman" w:hAnsi="Times New Roman" w:eastAsia="楷体_GB2312" w:cs="Times New Roman"/>
          <w:b/>
          <w:color w:val="auto"/>
          <w:sz w:val="32"/>
          <w:szCs w:val="32"/>
        </w:rPr>
        <w:t>（一）基本支出情况</w:t>
      </w:r>
    </w:p>
    <w:p>
      <w:pPr>
        <w:pStyle w:val="16"/>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cs="Times New Roman"/>
          <w:color w:val="auto"/>
          <w:sz w:val="32"/>
          <w:szCs w:val="32"/>
          <w:lang w:val="en-US" w:eastAsia="zh-CN"/>
        </w:rPr>
      </w:pPr>
      <w:bookmarkStart w:id="4" w:name="OLE_LINK1"/>
      <w:r>
        <w:rPr>
          <w:rFonts w:hint="default" w:ascii="Times New Roman" w:hAnsi="Times New Roman" w:eastAsia="仿宋_GB2312" w:cs="Times New Roman"/>
          <w:color w:val="auto"/>
          <w:sz w:val="32"/>
          <w:szCs w:val="32"/>
          <w:lang w:val="en-US" w:eastAsia="zh-CN"/>
        </w:rPr>
        <w:t>基本支出全年预算数175.61万元，实际支出160.86万元，预算执行率91.60%，其中人员经费全年预算数163.82万元，实际支出150.47万元，预算执行率91.85%，</w:t>
      </w:r>
      <w:bookmarkStart w:id="5" w:name="OLE_LINK13"/>
      <w:r>
        <w:rPr>
          <w:rFonts w:hint="default" w:ascii="Times New Roman" w:hAnsi="Times New Roman" w:eastAsia="仿宋_GB2312" w:cs="Times New Roman"/>
          <w:color w:val="auto"/>
          <w:sz w:val="32"/>
          <w:szCs w:val="32"/>
          <w:lang w:val="en-US" w:eastAsia="zh-CN"/>
        </w:rPr>
        <w:t>公用经费全年预算数11.79万元，实际支出10.39万元，预算执行率88.13%。</w:t>
      </w:r>
    </w:p>
    <w:bookmarkEnd w:id="4"/>
    <w:p>
      <w:pPr>
        <w:pStyle w:val="17"/>
        <w:spacing w:line="600" w:lineRule="exact"/>
        <w:ind w:firstLine="643"/>
        <w:rPr>
          <w:rFonts w:hint="default" w:ascii="Times New Roman" w:hAnsi="Times New Roman" w:eastAsia="楷体_GB2312" w:cs="Times New Roman"/>
          <w:b/>
          <w:color w:val="auto"/>
          <w:sz w:val="32"/>
          <w:szCs w:val="32"/>
        </w:rPr>
      </w:pPr>
      <w:r>
        <w:rPr>
          <w:rFonts w:hint="default" w:ascii="Times New Roman" w:hAnsi="Times New Roman" w:eastAsia="楷体_GB2312" w:cs="Times New Roman"/>
          <w:b/>
          <w:color w:val="auto"/>
          <w:sz w:val="32"/>
          <w:szCs w:val="32"/>
        </w:rPr>
        <w:t>（二）项目支出情况</w:t>
      </w:r>
    </w:p>
    <w:p>
      <w:pPr>
        <w:pStyle w:val="16"/>
        <w:numPr>
          <w:ilvl w:val="0"/>
          <w:numId w:val="0"/>
        </w:numPr>
        <w:spacing w:line="600" w:lineRule="exact"/>
        <w:ind w:firstLine="640" w:firstLineChars="200"/>
        <w:jc w:val="left"/>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项目支出全年预算数70.57万元，实际支出56.87万元，预算执行率80.59%。其中：</w:t>
      </w:r>
    </w:p>
    <w:p>
      <w:pPr>
        <w:pStyle w:val="16"/>
        <w:numPr>
          <w:ilvl w:val="0"/>
          <w:numId w:val="0"/>
        </w:numPr>
        <w:spacing w:line="600" w:lineRule="exact"/>
        <w:ind w:firstLine="640" w:firstLineChars="200"/>
        <w:jc w:val="left"/>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省级专项资金支出53.87万元，主要是用于饲料质量安全监管、推进饲料产业发展与服务等方面。</w:t>
      </w:r>
    </w:p>
    <w:p>
      <w:pPr>
        <w:pStyle w:val="16"/>
        <w:numPr>
          <w:ilvl w:val="0"/>
          <w:numId w:val="0"/>
        </w:numPr>
        <w:spacing w:line="600" w:lineRule="exact"/>
        <w:ind w:firstLine="640" w:firstLineChars="200"/>
        <w:jc w:val="left"/>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其他事业发展类资金3万元，主要用于饲料行业管理方面。</w:t>
      </w:r>
    </w:p>
    <w:bookmarkEnd w:id="5"/>
    <w:p>
      <w:pPr>
        <w:pStyle w:val="17"/>
        <w:numPr>
          <w:ilvl w:val="0"/>
          <w:numId w:val="2"/>
        </w:numPr>
        <w:spacing w:line="600" w:lineRule="exact"/>
        <w:ind w:firstLine="64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政府性基金预算支出情况</w:t>
      </w:r>
    </w:p>
    <w:p>
      <w:pPr>
        <w:pStyle w:val="17"/>
        <w:numPr>
          <w:ilvl w:val="0"/>
          <w:numId w:val="0"/>
        </w:numPr>
        <w:spacing w:line="600" w:lineRule="exact"/>
        <w:ind w:firstLine="0" w:firstLineChars="0"/>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 xml:space="preserve">    无</w:t>
      </w:r>
    </w:p>
    <w:p>
      <w:pPr>
        <w:pStyle w:val="17"/>
        <w:numPr>
          <w:ilvl w:val="0"/>
          <w:numId w:val="2"/>
        </w:numPr>
        <w:spacing w:line="60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国有资本经营预算支出情况</w:t>
      </w:r>
    </w:p>
    <w:p>
      <w:pPr>
        <w:pStyle w:val="17"/>
        <w:numPr>
          <w:ilvl w:val="0"/>
          <w:numId w:val="0"/>
        </w:numPr>
        <w:spacing w:line="600" w:lineRule="exact"/>
        <w:ind w:firstLine="0" w:firstLineChars="0"/>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 xml:space="preserve">    无</w:t>
      </w:r>
    </w:p>
    <w:p>
      <w:pPr>
        <w:pStyle w:val="17"/>
        <w:spacing w:line="600" w:lineRule="exact"/>
        <w:ind w:firstLine="64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五、社会保险基金预算支出情况</w:t>
      </w:r>
    </w:p>
    <w:p>
      <w:pPr>
        <w:spacing w:line="600" w:lineRule="exact"/>
        <w:ind w:firstLine="640" w:firstLineChars="200"/>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无</w:t>
      </w:r>
    </w:p>
    <w:p>
      <w:pPr>
        <w:spacing w:line="60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六、部门整体支出绩效情况</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运行成本</w:t>
      </w:r>
    </w:p>
    <w:p>
      <w:pPr>
        <w:pStyle w:val="16"/>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基本支出全年预算数175.61万元，实际支出160.86万元，其中人员经费全年预算数163.82万元，实际支出150.47万元，公用经费全年预算数11.79万元，实际支出10.39万元。</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管理效率</w:t>
      </w:r>
    </w:p>
    <w:p>
      <w:pPr>
        <w:spacing w:line="60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严格落实《预算法》《部门内部控制规范》及厅财务管理等政策文件要求。在预算管理上，不断提高预算编制精细化水平，支出科目细化到项。强化预算执行进度，按月统计分析预算执行率，及时调度预算执行情况。严格资金使用管控，优化资金支出审批流程。无“超预算、无预算”支出。</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履职效能</w:t>
      </w:r>
    </w:p>
    <w:p>
      <w:pPr>
        <w:spacing w:line="60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 xml:space="preserve"> 围绕产业发展重点难点问题，组织企业共同分析现状、研究应对措施、按月形成统计分析报表。加大在养殖主产区、密集区产能布局，汉寿</w:t>
      </w:r>
      <w:r>
        <w:rPr>
          <w:rFonts w:hint="default" w:ascii="Times New Roman" w:hAnsi="Times New Roman" w:eastAsia="仿宋_GB2312" w:cs="Times New Roman"/>
          <w:color w:val="auto"/>
          <w:sz w:val="32"/>
          <w:szCs w:val="32"/>
        </w:rPr>
        <w:t>天心</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宝东农牧、石门正大等一批高起点、高标准饲料厂建成投产，新增产能超200万吨。</w:t>
      </w:r>
      <w:r>
        <w:rPr>
          <w:rFonts w:hint="default" w:ascii="Times New Roman" w:hAnsi="Times New Roman" w:eastAsia="仿宋_GB2312" w:cs="Times New Roman"/>
          <w:b w:val="0"/>
          <w:bCs w:val="0"/>
          <w:color w:val="auto"/>
          <w:sz w:val="32"/>
          <w:szCs w:val="32"/>
          <w:lang w:val="en-US" w:eastAsia="zh-CN"/>
        </w:rPr>
        <w:t>全年饲料总产量1374.8万吨、生产总值524.8亿元，生产形势好于全国平均水平约1个百分点。1家企业进入全国十强、4家集团企业年产量突破100万吨、50家生产厂年总产超10万吨。</w:t>
      </w:r>
      <w:r>
        <w:rPr>
          <w:rFonts w:hint="default" w:ascii="Times New Roman" w:hAnsi="Times New Roman" w:eastAsia="仿宋_GB2312" w:cs="Times New Roman"/>
          <w:color w:val="auto"/>
          <w:sz w:val="32"/>
          <w:szCs w:val="32"/>
          <w:lang w:val="en-US" w:eastAsia="zh-CN"/>
        </w:rPr>
        <w:t>一批龙头企业通过推动产品提档、产业升级，</w:t>
      </w:r>
      <w:r>
        <w:rPr>
          <w:rFonts w:hint="default" w:ascii="Times New Roman" w:hAnsi="Times New Roman" w:eastAsia="仿宋_GB2312" w:cs="Times New Roman"/>
          <w:b w:val="0"/>
          <w:bCs w:val="0"/>
          <w:color w:val="auto"/>
          <w:sz w:val="32"/>
          <w:szCs w:val="32"/>
          <w:lang w:val="en-US" w:eastAsia="zh-CN"/>
        </w:rPr>
        <w:t>拓展国际市场，全年有14家企业开拓出口业务，出口产品6.26万吨，出口总值3.12亿元，</w:t>
      </w:r>
      <w:r>
        <w:rPr>
          <w:rFonts w:hint="default" w:ascii="Times New Roman" w:hAnsi="Times New Roman" w:eastAsia="仿宋_GB2312" w:cs="Times New Roman"/>
          <w:color w:val="auto"/>
          <w:sz w:val="32"/>
          <w:szCs w:val="32"/>
          <w:lang w:val="en-US" w:eastAsia="zh-CN"/>
        </w:rPr>
        <w:t>创历年新高。 落实安全生产“三管三必须”要求，委托第三方专家或采取“双随机一公开”形式，对205家饲料企业进行现场检查，下达问题整改通知单90个，完成安全问题隐患整改270个。组织安全生产宣传教育进企业，印发《饲料行业安全生产告知书》，定期开展风险预警，维护了行业安全稳定。</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社会效应</w:t>
      </w:r>
    </w:p>
    <w:p>
      <w:pPr>
        <w:spacing w:line="60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着眼于保障粮食和畜禽水产品稳定安全供给大局，推进饲料提效节粮、开源节粮。组织实施低蛋白日粮技术推广、地方饲料原料利用、新型蛋白资源开发，支持企业调整饲料配方，加大油菜粕、粮食加工副产物等地方原料使用比重。有序开展动物源性蛋白、植物蛋白、菌体蛋白开发应用研究。在省内遴选推广唐人神生猪低蛋白日粮应用、百宜“四精”技术体系、华佑草料秸秆高效处理利用等8个典型案例。按照稳慎推进、风险可控原则，率先启动动物源蛋白水解物饲料化利用试点。饲料节粮取得阶段性成效，全年配合饲料中豆粕、玉米用量占比分别为10.53%、37.71%，低于全国平均水平2.07、1.59个百分点。针对饲料质量安全监管易发多发频发问题，系统梳理、及时研判、有效预防。加大油脂、养殖场户自配料点、政策性粮食饲用加工企业等重点区域、重点品种、关键环节的监督抽查频次，严防病死畜禽及无害化处理产物流入饲料生产环节。质量安全水平稳步提升，今年双随机、一公开产品抽检合格率100%。</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可持续发展能力</w:t>
      </w:r>
    </w:p>
    <w:p>
      <w:pPr>
        <w:keepNext w:val="0"/>
        <w:keepLines w:val="0"/>
        <w:pageBreakBefore w:val="0"/>
        <w:wordWrap/>
        <w:overflowPunct/>
        <w:topLinePunct w:val="0"/>
        <w:autoSpaceDE w:val="0"/>
        <w:bidi w:val="0"/>
        <w:spacing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支持饲料企业与科研院所开展新技术、新材料、新工艺、新模式联合攻关。一批企业不断推动产品提档、产业升级，在精准配方、资源高效利用、绿色环保饲料开发等方面，取得新成效。今年集团企业猪料全程料肉比平均可达2.6:1，最高2.4:1，普水料可达1.8:1。</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6.</w:t>
      </w:r>
      <w:r>
        <w:rPr>
          <w:rFonts w:hint="default" w:ascii="Times New Roman" w:hAnsi="Times New Roman" w:eastAsia="仿宋_GB2312" w:cs="Times New Roman"/>
          <w:color w:val="auto"/>
          <w:sz w:val="32"/>
          <w:szCs w:val="32"/>
        </w:rPr>
        <w:t>服务对象满意度</w:t>
      </w:r>
    </w:p>
    <w:p>
      <w:pPr>
        <w:spacing w:line="60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落实</w:t>
      </w:r>
      <w:r>
        <w:rPr>
          <w:rFonts w:hint="default" w:ascii="Times New Roman" w:hAnsi="Times New Roman" w:eastAsia="仿宋_GB2312" w:cs="Times New Roman"/>
          <w:color w:val="auto"/>
          <w:sz w:val="32"/>
          <w:szCs w:val="32"/>
        </w:rPr>
        <w:t>放管服要求，</w:t>
      </w:r>
      <w:r>
        <w:rPr>
          <w:rFonts w:hint="default" w:ascii="Times New Roman" w:hAnsi="Times New Roman" w:eastAsia="仿宋_GB2312" w:cs="Times New Roman"/>
          <w:color w:val="auto"/>
          <w:sz w:val="32"/>
          <w:szCs w:val="32"/>
          <w:lang w:val="en-US" w:eastAsia="zh-CN"/>
        </w:rPr>
        <w:t>生产许可办结时限缩短至8个工作日，自由销售证明、委托生产等事项做到即收即办、不见面办理。为</w:t>
      </w:r>
      <w:r>
        <w:rPr>
          <w:rFonts w:hint="default" w:ascii="Times New Roman" w:hAnsi="Times New Roman" w:eastAsia="仿宋_GB2312" w:cs="Times New Roman"/>
          <w:color w:val="auto"/>
          <w:sz w:val="32"/>
          <w:szCs w:val="32"/>
        </w:rPr>
        <w:t>1</w:t>
      </w:r>
      <w:r>
        <w:rPr>
          <w:rFonts w:hint="default" w:ascii="Times New Roman" w:hAnsi="Times New Roman" w:eastAsia="仿宋_GB2312" w:cs="Times New Roman"/>
          <w:color w:val="auto"/>
          <w:sz w:val="32"/>
          <w:szCs w:val="32"/>
          <w:lang w:val="en-US" w:eastAsia="zh-CN"/>
        </w:rPr>
        <w:t>28家企业</w:t>
      </w:r>
      <w:r>
        <w:rPr>
          <w:rFonts w:hint="default" w:ascii="Times New Roman" w:hAnsi="Times New Roman" w:eastAsia="仿宋_GB2312" w:cs="Times New Roman"/>
          <w:color w:val="auto"/>
          <w:sz w:val="32"/>
          <w:szCs w:val="32"/>
        </w:rPr>
        <w:t>办理饲料和饲料添加剂生产许可证，为</w:t>
      </w:r>
      <w:r>
        <w:rPr>
          <w:rFonts w:hint="default" w:ascii="Times New Roman" w:hAnsi="Times New Roman" w:eastAsia="仿宋_GB2312" w:cs="Times New Roman"/>
          <w:color w:val="auto"/>
          <w:sz w:val="32"/>
          <w:szCs w:val="32"/>
          <w:lang w:val="en-US" w:eastAsia="zh-CN"/>
        </w:rPr>
        <w:t>39</w:t>
      </w:r>
      <w:r>
        <w:rPr>
          <w:rFonts w:hint="default" w:ascii="Times New Roman" w:hAnsi="Times New Roman" w:eastAsia="仿宋_GB2312" w:cs="Times New Roman"/>
          <w:color w:val="auto"/>
          <w:sz w:val="32"/>
          <w:szCs w:val="32"/>
        </w:rPr>
        <w:t>家企业办理委托生产备案，为</w:t>
      </w:r>
      <w:r>
        <w:rPr>
          <w:rFonts w:hint="default" w:ascii="Times New Roman" w:hAnsi="Times New Roman" w:eastAsia="仿宋_GB2312" w:cs="Times New Roman"/>
          <w:color w:val="auto"/>
          <w:sz w:val="32"/>
          <w:szCs w:val="32"/>
          <w:lang w:val="en-US" w:eastAsia="zh-CN"/>
        </w:rPr>
        <w:t>47</w:t>
      </w:r>
      <w:r>
        <w:rPr>
          <w:rFonts w:hint="default" w:ascii="Times New Roman" w:hAnsi="Times New Roman" w:eastAsia="仿宋_GB2312" w:cs="Times New Roman"/>
          <w:color w:val="auto"/>
          <w:sz w:val="32"/>
          <w:szCs w:val="32"/>
        </w:rPr>
        <w:t>家企业办理出口销售证明，满意率100%。</w:t>
      </w:r>
    </w:p>
    <w:p>
      <w:pPr>
        <w:pStyle w:val="17"/>
        <w:spacing w:line="600" w:lineRule="exact"/>
        <w:ind w:firstLine="64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七、存在的问题及原因分析</w:t>
      </w:r>
    </w:p>
    <w:p>
      <w:pPr>
        <w:pStyle w:val="16"/>
        <w:numPr>
          <w:ilvl w:val="0"/>
          <w:numId w:val="0"/>
        </w:numPr>
        <w:spacing w:line="360" w:lineRule="auto"/>
        <w:ind w:firstLine="641" w:firstLineChars="0"/>
        <w:jc w:val="left"/>
        <w:rPr>
          <w:rFonts w:hint="default" w:ascii="Times New Roman" w:hAnsi="Times New Roman" w:eastAsia="仿宋_GB2312" w:cs="Times New Roman"/>
          <w:color w:val="auto"/>
          <w:kern w:val="2"/>
          <w:sz w:val="32"/>
          <w:szCs w:val="32"/>
          <w:lang w:val="en-US"/>
        </w:rPr>
      </w:pPr>
      <w:r>
        <w:rPr>
          <w:rFonts w:hint="default" w:ascii="Times New Roman" w:hAnsi="Times New Roman" w:eastAsia="仿宋_GB2312" w:cs="Times New Roman"/>
          <w:color w:val="auto"/>
          <w:kern w:val="2"/>
          <w:sz w:val="32"/>
          <w:szCs w:val="32"/>
          <w:lang w:val="en-US" w:eastAsia="zh-CN"/>
        </w:rPr>
        <w:t>单位执行率偏低。其中公用经费预算全年预算数11.79万元，实际支出10.39万元，预算执行率88.13%，执行率偏低是因为我单位厉行节约，压减一般性支出，另有1名职工年中退休；项目支出全年预算数70.57万元，实际支出56.87万元，预算执行率80.59%，项目经费执行率偏低是因项目跨年实施。</w:t>
      </w:r>
    </w:p>
    <w:p>
      <w:pPr>
        <w:numPr>
          <w:ilvl w:val="0"/>
          <w:numId w:val="3"/>
        </w:numPr>
        <w:spacing w:line="60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下一步改进措施</w:t>
      </w:r>
    </w:p>
    <w:p>
      <w:pPr>
        <w:pStyle w:val="16"/>
        <w:numPr>
          <w:ilvl w:val="0"/>
          <w:numId w:val="0"/>
        </w:numPr>
        <w:spacing w:line="360" w:lineRule="auto"/>
        <w:ind w:firstLine="641" w:firstLineChars="0"/>
        <w:jc w:val="left"/>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rPr>
        <w:t>一是</w:t>
      </w:r>
      <w:r>
        <w:rPr>
          <w:rFonts w:hint="default" w:ascii="Times New Roman" w:hAnsi="Times New Roman" w:eastAsia="仿宋_GB2312" w:cs="Times New Roman"/>
          <w:color w:val="auto"/>
          <w:kern w:val="2"/>
          <w:sz w:val="32"/>
          <w:szCs w:val="32"/>
          <w:lang w:val="en-US" w:eastAsia="zh-CN"/>
        </w:rPr>
        <w:t>进一步提高</w:t>
      </w:r>
      <w:r>
        <w:rPr>
          <w:rFonts w:hint="default" w:ascii="Times New Roman" w:hAnsi="Times New Roman" w:eastAsia="仿宋_GB2312" w:cs="Times New Roman"/>
          <w:color w:val="auto"/>
          <w:kern w:val="2"/>
          <w:sz w:val="32"/>
          <w:szCs w:val="32"/>
        </w:rPr>
        <w:t>编制</w:t>
      </w:r>
      <w:r>
        <w:rPr>
          <w:rFonts w:hint="default" w:ascii="Times New Roman" w:hAnsi="Times New Roman" w:eastAsia="仿宋_GB2312" w:cs="Times New Roman"/>
          <w:color w:val="auto"/>
          <w:kern w:val="2"/>
          <w:sz w:val="32"/>
          <w:szCs w:val="32"/>
          <w:lang w:val="en-US" w:eastAsia="zh-CN"/>
        </w:rPr>
        <w:t>精细化水平</w:t>
      </w:r>
      <w:r>
        <w:rPr>
          <w:rFonts w:hint="default" w:ascii="Times New Roman" w:hAnsi="Times New Roman" w:eastAsia="仿宋_GB2312" w:cs="Times New Roman"/>
          <w:color w:val="auto"/>
          <w:kern w:val="2"/>
          <w:sz w:val="32"/>
          <w:szCs w:val="32"/>
        </w:rPr>
        <w:t>。</w:t>
      </w:r>
      <w:r>
        <w:rPr>
          <w:rFonts w:hint="default" w:ascii="Times New Roman" w:hAnsi="Times New Roman" w:eastAsia="仿宋_GB2312" w:cs="Times New Roman"/>
          <w:color w:val="auto"/>
          <w:kern w:val="2"/>
          <w:sz w:val="32"/>
          <w:szCs w:val="32"/>
          <w:lang w:val="en-US" w:eastAsia="zh-CN"/>
        </w:rPr>
        <w:t>严格落实</w:t>
      </w:r>
      <w:r>
        <w:rPr>
          <w:rFonts w:hint="default" w:ascii="Times New Roman" w:hAnsi="Times New Roman" w:eastAsia="仿宋_GB2312" w:cs="Times New Roman"/>
          <w:color w:val="auto"/>
          <w:kern w:val="2"/>
          <w:sz w:val="32"/>
          <w:szCs w:val="32"/>
        </w:rPr>
        <w:t>《预算法》《会计法》的相关规定，参考近年来</w:t>
      </w:r>
      <w:r>
        <w:rPr>
          <w:rFonts w:hint="default" w:ascii="Times New Roman" w:hAnsi="Times New Roman" w:eastAsia="仿宋_GB2312" w:cs="Times New Roman"/>
          <w:color w:val="auto"/>
          <w:kern w:val="2"/>
          <w:sz w:val="32"/>
          <w:szCs w:val="32"/>
          <w:lang w:val="en-US" w:eastAsia="zh-CN"/>
        </w:rPr>
        <w:t>单位</w:t>
      </w:r>
      <w:r>
        <w:rPr>
          <w:rFonts w:hint="default" w:ascii="Times New Roman" w:hAnsi="Times New Roman" w:eastAsia="仿宋_GB2312" w:cs="Times New Roman"/>
          <w:color w:val="auto"/>
          <w:kern w:val="2"/>
          <w:sz w:val="32"/>
          <w:szCs w:val="32"/>
        </w:rPr>
        <w:t>预算执行情况，结合年度收支计划，</w:t>
      </w:r>
      <w:r>
        <w:rPr>
          <w:rFonts w:hint="default" w:ascii="Times New Roman" w:hAnsi="Times New Roman" w:eastAsia="仿宋_GB2312" w:cs="Times New Roman"/>
          <w:color w:val="auto"/>
          <w:kern w:val="2"/>
          <w:sz w:val="32"/>
          <w:szCs w:val="32"/>
          <w:lang w:val="en-US" w:eastAsia="zh-CN"/>
        </w:rPr>
        <w:t>全省饲料产业发展规划，</w:t>
      </w:r>
      <w:r>
        <w:rPr>
          <w:rFonts w:hint="default" w:ascii="Times New Roman" w:hAnsi="Times New Roman" w:eastAsia="仿宋_GB2312" w:cs="Times New Roman"/>
          <w:color w:val="auto"/>
          <w:kern w:val="2"/>
          <w:sz w:val="32"/>
          <w:szCs w:val="32"/>
        </w:rPr>
        <w:t>科学编制预算</w:t>
      </w:r>
      <w:r>
        <w:rPr>
          <w:rFonts w:hint="default" w:ascii="Times New Roman" w:hAnsi="Times New Roman" w:eastAsia="仿宋_GB2312" w:cs="Times New Roman"/>
          <w:color w:val="auto"/>
          <w:kern w:val="2"/>
          <w:sz w:val="32"/>
          <w:szCs w:val="32"/>
          <w:lang w:eastAsia="zh-CN"/>
        </w:rPr>
        <w:t>，</w:t>
      </w:r>
      <w:r>
        <w:rPr>
          <w:rFonts w:hint="default" w:ascii="Times New Roman" w:hAnsi="Times New Roman" w:eastAsia="仿宋_GB2312" w:cs="Times New Roman"/>
          <w:color w:val="auto"/>
          <w:kern w:val="2"/>
          <w:sz w:val="32"/>
          <w:szCs w:val="32"/>
          <w:lang w:val="en-US" w:eastAsia="zh-CN"/>
        </w:rPr>
        <w:t>最大限度减少年中预算调整</w:t>
      </w:r>
      <w:r>
        <w:rPr>
          <w:rFonts w:hint="default" w:ascii="Times New Roman" w:hAnsi="Times New Roman" w:eastAsia="仿宋_GB2312" w:cs="Times New Roman"/>
          <w:color w:val="auto"/>
          <w:kern w:val="2"/>
          <w:sz w:val="32"/>
          <w:szCs w:val="32"/>
        </w:rPr>
        <w:t>。</w:t>
      </w:r>
    </w:p>
    <w:p>
      <w:pPr>
        <w:pStyle w:val="16"/>
        <w:numPr>
          <w:ilvl w:val="0"/>
          <w:numId w:val="0"/>
        </w:numPr>
        <w:spacing w:line="360" w:lineRule="auto"/>
        <w:ind w:firstLine="641" w:firstLineChars="0"/>
        <w:jc w:val="left"/>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rPr>
        <w:t>二是强化预算执行。对年初没有预算安排的支出原则上不安排支出，无特殊情况不申请新增追加资金</w:t>
      </w:r>
      <w:r>
        <w:rPr>
          <w:rFonts w:hint="default" w:ascii="Times New Roman" w:hAnsi="Times New Roman" w:eastAsia="仿宋_GB2312" w:cs="Times New Roman"/>
          <w:color w:val="auto"/>
          <w:kern w:val="2"/>
          <w:sz w:val="32"/>
          <w:szCs w:val="32"/>
          <w:lang w:eastAsia="zh-CN"/>
        </w:rPr>
        <w:t>。</w:t>
      </w:r>
      <w:r>
        <w:rPr>
          <w:rFonts w:hint="default" w:ascii="Times New Roman" w:hAnsi="Times New Roman" w:eastAsia="仿宋_GB2312" w:cs="Times New Roman"/>
          <w:color w:val="auto"/>
          <w:kern w:val="2"/>
          <w:sz w:val="32"/>
          <w:szCs w:val="32"/>
          <w:lang w:val="en-US" w:eastAsia="zh-CN"/>
        </w:rPr>
        <w:t>加快预算执行进度，按月调度资金支出情况，对本年无法实施的项目资金及时调整，力争预算执行率达95%以上</w:t>
      </w:r>
      <w:r>
        <w:rPr>
          <w:rFonts w:hint="default" w:ascii="Times New Roman" w:hAnsi="Times New Roman" w:eastAsia="仿宋_GB2312" w:cs="Times New Roman"/>
          <w:color w:val="auto"/>
          <w:kern w:val="2"/>
          <w:sz w:val="32"/>
          <w:szCs w:val="32"/>
        </w:rPr>
        <w:t>。</w:t>
      </w:r>
    </w:p>
    <w:p>
      <w:pPr>
        <w:spacing w:line="60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九、绩效自评结果拟应用和公开情况</w:t>
      </w:r>
    </w:p>
    <w:p>
      <w:pPr>
        <w:widowControl/>
        <w:spacing w:line="600" w:lineRule="exact"/>
        <w:ind w:firstLine="645"/>
        <w:jc w:val="left"/>
        <w:rPr>
          <w:rFonts w:hint="default" w:ascii="Times New Roman" w:hAnsi="Times New Roman" w:eastAsia="仿宋_GB2312" w:cs="Times New Roman"/>
          <w:color w:val="auto"/>
          <w:sz w:val="32"/>
          <w:szCs w:val="32"/>
          <w:lang w:val="en-US" w:eastAsia="zh-CN"/>
        </w:rPr>
      </w:pPr>
      <w:bookmarkStart w:id="6" w:name="OLE_LINK6"/>
      <w:r>
        <w:rPr>
          <w:rFonts w:hint="default" w:ascii="Times New Roman" w:hAnsi="Times New Roman" w:eastAsia="仿宋_GB2312" w:cs="Times New Roman"/>
          <w:color w:val="auto"/>
          <w:sz w:val="32"/>
          <w:szCs w:val="32"/>
          <w:lang w:val="en-US" w:eastAsia="zh-CN"/>
        </w:rPr>
        <w:t>（一）反馈整改。我办将对评价中发现的问题，明确整改时间、整改举措、责任人，确保问题全面清零。督促单位职工不断增强预算管理意识，严格按照预算编制的相关制度和要求，科学编制预算，严格资金使用管控。</w:t>
      </w:r>
    </w:p>
    <w:p>
      <w:pPr>
        <w:widowControl/>
        <w:spacing w:line="600" w:lineRule="exact"/>
        <w:ind w:firstLine="645"/>
        <w:jc w:val="left"/>
        <w:rPr>
          <w:rFonts w:hint="default" w:ascii="Times New Roman" w:hAnsi="Times New Roman" w:eastAsia="黑体" w:cs="Times New Roman"/>
          <w:color w:val="auto"/>
          <w:sz w:val="32"/>
          <w:szCs w:val="32"/>
        </w:rPr>
      </w:pPr>
      <w:r>
        <w:rPr>
          <w:rFonts w:hint="default" w:ascii="Times New Roman" w:hAnsi="Times New Roman" w:eastAsia="仿宋_GB2312" w:cs="Times New Roman"/>
          <w:color w:val="auto"/>
          <w:sz w:val="32"/>
          <w:szCs w:val="32"/>
          <w:lang w:val="en-US" w:eastAsia="zh-CN"/>
        </w:rPr>
        <w:t>（二）公开结果。除涉密信息外，我办将按要求</w:t>
      </w:r>
      <w:r>
        <w:rPr>
          <w:rFonts w:hint="default" w:ascii="Times New Roman" w:hAnsi="Times New Roman" w:cs="Times New Roman"/>
          <w:color w:val="auto"/>
          <w:sz w:val="32"/>
          <w:szCs w:val="32"/>
          <w:lang w:val="en-US" w:eastAsia="zh-CN"/>
        </w:rPr>
        <w:t>在</w:t>
      </w:r>
      <w:r>
        <w:rPr>
          <w:rFonts w:hint="default" w:ascii="Times New Roman" w:hAnsi="Times New Roman" w:eastAsia="仿宋_GB2312" w:cs="Times New Roman"/>
          <w:color w:val="auto"/>
          <w:sz w:val="32"/>
          <w:szCs w:val="32"/>
          <w:lang w:val="en-US" w:eastAsia="zh-CN"/>
        </w:rPr>
        <w:t>门户网站全面公开2024年度部门支出绩效自评报告，接受社会监督。</w:t>
      </w:r>
    </w:p>
    <w:bookmarkEnd w:id="6"/>
    <w:p>
      <w:pPr>
        <w:spacing w:line="60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其他需要说明的情况</w:t>
      </w:r>
    </w:p>
    <w:p>
      <w:pPr>
        <w:widowControl/>
        <w:spacing w:line="600" w:lineRule="exact"/>
        <w:ind w:firstLine="645"/>
        <w:jc w:val="left"/>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无</w:t>
      </w:r>
    </w:p>
    <w:p>
      <w:pPr>
        <w:widowControl/>
        <w:spacing w:line="600" w:lineRule="exact"/>
        <w:ind w:firstLine="645"/>
        <w:jc w:val="left"/>
        <w:rPr>
          <w:rFonts w:hint="default" w:ascii="Times New Roman" w:hAnsi="Times New Roman" w:eastAsia="仿宋_GB2312" w:cs="Times New Roman"/>
          <w:color w:val="auto"/>
          <w:sz w:val="32"/>
          <w:szCs w:val="32"/>
        </w:rPr>
      </w:pPr>
      <w:bookmarkStart w:id="7" w:name="OLE_LINK35"/>
      <w:r>
        <w:rPr>
          <w:rFonts w:hint="default" w:ascii="Times New Roman" w:hAnsi="Times New Roman" w:eastAsia="仿宋_GB2312" w:cs="Times New Roman"/>
          <w:color w:val="auto"/>
          <w:sz w:val="32"/>
          <w:szCs w:val="32"/>
        </w:rPr>
        <w:t>附件：1.整体支出绩效自评报告</w:t>
      </w:r>
    </w:p>
    <w:p>
      <w:pPr>
        <w:widowControl/>
        <w:spacing w:line="600" w:lineRule="exact"/>
        <w:ind w:firstLine="1622" w:firstLineChars="507"/>
        <w:jc w:val="lef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部门整体支出绩效评价基础数据表</w:t>
      </w:r>
    </w:p>
    <w:p>
      <w:pPr>
        <w:widowControl/>
        <w:spacing w:line="600" w:lineRule="exact"/>
        <w:ind w:firstLine="1622" w:firstLineChars="507"/>
        <w:jc w:val="lef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3</w:t>
      </w:r>
      <w:r>
        <w:rPr>
          <w:rFonts w:hint="default" w:ascii="Times New Roman" w:hAnsi="Times New Roman" w:eastAsia="仿宋_GB2312" w:cs="Times New Roman"/>
          <w:color w:val="auto"/>
          <w:sz w:val="32"/>
          <w:szCs w:val="32"/>
        </w:rPr>
        <w:t>.部门整体支出绩效自评表</w:t>
      </w:r>
    </w:p>
    <w:p>
      <w:pPr>
        <w:widowControl/>
        <w:spacing w:line="600" w:lineRule="exact"/>
        <w:ind w:firstLine="1622" w:firstLineChars="507"/>
        <w:jc w:val="lef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4</w:t>
      </w:r>
      <w:r>
        <w:rPr>
          <w:rFonts w:hint="default" w:ascii="Times New Roman" w:hAnsi="Times New Roman" w:eastAsia="仿宋_GB2312" w:cs="Times New Roman"/>
          <w:color w:val="auto"/>
          <w:sz w:val="32"/>
          <w:szCs w:val="32"/>
        </w:rPr>
        <w:t>.</w:t>
      </w:r>
      <w:bookmarkStart w:id="8" w:name="OLE_LINK31"/>
      <w:r>
        <w:rPr>
          <w:rFonts w:hint="default" w:ascii="Times New Roman" w:hAnsi="Times New Roman" w:eastAsia="仿宋_GB2312" w:cs="Times New Roman"/>
          <w:color w:val="auto"/>
          <w:sz w:val="32"/>
          <w:szCs w:val="32"/>
        </w:rPr>
        <w:t>项目支出绩效自评表</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kern w:val="2"/>
          <w:sz w:val="32"/>
          <w:szCs w:val="32"/>
          <w:lang w:val="en-US" w:eastAsia="zh-CN"/>
        </w:rPr>
        <w:t>现代农业发展　）</w:t>
      </w:r>
    </w:p>
    <w:bookmarkEnd w:id="8"/>
    <w:p>
      <w:pPr>
        <w:widowControl/>
        <w:spacing w:line="600" w:lineRule="exact"/>
        <w:ind w:firstLine="1622" w:firstLineChars="507"/>
        <w:jc w:val="left"/>
        <w:rPr>
          <w:rFonts w:hint="default" w:ascii="Times New Roman" w:hAnsi="Times New Roman" w:eastAsia="仿宋_GB2312" w:cs="Times New Roman"/>
          <w:color w:val="auto"/>
          <w:kern w:val="2"/>
          <w:sz w:val="32"/>
          <w:szCs w:val="32"/>
          <w:lang w:val="en-US" w:eastAsia="zh-CN"/>
        </w:rPr>
      </w:pP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w:t>
      </w:r>
      <w:bookmarkStart w:id="9" w:name="OLE_LINK34"/>
      <w:r>
        <w:rPr>
          <w:rFonts w:hint="default" w:ascii="Times New Roman" w:hAnsi="Times New Roman" w:eastAsia="仿宋_GB2312" w:cs="Times New Roman"/>
          <w:color w:val="auto"/>
          <w:sz w:val="32"/>
          <w:szCs w:val="32"/>
        </w:rPr>
        <w:t>项目支出绩效自评表</w:t>
      </w:r>
      <w:bookmarkEnd w:id="9"/>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kern w:val="2"/>
          <w:sz w:val="32"/>
          <w:szCs w:val="32"/>
          <w:lang w:val="en-US" w:eastAsia="zh-CN"/>
        </w:rPr>
        <w:t>饲料行业发展）</w:t>
      </w:r>
    </w:p>
    <w:bookmarkEnd w:id="7"/>
    <w:p>
      <w:pPr>
        <w:widowControl/>
        <w:jc w:val="left"/>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rPr>
        <w:t>附件</w:t>
      </w:r>
      <w:r>
        <w:rPr>
          <w:rFonts w:hint="default" w:ascii="Times New Roman" w:hAnsi="Times New Roman" w:eastAsia="黑体" w:cs="Times New Roman"/>
          <w:color w:val="auto"/>
          <w:sz w:val="32"/>
          <w:szCs w:val="32"/>
          <w:lang w:val="en-US" w:eastAsia="zh-CN"/>
        </w:rPr>
        <w:t>2</w:t>
      </w:r>
    </w:p>
    <w:p>
      <w:pPr>
        <w:spacing w:line="560" w:lineRule="exact"/>
        <w:jc w:val="center"/>
        <w:rPr>
          <w:rFonts w:hint="default" w:ascii="Times New Roman" w:hAnsi="Times New Roman" w:eastAsia="方正小标宋_GBK" w:cs="Times New Roman"/>
          <w:color w:val="auto"/>
          <w:kern w:val="0"/>
          <w:sz w:val="36"/>
          <w:szCs w:val="36"/>
        </w:rPr>
      </w:pPr>
      <w:r>
        <w:rPr>
          <w:rFonts w:hint="default" w:ascii="Times New Roman" w:hAnsi="Times New Roman" w:eastAsia="方正小标宋_GBK" w:cs="Times New Roman"/>
          <w:color w:val="auto"/>
          <w:kern w:val="0"/>
          <w:sz w:val="36"/>
          <w:szCs w:val="36"/>
        </w:rPr>
        <w:t>部门整体支出绩效评价基础数据表</w:t>
      </w:r>
    </w:p>
    <w:tbl>
      <w:tblPr>
        <w:tblStyle w:val="11"/>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849"/>
        <w:gridCol w:w="1129"/>
        <w:gridCol w:w="1111"/>
        <w:gridCol w:w="969"/>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restart"/>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财政供养人员情况</w:t>
            </w:r>
          </w:p>
        </w:tc>
        <w:tc>
          <w:tcPr>
            <w:tcW w:w="2038" w:type="dxa"/>
            <w:gridSpan w:val="2"/>
            <w:noWrap w:val="0"/>
            <w:vAlign w:val="center"/>
          </w:tcPr>
          <w:p>
            <w:pPr>
              <w:widowControl/>
              <w:jc w:val="center"/>
              <w:rPr>
                <w:rFonts w:hint="default" w:ascii="Times New Roman" w:hAnsi="Times New Roman" w:eastAsia="仿宋_GB2312" w:cs="Times New Roman"/>
                <w:b/>
                <w:bCs/>
                <w:color w:val="auto"/>
                <w:kern w:val="0"/>
                <w:szCs w:val="21"/>
              </w:rPr>
            </w:pPr>
            <w:r>
              <w:rPr>
                <w:rFonts w:hint="default" w:ascii="Times New Roman" w:hAnsi="Times New Roman" w:eastAsia="仿宋_GB2312" w:cs="Times New Roman"/>
                <w:b/>
                <w:bCs/>
                <w:color w:val="auto"/>
                <w:kern w:val="0"/>
                <w:szCs w:val="21"/>
              </w:rPr>
              <w:t>编制数</w:t>
            </w:r>
          </w:p>
        </w:tc>
        <w:tc>
          <w:tcPr>
            <w:tcW w:w="2240" w:type="dxa"/>
            <w:gridSpan w:val="2"/>
            <w:noWrap w:val="0"/>
            <w:vAlign w:val="center"/>
          </w:tcPr>
          <w:p>
            <w:pPr>
              <w:widowControl/>
              <w:jc w:val="center"/>
              <w:rPr>
                <w:rFonts w:hint="default" w:ascii="Times New Roman" w:hAnsi="Times New Roman" w:eastAsia="仿宋_GB2312" w:cs="Times New Roman"/>
                <w:b/>
                <w:bCs/>
                <w:color w:val="auto"/>
                <w:kern w:val="0"/>
                <w:szCs w:val="21"/>
              </w:rPr>
            </w:pPr>
            <w:r>
              <w:rPr>
                <w:rFonts w:hint="default" w:ascii="Times New Roman" w:hAnsi="Times New Roman" w:eastAsia="仿宋_GB2312" w:cs="Times New Roman"/>
                <w:b/>
                <w:bCs/>
                <w:color w:val="auto"/>
                <w:kern w:val="0"/>
                <w:szCs w:val="21"/>
              </w:rPr>
              <w:t>20</w:t>
            </w:r>
            <w:r>
              <w:rPr>
                <w:rFonts w:hint="default" w:ascii="Times New Roman" w:hAnsi="Times New Roman" w:eastAsia="仿宋_GB2312" w:cs="Times New Roman"/>
                <w:b/>
                <w:bCs/>
                <w:color w:val="auto"/>
                <w:kern w:val="0"/>
                <w:szCs w:val="21"/>
                <w:lang w:val="en-US" w:eastAsia="zh-CN"/>
              </w:rPr>
              <w:t>24</w:t>
            </w:r>
            <w:r>
              <w:rPr>
                <w:rFonts w:hint="default" w:ascii="Times New Roman" w:hAnsi="Times New Roman" w:eastAsia="仿宋_GB2312" w:cs="Times New Roman"/>
                <w:b/>
                <w:bCs/>
                <w:color w:val="auto"/>
                <w:kern w:val="0"/>
                <w:szCs w:val="21"/>
              </w:rPr>
              <w:t>年实际在职人数</w:t>
            </w:r>
          </w:p>
        </w:tc>
        <w:tc>
          <w:tcPr>
            <w:tcW w:w="1832" w:type="dxa"/>
            <w:gridSpan w:val="2"/>
            <w:noWrap w:val="0"/>
            <w:vAlign w:val="center"/>
          </w:tcPr>
          <w:p>
            <w:pPr>
              <w:widowControl/>
              <w:jc w:val="center"/>
              <w:rPr>
                <w:rFonts w:hint="default" w:ascii="Times New Roman" w:hAnsi="Times New Roman" w:eastAsia="仿宋_GB2312" w:cs="Times New Roman"/>
                <w:b/>
                <w:bCs/>
                <w:color w:val="auto"/>
                <w:kern w:val="0"/>
                <w:szCs w:val="21"/>
              </w:rPr>
            </w:pPr>
            <w:r>
              <w:rPr>
                <w:rFonts w:hint="default" w:ascii="Times New Roman" w:hAnsi="Times New Roman" w:eastAsia="仿宋_GB2312" w:cs="Times New Roman"/>
                <w:b/>
                <w:bCs/>
                <w:color w:val="auto"/>
                <w:kern w:val="0"/>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continue"/>
            <w:noWrap w:val="0"/>
            <w:vAlign w:val="center"/>
          </w:tcPr>
          <w:p>
            <w:pPr>
              <w:widowControl/>
              <w:jc w:val="left"/>
              <w:rPr>
                <w:rFonts w:hint="default" w:ascii="Times New Roman" w:hAnsi="Times New Roman" w:eastAsia="仿宋_GB2312" w:cs="Times New Roman"/>
                <w:color w:val="auto"/>
                <w:kern w:val="0"/>
                <w:szCs w:val="21"/>
              </w:rPr>
            </w:pPr>
          </w:p>
        </w:tc>
        <w:tc>
          <w:tcPr>
            <w:tcW w:w="2038" w:type="dxa"/>
            <w:gridSpan w:val="2"/>
            <w:noWrap w:val="0"/>
            <w:vAlign w:val="center"/>
          </w:tcPr>
          <w:p>
            <w:pPr>
              <w:widowControl/>
              <w:jc w:val="center"/>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5</w:t>
            </w:r>
          </w:p>
        </w:tc>
        <w:tc>
          <w:tcPr>
            <w:tcW w:w="2240" w:type="dxa"/>
            <w:gridSpan w:val="2"/>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lang w:val="en-US" w:eastAsia="zh-CN"/>
              </w:rPr>
              <w:t>5</w:t>
            </w:r>
            <w:r>
              <w:rPr>
                <w:rFonts w:hint="default" w:ascii="Times New Roman" w:hAnsi="Times New Roman" w:eastAsia="仿宋_GB2312" w:cs="Times New Roman"/>
                <w:color w:val="auto"/>
                <w:kern w:val="0"/>
                <w:szCs w:val="21"/>
              </w:rPr>
              <w:t>　</w:t>
            </w:r>
          </w:p>
        </w:tc>
        <w:tc>
          <w:tcPr>
            <w:tcW w:w="1832" w:type="dxa"/>
            <w:gridSpan w:val="2"/>
            <w:noWrap w:val="0"/>
            <w:vAlign w:val="center"/>
          </w:tcPr>
          <w:p>
            <w:pPr>
              <w:widowControl/>
              <w:jc w:val="center"/>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经费控制情况</w:t>
            </w:r>
          </w:p>
        </w:tc>
        <w:tc>
          <w:tcPr>
            <w:tcW w:w="2038" w:type="dxa"/>
            <w:gridSpan w:val="2"/>
            <w:noWrap w:val="0"/>
            <w:vAlign w:val="center"/>
          </w:tcPr>
          <w:p>
            <w:pPr>
              <w:widowControl/>
              <w:jc w:val="center"/>
              <w:rPr>
                <w:rFonts w:hint="default" w:ascii="Times New Roman" w:hAnsi="Times New Roman" w:eastAsia="仿宋_GB2312" w:cs="Times New Roman"/>
                <w:b/>
                <w:bCs/>
                <w:color w:val="auto"/>
                <w:kern w:val="0"/>
                <w:szCs w:val="21"/>
              </w:rPr>
            </w:pPr>
            <w:r>
              <w:rPr>
                <w:rFonts w:hint="default" w:ascii="Times New Roman" w:hAnsi="Times New Roman" w:eastAsia="仿宋_GB2312" w:cs="Times New Roman"/>
                <w:b/>
                <w:bCs/>
                <w:color w:val="auto"/>
                <w:kern w:val="0"/>
                <w:szCs w:val="21"/>
              </w:rPr>
              <w:t>20</w:t>
            </w:r>
            <w:r>
              <w:rPr>
                <w:rFonts w:hint="default" w:ascii="Times New Roman" w:hAnsi="Times New Roman" w:eastAsia="仿宋_GB2312" w:cs="Times New Roman"/>
                <w:b/>
                <w:bCs/>
                <w:color w:val="auto"/>
                <w:kern w:val="0"/>
                <w:szCs w:val="21"/>
                <w:lang w:val="en-US" w:eastAsia="zh-CN"/>
              </w:rPr>
              <w:t>23</w:t>
            </w:r>
            <w:r>
              <w:rPr>
                <w:rFonts w:hint="default" w:ascii="Times New Roman" w:hAnsi="Times New Roman" w:eastAsia="仿宋_GB2312" w:cs="Times New Roman"/>
                <w:b/>
                <w:bCs/>
                <w:color w:val="auto"/>
                <w:kern w:val="0"/>
                <w:szCs w:val="21"/>
              </w:rPr>
              <w:t>年决算数</w:t>
            </w:r>
          </w:p>
        </w:tc>
        <w:tc>
          <w:tcPr>
            <w:tcW w:w="2240" w:type="dxa"/>
            <w:gridSpan w:val="2"/>
            <w:noWrap w:val="0"/>
            <w:vAlign w:val="center"/>
          </w:tcPr>
          <w:p>
            <w:pPr>
              <w:widowControl/>
              <w:jc w:val="center"/>
              <w:rPr>
                <w:rFonts w:hint="default" w:ascii="Times New Roman" w:hAnsi="Times New Roman" w:eastAsia="仿宋_GB2312" w:cs="Times New Roman"/>
                <w:b/>
                <w:bCs/>
                <w:color w:val="auto"/>
                <w:kern w:val="0"/>
                <w:szCs w:val="21"/>
              </w:rPr>
            </w:pPr>
            <w:r>
              <w:rPr>
                <w:rFonts w:hint="default" w:ascii="Times New Roman" w:hAnsi="Times New Roman" w:eastAsia="仿宋_GB2312" w:cs="Times New Roman"/>
                <w:b/>
                <w:bCs/>
                <w:color w:val="auto"/>
                <w:kern w:val="0"/>
                <w:szCs w:val="21"/>
              </w:rPr>
              <w:t>20</w:t>
            </w:r>
            <w:r>
              <w:rPr>
                <w:rFonts w:hint="default" w:ascii="Times New Roman" w:hAnsi="Times New Roman" w:eastAsia="仿宋_GB2312" w:cs="Times New Roman"/>
                <w:b/>
                <w:bCs/>
                <w:color w:val="auto"/>
                <w:kern w:val="0"/>
                <w:szCs w:val="21"/>
                <w:lang w:val="en-US" w:eastAsia="zh-CN"/>
              </w:rPr>
              <w:t>24</w:t>
            </w:r>
            <w:r>
              <w:rPr>
                <w:rFonts w:hint="default" w:ascii="Times New Roman" w:hAnsi="Times New Roman" w:eastAsia="仿宋_GB2312" w:cs="Times New Roman"/>
                <w:b/>
                <w:bCs/>
                <w:color w:val="auto"/>
                <w:kern w:val="0"/>
                <w:szCs w:val="21"/>
              </w:rPr>
              <w:t>年预算数</w:t>
            </w:r>
          </w:p>
        </w:tc>
        <w:tc>
          <w:tcPr>
            <w:tcW w:w="1832" w:type="dxa"/>
            <w:gridSpan w:val="2"/>
            <w:noWrap w:val="0"/>
            <w:vAlign w:val="center"/>
          </w:tcPr>
          <w:p>
            <w:pPr>
              <w:widowControl/>
              <w:jc w:val="center"/>
              <w:rPr>
                <w:rFonts w:hint="default" w:ascii="Times New Roman" w:hAnsi="Times New Roman" w:eastAsia="仿宋_GB2312" w:cs="Times New Roman"/>
                <w:b/>
                <w:bCs/>
                <w:color w:val="auto"/>
                <w:kern w:val="0"/>
                <w:szCs w:val="21"/>
              </w:rPr>
            </w:pPr>
            <w:r>
              <w:rPr>
                <w:rFonts w:hint="default" w:ascii="Times New Roman" w:hAnsi="Times New Roman" w:eastAsia="仿宋_GB2312" w:cs="Times New Roman"/>
                <w:b/>
                <w:bCs/>
                <w:color w:val="auto"/>
                <w:kern w:val="0"/>
                <w:szCs w:val="21"/>
              </w:rPr>
              <w:t>20</w:t>
            </w:r>
            <w:r>
              <w:rPr>
                <w:rFonts w:hint="default" w:ascii="Times New Roman" w:hAnsi="Times New Roman" w:eastAsia="仿宋_GB2312" w:cs="Times New Roman"/>
                <w:b/>
                <w:bCs/>
                <w:color w:val="auto"/>
                <w:kern w:val="0"/>
                <w:szCs w:val="21"/>
                <w:lang w:val="en-US" w:eastAsia="zh-CN"/>
              </w:rPr>
              <w:t>24</w:t>
            </w:r>
            <w:r>
              <w:rPr>
                <w:rFonts w:hint="default" w:ascii="Times New Roman" w:hAnsi="Times New Roman" w:eastAsia="仿宋_GB2312" w:cs="Times New Roman"/>
                <w:b/>
                <w:bCs/>
                <w:color w:val="auto"/>
                <w:kern w:val="0"/>
                <w:szCs w:val="21"/>
              </w:rPr>
              <w:t>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三公经费</w:t>
            </w:r>
          </w:p>
        </w:tc>
        <w:tc>
          <w:tcPr>
            <w:tcW w:w="2038" w:type="dxa"/>
            <w:gridSpan w:val="2"/>
            <w:noWrap w:val="0"/>
            <w:vAlign w:val="center"/>
          </w:tcPr>
          <w:p>
            <w:pPr>
              <w:widowControl/>
              <w:spacing w:line="36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sz w:val="20"/>
                <w:szCs w:val="20"/>
                <w:highlight w:val="none"/>
                <w:lang w:val="en-US" w:eastAsia="zh-CN"/>
              </w:rPr>
              <w:t>1.58</w:t>
            </w:r>
          </w:p>
        </w:tc>
        <w:tc>
          <w:tcPr>
            <w:tcW w:w="2240" w:type="dxa"/>
            <w:gridSpan w:val="2"/>
            <w:noWrap w:val="0"/>
            <w:vAlign w:val="center"/>
          </w:tcPr>
          <w:p>
            <w:pPr>
              <w:widowControl/>
              <w:jc w:val="center"/>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lang w:val="en-US" w:eastAsia="zh-CN"/>
              </w:rPr>
              <w:t>0.30</w:t>
            </w:r>
          </w:p>
        </w:tc>
        <w:tc>
          <w:tcPr>
            <w:tcW w:w="1832" w:type="dxa"/>
            <w:gridSpan w:val="2"/>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lang w:val="en-US"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xml:space="preserve">   1、公务用车购置和维护经费</w:t>
            </w:r>
          </w:p>
        </w:tc>
        <w:tc>
          <w:tcPr>
            <w:tcW w:w="2038" w:type="dxa"/>
            <w:gridSpan w:val="2"/>
            <w:noWrap w:val="0"/>
            <w:vAlign w:val="center"/>
          </w:tcPr>
          <w:p>
            <w:pPr>
              <w:widowControl/>
              <w:spacing w:line="36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sz w:val="20"/>
                <w:szCs w:val="20"/>
                <w:highlight w:val="none"/>
                <w:lang w:val="en-US" w:eastAsia="zh-CN"/>
              </w:rPr>
              <w:t>1.51</w:t>
            </w:r>
          </w:p>
        </w:tc>
        <w:tc>
          <w:tcPr>
            <w:tcW w:w="2240" w:type="dxa"/>
            <w:gridSpan w:val="2"/>
            <w:noWrap w:val="0"/>
            <w:vAlign w:val="center"/>
          </w:tcPr>
          <w:p>
            <w:pPr>
              <w:widowControl/>
              <w:jc w:val="center"/>
              <w:rPr>
                <w:rFonts w:hint="default" w:ascii="Times New Roman" w:hAnsi="Times New Roman" w:eastAsia="仿宋_GB2312" w:cs="Times New Roman"/>
                <w:color w:val="auto"/>
                <w:kern w:val="0"/>
                <w:szCs w:val="21"/>
              </w:rPr>
            </w:pPr>
          </w:p>
        </w:tc>
        <w:tc>
          <w:tcPr>
            <w:tcW w:w="1832" w:type="dxa"/>
            <w:gridSpan w:val="2"/>
            <w:noWrap w:val="0"/>
            <w:vAlign w:val="center"/>
          </w:tcPr>
          <w:p>
            <w:pPr>
              <w:widowControl/>
              <w:jc w:val="center"/>
              <w:rPr>
                <w:rFonts w:hint="default" w:ascii="Times New Roman" w:hAnsi="Times New Roman" w:eastAsia="仿宋_GB2312" w:cs="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xml:space="preserve">       其中：公车购置</w:t>
            </w:r>
          </w:p>
        </w:tc>
        <w:tc>
          <w:tcPr>
            <w:tcW w:w="2038" w:type="dxa"/>
            <w:gridSpan w:val="2"/>
            <w:noWrap w:val="0"/>
            <w:vAlign w:val="center"/>
          </w:tcPr>
          <w:p>
            <w:pPr>
              <w:widowControl/>
              <w:spacing w:line="360" w:lineRule="exact"/>
              <w:jc w:val="center"/>
              <w:rPr>
                <w:rFonts w:hint="default" w:ascii="Times New Roman" w:hAnsi="Times New Roman" w:eastAsia="仿宋_GB2312" w:cs="Times New Roman"/>
                <w:color w:val="auto"/>
                <w:kern w:val="0"/>
                <w:szCs w:val="21"/>
              </w:rPr>
            </w:pPr>
          </w:p>
        </w:tc>
        <w:tc>
          <w:tcPr>
            <w:tcW w:w="2240" w:type="dxa"/>
            <w:gridSpan w:val="2"/>
            <w:noWrap w:val="0"/>
            <w:vAlign w:val="center"/>
          </w:tcPr>
          <w:p>
            <w:pPr>
              <w:widowControl/>
              <w:jc w:val="center"/>
              <w:rPr>
                <w:rFonts w:hint="default" w:ascii="Times New Roman" w:hAnsi="Times New Roman" w:eastAsia="仿宋_GB2312" w:cs="Times New Roman"/>
                <w:color w:val="auto"/>
                <w:kern w:val="0"/>
                <w:szCs w:val="21"/>
              </w:rPr>
            </w:pPr>
          </w:p>
        </w:tc>
        <w:tc>
          <w:tcPr>
            <w:tcW w:w="1832" w:type="dxa"/>
            <w:gridSpan w:val="2"/>
            <w:noWrap w:val="0"/>
            <w:vAlign w:val="center"/>
          </w:tcPr>
          <w:p>
            <w:pPr>
              <w:widowControl/>
              <w:jc w:val="center"/>
              <w:rPr>
                <w:rFonts w:hint="default" w:ascii="Times New Roman" w:hAnsi="Times New Roman" w:eastAsia="仿宋_GB2312" w:cs="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xml:space="preserve">             公车运行维护</w:t>
            </w:r>
          </w:p>
        </w:tc>
        <w:tc>
          <w:tcPr>
            <w:tcW w:w="2038" w:type="dxa"/>
            <w:gridSpan w:val="2"/>
            <w:noWrap w:val="0"/>
            <w:vAlign w:val="center"/>
          </w:tcPr>
          <w:p>
            <w:pPr>
              <w:widowControl/>
              <w:spacing w:line="36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sz w:val="20"/>
                <w:szCs w:val="20"/>
                <w:highlight w:val="none"/>
                <w:lang w:val="en-US" w:eastAsia="zh-CN"/>
              </w:rPr>
              <w:t>1.51</w:t>
            </w:r>
          </w:p>
        </w:tc>
        <w:tc>
          <w:tcPr>
            <w:tcW w:w="2240" w:type="dxa"/>
            <w:gridSpan w:val="2"/>
            <w:noWrap w:val="0"/>
            <w:vAlign w:val="center"/>
          </w:tcPr>
          <w:p>
            <w:pPr>
              <w:widowControl/>
              <w:jc w:val="center"/>
              <w:rPr>
                <w:rFonts w:hint="default" w:ascii="Times New Roman" w:hAnsi="Times New Roman" w:eastAsia="仿宋_GB2312" w:cs="Times New Roman"/>
                <w:color w:val="auto"/>
                <w:kern w:val="0"/>
                <w:szCs w:val="21"/>
              </w:rPr>
            </w:pPr>
          </w:p>
        </w:tc>
        <w:tc>
          <w:tcPr>
            <w:tcW w:w="1832" w:type="dxa"/>
            <w:gridSpan w:val="2"/>
            <w:noWrap w:val="0"/>
            <w:vAlign w:val="center"/>
          </w:tcPr>
          <w:p>
            <w:pPr>
              <w:widowControl/>
              <w:jc w:val="center"/>
              <w:rPr>
                <w:rFonts w:hint="default" w:ascii="Times New Roman" w:hAnsi="Times New Roman" w:eastAsia="仿宋_GB2312" w:cs="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xml:space="preserve">   2、出国经费</w:t>
            </w:r>
          </w:p>
        </w:tc>
        <w:tc>
          <w:tcPr>
            <w:tcW w:w="2038" w:type="dxa"/>
            <w:gridSpan w:val="2"/>
            <w:noWrap w:val="0"/>
            <w:vAlign w:val="center"/>
          </w:tcPr>
          <w:p>
            <w:pPr>
              <w:widowControl/>
              <w:spacing w:line="360" w:lineRule="exact"/>
              <w:jc w:val="center"/>
              <w:rPr>
                <w:rFonts w:hint="default" w:ascii="Times New Roman" w:hAnsi="Times New Roman" w:eastAsia="仿宋_GB2312" w:cs="Times New Roman"/>
                <w:color w:val="auto"/>
                <w:kern w:val="0"/>
                <w:szCs w:val="21"/>
              </w:rPr>
            </w:pPr>
          </w:p>
        </w:tc>
        <w:tc>
          <w:tcPr>
            <w:tcW w:w="2240" w:type="dxa"/>
            <w:gridSpan w:val="2"/>
            <w:noWrap w:val="0"/>
            <w:vAlign w:val="center"/>
          </w:tcPr>
          <w:p>
            <w:pPr>
              <w:widowControl/>
              <w:jc w:val="center"/>
              <w:rPr>
                <w:rFonts w:hint="default" w:ascii="Times New Roman" w:hAnsi="Times New Roman" w:eastAsia="仿宋_GB2312" w:cs="Times New Roman"/>
                <w:color w:val="auto"/>
                <w:kern w:val="0"/>
                <w:szCs w:val="21"/>
              </w:rPr>
            </w:pPr>
          </w:p>
        </w:tc>
        <w:tc>
          <w:tcPr>
            <w:tcW w:w="1832" w:type="dxa"/>
            <w:gridSpan w:val="2"/>
            <w:noWrap w:val="0"/>
            <w:vAlign w:val="center"/>
          </w:tcPr>
          <w:p>
            <w:pPr>
              <w:widowControl/>
              <w:jc w:val="center"/>
              <w:rPr>
                <w:rFonts w:hint="default" w:ascii="Times New Roman" w:hAnsi="Times New Roman" w:eastAsia="仿宋_GB2312" w:cs="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xml:space="preserve">   3、公务接待</w:t>
            </w:r>
          </w:p>
        </w:tc>
        <w:tc>
          <w:tcPr>
            <w:tcW w:w="2038" w:type="dxa"/>
            <w:gridSpan w:val="2"/>
            <w:noWrap w:val="0"/>
            <w:vAlign w:val="center"/>
          </w:tcPr>
          <w:p>
            <w:pPr>
              <w:widowControl/>
              <w:spacing w:line="36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sz w:val="20"/>
                <w:szCs w:val="20"/>
                <w:highlight w:val="none"/>
                <w:lang w:val="en-US" w:eastAsia="zh-CN"/>
              </w:rPr>
              <w:t>0.07</w:t>
            </w:r>
          </w:p>
        </w:tc>
        <w:tc>
          <w:tcPr>
            <w:tcW w:w="2240" w:type="dxa"/>
            <w:gridSpan w:val="2"/>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lang w:val="en-US" w:eastAsia="zh-CN"/>
              </w:rPr>
              <w:t>0.30</w:t>
            </w:r>
          </w:p>
        </w:tc>
        <w:tc>
          <w:tcPr>
            <w:tcW w:w="1832" w:type="dxa"/>
            <w:gridSpan w:val="2"/>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lang w:val="en-US"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项目支出：</w:t>
            </w:r>
          </w:p>
        </w:tc>
        <w:tc>
          <w:tcPr>
            <w:tcW w:w="2038" w:type="dxa"/>
            <w:gridSpan w:val="2"/>
            <w:noWrap w:val="0"/>
            <w:vAlign w:val="center"/>
          </w:tcPr>
          <w:p>
            <w:pPr>
              <w:widowControl/>
              <w:spacing w:line="36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sz w:val="20"/>
                <w:szCs w:val="20"/>
                <w:highlight w:val="none"/>
                <w:lang w:val="en-US" w:eastAsia="zh-CN"/>
              </w:rPr>
              <w:t>55.62</w:t>
            </w:r>
          </w:p>
        </w:tc>
        <w:tc>
          <w:tcPr>
            <w:tcW w:w="2240" w:type="dxa"/>
            <w:gridSpan w:val="2"/>
            <w:noWrap w:val="0"/>
            <w:vAlign w:val="center"/>
          </w:tcPr>
          <w:p>
            <w:pPr>
              <w:widowControl/>
              <w:jc w:val="center"/>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lang w:val="en-US" w:eastAsia="zh-CN"/>
              </w:rPr>
              <w:t>70.57</w:t>
            </w:r>
          </w:p>
        </w:tc>
        <w:tc>
          <w:tcPr>
            <w:tcW w:w="1832" w:type="dxa"/>
            <w:gridSpan w:val="2"/>
            <w:noWrap w:val="0"/>
            <w:vAlign w:val="center"/>
          </w:tcPr>
          <w:p>
            <w:pPr>
              <w:widowControl/>
              <w:jc w:val="center"/>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lang w:val="en-US" w:eastAsia="zh-CN"/>
              </w:rPr>
              <w:t>56.87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xml:space="preserve">    1、业务工作经费</w:t>
            </w:r>
          </w:p>
        </w:tc>
        <w:tc>
          <w:tcPr>
            <w:tcW w:w="2038" w:type="dxa"/>
            <w:gridSpan w:val="2"/>
            <w:noWrap w:val="0"/>
            <w:vAlign w:val="center"/>
          </w:tcPr>
          <w:p>
            <w:pPr>
              <w:widowControl/>
              <w:spacing w:line="36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sz w:val="20"/>
                <w:szCs w:val="20"/>
                <w:highlight w:val="none"/>
                <w:lang w:val="en-US" w:eastAsia="zh-CN"/>
              </w:rPr>
              <w:t>22.59</w:t>
            </w:r>
          </w:p>
        </w:tc>
        <w:tc>
          <w:tcPr>
            <w:tcW w:w="2240" w:type="dxa"/>
            <w:gridSpan w:val="2"/>
            <w:noWrap w:val="0"/>
            <w:vAlign w:val="center"/>
          </w:tcPr>
          <w:p>
            <w:pPr>
              <w:widowControl/>
              <w:jc w:val="center"/>
              <w:rPr>
                <w:rFonts w:hint="default" w:ascii="Times New Roman" w:hAnsi="Times New Roman" w:eastAsia="仿宋_GB2312" w:cs="Times New Roman"/>
                <w:color w:val="auto"/>
                <w:kern w:val="0"/>
                <w:szCs w:val="21"/>
                <w:lang w:val="en-US" w:eastAsia="zh-CN"/>
              </w:rPr>
            </w:pPr>
          </w:p>
        </w:tc>
        <w:tc>
          <w:tcPr>
            <w:tcW w:w="1832" w:type="dxa"/>
            <w:gridSpan w:val="2"/>
            <w:noWrap w:val="0"/>
            <w:vAlign w:val="center"/>
          </w:tcPr>
          <w:p>
            <w:pPr>
              <w:widowControl/>
              <w:jc w:val="center"/>
              <w:rPr>
                <w:rFonts w:hint="default" w:ascii="Times New Roman" w:hAnsi="Times New Roman" w:eastAsia="仿宋_GB2312" w:cs="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xml:space="preserve">    2、运行维护经费</w:t>
            </w:r>
          </w:p>
        </w:tc>
        <w:tc>
          <w:tcPr>
            <w:tcW w:w="2038" w:type="dxa"/>
            <w:gridSpan w:val="2"/>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2240" w:type="dxa"/>
            <w:gridSpan w:val="2"/>
            <w:noWrap w:val="0"/>
            <w:vAlign w:val="center"/>
          </w:tcPr>
          <w:p>
            <w:pPr>
              <w:widowControl/>
              <w:jc w:val="center"/>
              <w:rPr>
                <w:rFonts w:hint="default" w:ascii="Times New Roman" w:hAnsi="Times New Roman" w:eastAsia="仿宋_GB2312" w:cs="Times New Roman"/>
                <w:color w:val="auto"/>
                <w:kern w:val="0"/>
                <w:szCs w:val="21"/>
              </w:rPr>
            </w:pPr>
          </w:p>
        </w:tc>
        <w:tc>
          <w:tcPr>
            <w:tcW w:w="1832" w:type="dxa"/>
            <w:gridSpan w:val="2"/>
            <w:noWrap w:val="0"/>
            <w:vAlign w:val="center"/>
          </w:tcPr>
          <w:p>
            <w:pPr>
              <w:widowControl/>
              <w:jc w:val="center"/>
              <w:rPr>
                <w:rFonts w:hint="default" w:ascii="Times New Roman" w:hAnsi="Times New Roman" w:eastAsia="仿宋_GB2312" w:cs="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54" w:type="dxa"/>
            <w:noWrap w:val="0"/>
            <w:vAlign w:val="center"/>
          </w:tcPr>
          <w:p>
            <w:pPr>
              <w:widowControl/>
              <w:ind w:firstLine="420" w:firstLineChars="200"/>
              <w:jc w:val="left"/>
              <w:rPr>
                <w:rFonts w:hint="default" w:ascii="Times New Roman" w:hAnsi="Times New Roman" w:eastAsia="仿宋_GB2312" w:cs="Times New Roman"/>
                <w:color w:val="auto"/>
                <w:kern w:val="0"/>
                <w:szCs w:val="21"/>
              </w:rPr>
            </w:pPr>
            <w:bookmarkStart w:id="10" w:name="OLE_LINK10" w:colFirst="2" w:colLast="2"/>
            <w:r>
              <w:rPr>
                <w:rFonts w:hint="default" w:ascii="Times New Roman" w:hAnsi="Times New Roman" w:eastAsia="仿宋_GB2312" w:cs="Times New Roman"/>
                <w:color w:val="auto"/>
                <w:kern w:val="0"/>
                <w:szCs w:val="21"/>
              </w:rPr>
              <w:t>3、省级专项资金</w:t>
            </w:r>
          </w:p>
          <w:p>
            <w:pPr>
              <w:widowControl/>
              <w:ind w:firstLine="630" w:firstLineChars="300"/>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（一个专项一行）</w:t>
            </w:r>
          </w:p>
        </w:tc>
        <w:tc>
          <w:tcPr>
            <w:tcW w:w="2038" w:type="dxa"/>
            <w:gridSpan w:val="2"/>
            <w:noWrap w:val="0"/>
            <w:vAlign w:val="center"/>
          </w:tcPr>
          <w:p>
            <w:pPr>
              <w:widowControl/>
              <w:jc w:val="center"/>
              <w:rPr>
                <w:rFonts w:hint="default" w:ascii="Times New Roman" w:hAnsi="Times New Roman" w:eastAsia="仿宋_GB2312" w:cs="Times New Roman"/>
                <w:color w:val="auto"/>
                <w:kern w:val="0"/>
                <w:szCs w:val="21"/>
              </w:rPr>
            </w:pPr>
          </w:p>
        </w:tc>
        <w:tc>
          <w:tcPr>
            <w:tcW w:w="2240" w:type="dxa"/>
            <w:gridSpan w:val="2"/>
            <w:noWrap w:val="0"/>
            <w:vAlign w:val="center"/>
          </w:tcPr>
          <w:p>
            <w:pPr>
              <w:widowControl/>
              <w:jc w:val="center"/>
              <w:rPr>
                <w:rFonts w:hint="default" w:ascii="Times New Roman" w:hAnsi="Times New Roman" w:eastAsia="仿宋_GB2312" w:cs="Times New Roman"/>
                <w:color w:val="auto"/>
                <w:kern w:val="0"/>
                <w:szCs w:val="21"/>
              </w:rPr>
            </w:pPr>
          </w:p>
        </w:tc>
        <w:tc>
          <w:tcPr>
            <w:tcW w:w="1832" w:type="dxa"/>
            <w:gridSpan w:val="2"/>
            <w:noWrap w:val="0"/>
            <w:vAlign w:val="center"/>
          </w:tcPr>
          <w:p>
            <w:pPr>
              <w:widowControl/>
              <w:jc w:val="center"/>
              <w:rPr>
                <w:rFonts w:hint="default" w:ascii="Times New Roman" w:hAnsi="Times New Roman" w:eastAsia="仿宋_GB2312" w:cs="Times New Roman"/>
                <w:color w:val="auto"/>
                <w:kern w:val="0"/>
                <w:szCs w:val="21"/>
              </w:rPr>
            </w:pPr>
          </w:p>
        </w:tc>
      </w:tr>
      <w:bookmark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center"/>
              <w:rPr>
                <w:rFonts w:hint="default" w:ascii="Times New Roman" w:hAnsi="Times New Roman" w:eastAsia="仿宋_GB2312" w:cs="Times New Roman"/>
                <w:color w:val="auto"/>
                <w:kern w:val="0"/>
                <w:szCs w:val="21"/>
                <w:lang w:val="en-US" w:eastAsia="zh-CN"/>
              </w:rPr>
            </w:pPr>
            <w:bookmarkStart w:id="11" w:name="OLE_LINK11" w:colFirst="2" w:colLast="3"/>
            <w:r>
              <w:rPr>
                <w:rFonts w:hint="default" w:ascii="Times New Roman" w:hAnsi="Times New Roman" w:eastAsia="仿宋_GB2312" w:cs="Times New Roman"/>
                <w:color w:val="auto"/>
                <w:kern w:val="0"/>
                <w:szCs w:val="21"/>
                <w:lang w:val="en-US" w:eastAsia="zh-CN"/>
              </w:rPr>
              <w:t>现代农业农村发展</w:t>
            </w:r>
          </w:p>
        </w:tc>
        <w:tc>
          <w:tcPr>
            <w:tcW w:w="2038" w:type="dxa"/>
            <w:gridSpan w:val="2"/>
            <w:noWrap w:val="0"/>
            <w:vAlign w:val="center"/>
          </w:tcPr>
          <w:p>
            <w:pPr>
              <w:widowControl/>
              <w:spacing w:line="36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sz w:val="20"/>
                <w:szCs w:val="20"/>
                <w:highlight w:val="none"/>
                <w:lang w:val="en-US" w:eastAsia="zh-CN"/>
              </w:rPr>
              <w:t>33.03</w:t>
            </w:r>
          </w:p>
        </w:tc>
        <w:tc>
          <w:tcPr>
            <w:tcW w:w="2240" w:type="dxa"/>
            <w:gridSpan w:val="2"/>
            <w:noWrap w:val="0"/>
            <w:vAlign w:val="center"/>
          </w:tcPr>
          <w:p>
            <w:pPr>
              <w:widowControl/>
              <w:jc w:val="center"/>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lang w:val="en-US" w:eastAsia="zh-CN"/>
              </w:rPr>
              <w:t>64.57</w:t>
            </w:r>
          </w:p>
        </w:tc>
        <w:tc>
          <w:tcPr>
            <w:tcW w:w="1832" w:type="dxa"/>
            <w:gridSpan w:val="2"/>
            <w:noWrap w:val="0"/>
            <w:vAlign w:val="center"/>
          </w:tcPr>
          <w:p>
            <w:pPr>
              <w:widowControl/>
              <w:jc w:val="center"/>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lang w:val="en-US" w:eastAsia="zh-CN"/>
              </w:rPr>
              <w:t>53.87</w:t>
            </w:r>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4、其他事业类发展资金</w:t>
            </w:r>
          </w:p>
        </w:tc>
        <w:tc>
          <w:tcPr>
            <w:tcW w:w="2038" w:type="dxa"/>
            <w:gridSpan w:val="2"/>
            <w:noWrap w:val="0"/>
            <w:vAlign w:val="center"/>
          </w:tcPr>
          <w:p>
            <w:pPr>
              <w:widowControl/>
              <w:spacing w:line="36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sz w:val="20"/>
                <w:szCs w:val="20"/>
                <w:highlight w:val="none"/>
                <w:lang w:val="en-US" w:eastAsia="zh-CN"/>
              </w:rPr>
              <w:t>33.03</w:t>
            </w:r>
          </w:p>
        </w:tc>
        <w:tc>
          <w:tcPr>
            <w:tcW w:w="2240" w:type="dxa"/>
            <w:gridSpan w:val="2"/>
            <w:noWrap w:val="0"/>
            <w:vAlign w:val="center"/>
          </w:tcPr>
          <w:p>
            <w:pPr>
              <w:widowControl/>
              <w:jc w:val="center"/>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lang w:val="en-US" w:eastAsia="zh-CN"/>
              </w:rPr>
              <w:t>6.00</w:t>
            </w:r>
          </w:p>
        </w:tc>
        <w:tc>
          <w:tcPr>
            <w:tcW w:w="1832" w:type="dxa"/>
            <w:gridSpan w:val="2"/>
            <w:noWrap w:val="0"/>
            <w:vAlign w:val="center"/>
          </w:tcPr>
          <w:p>
            <w:pPr>
              <w:widowControl/>
              <w:jc w:val="center"/>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lang w:val="en-US"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公用经费</w:t>
            </w:r>
          </w:p>
        </w:tc>
        <w:tc>
          <w:tcPr>
            <w:tcW w:w="2038" w:type="dxa"/>
            <w:gridSpan w:val="2"/>
            <w:noWrap w:val="0"/>
            <w:vAlign w:val="center"/>
          </w:tcPr>
          <w:p>
            <w:pPr>
              <w:widowControl/>
              <w:spacing w:line="36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sz w:val="20"/>
                <w:szCs w:val="20"/>
                <w:highlight w:val="none"/>
                <w:lang w:val="en-US" w:eastAsia="zh-CN"/>
              </w:rPr>
              <w:t>11.28</w:t>
            </w:r>
          </w:p>
        </w:tc>
        <w:tc>
          <w:tcPr>
            <w:tcW w:w="2240" w:type="dxa"/>
            <w:gridSpan w:val="2"/>
            <w:noWrap w:val="0"/>
            <w:vAlign w:val="center"/>
          </w:tcPr>
          <w:p>
            <w:pPr>
              <w:widowControl/>
              <w:jc w:val="center"/>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11.79</w:t>
            </w:r>
          </w:p>
        </w:tc>
        <w:tc>
          <w:tcPr>
            <w:tcW w:w="1832" w:type="dxa"/>
            <w:gridSpan w:val="2"/>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lang w:val="en-US" w:eastAsia="zh-CN"/>
              </w:rPr>
              <w:t>10.37</w:t>
            </w: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xml:space="preserve">    其中：办公费</w:t>
            </w:r>
          </w:p>
        </w:tc>
        <w:tc>
          <w:tcPr>
            <w:tcW w:w="2038" w:type="dxa"/>
            <w:gridSpan w:val="2"/>
            <w:noWrap w:val="0"/>
            <w:vAlign w:val="center"/>
          </w:tcPr>
          <w:p>
            <w:pPr>
              <w:widowControl/>
              <w:spacing w:line="36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sz w:val="20"/>
                <w:szCs w:val="20"/>
                <w:highlight w:val="none"/>
                <w:lang w:val="en-US" w:eastAsia="zh-CN"/>
              </w:rPr>
              <w:t>11.28</w:t>
            </w:r>
          </w:p>
        </w:tc>
        <w:tc>
          <w:tcPr>
            <w:tcW w:w="2240" w:type="dxa"/>
            <w:gridSpan w:val="2"/>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1832" w:type="dxa"/>
            <w:gridSpan w:val="2"/>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xml:space="preserve">          水费、电费、差旅费</w:t>
            </w:r>
          </w:p>
        </w:tc>
        <w:tc>
          <w:tcPr>
            <w:tcW w:w="2038" w:type="dxa"/>
            <w:gridSpan w:val="2"/>
            <w:noWrap w:val="0"/>
            <w:vAlign w:val="center"/>
          </w:tcPr>
          <w:p>
            <w:pPr>
              <w:widowControl/>
              <w:spacing w:line="36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sz w:val="20"/>
                <w:szCs w:val="20"/>
                <w:highlight w:val="none"/>
                <w:lang w:val="en-US" w:eastAsia="zh-CN"/>
              </w:rPr>
              <w:t>2.93</w:t>
            </w:r>
          </w:p>
        </w:tc>
        <w:tc>
          <w:tcPr>
            <w:tcW w:w="2240" w:type="dxa"/>
            <w:gridSpan w:val="2"/>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1832" w:type="dxa"/>
            <w:gridSpan w:val="2"/>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xml:space="preserve">          会议费、培训费</w:t>
            </w:r>
          </w:p>
        </w:tc>
        <w:tc>
          <w:tcPr>
            <w:tcW w:w="2038" w:type="dxa"/>
            <w:gridSpan w:val="2"/>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2240" w:type="dxa"/>
            <w:gridSpan w:val="2"/>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1832" w:type="dxa"/>
            <w:gridSpan w:val="2"/>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政府采购金额</w:t>
            </w:r>
          </w:p>
        </w:tc>
        <w:tc>
          <w:tcPr>
            <w:tcW w:w="2038" w:type="dxa"/>
            <w:gridSpan w:val="2"/>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w:t>
            </w:r>
          </w:p>
        </w:tc>
        <w:tc>
          <w:tcPr>
            <w:tcW w:w="2240" w:type="dxa"/>
            <w:gridSpan w:val="2"/>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1832" w:type="dxa"/>
            <w:gridSpan w:val="2"/>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lang w:val="en-US" w:eastAsia="zh-CN"/>
              </w:rPr>
              <w:t>29.27</w:t>
            </w: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xml:space="preserve">部门基本支出预算调整 </w:t>
            </w:r>
          </w:p>
        </w:tc>
        <w:tc>
          <w:tcPr>
            <w:tcW w:w="2038" w:type="dxa"/>
            <w:gridSpan w:val="2"/>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w:t>
            </w:r>
          </w:p>
        </w:tc>
        <w:tc>
          <w:tcPr>
            <w:tcW w:w="2240" w:type="dxa"/>
            <w:gridSpan w:val="2"/>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1832" w:type="dxa"/>
            <w:gridSpan w:val="2"/>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3354" w:type="dxa"/>
            <w:vMerge w:val="restart"/>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楼堂馆所控制情况</w:t>
            </w:r>
            <w:r>
              <w:rPr>
                <w:rFonts w:hint="default" w:ascii="Times New Roman" w:hAnsi="Times New Roman" w:eastAsia="仿宋_GB2312" w:cs="Times New Roman"/>
                <w:color w:val="auto"/>
                <w:kern w:val="0"/>
                <w:szCs w:val="21"/>
              </w:rPr>
              <w:br w:type="textWrapping"/>
            </w:r>
            <w:r>
              <w:rPr>
                <w:rFonts w:hint="default" w:ascii="Times New Roman" w:hAnsi="Times New Roman" w:eastAsia="仿宋_GB2312" w:cs="Times New Roman"/>
                <w:color w:val="auto"/>
                <w:kern w:val="0"/>
                <w:szCs w:val="21"/>
              </w:rPr>
              <w:t>（2019年完工项目）</w:t>
            </w:r>
          </w:p>
        </w:tc>
        <w:tc>
          <w:tcPr>
            <w:tcW w:w="1189" w:type="dxa"/>
            <w:noWrap w:val="0"/>
            <w:vAlign w:val="center"/>
          </w:tcPr>
          <w:p>
            <w:pPr>
              <w:widowControl/>
              <w:spacing w:line="240" w:lineRule="exact"/>
              <w:jc w:val="center"/>
              <w:rPr>
                <w:rFonts w:hint="default" w:ascii="Times New Roman" w:hAnsi="Times New Roman" w:eastAsia="仿宋_GB2312" w:cs="Times New Roman"/>
                <w:bCs/>
                <w:color w:val="auto"/>
                <w:kern w:val="0"/>
                <w:szCs w:val="21"/>
              </w:rPr>
            </w:pPr>
            <w:r>
              <w:rPr>
                <w:rFonts w:hint="default" w:ascii="Times New Roman" w:hAnsi="Times New Roman" w:eastAsia="仿宋_GB2312" w:cs="Times New Roman"/>
                <w:bCs/>
                <w:color w:val="auto"/>
                <w:kern w:val="0"/>
                <w:szCs w:val="21"/>
              </w:rPr>
              <w:t>批复规模</w:t>
            </w:r>
            <w:r>
              <w:rPr>
                <w:rFonts w:hint="default" w:ascii="Times New Roman" w:hAnsi="Times New Roman" w:eastAsia="仿宋_GB2312" w:cs="Times New Roman"/>
                <w:bCs/>
                <w:color w:val="auto"/>
                <w:kern w:val="0"/>
                <w:szCs w:val="21"/>
              </w:rPr>
              <w:br w:type="textWrapping"/>
            </w:r>
            <w:r>
              <w:rPr>
                <w:rFonts w:hint="default" w:ascii="Times New Roman" w:hAnsi="Times New Roman" w:eastAsia="仿宋_GB2312" w:cs="Times New Roman"/>
                <w:bCs/>
                <w:color w:val="auto"/>
                <w:kern w:val="0"/>
                <w:szCs w:val="21"/>
              </w:rPr>
              <w:t>（</w:t>
            </w:r>
            <w:r>
              <w:rPr>
                <w:rFonts w:hint="default" w:ascii="Times New Roman" w:hAnsi="Times New Roman" w:eastAsia="Batang" w:cs="Times New Roman"/>
                <w:bCs/>
                <w:color w:val="auto"/>
                <w:kern w:val="0"/>
                <w:szCs w:val="21"/>
              </w:rPr>
              <w:t>㎡</w:t>
            </w:r>
            <w:r>
              <w:rPr>
                <w:rFonts w:hint="default" w:ascii="Times New Roman" w:hAnsi="Times New Roman" w:eastAsia="仿宋_GB2312" w:cs="Times New Roman"/>
                <w:bCs/>
                <w:color w:val="auto"/>
                <w:kern w:val="0"/>
                <w:szCs w:val="21"/>
              </w:rPr>
              <w:t>）</w:t>
            </w:r>
          </w:p>
        </w:tc>
        <w:tc>
          <w:tcPr>
            <w:tcW w:w="849" w:type="dxa"/>
            <w:noWrap w:val="0"/>
            <w:vAlign w:val="center"/>
          </w:tcPr>
          <w:p>
            <w:pPr>
              <w:widowControl/>
              <w:spacing w:line="240" w:lineRule="exact"/>
              <w:jc w:val="center"/>
              <w:rPr>
                <w:rFonts w:hint="default" w:ascii="Times New Roman" w:hAnsi="Times New Roman" w:eastAsia="仿宋_GB2312" w:cs="Times New Roman"/>
                <w:bCs/>
                <w:color w:val="auto"/>
                <w:kern w:val="0"/>
                <w:szCs w:val="21"/>
              </w:rPr>
            </w:pPr>
            <w:r>
              <w:rPr>
                <w:rFonts w:hint="default" w:ascii="Times New Roman" w:hAnsi="Times New Roman" w:eastAsia="仿宋_GB2312" w:cs="Times New Roman"/>
                <w:bCs/>
                <w:color w:val="auto"/>
                <w:kern w:val="0"/>
                <w:szCs w:val="21"/>
              </w:rPr>
              <w:t>实际规模（</w:t>
            </w:r>
            <w:r>
              <w:rPr>
                <w:rFonts w:hint="default" w:ascii="Times New Roman" w:hAnsi="Times New Roman" w:eastAsia="Batang" w:cs="Times New Roman"/>
                <w:bCs/>
                <w:color w:val="auto"/>
                <w:kern w:val="0"/>
                <w:szCs w:val="21"/>
              </w:rPr>
              <w:t>㎡</w:t>
            </w:r>
            <w:r>
              <w:rPr>
                <w:rFonts w:hint="default" w:ascii="Times New Roman" w:hAnsi="Times New Roman" w:eastAsia="仿宋_GB2312" w:cs="Times New Roman"/>
                <w:bCs/>
                <w:color w:val="auto"/>
                <w:kern w:val="0"/>
                <w:szCs w:val="21"/>
              </w:rPr>
              <w:t>）</w:t>
            </w:r>
          </w:p>
        </w:tc>
        <w:tc>
          <w:tcPr>
            <w:tcW w:w="1129" w:type="dxa"/>
            <w:noWrap w:val="0"/>
            <w:vAlign w:val="center"/>
          </w:tcPr>
          <w:p>
            <w:pPr>
              <w:widowControl/>
              <w:spacing w:line="240" w:lineRule="exact"/>
              <w:jc w:val="center"/>
              <w:rPr>
                <w:rFonts w:hint="default" w:ascii="Times New Roman" w:hAnsi="Times New Roman" w:eastAsia="仿宋_GB2312" w:cs="Times New Roman"/>
                <w:bCs/>
                <w:color w:val="auto"/>
                <w:kern w:val="0"/>
                <w:szCs w:val="21"/>
              </w:rPr>
            </w:pPr>
            <w:r>
              <w:rPr>
                <w:rFonts w:hint="default" w:ascii="Times New Roman" w:hAnsi="Times New Roman" w:eastAsia="仿宋_GB2312" w:cs="Times New Roman"/>
                <w:bCs/>
                <w:color w:val="auto"/>
                <w:kern w:val="0"/>
                <w:szCs w:val="21"/>
              </w:rPr>
              <w:t>规模控制率</w:t>
            </w:r>
          </w:p>
        </w:tc>
        <w:tc>
          <w:tcPr>
            <w:tcW w:w="1111" w:type="dxa"/>
            <w:noWrap w:val="0"/>
            <w:vAlign w:val="center"/>
          </w:tcPr>
          <w:p>
            <w:pPr>
              <w:widowControl/>
              <w:spacing w:line="240" w:lineRule="exact"/>
              <w:jc w:val="center"/>
              <w:rPr>
                <w:rFonts w:hint="default" w:ascii="Times New Roman" w:hAnsi="Times New Roman" w:eastAsia="仿宋_GB2312" w:cs="Times New Roman"/>
                <w:bCs/>
                <w:color w:val="auto"/>
                <w:kern w:val="0"/>
                <w:szCs w:val="21"/>
              </w:rPr>
            </w:pPr>
            <w:r>
              <w:rPr>
                <w:rFonts w:hint="default" w:ascii="Times New Roman" w:hAnsi="Times New Roman" w:eastAsia="仿宋_GB2312" w:cs="Times New Roman"/>
                <w:bCs/>
                <w:color w:val="auto"/>
                <w:kern w:val="0"/>
                <w:szCs w:val="21"/>
              </w:rPr>
              <w:t>预算投资（万元）</w:t>
            </w:r>
          </w:p>
        </w:tc>
        <w:tc>
          <w:tcPr>
            <w:tcW w:w="969" w:type="dxa"/>
            <w:noWrap w:val="0"/>
            <w:vAlign w:val="center"/>
          </w:tcPr>
          <w:p>
            <w:pPr>
              <w:widowControl/>
              <w:spacing w:line="240" w:lineRule="exact"/>
              <w:jc w:val="center"/>
              <w:rPr>
                <w:rFonts w:hint="default" w:ascii="Times New Roman" w:hAnsi="Times New Roman" w:eastAsia="仿宋_GB2312" w:cs="Times New Roman"/>
                <w:bCs/>
                <w:color w:val="auto"/>
                <w:kern w:val="0"/>
                <w:szCs w:val="21"/>
              </w:rPr>
            </w:pPr>
            <w:r>
              <w:rPr>
                <w:rFonts w:hint="default" w:ascii="Times New Roman" w:hAnsi="Times New Roman" w:eastAsia="仿宋_GB2312" w:cs="Times New Roman"/>
                <w:bCs/>
                <w:color w:val="auto"/>
                <w:kern w:val="0"/>
                <w:szCs w:val="21"/>
              </w:rPr>
              <w:t>实际投资（万元）</w:t>
            </w:r>
          </w:p>
        </w:tc>
        <w:tc>
          <w:tcPr>
            <w:tcW w:w="863" w:type="dxa"/>
            <w:noWrap w:val="0"/>
            <w:vAlign w:val="center"/>
          </w:tcPr>
          <w:p>
            <w:pPr>
              <w:widowControl/>
              <w:spacing w:line="240" w:lineRule="exact"/>
              <w:jc w:val="center"/>
              <w:rPr>
                <w:rFonts w:hint="default" w:ascii="Times New Roman" w:hAnsi="Times New Roman" w:eastAsia="仿宋_GB2312" w:cs="Times New Roman"/>
                <w:bCs/>
                <w:color w:val="auto"/>
                <w:kern w:val="0"/>
                <w:szCs w:val="21"/>
              </w:rPr>
            </w:pPr>
            <w:r>
              <w:rPr>
                <w:rFonts w:hint="default" w:ascii="Times New Roman" w:hAnsi="Times New Roman" w:eastAsia="仿宋_GB2312" w:cs="Times New Roman"/>
                <w:bCs/>
                <w:color w:val="auto"/>
                <w:kern w:val="0"/>
                <w:szCs w:val="21"/>
              </w:rPr>
              <w:t>投资概算控制率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54" w:type="dxa"/>
            <w:vMerge w:val="continue"/>
            <w:noWrap w:val="0"/>
            <w:vAlign w:val="center"/>
          </w:tcPr>
          <w:p>
            <w:pPr>
              <w:widowControl/>
              <w:jc w:val="left"/>
              <w:rPr>
                <w:rFonts w:hint="default" w:ascii="Times New Roman" w:hAnsi="Times New Roman" w:eastAsia="仿宋_GB2312" w:cs="Times New Roman"/>
                <w:color w:val="auto"/>
                <w:kern w:val="0"/>
                <w:szCs w:val="21"/>
              </w:rPr>
            </w:pPr>
          </w:p>
        </w:tc>
        <w:tc>
          <w:tcPr>
            <w:tcW w:w="1189"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849"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1129"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1111"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969"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863"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3354"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厉行节约保障措施</w:t>
            </w:r>
          </w:p>
        </w:tc>
        <w:tc>
          <w:tcPr>
            <w:tcW w:w="6110" w:type="dxa"/>
            <w:gridSpan w:val="6"/>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bl>
    <w:p>
      <w:pPr>
        <w:spacing w:line="360" w:lineRule="exact"/>
        <w:rPr>
          <w:rFonts w:hint="default" w:ascii="Times New Roman" w:hAnsi="Times New Roman" w:eastAsia="黑体" w:cs="Times New Roman"/>
          <w:color w:val="auto"/>
          <w:sz w:val="32"/>
          <w:szCs w:val="32"/>
          <w:lang w:val="en-US" w:eastAsia="zh-CN"/>
        </w:rPr>
      </w:pPr>
      <w:r>
        <w:rPr>
          <w:rFonts w:hint="default" w:ascii="Times New Roman" w:hAnsi="Times New Roman" w:eastAsia="仿宋_GB2312" w:cs="Times New Roman"/>
          <w:color w:val="auto"/>
          <w:kern w:val="0"/>
          <w:sz w:val="22"/>
        </w:rPr>
        <w:t>说明：“项目支出”需要填报基本支出以外的所有项目支出情况，“公用经费”填报基本支出中的一般商品和服务支出。</w:t>
      </w:r>
      <w:r>
        <w:rPr>
          <w:rFonts w:hint="default" w:ascii="Times New Roman" w:hAnsi="Times New Roman" w:eastAsia="仿宋_GB2312" w:cs="Times New Roman"/>
          <w:color w:val="auto"/>
          <w:kern w:val="0"/>
          <w:sz w:val="22"/>
        </w:rPr>
        <w:br w:type="page"/>
      </w:r>
      <w:r>
        <w:rPr>
          <w:rFonts w:hint="default" w:ascii="Times New Roman" w:hAnsi="Times New Roman" w:eastAsia="黑体" w:cs="Times New Roman"/>
          <w:color w:val="auto"/>
          <w:sz w:val="32"/>
          <w:szCs w:val="32"/>
        </w:rPr>
        <w:t>附件</w:t>
      </w:r>
      <w:r>
        <w:rPr>
          <w:rFonts w:hint="default" w:ascii="Times New Roman" w:hAnsi="Times New Roman" w:eastAsia="黑体" w:cs="Times New Roman"/>
          <w:color w:val="auto"/>
          <w:sz w:val="32"/>
          <w:szCs w:val="32"/>
          <w:lang w:val="en-US" w:eastAsia="zh-CN"/>
        </w:rPr>
        <w:t>3</w:t>
      </w:r>
    </w:p>
    <w:p>
      <w:pPr>
        <w:widowControl/>
        <w:jc w:val="center"/>
        <w:rPr>
          <w:rFonts w:hint="default" w:ascii="Times New Roman" w:hAnsi="Times New Roman" w:eastAsia="方正小标宋_GBK" w:cs="Times New Roman"/>
          <w:color w:val="auto"/>
          <w:kern w:val="0"/>
          <w:sz w:val="36"/>
          <w:szCs w:val="36"/>
        </w:rPr>
      </w:pPr>
      <w:r>
        <w:rPr>
          <w:rFonts w:hint="default" w:ascii="Times New Roman" w:hAnsi="Times New Roman" w:eastAsia="方正小标宋_GBK" w:cs="Times New Roman"/>
          <w:color w:val="auto"/>
          <w:kern w:val="0"/>
          <w:sz w:val="36"/>
          <w:szCs w:val="36"/>
        </w:rPr>
        <w:t>部门整体支出绩效自评表</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w:t>
      </w:r>
      <w:r>
        <w:rPr>
          <w:rFonts w:hint="default" w:ascii="Times New Roman" w:hAnsi="Times New Roman" w:eastAsia="仿宋_GB2312" w:cs="Times New Roman"/>
          <w:color w:val="auto"/>
          <w:kern w:val="0"/>
          <w:szCs w:val="21"/>
          <w:lang w:val="en-US" w:eastAsia="zh-CN"/>
        </w:rPr>
        <w:t>2024</w:t>
      </w:r>
      <w:r>
        <w:rPr>
          <w:rFonts w:hint="default" w:ascii="Times New Roman" w:hAnsi="Times New Roman" w:eastAsia="仿宋_GB2312" w:cs="Times New Roman"/>
          <w:color w:val="auto"/>
          <w:kern w:val="0"/>
          <w:szCs w:val="21"/>
        </w:rPr>
        <w:t>年度）</w:t>
      </w:r>
    </w:p>
    <w:tbl>
      <w:tblPr>
        <w:tblStyle w:val="11"/>
        <w:tblW w:w="10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395"/>
        <w:gridCol w:w="1252"/>
        <w:gridCol w:w="1114"/>
        <w:gridCol w:w="95"/>
        <w:gridCol w:w="1200"/>
        <w:gridCol w:w="1134"/>
        <w:gridCol w:w="709"/>
        <w:gridCol w:w="898"/>
        <w:gridCol w:w="1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省级预算部门名称</w:t>
            </w:r>
          </w:p>
        </w:tc>
        <w:tc>
          <w:tcPr>
            <w:tcW w:w="9243" w:type="dxa"/>
            <w:gridSpan w:val="9"/>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lang w:val="en-US" w:eastAsia="zh-CN"/>
              </w:rPr>
              <w:t>湖南省饲料工业办公室</w:t>
            </w: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年度预</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算申请</w:t>
            </w:r>
            <w:r>
              <w:rPr>
                <w:rFonts w:hint="default" w:ascii="Times New Roman" w:hAnsi="Times New Roman" w:eastAsia="仿宋_GB2312" w:cs="Times New Roman"/>
                <w:color w:val="auto"/>
                <w:kern w:val="0"/>
                <w:szCs w:val="21"/>
              </w:rPr>
              <w:br w:type="textWrapping"/>
            </w:r>
            <w:r>
              <w:rPr>
                <w:rFonts w:hint="default" w:ascii="Times New Roman" w:hAnsi="Times New Roman" w:eastAsia="仿宋_GB2312" w:cs="Times New Roman"/>
                <w:color w:val="auto"/>
                <w:kern w:val="0"/>
                <w:szCs w:val="21"/>
              </w:rPr>
              <w:t>（万元）</w:t>
            </w:r>
          </w:p>
        </w:tc>
        <w:tc>
          <w:tcPr>
            <w:tcW w:w="2647" w:type="dxa"/>
            <w:gridSpan w:val="2"/>
            <w:noWrap w:val="0"/>
            <w:vAlign w:val="center"/>
          </w:tcPr>
          <w:p>
            <w:pPr>
              <w:jc w:val="center"/>
              <w:rPr>
                <w:rFonts w:hint="default" w:ascii="Times New Roman" w:hAnsi="Times New Roman" w:eastAsia="仿宋_GB2312" w:cs="Times New Roman"/>
                <w:color w:val="auto"/>
                <w:szCs w:val="21"/>
              </w:rPr>
            </w:pPr>
          </w:p>
        </w:tc>
        <w:tc>
          <w:tcPr>
            <w:tcW w:w="1114" w:type="dxa"/>
            <w:noWrap w:val="0"/>
            <w:vAlign w:val="center"/>
          </w:tcPr>
          <w:p>
            <w:pPr>
              <w:jc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年初</w:t>
            </w:r>
          </w:p>
          <w:p>
            <w:pPr>
              <w:jc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预算数</w:t>
            </w:r>
          </w:p>
        </w:tc>
        <w:tc>
          <w:tcPr>
            <w:tcW w:w="1295" w:type="dxa"/>
            <w:gridSpan w:val="2"/>
            <w:noWrap w:val="0"/>
            <w:vAlign w:val="center"/>
          </w:tcPr>
          <w:p>
            <w:pPr>
              <w:jc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全年预算数</w:t>
            </w:r>
          </w:p>
        </w:tc>
        <w:tc>
          <w:tcPr>
            <w:tcW w:w="1134" w:type="dxa"/>
            <w:noWrap w:val="0"/>
            <w:vAlign w:val="center"/>
          </w:tcPr>
          <w:p>
            <w:pPr>
              <w:jc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全年</w:t>
            </w:r>
          </w:p>
          <w:p>
            <w:pPr>
              <w:jc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执行数</w:t>
            </w:r>
          </w:p>
        </w:tc>
        <w:tc>
          <w:tcPr>
            <w:tcW w:w="709" w:type="dxa"/>
            <w:noWrap w:val="0"/>
            <w:vAlign w:val="center"/>
          </w:tcPr>
          <w:p>
            <w:pPr>
              <w:jc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分值</w:t>
            </w:r>
          </w:p>
        </w:tc>
        <w:tc>
          <w:tcPr>
            <w:tcW w:w="898" w:type="dxa"/>
            <w:noWrap w:val="0"/>
            <w:vAlign w:val="center"/>
          </w:tcPr>
          <w:p>
            <w:pPr>
              <w:jc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执行率</w:t>
            </w:r>
          </w:p>
        </w:tc>
        <w:tc>
          <w:tcPr>
            <w:tcW w:w="1446" w:type="dxa"/>
            <w:noWrap w:val="0"/>
            <w:vAlign w:val="center"/>
          </w:tcPr>
          <w:p>
            <w:pPr>
              <w:jc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center"/>
              <w:rPr>
                <w:rFonts w:hint="default" w:ascii="Times New Roman" w:hAnsi="Times New Roman" w:eastAsia="仿宋_GB2312" w:cs="Times New Roman"/>
                <w:color w:val="auto"/>
                <w:kern w:val="0"/>
                <w:szCs w:val="21"/>
              </w:rPr>
            </w:pPr>
          </w:p>
        </w:tc>
        <w:tc>
          <w:tcPr>
            <w:tcW w:w="2647" w:type="dxa"/>
            <w:gridSpan w:val="2"/>
            <w:noWrap w:val="0"/>
            <w:vAlign w:val="center"/>
          </w:tcPr>
          <w:p>
            <w:pPr>
              <w:jc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kern w:val="0"/>
                <w:szCs w:val="21"/>
              </w:rPr>
              <w:t>年度资金总额</w:t>
            </w:r>
          </w:p>
        </w:tc>
        <w:tc>
          <w:tcPr>
            <w:tcW w:w="1114" w:type="dxa"/>
            <w:noWrap w:val="0"/>
            <w:vAlign w:val="center"/>
          </w:tcPr>
          <w:p>
            <w:pPr>
              <w:jc w:val="center"/>
              <w:rPr>
                <w:rFonts w:hint="default" w:ascii="Times New Roman" w:hAnsi="Times New Roman" w:eastAsia="仿宋_GB2312" w:cs="Times New Roman"/>
                <w:color w:val="auto"/>
                <w:szCs w:val="21"/>
                <w:lang w:val="en-US" w:eastAsia="zh-CN"/>
              </w:rPr>
            </w:pPr>
            <w:r>
              <w:rPr>
                <w:rFonts w:hint="default" w:ascii="Times New Roman" w:hAnsi="Times New Roman" w:eastAsia="仿宋_GB2312" w:cs="Times New Roman"/>
                <w:color w:val="auto"/>
                <w:szCs w:val="21"/>
                <w:lang w:val="en-US" w:eastAsia="zh-CN"/>
              </w:rPr>
              <w:t>237.46</w:t>
            </w:r>
          </w:p>
        </w:tc>
        <w:tc>
          <w:tcPr>
            <w:tcW w:w="1295" w:type="dxa"/>
            <w:gridSpan w:val="2"/>
            <w:noWrap w:val="0"/>
            <w:vAlign w:val="center"/>
          </w:tcPr>
          <w:p>
            <w:pPr>
              <w:jc w:val="center"/>
              <w:rPr>
                <w:rFonts w:hint="default" w:ascii="Times New Roman" w:hAnsi="Times New Roman" w:eastAsia="仿宋_GB2312" w:cs="Times New Roman"/>
                <w:color w:val="auto"/>
                <w:szCs w:val="21"/>
                <w:lang w:val="en-US" w:eastAsia="zh-CN"/>
              </w:rPr>
            </w:pPr>
            <w:r>
              <w:rPr>
                <w:rFonts w:hint="default" w:ascii="Times New Roman" w:hAnsi="Times New Roman" w:eastAsia="仿宋_GB2312" w:cs="Times New Roman"/>
                <w:color w:val="auto"/>
                <w:szCs w:val="21"/>
                <w:lang w:val="en-US" w:eastAsia="zh-CN"/>
              </w:rPr>
              <w:t>246.18</w:t>
            </w:r>
          </w:p>
        </w:tc>
        <w:tc>
          <w:tcPr>
            <w:tcW w:w="1134" w:type="dxa"/>
            <w:noWrap w:val="0"/>
            <w:vAlign w:val="center"/>
          </w:tcPr>
          <w:p>
            <w:pPr>
              <w:jc w:val="center"/>
              <w:rPr>
                <w:rFonts w:hint="default" w:ascii="Times New Roman" w:hAnsi="Times New Roman" w:eastAsia="仿宋_GB2312" w:cs="Times New Roman"/>
                <w:color w:val="auto"/>
                <w:szCs w:val="21"/>
                <w:lang w:val="en-US" w:eastAsia="zh-CN"/>
              </w:rPr>
            </w:pPr>
            <w:r>
              <w:rPr>
                <w:rFonts w:hint="default" w:ascii="Times New Roman" w:hAnsi="Times New Roman" w:eastAsia="仿宋_GB2312" w:cs="Times New Roman"/>
                <w:color w:val="auto"/>
                <w:szCs w:val="21"/>
                <w:lang w:val="en-US" w:eastAsia="zh-CN"/>
              </w:rPr>
              <w:t>217.73</w:t>
            </w:r>
          </w:p>
        </w:tc>
        <w:tc>
          <w:tcPr>
            <w:tcW w:w="709" w:type="dxa"/>
            <w:noWrap w:val="0"/>
            <w:vAlign w:val="center"/>
          </w:tcPr>
          <w:p>
            <w:pPr>
              <w:jc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10</w:t>
            </w:r>
          </w:p>
        </w:tc>
        <w:tc>
          <w:tcPr>
            <w:tcW w:w="898" w:type="dxa"/>
            <w:noWrap w:val="0"/>
            <w:vAlign w:val="center"/>
          </w:tcPr>
          <w:p>
            <w:pPr>
              <w:jc w:val="center"/>
              <w:rPr>
                <w:rFonts w:hint="default" w:ascii="Times New Roman" w:hAnsi="Times New Roman" w:eastAsia="仿宋_GB2312" w:cs="Times New Roman"/>
                <w:color w:val="auto"/>
                <w:szCs w:val="21"/>
                <w:lang w:val="en-US" w:eastAsia="zh-CN"/>
              </w:rPr>
            </w:pPr>
            <w:r>
              <w:rPr>
                <w:rFonts w:hint="default" w:ascii="Times New Roman" w:hAnsi="Times New Roman" w:eastAsia="仿宋_GB2312" w:cs="Times New Roman"/>
                <w:color w:val="auto"/>
                <w:szCs w:val="21"/>
                <w:lang w:val="en-US" w:eastAsia="zh-CN"/>
              </w:rPr>
              <w:t>88.44%</w:t>
            </w:r>
          </w:p>
        </w:tc>
        <w:tc>
          <w:tcPr>
            <w:tcW w:w="1446" w:type="dxa"/>
            <w:noWrap w:val="0"/>
            <w:vAlign w:val="center"/>
          </w:tcPr>
          <w:p>
            <w:pPr>
              <w:jc w:val="center"/>
              <w:rPr>
                <w:rFonts w:hint="default" w:ascii="Times New Roman" w:hAnsi="Times New Roman" w:eastAsia="仿宋_GB2312" w:cs="Times New Roman"/>
                <w:color w:val="auto"/>
                <w:szCs w:val="21"/>
                <w:lang w:val="en-US" w:eastAsia="zh-CN"/>
              </w:rPr>
            </w:pPr>
            <w:r>
              <w:rPr>
                <w:rFonts w:hint="default" w:ascii="Times New Roman" w:hAnsi="Times New Roman" w:eastAsia="仿宋_GB2312" w:cs="Times New Roman"/>
                <w:color w:val="auto"/>
                <w:szCs w:val="21"/>
                <w:lang w:val="en-US" w:eastAsia="zh-CN"/>
              </w:rPr>
              <w:t>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hint="default" w:ascii="Times New Roman" w:hAnsi="Times New Roman" w:eastAsia="仿宋_GB2312" w:cs="Times New Roman"/>
                <w:color w:val="auto"/>
                <w:kern w:val="0"/>
                <w:szCs w:val="21"/>
              </w:rPr>
            </w:pPr>
          </w:p>
        </w:tc>
        <w:tc>
          <w:tcPr>
            <w:tcW w:w="5056" w:type="dxa"/>
            <w:gridSpan w:val="5"/>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按收入性质分：</w:t>
            </w:r>
          </w:p>
        </w:tc>
        <w:tc>
          <w:tcPr>
            <w:tcW w:w="4187" w:type="dxa"/>
            <w:gridSpan w:val="4"/>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hint="default" w:ascii="Times New Roman" w:hAnsi="Times New Roman" w:eastAsia="仿宋_GB2312" w:cs="Times New Roman"/>
                <w:color w:val="auto"/>
                <w:kern w:val="0"/>
                <w:szCs w:val="21"/>
              </w:rPr>
            </w:pPr>
          </w:p>
        </w:tc>
        <w:tc>
          <w:tcPr>
            <w:tcW w:w="5056" w:type="dxa"/>
            <w:gridSpan w:val="5"/>
            <w:noWrap w:val="0"/>
            <w:vAlign w:val="center"/>
          </w:tcPr>
          <w:p>
            <w:pPr>
              <w:widowControl/>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rPr>
              <w:t xml:space="preserve">  其中：  一般公共预算：</w:t>
            </w:r>
            <w:r>
              <w:rPr>
                <w:rFonts w:hint="default" w:ascii="Times New Roman" w:hAnsi="Times New Roman" w:eastAsia="仿宋_GB2312" w:cs="Times New Roman"/>
                <w:color w:val="auto"/>
                <w:kern w:val="0"/>
                <w:szCs w:val="21"/>
                <w:lang w:val="en-US" w:eastAsia="zh-CN"/>
              </w:rPr>
              <w:t>246.18</w:t>
            </w:r>
          </w:p>
        </w:tc>
        <w:tc>
          <w:tcPr>
            <w:tcW w:w="4187" w:type="dxa"/>
            <w:gridSpan w:val="4"/>
            <w:noWrap w:val="0"/>
            <w:vAlign w:val="center"/>
          </w:tcPr>
          <w:p>
            <w:pPr>
              <w:widowControl/>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rPr>
              <w:t>其中：基本支出：</w:t>
            </w:r>
            <w:r>
              <w:rPr>
                <w:rFonts w:hint="default" w:ascii="Times New Roman" w:hAnsi="Times New Roman" w:eastAsia="仿宋_GB2312" w:cs="Times New Roman"/>
                <w:color w:val="auto"/>
                <w:kern w:val="0"/>
                <w:szCs w:val="21"/>
                <w:lang w:val="en-US" w:eastAsia="zh-CN"/>
              </w:rPr>
              <w:t>160.6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hint="default" w:ascii="Times New Roman" w:hAnsi="Times New Roman" w:eastAsia="仿宋_GB2312" w:cs="Times New Roman"/>
                <w:color w:val="auto"/>
                <w:kern w:val="0"/>
                <w:szCs w:val="21"/>
              </w:rPr>
            </w:pPr>
          </w:p>
        </w:tc>
        <w:tc>
          <w:tcPr>
            <w:tcW w:w="5056" w:type="dxa"/>
            <w:gridSpan w:val="5"/>
            <w:noWrap w:val="0"/>
            <w:vAlign w:val="center"/>
          </w:tcPr>
          <w:p>
            <w:pPr>
              <w:widowControl/>
              <w:ind w:firstLine="840" w:firstLineChars="400"/>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政府性基金拨款：</w:t>
            </w:r>
          </w:p>
        </w:tc>
        <w:tc>
          <w:tcPr>
            <w:tcW w:w="4187" w:type="dxa"/>
            <w:gridSpan w:val="4"/>
            <w:noWrap w:val="0"/>
            <w:vAlign w:val="center"/>
          </w:tcPr>
          <w:p>
            <w:pPr>
              <w:widowControl/>
              <w:ind w:firstLine="630" w:firstLineChars="300"/>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rPr>
              <w:t>项目支出：</w:t>
            </w:r>
            <w:r>
              <w:rPr>
                <w:rFonts w:hint="default" w:ascii="Times New Roman" w:hAnsi="Times New Roman" w:eastAsia="仿宋_GB2312" w:cs="Times New Roman"/>
                <w:color w:val="auto"/>
                <w:kern w:val="0"/>
                <w:szCs w:val="21"/>
                <w:lang w:val="en-US" w:eastAsia="zh-CN"/>
              </w:rPr>
              <w:t>56.87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hint="default" w:ascii="Times New Roman" w:hAnsi="Times New Roman" w:eastAsia="仿宋_GB2312" w:cs="Times New Roman"/>
                <w:color w:val="auto"/>
                <w:kern w:val="0"/>
                <w:szCs w:val="21"/>
              </w:rPr>
            </w:pPr>
          </w:p>
        </w:tc>
        <w:tc>
          <w:tcPr>
            <w:tcW w:w="5056" w:type="dxa"/>
            <w:gridSpan w:val="5"/>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纳入专户管理的非税收入拨款：</w:t>
            </w:r>
          </w:p>
        </w:tc>
        <w:tc>
          <w:tcPr>
            <w:tcW w:w="4187" w:type="dxa"/>
            <w:gridSpan w:val="4"/>
            <w:noWrap w:val="0"/>
            <w:vAlign w:val="center"/>
          </w:tcPr>
          <w:p>
            <w:pPr>
              <w:widowControl/>
              <w:jc w:val="left"/>
              <w:rPr>
                <w:rFonts w:hint="default" w:ascii="Times New Roman" w:hAnsi="Times New Roman" w:eastAsia="仿宋_GB2312" w:cs="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hint="default" w:ascii="Times New Roman" w:hAnsi="Times New Roman" w:eastAsia="仿宋_GB2312" w:cs="Times New Roman"/>
                <w:color w:val="auto"/>
                <w:kern w:val="0"/>
                <w:szCs w:val="21"/>
              </w:rPr>
            </w:pPr>
          </w:p>
        </w:tc>
        <w:tc>
          <w:tcPr>
            <w:tcW w:w="5056" w:type="dxa"/>
            <w:gridSpan w:val="5"/>
            <w:noWrap w:val="0"/>
            <w:vAlign w:val="center"/>
          </w:tcPr>
          <w:p>
            <w:pPr>
              <w:widowControl/>
              <w:ind w:firstLine="1470" w:firstLineChars="700"/>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其他资金：</w:t>
            </w:r>
          </w:p>
        </w:tc>
        <w:tc>
          <w:tcPr>
            <w:tcW w:w="4187" w:type="dxa"/>
            <w:gridSpan w:val="4"/>
            <w:noWrap w:val="0"/>
            <w:vAlign w:val="center"/>
          </w:tcPr>
          <w:p>
            <w:pPr>
              <w:widowControl/>
              <w:jc w:val="left"/>
              <w:rPr>
                <w:rFonts w:hint="default" w:ascii="Times New Roman" w:hAnsi="Times New Roman" w:eastAsia="仿宋_GB2312" w:cs="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年度总体目标</w:t>
            </w:r>
          </w:p>
        </w:tc>
        <w:tc>
          <w:tcPr>
            <w:tcW w:w="5056" w:type="dxa"/>
            <w:gridSpan w:val="5"/>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预期目标</w:t>
            </w:r>
          </w:p>
        </w:tc>
        <w:tc>
          <w:tcPr>
            <w:tcW w:w="4187" w:type="dxa"/>
            <w:gridSpan w:val="4"/>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080" w:type="dxa"/>
            <w:vMerge w:val="continue"/>
            <w:noWrap w:val="0"/>
            <w:vAlign w:val="center"/>
          </w:tcPr>
          <w:p>
            <w:pPr>
              <w:widowControl/>
              <w:jc w:val="left"/>
              <w:rPr>
                <w:rFonts w:hint="default" w:ascii="Times New Roman" w:hAnsi="Times New Roman" w:eastAsia="仿宋_GB2312" w:cs="Times New Roman"/>
                <w:color w:val="auto"/>
                <w:kern w:val="0"/>
                <w:szCs w:val="21"/>
              </w:rPr>
            </w:pPr>
          </w:p>
        </w:tc>
        <w:tc>
          <w:tcPr>
            <w:tcW w:w="5056" w:type="dxa"/>
            <w:gridSpan w:val="5"/>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lang w:val="en-US" w:eastAsia="zh-CN"/>
              </w:rPr>
              <w:t>在履职尽责上，坚决落实</w:t>
            </w:r>
            <w:r>
              <w:rPr>
                <w:rFonts w:hint="default" w:ascii="Times New Roman" w:hAnsi="Times New Roman" w:eastAsia="仿宋_GB2312" w:cs="Times New Roman"/>
                <w:color w:val="auto"/>
                <w:kern w:val="0"/>
                <w:szCs w:val="21"/>
              </w:rPr>
              <w:t>厅党组</w:t>
            </w:r>
            <w:r>
              <w:rPr>
                <w:rFonts w:hint="default" w:ascii="Times New Roman" w:hAnsi="Times New Roman" w:eastAsia="仿宋_GB2312" w:cs="Times New Roman"/>
                <w:color w:val="auto"/>
                <w:kern w:val="0"/>
                <w:szCs w:val="21"/>
                <w:lang w:val="en-US" w:eastAsia="zh-CN"/>
              </w:rPr>
              <w:t>决策部署，围绕机关处室的统筹安排，努力发挥支撑与保障作用。在产业发展上，坚持饲料服务种养业导向，围绕养殖业降本增效、节粮降耗，扎实推进高质量发展。在行业服务上，认真践行以企业为中心理念，只要对产业发展有利、对企业有益的都主动入位、积极作为。守住了安全底线，取得了发展进步。</w:t>
            </w:r>
            <w:r>
              <w:rPr>
                <w:rFonts w:hint="default" w:ascii="Times New Roman" w:hAnsi="Times New Roman" w:eastAsia="仿宋_GB2312" w:cs="Times New Roman"/>
                <w:color w:val="auto"/>
                <w:kern w:val="0"/>
                <w:szCs w:val="21"/>
              </w:rPr>
              <w:t>　　</w:t>
            </w:r>
          </w:p>
        </w:tc>
        <w:tc>
          <w:tcPr>
            <w:tcW w:w="4187" w:type="dxa"/>
            <w:gridSpan w:val="4"/>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坚决落实</w:t>
            </w:r>
            <w:r>
              <w:rPr>
                <w:rFonts w:hint="default" w:ascii="Times New Roman" w:hAnsi="Times New Roman" w:eastAsia="仿宋_GB2312" w:cs="Times New Roman"/>
                <w:color w:val="auto"/>
                <w:kern w:val="0"/>
                <w:szCs w:val="21"/>
              </w:rPr>
              <w:t>厅党组</w:t>
            </w:r>
            <w:r>
              <w:rPr>
                <w:rFonts w:hint="default" w:ascii="Times New Roman" w:hAnsi="Times New Roman" w:eastAsia="仿宋_GB2312" w:cs="Times New Roman"/>
                <w:color w:val="auto"/>
                <w:kern w:val="0"/>
                <w:szCs w:val="21"/>
                <w:lang w:val="en-US" w:eastAsia="zh-CN"/>
              </w:rPr>
              <w:t>决策部署，围绕机关处室的统筹安排，努力发挥支撑与保障作用。在产业发展上，坚持饲料服务种养业导向，围绕养殖业降本增效、节粮降耗，扎实推进高质量发展。在行业服务上，认真践行以企业为中心理念，只要对产业发展有利、对企业有益的都主动入位、积极作为。守住了安全底线，取得了发展进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绩</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效</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指</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标</w:t>
            </w:r>
          </w:p>
        </w:tc>
        <w:tc>
          <w:tcPr>
            <w:tcW w:w="1395" w:type="dxa"/>
            <w:noWrap w:val="0"/>
            <w:vAlign w:val="center"/>
          </w:tcPr>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一级指标</w:t>
            </w:r>
          </w:p>
        </w:tc>
        <w:tc>
          <w:tcPr>
            <w:tcW w:w="1252" w:type="dxa"/>
            <w:noWrap w:val="0"/>
            <w:vAlign w:val="center"/>
          </w:tcPr>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二级指标</w:t>
            </w:r>
          </w:p>
        </w:tc>
        <w:tc>
          <w:tcPr>
            <w:tcW w:w="1209" w:type="dxa"/>
            <w:gridSpan w:val="2"/>
            <w:noWrap w:val="0"/>
            <w:vAlign w:val="center"/>
          </w:tcPr>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三级指标</w:t>
            </w:r>
          </w:p>
        </w:tc>
        <w:tc>
          <w:tcPr>
            <w:tcW w:w="1200" w:type="dxa"/>
            <w:noWrap w:val="0"/>
            <w:vAlign w:val="center"/>
          </w:tcPr>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年度</w:t>
            </w:r>
          </w:p>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指标值</w:t>
            </w:r>
          </w:p>
        </w:tc>
        <w:tc>
          <w:tcPr>
            <w:tcW w:w="1134" w:type="dxa"/>
            <w:noWrap w:val="0"/>
            <w:vAlign w:val="center"/>
          </w:tcPr>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实际</w:t>
            </w:r>
          </w:p>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完成值</w:t>
            </w:r>
          </w:p>
        </w:tc>
        <w:tc>
          <w:tcPr>
            <w:tcW w:w="709" w:type="dxa"/>
            <w:noWrap w:val="0"/>
            <w:vAlign w:val="center"/>
          </w:tcPr>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分值</w:t>
            </w:r>
          </w:p>
        </w:tc>
        <w:tc>
          <w:tcPr>
            <w:tcW w:w="898" w:type="dxa"/>
            <w:noWrap w:val="0"/>
            <w:vAlign w:val="center"/>
          </w:tcPr>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得分</w:t>
            </w:r>
          </w:p>
        </w:tc>
        <w:tc>
          <w:tcPr>
            <w:tcW w:w="1446" w:type="dxa"/>
            <w:noWrap w:val="0"/>
            <w:vAlign w:val="top"/>
          </w:tcPr>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偏差原因</w:t>
            </w:r>
          </w:p>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分析及</w:t>
            </w:r>
          </w:p>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hint="default" w:ascii="Times New Roman" w:hAnsi="Times New Roman" w:eastAsia="仿宋_GB2312" w:cs="Times New Roman"/>
                <w:color w:val="auto"/>
                <w:kern w:val="0"/>
                <w:szCs w:val="21"/>
              </w:rPr>
            </w:pPr>
            <w:bookmarkStart w:id="12" w:name="OLE_LINK4" w:colFirst="3" w:colLast="5"/>
          </w:p>
        </w:tc>
        <w:tc>
          <w:tcPr>
            <w:tcW w:w="1395" w:type="dxa"/>
            <w:vMerge w:val="restart"/>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产出指标</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(50分)</w:t>
            </w:r>
          </w:p>
        </w:tc>
        <w:tc>
          <w:tcPr>
            <w:tcW w:w="1252"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数量</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指标</w:t>
            </w:r>
          </w:p>
        </w:tc>
        <w:tc>
          <w:tcPr>
            <w:tcW w:w="1209" w:type="dxa"/>
            <w:gridSpan w:val="2"/>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饲料工业统计</w:t>
            </w:r>
          </w:p>
        </w:tc>
        <w:tc>
          <w:tcPr>
            <w:tcW w:w="1200" w:type="dxa"/>
            <w:noWrap w:val="0"/>
            <w:vAlign w:val="center"/>
          </w:tcPr>
          <w:p>
            <w:pPr>
              <w:widowControl/>
              <w:jc w:val="center"/>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lang w:val="en-US" w:eastAsia="zh-CN"/>
              </w:rPr>
              <w:t>1次</w:t>
            </w:r>
          </w:p>
        </w:tc>
        <w:tc>
          <w:tcPr>
            <w:tcW w:w="1134" w:type="dxa"/>
            <w:noWrap w:val="0"/>
            <w:vAlign w:val="center"/>
          </w:tcPr>
          <w:p>
            <w:pPr>
              <w:widowControl/>
              <w:jc w:val="center"/>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lang w:val="en-US" w:eastAsia="zh-CN"/>
              </w:rPr>
              <w:t>1次</w:t>
            </w:r>
          </w:p>
        </w:tc>
        <w:tc>
          <w:tcPr>
            <w:tcW w:w="709" w:type="dxa"/>
            <w:noWrap w:val="0"/>
            <w:vAlign w:val="center"/>
          </w:tcPr>
          <w:p>
            <w:pPr>
              <w:widowControl/>
              <w:jc w:val="center"/>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15</w:t>
            </w:r>
          </w:p>
        </w:tc>
        <w:tc>
          <w:tcPr>
            <w:tcW w:w="898"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cs="Times New Roman"/>
                <w:color w:val="auto"/>
                <w:lang w:val="en-US" w:eastAsia="zh-CN"/>
              </w:rPr>
              <w:t>15</w:t>
            </w:r>
          </w:p>
        </w:tc>
        <w:tc>
          <w:tcPr>
            <w:tcW w:w="1446"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bookmarkEnd w:id="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hint="default" w:ascii="Times New Roman" w:hAnsi="Times New Roman" w:eastAsia="仿宋_GB2312" w:cs="Times New Roman"/>
                <w:color w:val="auto"/>
                <w:kern w:val="0"/>
                <w:szCs w:val="21"/>
              </w:rPr>
            </w:pPr>
          </w:p>
        </w:tc>
        <w:tc>
          <w:tcPr>
            <w:tcW w:w="1395" w:type="dxa"/>
            <w:vMerge w:val="continue"/>
            <w:noWrap w:val="0"/>
            <w:vAlign w:val="center"/>
          </w:tcPr>
          <w:p>
            <w:pPr>
              <w:jc w:val="left"/>
              <w:rPr>
                <w:rFonts w:hint="default" w:ascii="Times New Roman" w:hAnsi="Times New Roman" w:eastAsia="仿宋_GB2312" w:cs="Times New Roman"/>
                <w:color w:val="auto"/>
                <w:kern w:val="0"/>
                <w:szCs w:val="21"/>
              </w:rPr>
            </w:pPr>
          </w:p>
        </w:tc>
        <w:tc>
          <w:tcPr>
            <w:tcW w:w="1252"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质量</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指标</w:t>
            </w:r>
          </w:p>
        </w:tc>
        <w:tc>
          <w:tcPr>
            <w:tcW w:w="1209" w:type="dxa"/>
            <w:gridSpan w:val="2"/>
            <w:noWrap w:val="0"/>
            <w:vAlign w:val="center"/>
          </w:tcPr>
          <w:p>
            <w:pPr>
              <w:widowControl/>
              <w:jc w:val="center"/>
              <w:rPr>
                <w:rFonts w:hint="default" w:ascii="Times New Roman" w:hAnsi="Times New Roman" w:eastAsia="仿宋_GB2312" w:cs="Times New Roman"/>
                <w:color w:val="auto"/>
                <w:kern w:val="0"/>
                <w:szCs w:val="21"/>
                <w:lang w:val="en-US"/>
              </w:rPr>
            </w:pPr>
            <w:r>
              <w:rPr>
                <w:rFonts w:hint="default" w:ascii="Times New Roman" w:hAnsi="Times New Roman" w:eastAsia="仿宋_GB2312" w:cs="Times New Roman"/>
                <w:color w:val="auto"/>
                <w:kern w:val="0"/>
                <w:sz w:val="21"/>
                <w:szCs w:val="21"/>
                <w:lang w:val="en-US" w:eastAsia="zh-CN"/>
              </w:rPr>
              <w:t>全省饲料和饲料添加剂生产许可的现场审核</w:t>
            </w:r>
          </w:p>
        </w:tc>
        <w:tc>
          <w:tcPr>
            <w:tcW w:w="1200"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 w:val="21"/>
                <w:szCs w:val="21"/>
                <w:lang w:val="en-US" w:eastAsia="zh-CN"/>
              </w:rPr>
              <w:t>稳步提升</w:t>
            </w:r>
            <w:r>
              <w:rPr>
                <w:rFonts w:hint="default" w:ascii="Times New Roman" w:hAnsi="Times New Roman" w:eastAsia="仿宋_GB2312" w:cs="Times New Roman"/>
                <w:color w:val="auto"/>
                <w:kern w:val="0"/>
                <w:szCs w:val="21"/>
              </w:rPr>
              <w:t>　</w:t>
            </w:r>
          </w:p>
        </w:tc>
        <w:tc>
          <w:tcPr>
            <w:tcW w:w="1134"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 w:val="21"/>
                <w:szCs w:val="21"/>
                <w:lang w:val="en-US" w:eastAsia="zh-CN"/>
              </w:rPr>
              <w:t>稳步提升</w:t>
            </w:r>
          </w:p>
        </w:tc>
        <w:tc>
          <w:tcPr>
            <w:tcW w:w="709" w:type="dxa"/>
            <w:noWrap w:val="0"/>
            <w:vAlign w:val="center"/>
          </w:tcPr>
          <w:p>
            <w:pPr>
              <w:widowControl/>
              <w:jc w:val="center"/>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lang w:val="en-US" w:eastAsia="zh-CN"/>
              </w:rPr>
              <w:t>15</w:t>
            </w:r>
          </w:p>
        </w:tc>
        <w:tc>
          <w:tcPr>
            <w:tcW w:w="898"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lang w:val="en-US" w:eastAsia="zh-CN"/>
              </w:rPr>
              <w:t>15</w:t>
            </w:r>
          </w:p>
        </w:tc>
        <w:tc>
          <w:tcPr>
            <w:tcW w:w="1446"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hint="default" w:ascii="Times New Roman" w:hAnsi="Times New Roman" w:eastAsia="仿宋_GB2312" w:cs="Times New Roman"/>
                <w:color w:val="auto"/>
                <w:kern w:val="0"/>
                <w:szCs w:val="21"/>
              </w:rPr>
            </w:pPr>
          </w:p>
        </w:tc>
        <w:tc>
          <w:tcPr>
            <w:tcW w:w="1395" w:type="dxa"/>
            <w:vMerge w:val="continue"/>
            <w:noWrap w:val="0"/>
            <w:vAlign w:val="center"/>
          </w:tcPr>
          <w:p>
            <w:pPr>
              <w:jc w:val="left"/>
              <w:rPr>
                <w:rFonts w:hint="default" w:ascii="Times New Roman" w:hAnsi="Times New Roman" w:eastAsia="仿宋_GB2312" w:cs="Times New Roman"/>
                <w:color w:val="auto"/>
                <w:kern w:val="0"/>
                <w:szCs w:val="21"/>
              </w:rPr>
            </w:pPr>
          </w:p>
        </w:tc>
        <w:tc>
          <w:tcPr>
            <w:tcW w:w="1252"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时效</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指标</w:t>
            </w:r>
          </w:p>
        </w:tc>
        <w:tc>
          <w:tcPr>
            <w:tcW w:w="1209" w:type="dxa"/>
            <w:gridSpan w:val="2"/>
            <w:noWrap w:val="0"/>
            <w:vAlign w:val="center"/>
          </w:tcPr>
          <w:p>
            <w:pPr>
              <w:widowControl/>
              <w:spacing w:line="240" w:lineRule="exact"/>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sz w:val="20"/>
                <w:szCs w:val="20"/>
                <w:lang w:val="en-US" w:eastAsia="zh-CN"/>
              </w:rPr>
              <w:t xml:space="preserve">各项工作完成时间 </w:t>
            </w:r>
          </w:p>
        </w:tc>
        <w:tc>
          <w:tcPr>
            <w:tcW w:w="1200" w:type="dxa"/>
            <w:noWrap w:val="0"/>
            <w:vAlign w:val="center"/>
          </w:tcPr>
          <w:p>
            <w:pPr>
              <w:widowControl/>
              <w:spacing w:line="240" w:lineRule="exact"/>
              <w:jc w:val="left"/>
              <w:rPr>
                <w:rFonts w:hint="default" w:ascii="Times New Roman" w:hAnsi="Times New Roman" w:eastAsia="仿宋_GB2312" w:cs="Times New Roman"/>
                <w:color w:val="auto"/>
                <w:kern w:val="0"/>
                <w:szCs w:val="21"/>
                <w:lang w:val="en-US" w:eastAsia="zh-CN"/>
              </w:rPr>
            </w:pPr>
            <w:bookmarkStart w:id="13" w:name="OLE_LINK2"/>
            <w:r>
              <w:rPr>
                <w:rFonts w:hint="default" w:ascii="Times New Roman" w:hAnsi="Times New Roman" w:eastAsia="仿宋_GB2312" w:cs="Times New Roman"/>
                <w:color w:val="auto"/>
                <w:sz w:val="20"/>
                <w:szCs w:val="20"/>
                <w:lang w:val="en-US" w:eastAsia="zh-CN"/>
              </w:rPr>
              <w:t>2024年12月</w:t>
            </w:r>
            <w:bookmarkEnd w:id="13"/>
          </w:p>
        </w:tc>
        <w:tc>
          <w:tcPr>
            <w:tcW w:w="1134" w:type="dxa"/>
            <w:noWrap w:val="0"/>
            <w:vAlign w:val="center"/>
          </w:tcPr>
          <w:p>
            <w:pPr>
              <w:widowControl/>
              <w:spacing w:line="240" w:lineRule="exact"/>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sz w:val="20"/>
                <w:szCs w:val="20"/>
                <w:lang w:val="en-US" w:eastAsia="zh-CN"/>
              </w:rPr>
              <w:t>2024年12月</w:t>
            </w:r>
          </w:p>
        </w:tc>
        <w:tc>
          <w:tcPr>
            <w:tcW w:w="709" w:type="dxa"/>
            <w:noWrap w:val="0"/>
            <w:vAlign w:val="center"/>
          </w:tcPr>
          <w:p>
            <w:pPr>
              <w:widowControl/>
              <w:jc w:val="center"/>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lang w:val="en-US" w:eastAsia="zh-CN"/>
              </w:rPr>
              <w:t>10</w:t>
            </w:r>
          </w:p>
        </w:tc>
        <w:tc>
          <w:tcPr>
            <w:tcW w:w="898"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lang w:val="en-US" w:eastAsia="zh-CN"/>
              </w:rPr>
              <w:t>10</w:t>
            </w:r>
          </w:p>
        </w:tc>
        <w:tc>
          <w:tcPr>
            <w:tcW w:w="1446"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hint="default" w:ascii="Times New Roman" w:hAnsi="Times New Roman" w:eastAsia="仿宋_GB2312" w:cs="Times New Roman"/>
                <w:color w:val="auto"/>
                <w:kern w:val="0"/>
                <w:szCs w:val="21"/>
              </w:rPr>
            </w:pPr>
            <w:bookmarkStart w:id="14" w:name="OLE_LINK8" w:colFirst="3" w:colLast="5"/>
          </w:p>
        </w:tc>
        <w:tc>
          <w:tcPr>
            <w:tcW w:w="1395" w:type="dxa"/>
            <w:vMerge w:val="continue"/>
            <w:noWrap w:val="0"/>
            <w:vAlign w:val="center"/>
          </w:tcPr>
          <w:p>
            <w:pPr>
              <w:jc w:val="left"/>
              <w:rPr>
                <w:rFonts w:hint="default" w:ascii="Times New Roman" w:hAnsi="Times New Roman" w:eastAsia="仿宋_GB2312" w:cs="Times New Roman"/>
                <w:color w:val="auto"/>
                <w:kern w:val="0"/>
                <w:szCs w:val="21"/>
              </w:rPr>
            </w:pPr>
          </w:p>
        </w:tc>
        <w:tc>
          <w:tcPr>
            <w:tcW w:w="1252"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成本</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指标</w:t>
            </w:r>
          </w:p>
        </w:tc>
        <w:tc>
          <w:tcPr>
            <w:tcW w:w="1209" w:type="dxa"/>
            <w:gridSpan w:val="2"/>
            <w:noWrap w:val="0"/>
            <w:vAlign w:val="center"/>
          </w:tcPr>
          <w:p>
            <w:pPr>
              <w:widowControl/>
              <w:jc w:val="center"/>
              <w:rPr>
                <w:rFonts w:hint="default" w:ascii="Times New Roman" w:hAnsi="Times New Roman" w:eastAsia="仿宋_GB2312" w:cs="Times New Roman"/>
                <w:color w:val="auto"/>
                <w:kern w:val="0"/>
                <w:szCs w:val="21"/>
                <w:lang w:val="en-US"/>
              </w:rPr>
            </w:pPr>
            <w:r>
              <w:rPr>
                <w:rFonts w:hint="default" w:ascii="Times New Roman" w:hAnsi="Times New Roman" w:eastAsia="仿宋_GB2312" w:cs="Times New Roman"/>
                <w:color w:val="auto"/>
                <w:kern w:val="0"/>
                <w:sz w:val="21"/>
                <w:szCs w:val="21"/>
                <w:lang w:val="en-US" w:eastAsia="zh-CN"/>
              </w:rPr>
              <w:t>全年支行成本</w:t>
            </w:r>
          </w:p>
        </w:tc>
        <w:tc>
          <w:tcPr>
            <w:tcW w:w="1200" w:type="dxa"/>
            <w:noWrap w:val="0"/>
            <w:vAlign w:val="center"/>
          </w:tcPr>
          <w:p>
            <w:pPr>
              <w:widowControl/>
              <w:jc w:val="center"/>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lang w:val="en-US" w:eastAsia="zh-CN"/>
              </w:rPr>
              <w:t>控制在预算范围内</w:t>
            </w:r>
          </w:p>
        </w:tc>
        <w:tc>
          <w:tcPr>
            <w:tcW w:w="1134" w:type="dxa"/>
            <w:noWrap w:val="0"/>
            <w:vAlign w:val="center"/>
          </w:tcPr>
          <w:p>
            <w:pPr>
              <w:widowControl/>
              <w:jc w:val="center"/>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lang w:val="en-US" w:eastAsia="zh-CN"/>
              </w:rPr>
              <w:t>完成</w:t>
            </w:r>
          </w:p>
        </w:tc>
        <w:tc>
          <w:tcPr>
            <w:tcW w:w="709"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lang w:val="en-US" w:eastAsia="zh-CN"/>
              </w:rPr>
              <w:t>10</w:t>
            </w:r>
          </w:p>
        </w:tc>
        <w:tc>
          <w:tcPr>
            <w:tcW w:w="898"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lang w:val="en-US" w:eastAsia="zh-CN"/>
              </w:rPr>
              <w:t>10</w:t>
            </w:r>
          </w:p>
        </w:tc>
        <w:tc>
          <w:tcPr>
            <w:tcW w:w="1446"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bookmark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hint="default" w:ascii="Times New Roman" w:hAnsi="Times New Roman" w:eastAsia="仿宋_GB2312" w:cs="Times New Roman"/>
                <w:color w:val="auto"/>
                <w:kern w:val="0"/>
                <w:szCs w:val="21"/>
              </w:rPr>
            </w:pPr>
            <w:bookmarkStart w:id="15" w:name="OLE_LINK12" w:colFirst="3" w:colLast="5"/>
          </w:p>
        </w:tc>
        <w:tc>
          <w:tcPr>
            <w:tcW w:w="1395" w:type="dxa"/>
            <w:vMerge w:val="restart"/>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效益指标</w:t>
            </w:r>
          </w:p>
          <w:p>
            <w:pPr>
              <w:widowControl/>
              <w:ind w:firstLine="210" w:firstLineChars="100"/>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（30分）　</w:t>
            </w:r>
          </w:p>
        </w:tc>
        <w:tc>
          <w:tcPr>
            <w:tcW w:w="1252"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经济效</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益指标</w:t>
            </w:r>
          </w:p>
        </w:tc>
        <w:tc>
          <w:tcPr>
            <w:tcW w:w="1209" w:type="dxa"/>
            <w:gridSpan w:val="2"/>
            <w:noWrap w:val="0"/>
            <w:vAlign w:val="center"/>
          </w:tcPr>
          <w:p>
            <w:pPr>
              <w:keepNext w:val="0"/>
              <w:keepLines w:val="0"/>
              <w:widowControl/>
              <w:suppressLineNumbers w:val="0"/>
              <w:jc w:val="left"/>
              <w:textAlignment w:val="center"/>
              <w:rPr>
                <w:rFonts w:hint="default" w:ascii="Times New Roman" w:hAnsi="Times New Roman" w:eastAsia="仿宋_GB2312" w:cs="Times New Roman"/>
                <w:b/>
                <w:bCs/>
                <w:color w:val="auto"/>
                <w:kern w:val="0"/>
                <w:szCs w:val="21"/>
              </w:rPr>
            </w:pPr>
            <w:r>
              <w:rPr>
                <w:rFonts w:hint="default" w:ascii="Times New Roman" w:hAnsi="Times New Roman" w:eastAsia="仿宋_GB2312" w:cs="Times New Roman"/>
                <w:i w:val="0"/>
                <w:color w:val="auto"/>
                <w:kern w:val="0"/>
                <w:sz w:val="21"/>
                <w:szCs w:val="21"/>
                <w:u w:val="none"/>
                <w:lang w:val="en-US" w:eastAsia="zh-CN" w:bidi="ar"/>
              </w:rPr>
              <w:t>全省饲料行政管理和质量安全监管监测</w:t>
            </w:r>
          </w:p>
        </w:tc>
        <w:tc>
          <w:tcPr>
            <w:tcW w:w="1200"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1300万吨</w:t>
            </w:r>
          </w:p>
        </w:tc>
        <w:tc>
          <w:tcPr>
            <w:tcW w:w="1134"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b w:val="0"/>
                <w:bCs w:val="0"/>
                <w:color w:val="auto"/>
                <w:kern w:val="0"/>
                <w:sz w:val="21"/>
                <w:szCs w:val="21"/>
                <w:lang w:val="en-US" w:eastAsia="zh-CN"/>
              </w:rPr>
              <w:t>1374.8万吨</w:t>
            </w:r>
          </w:p>
        </w:tc>
        <w:tc>
          <w:tcPr>
            <w:tcW w:w="709"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lang w:val="en-US" w:eastAsia="zh-CN"/>
              </w:rPr>
              <w:t>10</w:t>
            </w:r>
          </w:p>
        </w:tc>
        <w:tc>
          <w:tcPr>
            <w:tcW w:w="898"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lang w:val="en-US" w:eastAsia="zh-CN"/>
              </w:rPr>
              <w:t>10</w:t>
            </w:r>
          </w:p>
        </w:tc>
        <w:tc>
          <w:tcPr>
            <w:tcW w:w="1446"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bookmark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hint="default" w:ascii="Times New Roman" w:hAnsi="Times New Roman" w:eastAsia="仿宋_GB2312" w:cs="Times New Roman"/>
                <w:color w:val="auto"/>
                <w:kern w:val="0"/>
                <w:szCs w:val="21"/>
              </w:rPr>
            </w:pPr>
          </w:p>
        </w:tc>
        <w:tc>
          <w:tcPr>
            <w:tcW w:w="1395" w:type="dxa"/>
            <w:vMerge w:val="continue"/>
            <w:noWrap w:val="0"/>
            <w:vAlign w:val="center"/>
          </w:tcPr>
          <w:p>
            <w:pPr>
              <w:jc w:val="left"/>
              <w:rPr>
                <w:rFonts w:hint="default" w:ascii="Times New Roman" w:hAnsi="Times New Roman" w:eastAsia="仿宋_GB2312" w:cs="Times New Roman"/>
                <w:color w:val="auto"/>
                <w:kern w:val="0"/>
                <w:szCs w:val="21"/>
              </w:rPr>
            </w:pPr>
          </w:p>
        </w:tc>
        <w:tc>
          <w:tcPr>
            <w:tcW w:w="1252"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社会效</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益指标</w:t>
            </w:r>
          </w:p>
        </w:tc>
        <w:tc>
          <w:tcPr>
            <w:tcW w:w="1209" w:type="dxa"/>
            <w:gridSpan w:val="2"/>
            <w:noWrap w:val="0"/>
            <w:vAlign w:val="center"/>
          </w:tcPr>
          <w:p>
            <w:pPr>
              <w:keepNext w:val="0"/>
              <w:keepLines w:val="0"/>
              <w:widowControl/>
              <w:suppressLineNumbers w:val="0"/>
              <w:jc w:val="left"/>
              <w:textAlignment w:val="center"/>
              <w:rPr>
                <w:rFonts w:hint="default" w:ascii="Times New Roman" w:hAnsi="Times New Roman" w:eastAsia="仿宋_GB2312" w:cs="Times New Roman"/>
                <w:color w:val="auto"/>
                <w:kern w:val="0"/>
                <w:szCs w:val="21"/>
                <w:lang w:val="en-US"/>
              </w:rPr>
            </w:pPr>
            <w:r>
              <w:rPr>
                <w:rFonts w:hint="default" w:ascii="Times New Roman" w:hAnsi="Times New Roman" w:eastAsia="仿宋_GB2312" w:cs="Times New Roman"/>
                <w:color w:val="auto"/>
                <w:kern w:val="0"/>
                <w:sz w:val="21"/>
                <w:szCs w:val="21"/>
                <w:lang w:val="en-US" w:eastAsia="zh-CN"/>
              </w:rPr>
              <w:t>政策性粮食进入饲料加工企业加工成饲料产品后的质量安全监管</w:t>
            </w:r>
          </w:p>
        </w:tc>
        <w:tc>
          <w:tcPr>
            <w:tcW w:w="1200" w:type="dxa"/>
            <w:noWrap w:val="0"/>
            <w:vAlign w:val="center"/>
          </w:tcPr>
          <w:p>
            <w:pPr>
              <w:keepNext w:val="0"/>
              <w:keepLines w:val="0"/>
              <w:widowControl/>
              <w:suppressLineNumbers w:val="0"/>
              <w:jc w:val="left"/>
              <w:textAlignment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lang w:val="en-US" w:eastAsia="zh-CN"/>
              </w:rPr>
              <w:t>完成</w:t>
            </w:r>
          </w:p>
        </w:tc>
        <w:tc>
          <w:tcPr>
            <w:tcW w:w="1134"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完成</w:t>
            </w:r>
            <w:r>
              <w:rPr>
                <w:rFonts w:hint="default" w:ascii="Times New Roman" w:hAnsi="Times New Roman" w:eastAsia="仿宋_GB2312" w:cs="Times New Roman"/>
                <w:color w:val="auto"/>
                <w:kern w:val="0"/>
                <w:szCs w:val="21"/>
              </w:rPr>
              <w:t>　</w:t>
            </w:r>
          </w:p>
        </w:tc>
        <w:tc>
          <w:tcPr>
            <w:tcW w:w="709"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lang w:val="en-US" w:eastAsia="zh-CN"/>
              </w:rPr>
              <w:t>10</w:t>
            </w:r>
          </w:p>
        </w:tc>
        <w:tc>
          <w:tcPr>
            <w:tcW w:w="898"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lang w:val="en-US" w:eastAsia="zh-CN"/>
              </w:rPr>
              <w:t>10</w:t>
            </w:r>
          </w:p>
        </w:tc>
        <w:tc>
          <w:tcPr>
            <w:tcW w:w="1446"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hint="default" w:ascii="Times New Roman" w:hAnsi="Times New Roman" w:eastAsia="仿宋_GB2312" w:cs="Times New Roman"/>
                <w:color w:val="auto"/>
                <w:kern w:val="0"/>
                <w:szCs w:val="21"/>
              </w:rPr>
            </w:pPr>
          </w:p>
        </w:tc>
        <w:tc>
          <w:tcPr>
            <w:tcW w:w="1395" w:type="dxa"/>
            <w:vMerge w:val="continue"/>
            <w:noWrap w:val="0"/>
            <w:vAlign w:val="center"/>
          </w:tcPr>
          <w:p>
            <w:pPr>
              <w:jc w:val="left"/>
              <w:rPr>
                <w:rFonts w:hint="default" w:ascii="Times New Roman" w:hAnsi="Times New Roman" w:eastAsia="仿宋_GB2312" w:cs="Times New Roman"/>
                <w:color w:val="auto"/>
                <w:kern w:val="0"/>
                <w:szCs w:val="21"/>
              </w:rPr>
            </w:pPr>
          </w:p>
        </w:tc>
        <w:tc>
          <w:tcPr>
            <w:tcW w:w="1252"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生态效</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益指标</w:t>
            </w:r>
          </w:p>
        </w:tc>
        <w:tc>
          <w:tcPr>
            <w:tcW w:w="1209" w:type="dxa"/>
            <w:gridSpan w:val="2"/>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 w:val="21"/>
                <w:szCs w:val="21"/>
                <w:lang w:val="en-US" w:eastAsia="zh-CN"/>
              </w:rPr>
              <w:t>政策性粮食进入饲料加工企业加工成饲料产品后的质量安全监管</w:t>
            </w:r>
          </w:p>
        </w:tc>
        <w:tc>
          <w:tcPr>
            <w:tcW w:w="1200" w:type="dxa"/>
            <w:noWrap w:val="0"/>
            <w:vAlign w:val="center"/>
          </w:tcPr>
          <w:p>
            <w:pPr>
              <w:widowControl/>
              <w:jc w:val="center"/>
              <w:rPr>
                <w:rFonts w:hint="default" w:ascii="Times New Roman" w:hAnsi="Times New Roman" w:eastAsia="仿宋_GB2312" w:cs="Times New Roman"/>
                <w:color w:val="auto"/>
                <w:kern w:val="0"/>
                <w:szCs w:val="21"/>
                <w:lang w:val="en-US" w:eastAsia="zh-CN"/>
              </w:rPr>
            </w:pPr>
            <w:bookmarkStart w:id="16" w:name="OLE_LINK5"/>
            <w:r>
              <w:rPr>
                <w:rFonts w:hint="default" w:ascii="Times New Roman" w:hAnsi="Times New Roman" w:eastAsia="仿宋_GB2312" w:cs="Times New Roman"/>
                <w:color w:val="auto"/>
                <w:kern w:val="0"/>
                <w:szCs w:val="21"/>
                <w:lang w:val="en-US" w:eastAsia="zh-CN"/>
              </w:rPr>
              <w:t>完成</w:t>
            </w:r>
            <w:bookmarkEnd w:id="16"/>
          </w:p>
        </w:tc>
        <w:tc>
          <w:tcPr>
            <w:tcW w:w="1134"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完成</w:t>
            </w:r>
          </w:p>
        </w:tc>
        <w:tc>
          <w:tcPr>
            <w:tcW w:w="709"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lang w:val="en-US" w:eastAsia="zh-CN"/>
              </w:rPr>
              <w:t>10</w:t>
            </w:r>
          </w:p>
        </w:tc>
        <w:tc>
          <w:tcPr>
            <w:tcW w:w="898"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lang w:val="en-US" w:eastAsia="zh-CN"/>
              </w:rPr>
              <w:t>10</w:t>
            </w:r>
          </w:p>
        </w:tc>
        <w:tc>
          <w:tcPr>
            <w:tcW w:w="1446"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hint="default" w:ascii="Times New Roman" w:hAnsi="Times New Roman" w:eastAsia="仿宋_GB2312" w:cs="Times New Roman"/>
                <w:color w:val="auto"/>
                <w:kern w:val="0"/>
                <w:szCs w:val="21"/>
              </w:rPr>
            </w:pPr>
          </w:p>
        </w:tc>
        <w:tc>
          <w:tcPr>
            <w:tcW w:w="1395"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满意度</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指标</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（10分）</w:t>
            </w:r>
          </w:p>
        </w:tc>
        <w:tc>
          <w:tcPr>
            <w:tcW w:w="1252"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服务对象满意度指标</w:t>
            </w:r>
          </w:p>
        </w:tc>
        <w:tc>
          <w:tcPr>
            <w:tcW w:w="1209" w:type="dxa"/>
            <w:gridSpan w:val="2"/>
            <w:noWrap w:val="0"/>
            <w:vAlign w:val="center"/>
          </w:tcPr>
          <w:p>
            <w:pPr>
              <w:widowControl/>
              <w:jc w:val="center"/>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lang w:val="en-US" w:eastAsia="zh-CN"/>
              </w:rPr>
              <w:t>服务饲料企业满意度</w:t>
            </w:r>
          </w:p>
        </w:tc>
        <w:tc>
          <w:tcPr>
            <w:tcW w:w="1200" w:type="dxa"/>
            <w:noWrap w:val="0"/>
            <w:vAlign w:val="center"/>
          </w:tcPr>
          <w:p>
            <w:pPr>
              <w:widowControl/>
              <w:jc w:val="center"/>
              <w:rPr>
                <w:rFonts w:hint="default" w:ascii="Times New Roman" w:hAnsi="Times New Roman" w:eastAsia="仿宋_GB2312" w:cs="Times New Roman"/>
                <w:color w:val="auto"/>
                <w:kern w:val="0"/>
                <w:szCs w:val="21"/>
                <w:lang w:val="en-US"/>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≧90%</w:t>
            </w:r>
          </w:p>
        </w:tc>
        <w:tc>
          <w:tcPr>
            <w:tcW w:w="1134" w:type="dxa"/>
            <w:noWrap w:val="0"/>
            <w:vAlign w:val="center"/>
          </w:tcPr>
          <w:p>
            <w:pPr>
              <w:widowControl/>
              <w:jc w:val="center"/>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95%</w:t>
            </w:r>
          </w:p>
        </w:tc>
        <w:tc>
          <w:tcPr>
            <w:tcW w:w="709"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lang w:val="en-US" w:eastAsia="zh-CN"/>
              </w:rPr>
              <w:t>10</w:t>
            </w:r>
          </w:p>
        </w:tc>
        <w:tc>
          <w:tcPr>
            <w:tcW w:w="898"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lang w:val="en-US" w:eastAsia="zh-CN"/>
              </w:rPr>
              <w:t>10</w:t>
            </w:r>
          </w:p>
        </w:tc>
        <w:tc>
          <w:tcPr>
            <w:tcW w:w="1446"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70" w:type="dxa"/>
            <w:gridSpan w:val="7"/>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总分</w:t>
            </w:r>
          </w:p>
        </w:tc>
        <w:tc>
          <w:tcPr>
            <w:tcW w:w="709"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100</w:t>
            </w:r>
          </w:p>
        </w:tc>
        <w:tc>
          <w:tcPr>
            <w:tcW w:w="898" w:type="dxa"/>
            <w:noWrap w:val="0"/>
            <w:vAlign w:val="center"/>
          </w:tcPr>
          <w:p>
            <w:pPr>
              <w:widowControl/>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lang w:val="en-US" w:eastAsia="zh-CN"/>
              </w:rPr>
              <w:t>98.84</w:t>
            </w:r>
          </w:p>
        </w:tc>
        <w:tc>
          <w:tcPr>
            <w:tcW w:w="1446"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bl>
    <w:p>
      <w:pPr>
        <w:widowControl/>
        <w:jc w:val="left"/>
        <w:rPr>
          <w:rFonts w:hint="default" w:ascii="Times New Roman" w:hAnsi="Times New Roman" w:eastAsia="黑体" w:cs="Times New Roman"/>
          <w:color w:val="auto"/>
          <w:sz w:val="32"/>
          <w:szCs w:val="32"/>
        </w:rPr>
      </w:pPr>
    </w:p>
    <w:p>
      <w:pPr>
        <w:widowControl/>
        <w:jc w:val="left"/>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rPr>
        <w:br w:type="page"/>
      </w:r>
      <w:r>
        <w:rPr>
          <w:rFonts w:hint="default" w:ascii="Times New Roman" w:hAnsi="Times New Roman" w:eastAsia="黑体" w:cs="Times New Roman"/>
          <w:color w:val="auto"/>
          <w:sz w:val="24"/>
          <w:szCs w:val="24"/>
        </w:rPr>
        <w:t>附件</w:t>
      </w:r>
      <w:r>
        <w:rPr>
          <w:rFonts w:hint="default" w:ascii="Times New Roman" w:hAnsi="Times New Roman" w:eastAsia="黑体" w:cs="Times New Roman"/>
          <w:color w:val="auto"/>
          <w:sz w:val="24"/>
          <w:szCs w:val="24"/>
          <w:lang w:val="en-US" w:eastAsia="zh-CN"/>
        </w:rPr>
        <w:t>4</w:t>
      </w:r>
    </w:p>
    <w:p>
      <w:pPr>
        <w:widowControl/>
        <w:jc w:val="center"/>
        <w:rPr>
          <w:rFonts w:hint="default" w:ascii="Times New Roman" w:hAnsi="Times New Roman" w:eastAsia="方正小标宋_GBK" w:cs="Times New Roman"/>
          <w:color w:val="auto"/>
          <w:kern w:val="0"/>
          <w:sz w:val="36"/>
          <w:szCs w:val="36"/>
        </w:rPr>
      </w:pPr>
      <w:r>
        <w:rPr>
          <w:rFonts w:hint="default" w:ascii="Times New Roman" w:hAnsi="Times New Roman" w:eastAsia="方正小标宋_GBK" w:cs="Times New Roman"/>
          <w:color w:val="auto"/>
          <w:kern w:val="0"/>
          <w:sz w:val="36"/>
          <w:szCs w:val="36"/>
        </w:rPr>
        <w:t>项目支出绩效自评表</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w:t>
      </w:r>
      <w:r>
        <w:rPr>
          <w:rFonts w:hint="default" w:ascii="Times New Roman" w:hAnsi="Times New Roman" w:eastAsia="仿宋_GB2312" w:cs="Times New Roman"/>
          <w:color w:val="auto"/>
          <w:kern w:val="0"/>
          <w:szCs w:val="21"/>
          <w:lang w:val="en-US" w:eastAsia="zh-CN"/>
        </w:rPr>
        <w:t>2024</w:t>
      </w:r>
      <w:r>
        <w:rPr>
          <w:rFonts w:hint="default" w:ascii="Times New Roman" w:hAnsi="Times New Roman" w:eastAsia="仿宋_GB2312" w:cs="Times New Roman"/>
          <w:color w:val="auto"/>
          <w:kern w:val="0"/>
          <w:szCs w:val="21"/>
        </w:rPr>
        <w:t>年度）</w:t>
      </w:r>
    </w:p>
    <w:tbl>
      <w:tblPr>
        <w:tblStyle w:val="11"/>
        <w:tblW w:w="107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349"/>
        <w:gridCol w:w="1730"/>
        <w:gridCol w:w="1209"/>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080" w:type="dxa"/>
            <w:noWrap w:val="0"/>
            <w:vAlign w:val="center"/>
          </w:tcPr>
          <w:p>
            <w:pPr>
              <w:widowControl/>
              <w:spacing w:line="26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项目支</w:t>
            </w:r>
          </w:p>
          <w:p>
            <w:pPr>
              <w:widowControl/>
              <w:spacing w:line="26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出名称</w:t>
            </w:r>
          </w:p>
        </w:tc>
        <w:tc>
          <w:tcPr>
            <w:tcW w:w="9621" w:type="dxa"/>
            <w:gridSpan w:val="8"/>
            <w:noWrap w:val="0"/>
            <w:vAlign w:val="center"/>
          </w:tcPr>
          <w:p>
            <w:pPr>
              <w:widowControl/>
              <w:jc w:val="center"/>
              <w:rPr>
                <w:rFonts w:hint="default" w:ascii="Times New Roman" w:hAnsi="Times New Roman" w:eastAsia="仿宋_GB2312" w:cs="Times New Roman"/>
                <w:color w:val="auto"/>
                <w:kern w:val="0"/>
                <w:szCs w:val="21"/>
              </w:rPr>
            </w:pPr>
            <w:bookmarkStart w:id="17" w:name="OLE_LINK20"/>
            <w:r>
              <w:rPr>
                <w:rFonts w:hint="default" w:ascii="Times New Roman" w:hAnsi="Times New Roman" w:eastAsia="仿宋_GB2312" w:cs="Times New Roman"/>
                <w:color w:val="auto"/>
                <w:kern w:val="0"/>
                <w:szCs w:val="21"/>
                <w:lang w:val="en-US" w:eastAsia="zh-CN"/>
              </w:rPr>
              <w:t>现代农业发展</w:t>
            </w:r>
            <w:r>
              <w:rPr>
                <w:rFonts w:hint="default" w:ascii="Times New Roman" w:hAnsi="Times New Roman" w:eastAsia="仿宋_GB2312" w:cs="Times New Roman"/>
                <w:color w:val="auto"/>
                <w:kern w:val="0"/>
                <w:szCs w:val="21"/>
              </w:rPr>
              <w:t>　</w:t>
            </w:r>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主管部门</w:t>
            </w:r>
          </w:p>
        </w:tc>
        <w:tc>
          <w:tcPr>
            <w:tcW w:w="5368" w:type="dxa"/>
            <w:gridSpan w:val="4"/>
            <w:noWrap w:val="0"/>
            <w:vAlign w:val="center"/>
          </w:tcPr>
          <w:p>
            <w:pPr>
              <w:widowControl/>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湖南省农业农村厅</w:t>
            </w:r>
          </w:p>
        </w:tc>
        <w:tc>
          <w:tcPr>
            <w:tcW w:w="1134"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实施单位</w:t>
            </w:r>
          </w:p>
        </w:tc>
        <w:tc>
          <w:tcPr>
            <w:tcW w:w="3119" w:type="dxa"/>
            <w:gridSpan w:val="3"/>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lang w:val="en-US" w:eastAsia="zh-CN"/>
              </w:rPr>
              <w:t>湖南省饲料工业办公室</w:t>
            </w: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项目资金</w:t>
            </w:r>
            <w:r>
              <w:rPr>
                <w:rFonts w:hint="default" w:ascii="Times New Roman" w:hAnsi="Times New Roman" w:eastAsia="仿宋_GB2312" w:cs="Times New Roman"/>
                <w:color w:val="auto"/>
                <w:kern w:val="0"/>
                <w:szCs w:val="21"/>
              </w:rPr>
              <w:br w:type="textWrapping"/>
            </w:r>
            <w:r>
              <w:rPr>
                <w:rFonts w:hint="default" w:ascii="Times New Roman" w:hAnsi="Times New Roman" w:eastAsia="仿宋_GB2312" w:cs="Times New Roman"/>
                <w:color w:val="auto"/>
                <w:kern w:val="0"/>
                <w:szCs w:val="21"/>
              </w:rPr>
              <w:t>（万元）</w:t>
            </w:r>
          </w:p>
        </w:tc>
        <w:tc>
          <w:tcPr>
            <w:tcW w:w="2429" w:type="dxa"/>
            <w:gridSpan w:val="2"/>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1730"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年初</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预算数</w:t>
            </w:r>
          </w:p>
        </w:tc>
        <w:tc>
          <w:tcPr>
            <w:tcW w:w="1209"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全年</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预算数</w:t>
            </w:r>
          </w:p>
        </w:tc>
        <w:tc>
          <w:tcPr>
            <w:tcW w:w="1134" w:type="dxa"/>
            <w:noWrap w:val="0"/>
            <w:vAlign w:val="center"/>
          </w:tcPr>
          <w:p>
            <w:pPr>
              <w:jc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全年</w:t>
            </w:r>
          </w:p>
          <w:p>
            <w:pPr>
              <w:jc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执行数</w:t>
            </w:r>
          </w:p>
        </w:tc>
        <w:tc>
          <w:tcPr>
            <w:tcW w:w="828" w:type="dxa"/>
            <w:noWrap w:val="0"/>
            <w:vAlign w:val="center"/>
          </w:tcPr>
          <w:p>
            <w:pPr>
              <w:jc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分值</w:t>
            </w:r>
          </w:p>
        </w:tc>
        <w:tc>
          <w:tcPr>
            <w:tcW w:w="873" w:type="dxa"/>
            <w:noWrap w:val="0"/>
            <w:vAlign w:val="center"/>
          </w:tcPr>
          <w:p>
            <w:pPr>
              <w:jc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执行率</w:t>
            </w:r>
          </w:p>
        </w:tc>
        <w:tc>
          <w:tcPr>
            <w:tcW w:w="1418" w:type="dxa"/>
            <w:noWrap w:val="0"/>
            <w:vAlign w:val="center"/>
          </w:tcPr>
          <w:p>
            <w:pPr>
              <w:jc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hint="default" w:ascii="Times New Roman" w:hAnsi="Times New Roman" w:eastAsia="仿宋_GB2312" w:cs="Times New Roman"/>
                <w:color w:val="auto"/>
                <w:kern w:val="0"/>
                <w:szCs w:val="21"/>
              </w:rPr>
            </w:pPr>
          </w:p>
        </w:tc>
        <w:tc>
          <w:tcPr>
            <w:tcW w:w="2429" w:type="dxa"/>
            <w:gridSpan w:val="2"/>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年度资金总额　</w:t>
            </w:r>
          </w:p>
        </w:tc>
        <w:tc>
          <w:tcPr>
            <w:tcW w:w="1730"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64.57</w:t>
            </w:r>
          </w:p>
        </w:tc>
        <w:tc>
          <w:tcPr>
            <w:tcW w:w="1209"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64.57</w:t>
            </w:r>
          </w:p>
        </w:tc>
        <w:tc>
          <w:tcPr>
            <w:tcW w:w="1134" w:type="dxa"/>
            <w:noWrap w:val="0"/>
            <w:vAlign w:val="center"/>
          </w:tcPr>
          <w:p>
            <w:pPr>
              <w:widowControl/>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53.87</w:t>
            </w:r>
          </w:p>
        </w:tc>
        <w:tc>
          <w:tcPr>
            <w:tcW w:w="82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10</w:t>
            </w:r>
          </w:p>
        </w:tc>
        <w:tc>
          <w:tcPr>
            <w:tcW w:w="873" w:type="dxa"/>
            <w:noWrap w:val="0"/>
            <w:vAlign w:val="center"/>
          </w:tcPr>
          <w:p>
            <w:pPr>
              <w:widowControl/>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lang w:val="en-US" w:eastAsia="zh-CN"/>
              </w:rPr>
              <w:t>83.43</w:t>
            </w:r>
          </w:p>
        </w:tc>
        <w:tc>
          <w:tcPr>
            <w:tcW w:w="1418" w:type="dxa"/>
            <w:noWrap w:val="0"/>
            <w:vAlign w:val="center"/>
          </w:tcPr>
          <w:p>
            <w:pPr>
              <w:widowControl/>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8.34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hint="default" w:ascii="Times New Roman" w:hAnsi="Times New Roman" w:eastAsia="仿宋_GB2312" w:cs="Times New Roman"/>
                <w:color w:val="auto"/>
                <w:kern w:val="0"/>
                <w:szCs w:val="21"/>
              </w:rPr>
            </w:pPr>
          </w:p>
        </w:tc>
        <w:tc>
          <w:tcPr>
            <w:tcW w:w="2429" w:type="dxa"/>
            <w:gridSpan w:val="2"/>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其中：当年财政拨款　</w:t>
            </w:r>
          </w:p>
        </w:tc>
        <w:tc>
          <w:tcPr>
            <w:tcW w:w="1730"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50.00</w:t>
            </w:r>
          </w:p>
        </w:tc>
        <w:tc>
          <w:tcPr>
            <w:tcW w:w="1209"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50.00</w:t>
            </w:r>
          </w:p>
        </w:tc>
        <w:tc>
          <w:tcPr>
            <w:tcW w:w="1134"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82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873"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141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hint="default" w:ascii="Times New Roman" w:hAnsi="Times New Roman" w:eastAsia="仿宋_GB2312" w:cs="Times New Roman"/>
                <w:color w:val="auto"/>
                <w:kern w:val="0"/>
                <w:szCs w:val="21"/>
              </w:rPr>
            </w:pPr>
          </w:p>
        </w:tc>
        <w:tc>
          <w:tcPr>
            <w:tcW w:w="2429" w:type="dxa"/>
            <w:gridSpan w:val="2"/>
            <w:noWrap w:val="0"/>
            <w:vAlign w:val="center"/>
          </w:tcPr>
          <w:p>
            <w:pPr>
              <w:widowControl/>
              <w:ind w:firstLine="630" w:firstLineChars="300"/>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上年结转资金　</w:t>
            </w:r>
          </w:p>
        </w:tc>
        <w:tc>
          <w:tcPr>
            <w:tcW w:w="1730"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14.57</w:t>
            </w:r>
          </w:p>
        </w:tc>
        <w:tc>
          <w:tcPr>
            <w:tcW w:w="1209"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14.57</w:t>
            </w:r>
          </w:p>
        </w:tc>
        <w:tc>
          <w:tcPr>
            <w:tcW w:w="1134"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82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873"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141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hint="default" w:ascii="Times New Roman" w:hAnsi="Times New Roman" w:eastAsia="仿宋_GB2312" w:cs="Times New Roman"/>
                <w:color w:val="auto"/>
                <w:kern w:val="0"/>
                <w:szCs w:val="21"/>
              </w:rPr>
            </w:pPr>
          </w:p>
        </w:tc>
        <w:tc>
          <w:tcPr>
            <w:tcW w:w="2429" w:type="dxa"/>
            <w:gridSpan w:val="2"/>
            <w:noWrap w:val="0"/>
            <w:vAlign w:val="center"/>
          </w:tcPr>
          <w:p>
            <w:pPr>
              <w:widowControl/>
              <w:ind w:firstLine="630" w:firstLineChars="300"/>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其他资金</w:t>
            </w:r>
          </w:p>
        </w:tc>
        <w:tc>
          <w:tcPr>
            <w:tcW w:w="1730"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1209"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1134"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82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873"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141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年度总体目标</w:t>
            </w:r>
          </w:p>
        </w:tc>
        <w:tc>
          <w:tcPr>
            <w:tcW w:w="5368" w:type="dxa"/>
            <w:gridSpan w:val="4"/>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预期目标</w:t>
            </w:r>
          </w:p>
        </w:tc>
        <w:tc>
          <w:tcPr>
            <w:tcW w:w="4253" w:type="dxa"/>
            <w:gridSpan w:val="4"/>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1080" w:type="dxa"/>
            <w:vMerge w:val="continue"/>
            <w:noWrap w:val="0"/>
            <w:vAlign w:val="center"/>
          </w:tcPr>
          <w:p>
            <w:pPr>
              <w:widowControl/>
              <w:jc w:val="left"/>
              <w:rPr>
                <w:rFonts w:hint="default" w:ascii="Times New Roman" w:hAnsi="Times New Roman" w:eastAsia="仿宋_GB2312" w:cs="Times New Roman"/>
                <w:color w:val="auto"/>
                <w:kern w:val="0"/>
                <w:szCs w:val="21"/>
              </w:rPr>
            </w:pPr>
          </w:p>
        </w:tc>
        <w:tc>
          <w:tcPr>
            <w:tcW w:w="5368" w:type="dxa"/>
            <w:gridSpan w:val="4"/>
            <w:noWrap w:val="0"/>
            <w:vAlign w:val="center"/>
          </w:tcPr>
          <w:p>
            <w:pPr>
              <w:widowControl/>
              <w:jc w:val="center"/>
              <w:rPr>
                <w:rFonts w:hint="default" w:ascii="Times New Roman" w:hAnsi="Times New Roman" w:eastAsia="仿宋_GB2312" w:cs="Times New Roman"/>
                <w:color w:val="auto"/>
                <w:kern w:val="0"/>
                <w:sz w:val="21"/>
                <w:szCs w:val="21"/>
                <w:lang w:val="en-US" w:eastAsia="zh-CN"/>
              </w:rPr>
            </w:pPr>
            <w:bookmarkStart w:id="18" w:name="OLE_LINK17"/>
            <w:r>
              <w:rPr>
                <w:rFonts w:hint="default" w:ascii="Times New Roman" w:hAnsi="Times New Roman" w:eastAsia="仿宋_GB2312" w:cs="Times New Roman"/>
                <w:color w:val="auto"/>
                <w:kern w:val="0"/>
                <w:sz w:val="21"/>
                <w:szCs w:val="21"/>
                <w:lang w:val="en-US" w:eastAsia="zh-CN"/>
              </w:rPr>
              <w:t>通过开展组织对饲料企业开展现场检查、主持或参与编制行业标准等工作，促进饲料行业健康发展。</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bookmarkEnd w:id="18"/>
            <w:r>
              <w:rPr>
                <w:rFonts w:hint="default" w:ascii="Times New Roman" w:hAnsi="Times New Roman" w:eastAsia="仿宋_GB2312" w:cs="Times New Roman"/>
                <w:color w:val="auto"/>
                <w:kern w:val="0"/>
                <w:szCs w:val="21"/>
              </w:rPr>
              <w:t>　</w:t>
            </w:r>
          </w:p>
        </w:tc>
        <w:tc>
          <w:tcPr>
            <w:tcW w:w="4253" w:type="dxa"/>
            <w:gridSpan w:val="4"/>
            <w:noWrap w:val="0"/>
            <w:vAlign w:val="center"/>
          </w:tcPr>
          <w:p>
            <w:pPr>
              <w:widowControl/>
              <w:jc w:val="left"/>
              <w:rPr>
                <w:rFonts w:hint="default" w:ascii="Times New Roman" w:hAnsi="Times New Roman" w:eastAsia="仿宋_GB2312" w:cs="Times New Roman"/>
                <w:color w:val="auto"/>
                <w:kern w:val="0"/>
                <w:szCs w:val="21"/>
                <w:lang w:val="en-US"/>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 w:val="21"/>
                <w:szCs w:val="21"/>
                <w:lang w:val="en-US" w:eastAsia="zh-CN"/>
              </w:rPr>
              <w:t>组织对饲料企业开展现场检查205家，主持或参与编制行业标准44项，生产许可办结时限缩短缩短至8个工作日，有效推进饲料提效节粮、开源节粮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绩</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效</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指</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标</w:t>
            </w:r>
          </w:p>
        </w:tc>
        <w:tc>
          <w:tcPr>
            <w:tcW w:w="1080" w:type="dxa"/>
            <w:noWrap w:val="0"/>
            <w:vAlign w:val="center"/>
          </w:tcPr>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一级指标</w:t>
            </w:r>
          </w:p>
        </w:tc>
        <w:tc>
          <w:tcPr>
            <w:tcW w:w="1349" w:type="dxa"/>
            <w:noWrap w:val="0"/>
            <w:vAlign w:val="center"/>
          </w:tcPr>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二级指标</w:t>
            </w:r>
          </w:p>
        </w:tc>
        <w:tc>
          <w:tcPr>
            <w:tcW w:w="1730" w:type="dxa"/>
            <w:noWrap w:val="0"/>
            <w:vAlign w:val="center"/>
          </w:tcPr>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三级指标</w:t>
            </w:r>
          </w:p>
        </w:tc>
        <w:tc>
          <w:tcPr>
            <w:tcW w:w="1209" w:type="dxa"/>
            <w:noWrap w:val="0"/>
            <w:vAlign w:val="center"/>
          </w:tcPr>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年度</w:t>
            </w:r>
          </w:p>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指标值</w:t>
            </w:r>
          </w:p>
        </w:tc>
        <w:tc>
          <w:tcPr>
            <w:tcW w:w="1134" w:type="dxa"/>
            <w:noWrap w:val="0"/>
            <w:vAlign w:val="center"/>
          </w:tcPr>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实际</w:t>
            </w:r>
          </w:p>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完成值</w:t>
            </w:r>
          </w:p>
        </w:tc>
        <w:tc>
          <w:tcPr>
            <w:tcW w:w="828" w:type="dxa"/>
            <w:noWrap w:val="0"/>
            <w:vAlign w:val="center"/>
          </w:tcPr>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分值</w:t>
            </w:r>
          </w:p>
        </w:tc>
        <w:tc>
          <w:tcPr>
            <w:tcW w:w="873" w:type="dxa"/>
            <w:noWrap w:val="0"/>
            <w:vAlign w:val="center"/>
          </w:tcPr>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得分</w:t>
            </w:r>
          </w:p>
        </w:tc>
        <w:tc>
          <w:tcPr>
            <w:tcW w:w="1418" w:type="dxa"/>
            <w:noWrap w:val="0"/>
            <w:vAlign w:val="center"/>
          </w:tcPr>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偏差原因</w:t>
            </w:r>
          </w:p>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分析及</w:t>
            </w:r>
          </w:p>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hint="default" w:ascii="Times New Roman" w:hAnsi="Times New Roman" w:eastAsia="仿宋_GB2312" w:cs="Times New Roman"/>
                <w:color w:val="auto"/>
                <w:kern w:val="0"/>
                <w:szCs w:val="21"/>
              </w:rPr>
            </w:pPr>
          </w:p>
        </w:tc>
        <w:tc>
          <w:tcPr>
            <w:tcW w:w="1080" w:type="dxa"/>
            <w:vMerge w:val="restart"/>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产出指标</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(50分)</w:t>
            </w:r>
          </w:p>
        </w:tc>
        <w:tc>
          <w:tcPr>
            <w:tcW w:w="1349" w:type="dxa"/>
            <w:vMerge w:val="restart"/>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数量指标</w:t>
            </w:r>
          </w:p>
        </w:tc>
        <w:tc>
          <w:tcPr>
            <w:tcW w:w="1730"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 w:val="21"/>
                <w:szCs w:val="21"/>
                <w:lang w:val="en-US" w:eastAsia="zh-CN"/>
              </w:rPr>
              <w:t>新增优质产能</w:t>
            </w:r>
          </w:p>
        </w:tc>
        <w:tc>
          <w:tcPr>
            <w:tcW w:w="1209"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w:t>
            </w:r>
            <w:r>
              <w:rPr>
                <w:rFonts w:hint="default" w:ascii="Times New Roman" w:hAnsi="Times New Roman" w:eastAsia="仿宋_GB2312" w:cs="Times New Roman"/>
                <w:color w:val="auto"/>
                <w:kern w:val="0"/>
                <w:sz w:val="21"/>
                <w:szCs w:val="21"/>
                <w:lang w:val="en-US" w:eastAsia="zh-CN"/>
              </w:rPr>
              <w:t>200万吨</w:t>
            </w:r>
          </w:p>
        </w:tc>
        <w:tc>
          <w:tcPr>
            <w:tcW w:w="1134"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 w:val="21"/>
                <w:szCs w:val="21"/>
                <w:lang w:val="en-US" w:eastAsia="zh-CN"/>
              </w:rPr>
              <w:t>200万吨</w:t>
            </w:r>
          </w:p>
        </w:tc>
        <w:tc>
          <w:tcPr>
            <w:tcW w:w="828" w:type="dxa"/>
            <w:noWrap w:val="0"/>
            <w:vAlign w:val="center"/>
          </w:tcPr>
          <w:p>
            <w:pPr>
              <w:widowControl/>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10</w:t>
            </w:r>
          </w:p>
        </w:tc>
        <w:tc>
          <w:tcPr>
            <w:tcW w:w="873"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10</w:t>
            </w:r>
          </w:p>
        </w:tc>
        <w:tc>
          <w:tcPr>
            <w:tcW w:w="141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hint="default" w:ascii="Times New Roman" w:hAnsi="Times New Roman" w:eastAsia="仿宋_GB2312" w:cs="Times New Roman"/>
                <w:color w:val="auto"/>
                <w:kern w:val="0"/>
                <w:szCs w:val="21"/>
              </w:rPr>
            </w:pPr>
          </w:p>
        </w:tc>
        <w:tc>
          <w:tcPr>
            <w:tcW w:w="1080" w:type="dxa"/>
            <w:vMerge w:val="continue"/>
            <w:noWrap w:val="0"/>
            <w:vAlign w:val="center"/>
          </w:tcPr>
          <w:p>
            <w:pPr>
              <w:jc w:val="left"/>
              <w:rPr>
                <w:rFonts w:hint="default" w:ascii="Times New Roman" w:hAnsi="Times New Roman" w:eastAsia="仿宋_GB2312" w:cs="Times New Roman"/>
                <w:color w:val="auto"/>
                <w:kern w:val="0"/>
                <w:szCs w:val="21"/>
              </w:rPr>
            </w:pPr>
          </w:p>
        </w:tc>
        <w:tc>
          <w:tcPr>
            <w:tcW w:w="1349" w:type="dxa"/>
            <w:vMerge w:val="continue"/>
            <w:noWrap w:val="0"/>
            <w:vAlign w:val="center"/>
          </w:tcPr>
          <w:p>
            <w:pPr>
              <w:widowControl/>
              <w:jc w:val="center"/>
              <w:rPr>
                <w:rFonts w:hint="default" w:ascii="Times New Roman" w:hAnsi="Times New Roman" w:eastAsia="仿宋_GB2312" w:cs="Times New Roman"/>
                <w:color w:val="auto"/>
                <w:kern w:val="0"/>
                <w:szCs w:val="21"/>
              </w:rPr>
            </w:pPr>
          </w:p>
        </w:tc>
        <w:tc>
          <w:tcPr>
            <w:tcW w:w="1730" w:type="dxa"/>
            <w:noWrap w:val="0"/>
            <w:vAlign w:val="center"/>
          </w:tcPr>
          <w:p>
            <w:pPr>
              <w:widowControl/>
              <w:jc w:val="center"/>
              <w:rPr>
                <w:rFonts w:hint="default" w:ascii="Times New Roman" w:hAnsi="Times New Roman" w:eastAsia="仿宋_GB2312" w:cs="Times New Roman"/>
                <w:color w:val="auto"/>
                <w:kern w:val="0"/>
                <w:szCs w:val="21"/>
              </w:rPr>
            </w:pPr>
            <w:bookmarkStart w:id="19" w:name="OLE_LINK9"/>
            <w:r>
              <w:rPr>
                <w:rFonts w:hint="default" w:ascii="Times New Roman" w:hAnsi="Times New Roman" w:eastAsia="仿宋_GB2312" w:cs="Times New Roman"/>
                <w:color w:val="auto"/>
                <w:kern w:val="0"/>
                <w:sz w:val="21"/>
                <w:szCs w:val="21"/>
                <w:lang w:val="en-US" w:eastAsia="zh-CN"/>
              </w:rPr>
              <w:t>主持或参与编制行业标准</w:t>
            </w:r>
            <w:bookmarkEnd w:id="19"/>
          </w:p>
        </w:tc>
        <w:tc>
          <w:tcPr>
            <w:tcW w:w="1209"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40项</w:t>
            </w:r>
          </w:p>
        </w:tc>
        <w:tc>
          <w:tcPr>
            <w:tcW w:w="1134"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44项</w:t>
            </w:r>
          </w:p>
        </w:tc>
        <w:tc>
          <w:tcPr>
            <w:tcW w:w="828" w:type="dxa"/>
            <w:noWrap w:val="0"/>
            <w:vAlign w:val="center"/>
          </w:tcPr>
          <w:p>
            <w:pPr>
              <w:widowControl/>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10</w:t>
            </w:r>
          </w:p>
        </w:tc>
        <w:tc>
          <w:tcPr>
            <w:tcW w:w="873"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10</w:t>
            </w:r>
          </w:p>
        </w:tc>
        <w:tc>
          <w:tcPr>
            <w:tcW w:w="141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1080" w:type="dxa"/>
            <w:vMerge w:val="continue"/>
            <w:noWrap w:val="0"/>
            <w:vAlign w:val="center"/>
          </w:tcPr>
          <w:p>
            <w:pPr>
              <w:jc w:val="left"/>
              <w:rPr>
                <w:rFonts w:hint="default" w:ascii="Times New Roman" w:hAnsi="Times New Roman" w:eastAsia="仿宋_GB2312" w:cs="Times New Roman"/>
                <w:color w:val="auto"/>
                <w:kern w:val="0"/>
                <w:szCs w:val="21"/>
              </w:rPr>
            </w:pPr>
          </w:p>
        </w:tc>
        <w:tc>
          <w:tcPr>
            <w:tcW w:w="1080" w:type="dxa"/>
            <w:vMerge w:val="continue"/>
            <w:noWrap w:val="0"/>
            <w:vAlign w:val="center"/>
          </w:tcPr>
          <w:p>
            <w:pPr>
              <w:jc w:val="left"/>
              <w:rPr>
                <w:rFonts w:hint="default" w:ascii="Times New Roman" w:hAnsi="Times New Roman" w:eastAsia="仿宋_GB2312" w:cs="Times New Roman"/>
                <w:color w:val="auto"/>
                <w:kern w:val="0"/>
                <w:szCs w:val="21"/>
              </w:rPr>
            </w:pPr>
          </w:p>
        </w:tc>
        <w:tc>
          <w:tcPr>
            <w:tcW w:w="1349" w:type="dxa"/>
            <w:vMerge w:val="continue"/>
            <w:noWrap w:val="0"/>
            <w:vAlign w:val="center"/>
          </w:tcPr>
          <w:p>
            <w:pPr>
              <w:widowControl/>
              <w:jc w:val="center"/>
              <w:rPr>
                <w:rFonts w:hint="default" w:ascii="Times New Roman" w:hAnsi="Times New Roman" w:eastAsia="仿宋_GB2312" w:cs="Times New Roman"/>
                <w:color w:val="auto"/>
                <w:kern w:val="0"/>
                <w:szCs w:val="21"/>
              </w:rPr>
            </w:pPr>
          </w:p>
        </w:tc>
        <w:tc>
          <w:tcPr>
            <w:tcW w:w="1730" w:type="dxa"/>
            <w:noWrap w:val="0"/>
            <w:vAlign w:val="center"/>
          </w:tcPr>
          <w:p>
            <w:pPr>
              <w:widowControl/>
              <w:jc w:val="center"/>
              <w:rPr>
                <w:rFonts w:hint="default" w:ascii="Times New Roman" w:hAnsi="Times New Roman" w:eastAsia="仿宋_GB2312" w:cs="Times New Roman"/>
                <w:color w:val="auto"/>
                <w:kern w:val="0"/>
                <w:szCs w:val="21"/>
              </w:rPr>
            </w:pPr>
            <w:bookmarkStart w:id="20" w:name="OLE_LINK7"/>
            <w:r>
              <w:rPr>
                <w:rFonts w:hint="default" w:ascii="Times New Roman" w:hAnsi="Times New Roman" w:eastAsia="仿宋_GB2312" w:cs="Times New Roman"/>
                <w:color w:val="auto"/>
                <w:kern w:val="0"/>
                <w:sz w:val="21"/>
                <w:szCs w:val="21"/>
                <w:lang w:val="en-US" w:eastAsia="zh-CN"/>
              </w:rPr>
              <w:t>组织对饲料企业开展现场检查</w:t>
            </w:r>
            <w:bookmarkEnd w:id="20"/>
          </w:p>
        </w:tc>
        <w:tc>
          <w:tcPr>
            <w:tcW w:w="1209"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200家</w:t>
            </w:r>
          </w:p>
        </w:tc>
        <w:tc>
          <w:tcPr>
            <w:tcW w:w="1134"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lang w:val="en-US" w:eastAsia="zh-CN"/>
              </w:rPr>
              <w:t>205家</w:t>
            </w:r>
          </w:p>
        </w:tc>
        <w:tc>
          <w:tcPr>
            <w:tcW w:w="828" w:type="dxa"/>
            <w:noWrap w:val="0"/>
            <w:vAlign w:val="center"/>
          </w:tcPr>
          <w:p>
            <w:pPr>
              <w:widowControl/>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10</w:t>
            </w:r>
          </w:p>
        </w:tc>
        <w:tc>
          <w:tcPr>
            <w:tcW w:w="873"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10</w:t>
            </w:r>
          </w:p>
        </w:tc>
        <w:tc>
          <w:tcPr>
            <w:tcW w:w="141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hint="default" w:ascii="Times New Roman" w:hAnsi="Times New Roman" w:eastAsia="仿宋_GB2312" w:cs="Times New Roman"/>
                <w:color w:val="auto"/>
                <w:kern w:val="0"/>
                <w:szCs w:val="21"/>
              </w:rPr>
            </w:pPr>
          </w:p>
        </w:tc>
        <w:tc>
          <w:tcPr>
            <w:tcW w:w="1080" w:type="dxa"/>
            <w:vMerge w:val="continue"/>
            <w:noWrap w:val="0"/>
            <w:vAlign w:val="center"/>
          </w:tcPr>
          <w:p>
            <w:pPr>
              <w:jc w:val="left"/>
              <w:rPr>
                <w:rFonts w:hint="default" w:ascii="Times New Roman" w:hAnsi="Times New Roman" w:eastAsia="仿宋_GB2312" w:cs="Times New Roman"/>
                <w:color w:val="auto"/>
                <w:kern w:val="0"/>
                <w:szCs w:val="21"/>
              </w:rPr>
            </w:pPr>
          </w:p>
        </w:tc>
        <w:tc>
          <w:tcPr>
            <w:tcW w:w="1349" w:type="dxa"/>
            <w:vMerge w:val="continue"/>
            <w:noWrap w:val="0"/>
            <w:vAlign w:val="center"/>
          </w:tcPr>
          <w:p>
            <w:pPr>
              <w:widowControl/>
              <w:jc w:val="center"/>
              <w:rPr>
                <w:rFonts w:hint="default" w:ascii="Times New Roman" w:hAnsi="Times New Roman" w:eastAsia="仿宋_GB2312" w:cs="Times New Roman"/>
                <w:color w:val="auto"/>
                <w:kern w:val="0"/>
                <w:szCs w:val="21"/>
              </w:rPr>
            </w:pPr>
          </w:p>
        </w:tc>
        <w:tc>
          <w:tcPr>
            <w:tcW w:w="1730" w:type="dxa"/>
            <w:noWrap w:val="0"/>
            <w:vAlign w:val="center"/>
          </w:tcPr>
          <w:p>
            <w:pPr>
              <w:widowControl/>
              <w:jc w:val="center"/>
              <w:rPr>
                <w:rFonts w:hint="default" w:ascii="Times New Roman" w:hAnsi="Times New Roman" w:eastAsia="仿宋_GB2312" w:cs="Times New Roman"/>
                <w:color w:val="auto"/>
                <w:kern w:val="0"/>
                <w:szCs w:val="21"/>
              </w:rPr>
            </w:pPr>
            <w:bookmarkStart w:id="21" w:name="OLE_LINK14"/>
            <w:r>
              <w:rPr>
                <w:rFonts w:hint="default" w:ascii="Times New Roman" w:hAnsi="Times New Roman" w:eastAsia="仿宋_GB2312" w:cs="Times New Roman"/>
                <w:color w:val="auto"/>
                <w:kern w:val="0"/>
                <w:sz w:val="21"/>
                <w:szCs w:val="21"/>
                <w:lang w:val="en-US" w:eastAsia="zh-CN"/>
              </w:rPr>
              <w:t>生产许可办结时限缩短</w:t>
            </w:r>
            <w:bookmarkEnd w:id="21"/>
          </w:p>
        </w:tc>
        <w:tc>
          <w:tcPr>
            <w:tcW w:w="1209"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 w:val="21"/>
                <w:szCs w:val="21"/>
                <w:lang w:val="en-US" w:eastAsia="zh-CN"/>
              </w:rPr>
              <w:t>生产许可办结时限缩短</w:t>
            </w:r>
          </w:p>
        </w:tc>
        <w:tc>
          <w:tcPr>
            <w:tcW w:w="1134"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 w:val="21"/>
                <w:szCs w:val="21"/>
                <w:lang w:val="en-US" w:eastAsia="zh-CN"/>
              </w:rPr>
              <w:t>缩短至8个工作日</w:t>
            </w:r>
            <w:r>
              <w:rPr>
                <w:rFonts w:hint="default" w:ascii="Times New Roman" w:hAnsi="Times New Roman" w:eastAsia="仿宋_GB2312" w:cs="Times New Roman"/>
                <w:color w:val="auto"/>
                <w:kern w:val="0"/>
                <w:szCs w:val="21"/>
              </w:rPr>
              <w:t>　</w:t>
            </w:r>
          </w:p>
        </w:tc>
        <w:tc>
          <w:tcPr>
            <w:tcW w:w="828" w:type="dxa"/>
            <w:noWrap w:val="0"/>
            <w:vAlign w:val="center"/>
          </w:tcPr>
          <w:p>
            <w:pPr>
              <w:widowControl/>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10</w:t>
            </w:r>
          </w:p>
        </w:tc>
        <w:tc>
          <w:tcPr>
            <w:tcW w:w="873"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10</w:t>
            </w:r>
          </w:p>
        </w:tc>
        <w:tc>
          <w:tcPr>
            <w:tcW w:w="141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hint="default" w:ascii="Times New Roman" w:hAnsi="Times New Roman" w:eastAsia="仿宋_GB2312" w:cs="Times New Roman"/>
                <w:color w:val="auto"/>
                <w:kern w:val="0"/>
                <w:szCs w:val="21"/>
              </w:rPr>
            </w:pPr>
          </w:p>
        </w:tc>
        <w:tc>
          <w:tcPr>
            <w:tcW w:w="1080" w:type="dxa"/>
            <w:vMerge w:val="continue"/>
            <w:noWrap w:val="0"/>
            <w:vAlign w:val="center"/>
          </w:tcPr>
          <w:p>
            <w:pPr>
              <w:jc w:val="left"/>
              <w:rPr>
                <w:rFonts w:hint="default" w:ascii="Times New Roman" w:hAnsi="Times New Roman" w:eastAsia="仿宋_GB2312" w:cs="Times New Roman"/>
                <w:color w:val="auto"/>
                <w:kern w:val="0"/>
                <w:szCs w:val="21"/>
              </w:rPr>
            </w:pPr>
          </w:p>
        </w:tc>
        <w:tc>
          <w:tcPr>
            <w:tcW w:w="1349"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成本指标</w:t>
            </w:r>
          </w:p>
        </w:tc>
        <w:tc>
          <w:tcPr>
            <w:tcW w:w="1730" w:type="dxa"/>
            <w:noWrap w:val="0"/>
            <w:vAlign w:val="center"/>
          </w:tcPr>
          <w:p>
            <w:pPr>
              <w:widowControl/>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lang w:val="en-US" w:eastAsia="zh-CN"/>
              </w:rPr>
              <w:t>项目成本</w:t>
            </w:r>
          </w:p>
        </w:tc>
        <w:tc>
          <w:tcPr>
            <w:tcW w:w="1209" w:type="dxa"/>
            <w:noWrap w:val="0"/>
            <w:vAlign w:val="center"/>
          </w:tcPr>
          <w:p>
            <w:pPr>
              <w:widowControl/>
              <w:jc w:val="left"/>
              <w:rPr>
                <w:rFonts w:hint="default" w:ascii="Times New Roman" w:hAnsi="Times New Roman" w:eastAsia="仿宋_GB2312" w:cs="Times New Roman"/>
                <w:color w:val="auto"/>
                <w:kern w:val="0"/>
                <w:szCs w:val="21"/>
                <w:lang w:val="en-US"/>
              </w:rPr>
            </w:pPr>
            <w:r>
              <w:rPr>
                <w:rFonts w:hint="default" w:ascii="Times New Roman" w:hAnsi="Times New Roman" w:eastAsia="仿宋_GB2312" w:cs="Times New Roman"/>
                <w:color w:val="auto"/>
                <w:kern w:val="0"/>
                <w:szCs w:val="21"/>
                <w:lang w:val="en-US" w:eastAsia="zh-CN"/>
              </w:rPr>
              <w:t>≤64.57万元</w:t>
            </w:r>
          </w:p>
        </w:tc>
        <w:tc>
          <w:tcPr>
            <w:tcW w:w="1134" w:type="dxa"/>
            <w:noWrap w:val="0"/>
            <w:vAlign w:val="center"/>
          </w:tcPr>
          <w:p>
            <w:pPr>
              <w:widowControl/>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lang w:val="en-US" w:eastAsia="zh-CN"/>
              </w:rPr>
              <w:t>53.87万元</w:t>
            </w:r>
          </w:p>
        </w:tc>
        <w:tc>
          <w:tcPr>
            <w:tcW w:w="828" w:type="dxa"/>
            <w:noWrap w:val="0"/>
            <w:vAlign w:val="center"/>
          </w:tcPr>
          <w:p>
            <w:pPr>
              <w:widowControl/>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10</w:t>
            </w:r>
          </w:p>
        </w:tc>
        <w:tc>
          <w:tcPr>
            <w:tcW w:w="873"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10</w:t>
            </w:r>
          </w:p>
        </w:tc>
        <w:tc>
          <w:tcPr>
            <w:tcW w:w="141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hint="default" w:ascii="Times New Roman" w:hAnsi="Times New Roman" w:eastAsia="仿宋_GB2312" w:cs="Times New Roman"/>
                <w:color w:val="auto"/>
                <w:kern w:val="0"/>
                <w:szCs w:val="21"/>
              </w:rPr>
            </w:pPr>
          </w:p>
        </w:tc>
        <w:tc>
          <w:tcPr>
            <w:tcW w:w="1080" w:type="dxa"/>
            <w:vMerge w:val="restart"/>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效益指标</w:t>
            </w:r>
          </w:p>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（30分）</w:t>
            </w:r>
          </w:p>
        </w:tc>
        <w:tc>
          <w:tcPr>
            <w:tcW w:w="1349"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经济效</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益指标</w:t>
            </w:r>
          </w:p>
        </w:tc>
        <w:tc>
          <w:tcPr>
            <w:tcW w:w="1730"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b w:val="0"/>
                <w:bCs w:val="0"/>
                <w:color w:val="auto"/>
                <w:kern w:val="0"/>
                <w:sz w:val="21"/>
                <w:szCs w:val="21"/>
                <w:lang w:val="en-US" w:eastAsia="zh-CN"/>
              </w:rPr>
              <w:t>全年饲料总产量</w:t>
            </w:r>
          </w:p>
        </w:tc>
        <w:tc>
          <w:tcPr>
            <w:tcW w:w="1209"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1300万吨</w:t>
            </w:r>
          </w:p>
        </w:tc>
        <w:tc>
          <w:tcPr>
            <w:tcW w:w="1134"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b w:val="0"/>
                <w:bCs w:val="0"/>
                <w:color w:val="auto"/>
                <w:kern w:val="0"/>
                <w:sz w:val="21"/>
                <w:szCs w:val="21"/>
                <w:lang w:val="en-US" w:eastAsia="zh-CN"/>
              </w:rPr>
              <w:t>1374.8万吨</w:t>
            </w:r>
          </w:p>
        </w:tc>
        <w:tc>
          <w:tcPr>
            <w:tcW w:w="828" w:type="dxa"/>
            <w:noWrap w:val="0"/>
            <w:vAlign w:val="center"/>
          </w:tcPr>
          <w:p>
            <w:pPr>
              <w:widowControl/>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10</w:t>
            </w:r>
          </w:p>
        </w:tc>
        <w:tc>
          <w:tcPr>
            <w:tcW w:w="873"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10</w:t>
            </w:r>
          </w:p>
        </w:tc>
        <w:tc>
          <w:tcPr>
            <w:tcW w:w="141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hint="default" w:ascii="Times New Roman" w:hAnsi="Times New Roman" w:eastAsia="仿宋_GB2312" w:cs="Times New Roman"/>
                <w:color w:val="auto"/>
                <w:kern w:val="0"/>
                <w:szCs w:val="21"/>
              </w:rPr>
            </w:pPr>
          </w:p>
        </w:tc>
        <w:tc>
          <w:tcPr>
            <w:tcW w:w="1080" w:type="dxa"/>
            <w:vMerge w:val="continue"/>
            <w:noWrap w:val="0"/>
            <w:vAlign w:val="center"/>
          </w:tcPr>
          <w:p>
            <w:pPr>
              <w:jc w:val="left"/>
              <w:rPr>
                <w:rFonts w:hint="default" w:ascii="Times New Roman" w:hAnsi="Times New Roman" w:eastAsia="仿宋_GB2312" w:cs="Times New Roman"/>
                <w:color w:val="auto"/>
                <w:kern w:val="0"/>
                <w:szCs w:val="21"/>
              </w:rPr>
            </w:pPr>
          </w:p>
        </w:tc>
        <w:tc>
          <w:tcPr>
            <w:tcW w:w="1349" w:type="dxa"/>
            <w:noWrap w:val="0"/>
            <w:vAlign w:val="center"/>
          </w:tcPr>
          <w:p>
            <w:pPr>
              <w:widowControl/>
              <w:jc w:val="center"/>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lang w:val="en-US" w:eastAsia="zh-CN"/>
              </w:rPr>
              <w:t>社会效益指标</w:t>
            </w:r>
          </w:p>
        </w:tc>
        <w:tc>
          <w:tcPr>
            <w:tcW w:w="1730"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b w:val="0"/>
                <w:bCs w:val="0"/>
                <w:color w:val="auto"/>
                <w:kern w:val="0"/>
                <w:sz w:val="21"/>
                <w:szCs w:val="21"/>
                <w:lang w:val="en-US" w:eastAsia="zh-CN"/>
              </w:rPr>
              <w:t>生产总值</w:t>
            </w:r>
          </w:p>
        </w:tc>
        <w:tc>
          <w:tcPr>
            <w:tcW w:w="1209"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 xml:space="preserve">500万亿元 </w:t>
            </w:r>
          </w:p>
        </w:tc>
        <w:tc>
          <w:tcPr>
            <w:tcW w:w="1134"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b w:val="0"/>
                <w:bCs w:val="0"/>
                <w:color w:val="auto"/>
                <w:kern w:val="0"/>
                <w:sz w:val="21"/>
                <w:szCs w:val="21"/>
                <w:lang w:val="en-US" w:eastAsia="zh-CN"/>
              </w:rPr>
              <w:t>524.8亿元</w:t>
            </w:r>
          </w:p>
        </w:tc>
        <w:tc>
          <w:tcPr>
            <w:tcW w:w="828" w:type="dxa"/>
            <w:noWrap w:val="0"/>
            <w:vAlign w:val="center"/>
          </w:tcPr>
          <w:p>
            <w:pPr>
              <w:widowControl/>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10</w:t>
            </w:r>
          </w:p>
        </w:tc>
        <w:tc>
          <w:tcPr>
            <w:tcW w:w="873"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10</w:t>
            </w:r>
          </w:p>
        </w:tc>
        <w:tc>
          <w:tcPr>
            <w:tcW w:w="141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hint="default" w:ascii="Times New Roman" w:hAnsi="Times New Roman" w:eastAsia="仿宋_GB2312" w:cs="Times New Roman"/>
                <w:color w:val="auto"/>
                <w:kern w:val="0"/>
                <w:szCs w:val="21"/>
              </w:rPr>
            </w:pPr>
          </w:p>
        </w:tc>
        <w:tc>
          <w:tcPr>
            <w:tcW w:w="1080" w:type="dxa"/>
            <w:vMerge w:val="continue"/>
            <w:noWrap w:val="0"/>
            <w:vAlign w:val="center"/>
          </w:tcPr>
          <w:p>
            <w:pPr>
              <w:jc w:val="left"/>
              <w:rPr>
                <w:rFonts w:hint="default" w:ascii="Times New Roman" w:hAnsi="Times New Roman" w:eastAsia="仿宋_GB2312" w:cs="Times New Roman"/>
                <w:color w:val="auto"/>
                <w:kern w:val="0"/>
                <w:szCs w:val="21"/>
              </w:rPr>
            </w:pPr>
          </w:p>
        </w:tc>
        <w:tc>
          <w:tcPr>
            <w:tcW w:w="1349"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生态效</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益指标</w:t>
            </w:r>
          </w:p>
        </w:tc>
        <w:tc>
          <w:tcPr>
            <w:tcW w:w="1730" w:type="dxa"/>
            <w:noWrap w:val="0"/>
            <w:vAlign w:val="center"/>
          </w:tcPr>
          <w:p>
            <w:pPr>
              <w:widowControl/>
              <w:jc w:val="center"/>
              <w:rPr>
                <w:rFonts w:hint="default" w:ascii="Times New Roman" w:hAnsi="Times New Roman" w:eastAsia="仿宋_GB2312" w:cs="Times New Roman"/>
                <w:color w:val="auto"/>
                <w:kern w:val="0"/>
                <w:szCs w:val="21"/>
              </w:rPr>
            </w:pPr>
            <w:bookmarkStart w:id="22" w:name="OLE_LINK15"/>
            <w:r>
              <w:rPr>
                <w:rFonts w:hint="default" w:ascii="Times New Roman" w:hAnsi="Times New Roman" w:eastAsia="仿宋_GB2312" w:cs="Times New Roman"/>
                <w:color w:val="auto"/>
                <w:kern w:val="0"/>
                <w:sz w:val="21"/>
                <w:szCs w:val="21"/>
                <w:lang w:val="en-US" w:eastAsia="zh-CN"/>
              </w:rPr>
              <w:t>推进饲料提效节粮、开源节粮</w:t>
            </w:r>
            <w:bookmarkEnd w:id="22"/>
          </w:p>
        </w:tc>
        <w:tc>
          <w:tcPr>
            <w:tcW w:w="1209"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有效推进</w:t>
            </w:r>
          </w:p>
        </w:tc>
        <w:tc>
          <w:tcPr>
            <w:tcW w:w="1134"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有效推进</w:t>
            </w:r>
          </w:p>
        </w:tc>
        <w:tc>
          <w:tcPr>
            <w:tcW w:w="828" w:type="dxa"/>
            <w:noWrap w:val="0"/>
            <w:vAlign w:val="center"/>
          </w:tcPr>
          <w:p>
            <w:pPr>
              <w:widowControl/>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10</w:t>
            </w:r>
          </w:p>
        </w:tc>
        <w:tc>
          <w:tcPr>
            <w:tcW w:w="873"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10</w:t>
            </w:r>
          </w:p>
        </w:tc>
        <w:tc>
          <w:tcPr>
            <w:tcW w:w="141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hint="default" w:ascii="Times New Roman" w:hAnsi="Times New Roman" w:eastAsia="仿宋_GB2312" w:cs="Times New Roman"/>
                <w:color w:val="auto"/>
                <w:kern w:val="0"/>
                <w:szCs w:val="21"/>
              </w:rPr>
            </w:pPr>
          </w:p>
        </w:tc>
        <w:tc>
          <w:tcPr>
            <w:tcW w:w="1080"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满意度</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指标</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（10分）</w:t>
            </w:r>
          </w:p>
        </w:tc>
        <w:tc>
          <w:tcPr>
            <w:tcW w:w="1349"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服务对象满意度指标</w:t>
            </w:r>
          </w:p>
        </w:tc>
        <w:tc>
          <w:tcPr>
            <w:tcW w:w="1730"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lang w:val="en-US" w:eastAsia="zh-CN"/>
              </w:rPr>
              <w:t>服务饲料企业满意度</w:t>
            </w:r>
          </w:p>
        </w:tc>
        <w:tc>
          <w:tcPr>
            <w:tcW w:w="1209"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≧95%</w:t>
            </w:r>
          </w:p>
        </w:tc>
        <w:tc>
          <w:tcPr>
            <w:tcW w:w="1134"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95%</w:t>
            </w:r>
          </w:p>
        </w:tc>
        <w:tc>
          <w:tcPr>
            <w:tcW w:w="828" w:type="dxa"/>
            <w:noWrap w:val="0"/>
            <w:vAlign w:val="center"/>
          </w:tcPr>
          <w:p>
            <w:pPr>
              <w:widowControl/>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10</w:t>
            </w:r>
          </w:p>
        </w:tc>
        <w:tc>
          <w:tcPr>
            <w:tcW w:w="873"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10</w:t>
            </w:r>
          </w:p>
        </w:tc>
        <w:tc>
          <w:tcPr>
            <w:tcW w:w="141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2" w:type="dxa"/>
            <w:gridSpan w:val="6"/>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总分</w:t>
            </w:r>
          </w:p>
        </w:tc>
        <w:tc>
          <w:tcPr>
            <w:tcW w:w="828"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100</w:t>
            </w:r>
          </w:p>
        </w:tc>
        <w:tc>
          <w:tcPr>
            <w:tcW w:w="873" w:type="dxa"/>
            <w:noWrap w:val="0"/>
            <w:vAlign w:val="center"/>
          </w:tcPr>
          <w:p>
            <w:pPr>
              <w:widowControl/>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8.34</w:t>
            </w:r>
          </w:p>
        </w:tc>
        <w:tc>
          <w:tcPr>
            <w:tcW w:w="141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bl>
    <w:p>
      <w:pPr>
        <w:widowControl/>
        <w:jc w:val="left"/>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rPr>
        <w:br w:type="page"/>
      </w:r>
      <w:r>
        <w:rPr>
          <w:rFonts w:hint="default" w:ascii="Times New Roman" w:hAnsi="Times New Roman" w:eastAsia="黑体" w:cs="Times New Roman"/>
          <w:color w:val="auto"/>
          <w:sz w:val="24"/>
          <w:szCs w:val="24"/>
        </w:rPr>
        <w:t>附件</w:t>
      </w:r>
      <w:r>
        <w:rPr>
          <w:rFonts w:hint="default" w:ascii="Times New Roman" w:hAnsi="Times New Roman" w:eastAsia="黑体" w:cs="Times New Roman"/>
          <w:color w:val="auto"/>
          <w:sz w:val="24"/>
          <w:szCs w:val="24"/>
          <w:lang w:val="en-US" w:eastAsia="zh-CN"/>
        </w:rPr>
        <w:t>5</w:t>
      </w:r>
    </w:p>
    <w:p>
      <w:pPr>
        <w:widowControl/>
        <w:jc w:val="center"/>
        <w:rPr>
          <w:rFonts w:hint="default" w:ascii="Times New Roman" w:hAnsi="Times New Roman" w:eastAsia="方正小标宋_GBK" w:cs="Times New Roman"/>
          <w:color w:val="auto"/>
          <w:kern w:val="0"/>
          <w:sz w:val="36"/>
          <w:szCs w:val="36"/>
        </w:rPr>
      </w:pPr>
      <w:r>
        <w:rPr>
          <w:rFonts w:hint="default" w:ascii="Times New Roman" w:hAnsi="Times New Roman" w:eastAsia="方正小标宋_GBK" w:cs="Times New Roman"/>
          <w:color w:val="auto"/>
          <w:kern w:val="0"/>
          <w:sz w:val="36"/>
          <w:szCs w:val="36"/>
        </w:rPr>
        <w:t>项目支出绩效自评表</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w:t>
      </w:r>
      <w:r>
        <w:rPr>
          <w:rFonts w:hint="default" w:ascii="Times New Roman" w:hAnsi="Times New Roman" w:eastAsia="仿宋_GB2312" w:cs="Times New Roman"/>
          <w:color w:val="auto"/>
          <w:kern w:val="0"/>
          <w:szCs w:val="21"/>
          <w:lang w:val="en-US" w:eastAsia="zh-CN"/>
        </w:rPr>
        <w:t>2024</w:t>
      </w:r>
      <w:r>
        <w:rPr>
          <w:rFonts w:hint="default" w:ascii="Times New Roman" w:hAnsi="Times New Roman" w:eastAsia="仿宋_GB2312" w:cs="Times New Roman"/>
          <w:color w:val="auto"/>
          <w:kern w:val="0"/>
          <w:szCs w:val="21"/>
        </w:rPr>
        <w:t>年度）</w:t>
      </w:r>
    </w:p>
    <w:tbl>
      <w:tblPr>
        <w:tblStyle w:val="11"/>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1209"/>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080" w:type="dxa"/>
            <w:noWrap w:val="0"/>
            <w:vAlign w:val="center"/>
          </w:tcPr>
          <w:p>
            <w:pPr>
              <w:widowControl/>
              <w:spacing w:line="26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项目支</w:t>
            </w:r>
          </w:p>
          <w:p>
            <w:pPr>
              <w:widowControl/>
              <w:spacing w:line="26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出名称</w:t>
            </w:r>
          </w:p>
        </w:tc>
        <w:tc>
          <w:tcPr>
            <w:tcW w:w="8771" w:type="dxa"/>
            <w:gridSpan w:val="8"/>
            <w:noWrap w:val="0"/>
            <w:vAlign w:val="center"/>
          </w:tcPr>
          <w:p>
            <w:pPr>
              <w:widowControl/>
              <w:jc w:val="center"/>
              <w:rPr>
                <w:rFonts w:hint="default" w:ascii="Times New Roman" w:hAnsi="Times New Roman" w:eastAsia="仿宋_GB2312" w:cs="Times New Roman"/>
                <w:color w:val="auto"/>
                <w:kern w:val="0"/>
                <w:szCs w:val="21"/>
                <w:lang w:val="en-US"/>
              </w:rPr>
            </w:pPr>
            <w:bookmarkStart w:id="23" w:name="OLE_LINK16"/>
            <w:r>
              <w:rPr>
                <w:rFonts w:hint="default" w:ascii="Times New Roman" w:hAnsi="Times New Roman" w:eastAsia="仿宋_GB2312" w:cs="Times New Roman"/>
                <w:color w:val="auto"/>
                <w:kern w:val="0"/>
                <w:szCs w:val="21"/>
                <w:lang w:val="en-US" w:eastAsia="zh-CN"/>
              </w:rPr>
              <w:t>饲料行业发展</w:t>
            </w:r>
            <w:bookmarkEnd w:id="2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主管部门</w:t>
            </w:r>
          </w:p>
        </w:tc>
        <w:tc>
          <w:tcPr>
            <w:tcW w:w="4518" w:type="dxa"/>
            <w:gridSpan w:val="4"/>
            <w:noWrap w:val="0"/>
            <w:vAlign w:val="center"/>
          </w:tcPr>
          <w:p>
            <w:pPr>
              <w:widowControl/>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湖南省农业农村厅</w:t>
            </w:r>
          </w:p>
        </w:tc>
        <w:tc>
          <w:tcPr>
            <w:tcW w:w="1134"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实施单位</w:t>
            </w:r>
          </w:p>
        </w:tc>
        <w:tc>
          <w:tcPr>
            <w:tcW w:w="3119" w:type="dxa"/>
            <w:gridSpan w:val="3"/>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lang w:val="en-US" w:eastAsia="zh-CN"/>
              </w:rPr>
              <w:t>湖南省饲料工业办公室</w:t>
            </w: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项目资金</w:t>
            </w:r>
            <w:r>
              <w:rPr>
                <w:rFonts w:hint="default" w:ascii="Times New Roman" w:hAnsi="Times New Roman" w:eastAsia="仿宋_GB2312" w:cs="Times New Roman"/>
                <w:color w:val="auto"/>
                <w:kern w:val="0"/>
                <w:szCs w:val="21"/>
              </w:rPr>
              <w:br w:type="textWrapping"/>
            </w:r>
            <w:r>
              <w:rPr>
                <w:rFonts w:hint="default" w:ascii="Times New Roman" w:hAnsi="Times New Roman" w:eastAsia="仿宋_GB2312" w:cs="Times New Roman"/>
                <w:color w:val="auto"/>
                <w:kern w:val="0"/>
                <w:szCs w:val="21"/>
              </w:rPr>
              <w:t>（万元）</w:t>
            </w:r>
          </w:p>
        </w:tc>
        <w:tc>
          <w:tcPr>
            <w:tcW w:w="2160" w:type="dxa"/>
            <w:gridSpan w:val="2"/>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1149"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年初</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预算数</w:t>
            </w:r>
          </w:p>
        </w:tc>
        <w:tc>
          <w:tcPr>
            <w:tcW w:w="1209"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全年</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预算数</w:t>
            </w:r>
          </w:p>
        </w:tc>
        <w:tc>
          <w:tcPr>
            <w:tcW w:w="1134" w:type="dxa"/>
            <w:noWrap w:val="0"/>
            <w:vAlign w:val="center"/>
          </w:tcPr>
          <w:p>
            <w:pPr>
              <w:jc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全年</w:t>
            </w:r>
          </w:p>
          <w:p>
            <w:pPr>
              <w:jc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执行数</w:t>
            </w:r>
          </w:p>
        </w:tc>
        <w:tc>
          <w:tcPr>
            <w:tcW w:w="828" w:type="dxa"/>
            <w:noWrap w:val="0"/>
            <w:vAlign w:val="center"/>
          </w:tcPr>
          <w:p>
            <w:pPr>
              <w:jc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分值</w:t>
            </w:r>
          </w:p>
        </w:tc>
        <w:tc>
          <w:tcPr>
            <w:tcW w:w="873" w:type="dxa"/>
            <w:noWrap w:val="0"/>
            <w:vAlign w:val="center"/>
          </w:tcPr>
          <w:p>
            <w:pPr>
              <w:jc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执行率</w:t>
            </w:r>
          </w:p>
        </w:tc>
        <w:tc>
          <w:tcPr>
            <w:tcW w:w="1418" w:type="dxa"/>
            <w:noWrap w:val="0"/>
            <w:vAlign w:val="center"/>
          </w:tcPr>
          <w:p>
            <w:pPr>
              <w:jc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hint="default" w:ascii="Times New Roman" w:hAnsi="Times New Roman" w:eastAsia="仿宋_GB2312" w:cs="Times New Roman"/>
                <w:color w:val="auto"/>
                <w:kern w:val="0"/>
                <w:szCs w:val="21"/>
              </w:rPr>
            </w:pPr>
          </w:p>
        </w:tc>
        <w:tc>
          <w:tcPr>
            <w:tcW w:w="2160" w:type="dxa"/>
            <w:gridSpan w:val="2"/>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年度资金总额　</w:t>
            </w:r>
          </w:p>
        </w:tc>
        <w:tc>
          <w:tcPr>
            <w:tcW w:w="1149" w:type="dxa"/>
            <w:noWrap w:val="0"/>
            <w:vAlign w:val="center"/>
          </w:tcPr>
          <w:p>
            <w:pPr>
              <w:widowControl/>
              <w:jc w:val="center"/>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lang w:val="en-US" w:eastAsia="zh-CN"/>
              </w:rPr>
              <w:t>6.00</w:t>
            </w:r>
          </w:p>
        </w:tc>
        <w:tc>
          <w:tcPr>
            <w:tcW w:w="1209"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lang w:val="en-US" w:eastAsia="zh-CN"/>
              </w:rPr>
              <w:t>6.00</w:t>
            </w:r>
          </w:p>
        </w:tc>
        <w:tc>
          <w:tcPr>
            <w:tcW w:w="1134" w:type="dxa"/>
            <w:noWrap w:val="0"/>
            <w:vAlign w:val="center"/>
          </w:tcPr>
          <w:p>
            <w:pPr>
              <w:widowControl/>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3.00</w:t>
            </w:r>
          </w:p>
        </w:tc>
        <w:tc>
          <w:tcPr>
            <w:tcW w:w="82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10</w:t>
            </w:r>
          </w:p>
        </w:tc>
        <w:tc>
          <w:tcPr>
            <w:tcW w:w="873" w:type="dxa"/>
            <w:noWrap w:val="0"/>
            <w:vAlign w:val="center"/>
          </w:tcPr>
          <w:p>
            <w:pPr>
              <w:widowControl/>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lang w:val="en-US" w:eastAsia="zh-CN"/>
              </w:rPr>
              <w:t>50%</w:t>
            </w:r>
          </w:p>
        </w:tc>
        <w:tc>
          <w:tcPr>
            <w:tcW w:w="1418" w:type="dxa"/>
            <w:noWrap w:val="0"/>
            <w:vAlign w:val="center"/>
          </w:tcPr>
          <w:p>
            <w:pPr>
              <w:widowControl/>
              <w:ind w:firstLine="210" w:firstLineChars="100"/>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hint="default" w:ascii="Times New Roman" w:hAnsi="Times New Roman" w:eastAsia="仿宋_GB2312" w:cs="Times New Roman"/>
                <w:color w:val="auto"/>
                <w:kern w:val="0"/>
                <w:szCs w:val="21"/>
              </w:rPr>
            </w:pPr>
          </w:p>
        </w:tc>
        <w:tc>
          <w:tcPr>
            <w:tcW w:w="2160" w:type="dxa"/>
            <w:gridSpan w:val="2"/>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其中：当年财政拨款　</w:t>
            </w:r>
          </w:p>
        </w:tc>
        <w:tc>
          <w:tcPr>
            <w:tcW w:w="1149" w:type="dxa"/>
            <w:noWrap w:val="0"/>
            <w:vAlign w:val="center"/>
          </w:tcPr>
          <w:p>
            <w:pPr>
              <w:widowControl/>
              <w:jc w:val="center"/>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lang w:val="en-US" w:eastAsia="zh-CN"/>
              </w:rPr>
              <w:t>6.00</w:t>
            </w:r>
          </w:p>
        </w:tc>
        <w:tc>
          <w:tcPr>
            <w:tcW w:w="1209"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lang w:val="en-US" w:eastAsia="zh-CN"/>
              </w:rPr>
              <w:t>6.00</w:t>
            </w:r>
          </w:p>
        </w:tc>
        <w:tc>
          <w:tcPr>
            <w:tcW w:w="1134"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82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873"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141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hint="default" w:ascii="Times New Roman" w:hAnsi="Times New Roman" w:eastAsia="仿宋_GB2312" w:cs="Times New Roman"/>
                <w:color w:val="auto"/>
                <w:kern w:val="0"/>
                <w:szCs w:val="21"/>
              </w:rPr>
            </w:pPr>
          </w:p>
        </w:tc>
        <w:tc>
          <w:tcPr>
            <w:tcW w:w="2160" w:type="dxa"/>
            <w:gridSpan w:val="2"/>
            <w:noWrap w:val="0"/>
            <w:vAlign w:val="center"/>
          </w:tcPr>
          <w:p>
            <w:pPr>
              <w:widowControl/>
              <w:ind w:firstLine="630" w:firstLineChars="300"/>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上年结转资金　</w:t>
            </w:r>
          </w:p>
        </w:tc>
        <w:tc>
          <w:tcPr>
            <w:tcW w:w="1149" w:type="dxa"/>
            <w:noWrap w:val="0"/>
            <w:vAlign w:val="center"/>
          </w:tcPr>
          <w:p>
            <w:pPr>
              <w:widowControl/>
              <w:jc w:val="left"/>
              <w:rPr>
                <w:rFonts w:hint="default" w:ascii="Times New Roman" w:hAnsi="Times New Roman" w:eastAsia="仿宋_GB2312" w:cs="Times New Roman"/>
                <w:color w:val="auto"/>
                <w:kern w:val="0"/>
                <w:szCs w:val="21"/>
                <w:lang w:val="en-US" w:eastAsia="zh-CN"/>
              </w:rPr>
            </w:pPr>
          </w:p>
        </w:tc>
        <w:tc>
          <w:tcPr>
            <w:tcW w:w="1209"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1134"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82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873"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141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hint="default" w:ascii="Times New Roman" w:hAnsi="Times New Roman" w:eastAsia="仿宋_GB2312" w:cs="Times New Roman"/>
                <w:color w:val="auto"/>
                <w:kern w:val="0"/>
                <w:szCs w:val="21"/>
              </w:rPr>
            </w:pPr>
          </w:p>
        </w:tc>
        <w:tc>
          <w:tcPr>
            <w:tcW w:w="2160" w:type="dxa"/>
            <w:gridSpan w:val="2"/>
            <w:noWrap w:val="0"/>
            <w:vAlign w:val="center"/>
          </w:tcPr>
          <w:p>
            <w:pPr>
              <w:widowControl/>
              <w:ind w:firstLine="630" w:firstLineChars="300"/>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其他资金</w:t>
            </w:r>
          </w:p>
        </w:tc>
        <w:tc>
          <w:tcPr>
            <w:tcW w:w="1149"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1209"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1134"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82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873"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c>
          <w:tcPr>
            <w:tcW w:w="141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年度总体目标</w:t>
            </w:r>
          </w:p>
        </w:tc>
        <w:tc>
          <w:tcPr>
            <w:tcW w:w="4518" w:type="dxa"/>
            <w:gridSpan w:val="4"/>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预期目标</w:t>
            </w:r>
          </w:p>
        </w:tc>
        <w:tc>
          <w:tcPr>
            <w:tcW w:w="4253" w:type="dxa"/>
            <w:gridSpan w:val="4"/>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1080" w:type="dxa"/>
            <w:vMerge w:val="continue"/>
            <w:noWrap w:val="0"/>
            <w:vAlign w:val="center"/>
          </w:tcPr>
          <w:p>
            <w:pPr>
              <w:widowControl/>
              <w:jc w:val="left"/>
              <w:rPr>
                <w:rFonts w:hint="default" w:ascii="Times New Roman" w:hAnsi="Times New Roman" w:eastAsia="仿宋_GB2312" w:cs="Times New Roman"/>
                <w:color w:val="auto"/>
                <w:kern w:val="0"/>
                <w:szCs w:val="21"/>
              </w:rPr>
            </w:pPr>
          </w:p>
        </w:tc>
        <w:tc>
          <w:tcPr>
            <w:tcW w:w="4518" w:type="dxa"/>
            <w:gridSpan w:val="4"/>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sz w:val="21"/>
                <w:szCs w:val="21"/>
              </w:rPr>
              <w:t>全省饲料行政管理和质量安全监管监测；组织开展饲料工业统计及宣传工作；政策性粮食进入饲料加工企业加工成饲料产品后的质量安全监管。</w:t>
            </w:r>
            <w:r>
              <w:rPr>
                <w:rFonts w:hint="default" w:ascii="Times New Roman" w:hAnsi="Times New Roman" w:eastAsia="仿宋_GB2312" w:cs="Times New Roman"/>
                <w:color w:val="auto"/>
                <w:kern w:val="0"/>
                <w:szCs w:val="21"/>
              </w:rPr>
              <w:t>　　</w:t>
            </w:r>
          </w:p>
        </w:tc>
        <w:tc>
          <w:tcPr>
            <w:tcW w:w="4253" w:type="dxa"/>
            <w:gridSpan w:val="4"/>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sz w:val="21"/>
                <w:szCs w:val="21"/>
              </w:rPr>
              <w:t>全省饲料行政管理和质量安全监管监测；组织开展饲料工业统计及宣传工作；政策性粮食进入饲料加工企业加工成饲料产品后的质量安全监管。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绩</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效</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指</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标</w:t>
            </w:r>
          </w:p>
        </w:tc>
        <w:tc>
          <w:tcPr>
            <w:tcW w:w="1080" w:type="dxa"/>
            <w:noWrap w:val="0"/>
            <w:vAlign w:val="center"/>
          </w:tcPr>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一级指标</w:t>
            </w:r>
          </w:p>
        </w:tc>
        <w:tc>
          <w:tcPr>
            <w:tcW w:w="1080" w:type="dxa"/>
            <w:noWrap w:val="0"/>
            <w:vAlign w:val="center"/>
          </w:tcPr>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二级指标</w:t>
            </w:r>
          </w:p>
        </w:tc>
        <w:tc>
          <w:tcPr>
            <w:tcW w:w="1149" w:type="dxa"/>
            <w:noWrap w:val="0"/>
            <w:vAlign w:val="center"/>
          </w:tcPr>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三级指标</w:t>
            </w:r>
          </w:p>
        </w:tc>
        <w:tc>
          <w:tcPr>
            <w:tcW w:w="1209" w:type="dxa"/>
            <w:noWrap w:val="0"/>
            <w:vAlign w:val="center"/>
          </w:tcPr>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年度</w:t>
            </w:r>
          </w:p>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指标值</w:t>
            </w:r>
          </w:p>
        </w:tc>
        <w:tc>
          <w:tcPr>
            <w:tcW w:w="1134" w:type="dxa"/>
            <w:noWrap w:val="0"/>
            <w:vAlign w:val="center"/>
          </w:tcPr>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实际</w:t>
            </w:r>
          </w:p>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完成值</w:t>
            </w:r>
          </w:p>
        </w:tc>
        <w:tc>
          <w:tcPr>
            <w:tcW w:w="828" w:type="dxa"/>
            <w:noWrap w:val="0"/>
            <w:vAlign w:val="center"/>
          </w:tcPr>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分值</w:t>
            </w:r>
          </w:p>
        </w:tc>
        <w:tc>
          <w:tcPr>
            <w:tcW w:w="873" w:type="dxa"/>
            <w:noWrap w:val="0"/>
            <w:vAlign w:val="center"/>
          </w:tcPr>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得分</w:t>
            </w:r>
          </w:p>
        </w:tc>
        <w:tc>
          <w:tcPr>
            <w:tcW w:w="1418" w:type="dxa"/>
            <w:noWrap w:val="0"/>
            <w:vAlign w:val="center"/>
          </w:tcPr>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偏差原因</w:t>
            </w:r>
          </w:p>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分析及</w:t>
            </w:r>
          </w:p>
          <w:p>
            <w:pPr>
              <w:widowControl/>
              <w:spacing w:line="24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hint="default" w:ascii="Times New Roman" w:hAnsi="Times New Roman" w:eastAsia="仿宋_GB2312" w:cs="Times New Roman"/>
                <w:color w:val="auto"/>
                <w:kern w:val="0"/>
                <w:szCs w:val="21"/>
              </w:rPr>
            </w:pPr>
          </w:p>
        </w:tc>
        <w:tc>
          <w:tcPr>
            <w:tcW w:w="1080" w:type="dxa"/>
            <w:vMerge w:val="restart"/>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产出指标</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(50分)</w:t>
            </w:r>
          </w:p>
        </w:tc>
        <w:tc>
          <w:tcPr>
            <w:tcW w:w="1080"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数量指标</w:t>
            </w:r>
          </w:p>
        </w:tc>
        <w:tc>
          <w:tcPr>
            <w:tcW w:w="1149" w:type="dxa"/>
            <w:noWrap w:val="0"/>
            <w:vAlign w:val="center"/>
          </w:tcPr>
          <w:p>
            <w:pPr>
              <w:widowControl/>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sz w:val="18"/>
                <w:szCs w:val="18"/>
              </w:rPr>
              <w:t>饲料行业统计</w:t>
            </w:r>
          </w:p>
        </w:tc>
        <w:tc>
          <w:tcPr>
            <w:tcW w:w="1209" w:type="dxa"/>
            <w:noWrap w:val="0"/>
            <w:vAlign w:val="center"/>
          </w:tcPr>
          <w:p>
            <w:pPr>
              <w:widowControl/>
              <w:jc w:val="left"/>
              <w:rPr>
                <w:rFonts w:hint="default" w:ascii="Times New Roman" w:hAnsi="Times New Roman" w:eastAsia="仿宋_GB2312" w:cs="Times New Roman"/>
                <w:color w:val="auto"/>
                <w:kern w:val="0"/>
                <w:sz w:val="18"/>
                <w:szCs w:val="18"/>
                <w:lang w:val="en-US" w:eastAsia="zh-CN"/>
              </w:rPr>
            </w:pPr>
            <w:r>
              <w:rPr>
                <w:rFonts w:hint="default" w:ascii="Times New Roman" w:hAnsi="Times New Roman" w:eastAsia="仿宋_GB2312" w:cs="Times New Roman"/>
                <w:color w:val="auto"/>
                <w:kern w:val="0"/>
                <w:sz w:val="18"/>
                <w:szCs w:val="18"/>
              </w:rPr>
              <w:t>　</w:t>
            </w:r>
            <w:r>
              <w:rPr>
                <w:rFonts w:hint="default" w:ascii="Times New Roman" w:hAnsi="Times New Roman" w:eastAsia="仿宋_GB2312" w:cs="Times New Roman"/>
                <w:color w:val="auto"/>
                <w:kern w:val="0"/>
                <w:sz w:val="18"/>
                <w:szCs w:val="18"/>
                <w:lang w:val="en-US" w:eastAsia="zh-CN"/>
              </w:rPr>
              <w:t>1次</w:t>
            </w:r>
          </w:p>
        </w:tc>
        <w:tc>
          <w:tcPr>
            <w:tcW w:w="1134" w:type="dxa"/>
            <w:noWrap w:val="0"/>
            <w:vAlign w:val="center"/>
          </w:tcPr>
          <w:p>
            <w:pPr>
              <w:widowControl/>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　</w:t>
            </w:r>
            <w:r>
              <w:rPr>
                <w:rFonts w:hint="default" w:ascii="Times New Roman" w:hAnsi="Times New Roman" w:eastAsia="仿宋_GB2312" w:cs="Times New Roman"/>
                <w:color w:val="auto"/>
                <w:kern w:val="0"/>
                <w:sz w:val="18"/>
                <w:szCs w:val="18"/>
                <w:lang w:val="en-US" w:eastAsia="zh-CN"/>
              </w:rPr>
              <w:t>1次</w:t>
            </w:r>
          </w:p>
        </w:tc>
        <w:tc>
          <w:tcPr>
            <w:tcW w:w="828" w:type="dxa"/>
            <w:noWrap w:val="0"/>
            <w:vAlign w:val="center"/>
          </w:tcPr>
          <w:p>
            <w:pPr>
              <w:widowControl/>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15</w:t>
            </w:r>
          </w:p>
        </w:tc>
        <w:tc>
          <w:tcPr>
            <w:tcW w:w="873"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15</w:t>
            </w:r>
          </w:p>
        </w:tc>
        <w:tc>
          <w:tcPr>
            <w:tcW w:w="141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hint="default" w:ascii="Times New Roman" w:hAnsi="Times New Roman" w:eastAsia="仿宋_GB2312" w:cs="Times New Roman"/>
                <w:color w:val="auto"/>
                <w:kern w:val="0"/>
                <w:szCs w:val="21"/>
              </w:rPr>
            </w:pPr>
          </w:p>
        </w:tc>
        <w:tc>
          <w:tcPr>
            <w:tcW w:w="1080" w:type="dxa"/>
            <w:vMerge w:val="continue"/>
            <w:noWrap w:val="0"/>
            <w:vAlign w:val="center"/>
          </w:tcPr>
          <w:p>
            <w:pPr>
              <w:jc w:val="left"/>
              <w:rPr>
                <w:rFonts w:hint="default" w:ascii="Times New Roman" w:hAnsi="Times New Roman" w:eastAsia="仿宋_GB2312" w:cs="Times New Roman"/>
                <w:color w:val="auto"/>
                <w:kern w:val="0"/>
                <w:szCs w:val="21"/>
              </w:rPr>
            </w:pPr>
          </w:p>
        </w:tc>
        <w:tc>
          <w:tcPr>
            <w:tcW w:w="1080"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质量指标</w:t>
            </w:r>
          </w:p>
        </w:tc>
        <w:tc>
          <w:tcPr>
            <w:tcW w:w="1149" w:type="dxa"/>
            <w:noWrap w:val="0"/>
            <w:vAlign w:val="center"/>
          </w:tcPr>
          <w:p>
            <w:pPr>
              <w:widowControl/>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sz w:val="18"/>
                <w:szCs w:val="18"/>
              </w:rPr>
              <w:t>全省饲料和饲料添加剂生产许可的现场审核</w:t>
            </w:r>
          </w:p>
        </w:tc>
        <w:tc>
          <w:tcPr>
            <w:tcW w:w="1209" w:type="dxa"/>
            <w:noWrap w:val="0"/>
            <w:vAlign w:val="center"/>
          </w:tcPr>
          <w:p>
            <w:pPr>
              <w:widowControl/>
              <w:jc w:val="left"/>
              <w:rPr>
                <w:rFonts w:hint="default" w:ascii="Times New Roman" w:hAnsi="Times New Roman" w:eastAsia="仿宋_GB2312" w:cs="Times New Roman"/>
                <w:color w:val="auto"/>
                <w:kern w:val="0"/>
                <w:sz w:val="18"/>
                <w:szCs w:val="18"/>
                <w:lang w:val="en-US" w:eastAsia="zh-CN"/>
              </w:rPr>
            </w:pPr>
            <w:r>
              <w:rPr>
                <w:rFonts w:hint="default" w:ascii="Times New Roman" w:hAnsi="Times New Roman" w:eastAsia="仿宋_GB2312" w:cs="Times New Roman"/>
                <w:color w:val="auto"/>
                <w:kern w:val="0"/>
                <w:sz w:val="18"/>
                <w:szCs w:val="18"/>
              </w:rPr>
              <w:t>　</w:t>
            </w:r>
            <w:bookmarkStart w:id="24" w:name="OLE_LINK19"/>
            <w:r>
              <w:rPr>
                <w:rFonts w:hint="default" w:ascii="Times New Roman" w:hAnsi="Times New Roman" w:eastAsia="仿宋_GB2312" w:cs="Times New Roman"/>
                <w:color w:val="auto"/>
                <w:sz w:val="18"/>
                <w:szCs w:val="18"/>
              </w:rPr>
              <w:t>完</w:t>
            </w:r>
            <w:r>
              <w:rPr>
                <w:rFonts w:hint="default" w:ascii="Times New Roman" w:hAnsi="Times New Roman" w:eastAsia="仿宋_GB2312" w:cs="Times New Roman"/>
                <w:color w:val="auto"/>
                <w:sz w:val="18"/>
                <w:szCs w:val="18"/>
                <w:lang w:val="en-US" w:eastAsia="zh-CN"/>
              </w:rPr>
              <w:t>成</w:t>
            </w:r>
            <w:bookmarkEnd w:id="24"/>
          </w:p>
        </w:tc>
        <w:tc>
          <w:tcPr>
            <w:tcW w:w="1134" w:type="dxa"/>
            <w:noWrap w:val="0"/>
            <w:vAlign w:val="center"/>
          </w:tcPr>
          <w:p>
            <w:pPr>
              <w:widowControl/>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　</w:t>
            </w:r>
            <w:r>
              <w:rPr>
                <w:rFonts w:hint="default" w:ascii="Times New Roman" w:hAnsi="Times New Roman" w:eastAsia="仿宋_GB2312" w:cs="Times New Roman"/>
                <w:color w:val="auto"/>
                <w:sz w:val="18"/>
                <w:szCs w:val="18"/>
              </w:rPr>
              <w:t>完</w:t>
            </w:r>
            <w:r>
              <w:rPr>
                <w:rFonts w:hint="default" w:ascii="Times New Roman" w:hAnsi="Times New Roman" w:eastAsia="仿宋_GB2312" w:cs="Times New Roman"/>
                <w:color w:val="auto"/>
                <w:sz w:val="18"/>
                <w:szCs w:val="18"/>
                <w:lang w:val="en-US" w:eastAsia="zh-CN"/>
              </w:rPr>
              <w:t>成</w:t>
            </w:r>
          </w:p>
        </w:tc>
        <w:tc>
          <w:tcPr>
            <w:tcW w:w="828" w:type="dxa"/>
            <w:noWrap w:val="0"/>
            <w:vAlign w:val="center"/>
          </w:tcPr>
          <w:p>
            <w:pPr>
              <w:widowControl/>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15</w:t>
            </w:r>
          </w:p>
        </w:tc>
        <w:tc>
          <w:tcPr>
            <w:tcW w:w="873"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15</w:t>
            </w:r>
          </w:p>
        </w:tc>
        <w:tc>
          <w:tcPr>
            <w:tcW w:w="141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hint="default" w:ascii="Times New Roman" w:hAnsi="Times New Roman" w:eastAsia="仿宋_GB2312" w:cs="Times New Roman"/>
                <w:color w:val="auto"/>
                <w:kern w:val="0"/>
                <w:szCs w:val="21"/>
              </w:rPr>
            </w:pPr>
          </w:p>
        </w:tc>
        <w:tc>
          <w:tcPr>
            <w:tcW w:w="1080" w:type="dxa"/>
            <w:vMerge w:val="continue"/>
            <w:noWrap w:val="0"/>
            <w:vAlign w:val="center"/>
          </w:tcPr>
          <w:p>
            <w:pPr>
              <w:jc w:val="left"/>
              <w:rPr>
                <w:rFonts w:hint="default" w:ascii="Times New Roman" w:hAnsi="Times New Roman" w:eastAsia="仿宋_GB2312" w:cs="Times New Roman"/>
                <w:color w:val="auto"/>
                <w:kern w:val="0"/>
                <w:szCs w:val="21"/>
              </w:rPr>
            </w:pPr>
          </w:p>
        </w:tc>
        <w:tc>
          <w:tcPr>
            <w:tcW w:w="1080"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时效指标</w:t>
            </w:r>
          </w:p>
        </w:tc>
        <w:tc>
          <w:tcPr>
            <w:tcW w:w="1149" w:type="dxa"/>
            <w:noWrap w:val="0"/>
            <w:vAlign w:val="center"/>
          </w:tcPr>
          <w:p>
            <w:pPr>
              <w:widowControl/>
              <w:jc w:val="left"/>
              <w:rPr>
                <w:rFonts w:hint="default" w:ascii="Times New Roman" w:hAnsi="Times New Roman" w:eastAsia="仿宋_GB2312" w:cs="Times New Roman"/>
                <w:color w:val="auto"/>
                <w:kern w:val="0"/>
                <w:sz w:val="18"/>
                <w:szCs w:val="18"/>
                <w:lang w:val="en-US" w:eastAsia="zh-CN"/>
              </w:rPr>
            </w:pPr>
            <w:r>
              <w:rPr>
                <w:rFonts w:hint="default" w:ascii="Times New Roman" w:hAnsi="Times New Roman" w:eastAsia="仿宋_GB2312" w:cs="Times New Roman"/>
                <w:color w:val="auto"/>
                <w:kern w:val="0"/>
                <w:sz w:val="18"/>
                <w:szCs w:val="18"/>
                <w:lang w:val="en-US" w:eastAsia="zh-CN"/>
              </w:rPr>
              <w:t>各项工作完成时间</w:t>
            </w:r>
          </w:p>
        </w:tc>
        <w:tc>
          <w:tcPr>
            <w:tcW w:w="1209" w:type="dxa"/>
            <w:noWrap w:val="0"/>
            <w:vAlign w:val="center"/>
          </w:tcPr>
          <w:p>
            <w:pPr>
              <w:widowControl/>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lang w:val="en-US" w:eastAsia="zh-CN"/>
              </w:rPr>
              <w:t>2024年12月31日前</w:t>
            </w:r>
          </w:p>
        </w:tc>
        <w:tc>
          <w:tcPr>
            <w:tcW w:w="1134" w:type="dxa"/>
            <w:noWrap w:val="0"/>
            <w:vAlign w:val="center"/>
          </w:tcPr>
          <w:p>
            <w:pPr>
              <w:widowControl/>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lang w:val="en-US" w:eastAsia="zh-CN"/>
              </w:rPr>
              <w:t>2024年12月31日前</w:t>
            </w:r>
          </w:p>
        </w:tc>
        <w:tc>
          <w:tcPr>
            <w:tcW w:w="828" w:type="dxa"/>
            <w:noWrap w:val="0"/>
            <w:vAlign w:val="center"/>
          </w:tcPr>
          <w:p>
            <w:pPr>
              <w:widowControl/>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10</w:t>
            </w:r>
          </w:p>
        </w:tc>
        <w:tc>
          <w:tcPr>
            <w:tcW w:w="873"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10</w:t>
            </w:r>
          </w:p>
        </w:tc>
        <w:tc>
          <w:tcPr>
            <w:tcW w:w="141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hint="default" w:ascii="Times New Roman" w:hAnsi="Times New Roman" w:eastAsia="仿宋_GB2312" w:cs="Times New Roman"/>
                <w:color w:val="auto"/>
                <w:kern w:val="0"/>
                <w:szCs w:val="21"/>
              </w:rPr>
            </w:pPr>
          </w:p>
        </w:tc>
        <w:tc>
          <w:tcPr>
            <w:tcW w:w="1080" w:type="dxa"/>
            <w:vMerge w:val="continue"/>
            <w:noWrap w:val="0"/>
            <w:vAlign w:val="center"/>
          </w:tcPr>
          <w:p>
            <w:pPr>
              <w:jc w:val="left"/>
              <w:rPr>
                <w:rFonts w:hint="default" w:ascii="Times New Roman" w:hAnsi="Times New Roman" w:eastAsia="仿宋_GB2312" w:cs="Times New Roman"/>
                <w:color w:val="auto"/>
                <w:kern w:val="0"/>
                <w:szCs w:val="21"/>
              </w:rPr>
            </w:pPr>
          </w:p>
        </w:tc>
        <w:tc>
          <w:tcPr>
            <w:tcW w:w="1080"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成本指标</w:t>
            </w:r>
          </w:p>
        </w:tc>
        <w:tc>
          <w:tcPr>
            <w:tcW w:w="1149" w:type="dxa"/>
            <w:noWrap w:val="0"/>
            <w:vAlign w:val="center"/>
          </w:tcPr>
          <w:p>
            <w:pPr>
              <w:widowControl/>
              <w:jc w:val="left"/>
              <w:rPr>
                <w:rFonts w:hint="default" w:ascii="Times New Roman" w:hAnsi="Times New Roman" w:eastAsia="仿宋_GB2312" w:cs="Times New Roman"/>
                <w:color w:val="auto"/>
                <w:kern w:val="0"/>
                <w:sz w:val="18"/>
                <w:szCs w:val="18"/>
                <w:lang w:val="en-US" w:eastAsia="zh-CN"/>
              </w:rPr>
            </w:pPr>
            <w:r>
              <w:rPr>
                <w:rFonts w:hint="default" w:ascii="Times New Roman" w:hAnsi="Times New Roman" w:eastAsia="仿宋_GB2312" w:cs="Times New Roman"/>
                <w:color w:val="auto"/>
                <w:kern w:val="0"/>
                <w:sz w:val="18"/>
                <w:szCs w:val="18"/>
                <w:lang w:val="en-US" w:eastAsia="zh-CN"/>
              </w:rPr>
              <w:t>项目成本</w:t>
            </w:r>
          </w:p>
        </w:tc>
        <w:tc>
          <w:tcPr>
            <w:tcW w:w="1209" w:type="dxa"/>
            <w:noWrap w:val="0"/>
            <w:vAlign w:val="center"/>
          </w:tcPr>
          <w:p>
            <w:pPr>
              <w:widowControl/>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sz w:val="18"/>
                <w:szCs w:val="18"/>
              </w:rPr>
              <w:t>控制在预算范围内</w:t>
            </w:r>
          </w:p>
        </w:tc>
        <w:tc>
          <w:tcPr>
            <w:tcW w:w="1134" w:type="dxa"/>
            <w:noWrap w:val="0"/>
            <w:vAlign w:val="center"/>
          </w:tcPr>
          <w:p>
            <w:pPr>
              <w:widowControl/>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sz w:val="18"/>
                <w:szCs w:val="18"/>
              </w:rPr>
              <w:t>控制在预算范围内</w:t>
            </w:r>
          </w:p>
        </w:tc>
        <w:tc>
          <w:tcPr>
            <w:tcW w:w="828" w:type="dxa"/>
            <w:noWrap w:val="0"/>
            <w:vAlign w:val="center"/>
          </w:tcPr>
          <w:p>
            <w:pPr>
              <w:widowControl/>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10</w:t>
            </w:r>
          </w:p>
        </w:tc>
        <w:tc>
          <w:tcPr>
            <w:tcW w:w="873"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10</w:t>
            </w:r>
          </w:p>
        </w:tc>
        <w:tc>
          <w:tcPr>
            <w:tcW w:w="141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hint="default" w:ascii="Times New Roman" w:hAnsi="Times New Roman" w:eastAsia="仿宋_GB2312" w:cs="Times New Roman"/>
                <w:color w:val="auto"/>
                <w:kern w:val="0"/>
                <w:szCs w:val="21"/>
              </w:rPr>
            </w:pPr>
          </w:p>
        </w:tc>
        <w:tc>
          <w:tcPr>
            <w:tcW w:w="1080" w:type="dxa"/>
            <w:vMerge w:val="restart"/>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效益指标</w:t>
            </w:r>
          </w:p>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（30分）</w:t>
            </w:r>
          </w:p>
        </w:tc>
        <w:tc>
          <w:tcPr>
            <w:tcW w:w="1080"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经济效</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益指标</w:t>
            </w:r>
          </w:p>
        </w:tc>
        <w:tc>
          <w:tcPr>
            <w:tcW w:w="1149" w:type="dxa"/>
            <w:noWrap w:val="0"/>
            <w:vAlign w:val="center"/>
          </w:tcPr>
          <w:p>
            <w:pPr>
              <w:widowControl/>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sz w:val="18"/>
                <w:szCs w:val="18"/>
              </w:rPr>
              <w:t>全省饲料行政管理和质量安全监管监测</w:t>
            </w:r>
          </w:p>
        </w:tc>
        <w:tc>
          <w:tcPr>
            <w:tcW w:w="1209" w:type="dxa"/>
            <w:noWrap w:val="0"/>
            <w:vAlign w:val="center"/>
          </w:tcPr>
          <w:p>
            <w:pPr>
              <w:widowControl/>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　</w:t>
            </w:r>
            <w:r>
              <w:rPr>
                <w:rFonts w:hint="default" w:ascii="Times New Roman" w:hAnsi="Times New Roman" w:eastAsia="仿宋_GB2312" w:cs="Times New Roman"/>
                <w:color w:val="auto"/>
                <w:sz w:val="18"/>
                <w:szCs w:val="18"/>
              </w:rPr>
              <w:t>完</w:t>
            </w:r>
            <w:r>
              <w:rPr>
                <w:rFonts w:hint="default" w:ascii="Times New Roman" w:hAnsi="Times New Roman" w:eastAsia="仿宋_GB2312" w:cs="Times New Roman"/>
                <w:color w:val="auto"/>
                <w:sz w:val="18"/>
                <w:szCs w:val="18"/>
                <w:lang w:val="en-US" w:eastAsia="zh-CN"/>
              </w:rPr>
              <w:t>成</w:t>
            </w:r>
          </w:p>
        </w:tc>
        <w:tc>
          <w:tcPr>
            <w:tcW w:w="1134" w:type="dxa"/>
            <w:noWrap w:val="0"/>
            <w:vAlign w:val="center"/>
          </w:tcPr>
          <w:p>
            <w:pPr>
              <w:widowControl/>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　</w:t>
            </w:r>
            <w:r>
              <w:rPr>
                <w:rFonts w:hint="default" w:ascii="Times New Roman" w:hAnsi="Times New Roman" w:eastAsia="仿宋_GB2312" w:cs="Times New Roman"/>
                <w:color w:val="auto"/>
                <w:sz w:val="18"/>
                <w:szCs w:val="18"/>
              </w:rPr>
              <w:t>完</w:t>
            </w:r>
            <w:r>
              <w:rPr>
                <w:rFonts w:hint="default" w:ascii="Times New Roman" w:hAnsi="Times New Roman" w:eastAsia="仿宋_GB2312" w:cs="Times New Roman"/>
                <w:color w:val="auto"/>
                <w:sz w:val="18"/>
                <w:szCs w:val="18"/>
                <w:lang w:val="en-US" w:eastAsia="zh-CN"/>
              </w:rPr>
              <w:t>成</w:t>
            </w:r>
          </w:p>
        </w:tc>
        <w:tc>
          <w:tcPr>
            <w:tcW w:w="828" w:type="dxa"/>
            <w:noWrap w:val="0"/>
            <w:vAlign w:val="center"/>
          </w:tcPr>
          <w:p>
            <w:pPr>
              <w:widowControl/>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10</w:t>
            </w:r>
          </w:p>
        </w:tc>
        <w:tc>
          <w:tcPr>
            <w:tcW w:w="873"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10</w:t>
            </w:r>
          </w:p>
        </w:tc>
        <w:tc>
          <w:tcPr>
            <w:tcW w:w="141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hint="default" w:ascii="Times New Roman" w:hAnsi="Times New Roman" w:eastAsia="仿宋_GB2312" w:cs="Times New Roman"/>
                <w:color w:val="auto"/>
                <w:kern w:val="0"/>
                <w:szCs w:val="21"/>
              </w:rPr>
            </w:pPr>
          </w:p>
        </w:tc>
        <w:tc>
          <w:tcPr>
            <w:tcW w:w="1080" w:type="dxa"/>
            <w:vMerge w:val="continue"/>
            <w:noWrap w:val="0"/>
            <w:vAlign w:val="center"/>
          </w:tcPr>
          <w:p>
            <w:pPr>
              <w:jc w:val="left"/>
              <w:rPr>
                <w:rFonts w:hint="default" w:ascii="Times New Roman" w:hAnsi="Times New Roman" w:eastAsia="仿宋_GB2312" w:cs="Times New Roman"/>
                <w:color w:val="auto"/>
                <w:kern w:val="0"/>
                <w:szCs w:val="21"/>
              </w:rPr>
            </w:pPr>
          </w:p>
        </w:tc>
        <w:tc>
          <w:tcPr>
            <w:tcW w:w="1080"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社会效</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益指标</w:t>
            </w:r>
          </w:p>
        </w:tc>
        <w:tc>
          <w:tcPr>
            <w:tcW w:w="1149" w:type="dxa"/>
            <w:noWrap w:val="0"/>
            <w:vAlign w:val="center"/>
          </w:tcPr>
          <w:p>
            <w:pPr>
              <w:widowControl/>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sz w:val="18"/>
                <w:szCs w:val="18"/>
              </w:rPr>
              <w:t>组织开展饲料工业统计及宣传工作</w:t>
            </w:r>
          </w:p>
        </w:tc>
        <w:tc>
          <w:tcPr>
            <w:tcW w:w="1209" w:type="dxa"/>
            <w:noWrap w:val="0"/>
            <w:vAlign w:val="center"/>
          </w:tcPr>
          <w:p>
            <w:pPr>
              <w:widowControl/>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　</w:t>
            </w:r>
            <w:r>
              <w:rPr>
                <w:rFonts w:hint="default" w:ascii="Times New Roman" w:hAnsi="Times New Roman" w:eastAsia="仿宋_GB2312" w:cs="Times New Roman"/>
                <w:color w:val="auto"/>
                <w:sz w:val="18"/>
                <w:szCs w:val="18"/>
              </w:rPr>
              <w:t>完</w:t>
            </w:r>
            <w:r>
              <w:rPr>
                <w:rFonts w:hint="default" w:ascii="Times New Roman" w:hAnsi="Times New Roman" w:eastAsia="仿宋_GB2312" w:cs="Times New Roman"/>
                <w:color w:val="auto"/>
                <w:sz w:val="18"/>
                <w:szCs w:val="18"/>
                <w:lang w:val="en-US" w:eastAsia="zh-CN"/>
              </w:rPr>
              <w:t>成</w:t>
            </w:r>
          </w:p>
        </w:tc>
        <w:tc>
          <w:tcPr>
            <w:tcW w:w="1134" w:type="dxa"/>
            <w:noWrap w:val="0"/>
            <w:vAlign w:val="center"/>
          </w:tcPr>
          <w:p>
            <w:pPr>
              <w:widowControl/>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　</w:t>
            </w:r>
            <w:r>
              <w:rPr>
                <w:rFonts w:hint="default" w:ascii="Times New Roman" w:hAnsi="Times New Roman" w:eastAsia="仿宋_GB2312" w:cs="Times New Roman"/>
                <w:color w:val="auto"/>
                <w:sz w:val="18"/>
                <w:szCs w:val="18"/>
              </w:rPr>
              <w:t>完</w:t>
            </w:r>
            <w:r>
              <w:rPr>
                <w:rFonts w:hint="default" w:ascii="Times New Roman" w:hAnsi="Times New Roman" w:eastAsia="仿宋_GB2312" w:cs="Times New Roman"/>
                <w:color w:val="auto"/>
                <w:sz w:val="18"/>
                <w:szCs w:val="18"/>
                <w:lang w:val="en-US" w:eastAsia="zh-CN"/>
              </w:rPr>
              <w:t>成</w:t>
            </w:r>
          </w:p>
        </w:tc>
        <w:tc>
          <w:tcPr>
            <w:tcW w:w="828" w:type="dxa"/>
            <w:noWrap w:val="0"/>
            <w:vAlign w:val="center"/>
          </w:tcPr>
          <w:p>
            <w:pPr>
              <w:widowControl/>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10</w:t>
            </w:r>
          </w:p>
        </w:tc>
        <w:tc>
          <w:tcPr>
            <w:tcW w:w="873"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10</w:t>
            </w:r>
          </w:p>
        </w:tc>
        <w:tc>
          <w:tcPr>
            <w:tcW w:w="141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hint="default" w:ascii="Times New Roman" w:hAnsi="Times New Roman" w:eastAsia="仿宋_GB2312" w:cs="Times New Roman"/>
                <w:color w:val="auto"/>
                <w:kern w:val="0"/>
                <w:szCs w:val="21"/>
              </w:rPr>
            </w:pPr>
          </w:p>
        </w:tc>
        <w:tc>
          <w:tcPr>
            <w:tcW w:w="1080" w:type="dxa"/>
            <w:vMerge w:val="continue"/>
            <w:noWrap w:val="0"/>
            <w:vAlign w:val="center"/>
          </w:tcPr>
          <w:p>
            <w:pPr>
              <w:jc w:val="left"/>
              <w:rPr>
                <w:rFonts w:hint="default" w:ascii="Times New Roman" w:hAnsi="Times New Roman" w:eastAsia="仿宋_GB2312" w:cs="Times New Roman"/>
                <w:color w:val="auto"/>
                <w:kern w:val="0"/>
                <w:szCs w:val="21"/>
              </w:rPr>
            </w:pPr>
          </w:p>
        </w:tc>
        <w:tc>
          <w:tcPr>
            <w:tcW w:w="1080"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生态效</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益指标</w:t>
            </w:r>
          </w:p>
        </w:tc>
        <w:tc>
          <w:tcPr>
            <w:tcW w:w="1149" w:type="dxa"/>
            <w:noWrap w:val="0"/>
            <w:vAlign w:val="center"/>
          </w:tcPr>
          <w:p>
            <w:pPr>
              <w:widowControl/>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sz w:val="18"/>
                <w:szCs w:val="18"/>
              </w:rPr>
              <w:t>政策性粮食进入饲料加工企业加工成饲料产品后的质量安全</w:t>
            </w:r>
          </w:p>
        </w:tc>
        <w:tc>
          <w:tcPr>
            <w:tcW w:w="1209" w:type="dxa"/>
            <w:noWrap w:val="0"/>
            <w:vAlign w:val="center"/>
          </w:tcPr>
          <w:p>
            <w:pPr>
              <w:widowControl/>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　</w:t>
            </w:r>
            <w:r>
              <w:rPr>
                <w:rFonts w:hint="default" w:ascii="Times New Roman" w:hAnsi="Times New Roman" w:eastAsia="仿宋_GB2312" w:cs="Times New Roman"/>
                <w:color w:val="auto"/>
                <w:sz w:val="18"/>
                <w:szCs w:val="18"/>
              </w:rPr>
              <w:t>完</w:t>
            </w:r>
            <w:r>
              <w:rPr>
                <w:rFonts w:hint="default" w:ascii="Times New Roman" w:hAnsi="Times New Roman" w:eastAsia="仿宋_GB2312" w:cs="Times New Roman"/>
                <w:color w:val="auto"/>
                <w:sz w:val="18"/>
                <w:szCs w:val="18"/>
                <w:lang w:val="en-US" w:eastAsia="zh-CN"/>
              </w:rPr>
              <w:t>成</w:t>
            </w:r>
          </w:p>
        </w:tc>
        <w:tc>
          <w:tcPr>
            <w:tcW w:w="1134" w:type="dxa"/>
            <w:noWrap w:val="0"/>
            <w:vAlign w:val="center"/>
          </w:tcPr>
          <w:p>
            <w:pPr>
              <w:widowControl/>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　</w:t>
            </w:r>
            <w:r>
              <w:rPr>
                <w:rFonts w:hint="default" w:ascii="Times New Roman" w:hAnsi="Times New Roman" w:eastAsia="仿宋_GB2312" w:cs="Times New Roman"/>
                <w:color w:val="auto"/>
                <w:sz w:val="18"/>
                <w:szCs w:val="18"/>
              </w:rPr>
              <w:t>完</w:t>
            </w:r>
            <w:r>
              <w:rPr>
                <w:rFonts w:hint="default" w:ascii="Times New Roman" w:hAnsi="Times New Roman" w:eastAsia="仿宋_GB2312" w:cs="Times New Roman"/>
                <w:color w:val="auto"/>
                <w:sz w:val="18"/>
                <w:szCs w:val="18"/>
                <w:lang w:val="en-US" w:eastAsia="zh-CN"/>
              </w:rPr>
              <w:t>成</w:t>
            </w:r>
          </w:p>
        </w:tc>
        <w:tc>
          <w:tcPr>
            <w:tcW w:w="828" w:type="dxa"/>
            <w:noWrap w:val="0"/>
            <w:vAlign w:val="center"/>
          </w:tcPr>
          <w:p>
            <w:pPr>
              <w:widowControl/>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10</w:t>
            </w:r>
          </w:p>
        </w:tc>
        <w:tc>
          <w:tcPr>
            <w:tcW w:w="873"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10</w:t>
            </w:r>
          </w:p>
        </w:tc>
        <w:tc>
          <w:tcPr>
            <w:tcW w:w="141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hint="default" w:ascii="Times New Roman" w:hAnsi="Times New Roman" w:eastAsia="仿宋_GB2312" w:cs="Times New Roman"/>
                <w:color w:val="auto"/>
                <w:kern w:val="0"/>
                <w:szCs w:val="21"/>
              </w:rPr>
            </w:pPr>
          </w:p>
        </w:tc>
        <w:tc>
          <w:tcPr>
            <w:tcW w:w="1080"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满意度</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指标</w:t>
            </w:r>
          </w:p>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（10分）</w:t>
            </w:r>
          </w:p>
        </w:tc>
        <w:tc>
          <w:tcPr>
            <w:tcW w:w="1080"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服务对象满意度指标</w:t>
            </w:r>
          </w:p>
        </w:tc>
        <w:tc>
          <w:tcPr>
            <w:tcW w:w="1149" w:type="dxa"/>
            <w:noWrap w:val="0"/>
            <w:vAlign w:val="center"/>
          </w:tcPr>
          <w:p>
            <w:pPr>
              <w:widowControl/>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sz w:val="18"/>
                <w:szCs w:val="18"/>
              </w:rPr>
              <w:t>服务对象满意度</w:t>
            </w:r>
          </w:p>
        </w:tc>
        <w:tc>
          <w:tcPr>
            <w:tcW w:w="1209" w:type="dxa"/>
            <w:noWrap w:val="0"/>
            <w:vAlign w:val="center"/>
          </w:tcPr>
          <w:p>
            <w:pPr>
              <w:widowControl/>
              <w:jc w:val="left"/>
              <w:rPr>
                <w:rFonts w:hint="default" w:ascii="Times New Roman" w:hAnsi="Times New Roman" w:eastAsia="仿宋_GB2312" w:cs="Times New Roman"/>
                <w:color w:val="auto"/>
                <w:kern w:val="0"/>
                <w:sz w:val="18"/>
                <w:szCs w:val="18"/>
                <w:lang w:val="en-US" w:eastAsia="zh-CN"/>
              </w:rPr>
            </w:pPr>
            <w:r>
              <w:rPr>
                <w:rFonts w:hint="default" w:ascii="Times New Roman" w:hAnsi="Times New Roman" w:eastAsia="仿宋_GB2312" w:cs="Times New Roman"/>
                <w:color w:val="auto"/>
                <w:kern w:val="0"/>
                <w:sz w:val="18"/>
                <w:szCs w:val="18"/>
              </w:rPr>
              <w:t>　</w:t>
            </w:r>
            <w:r>
              <w:rPr>
                <w:rFonts w:hint="default" w:ascii="Times New Roman" w:hAnsi="Times New Roman" w:eastAsia="仿宋_GB2312" w:cs="Times New Roman"/>
                <w:color w:val="auto"/>
                <w:sz w:val="18"/>
                <w:szCs w:val="18"/>
              </w:rPr>
              <w:t>≥</w:t>
            </w:r>
            <w:r>
              <w:rPr>
                <w:rFonts w:hint="default" w:ascii="Times New Roman" w:hAnsi="Times New Roman" w:eastAsia="仿宋_GB2312" w:cs="Times New Roman"/>
                <w:color w:val="auto"/>
                <w:sz w:val="18"/>
                <w:szCs w:val="18"/>
                <w:lang w:val="en-US" w:eastAsia="zh-CN"/>
              </w:rPr>
              <w:t>90%</w:t>
            </w:r>
          </w:p>
        </w:tc>
        <w:tc>
          <w:tcPr>
            <w:tcW w:w="1134" w:type="dxa"/>
            <w:noWrap w:val="0"/>
            <w:vAlign w:val="center"/>
          </w:tcPr>
          <w:p>
            <w:pPr>
              <w:widowControl/>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　</w:t>
            </w:r>
            <w:r>
              <w:rPr>
                <w:rFonts w:hint="default" w:ascii="Times New Roman" w:hAnsi="Times New Roman" w:eastAsia="仿宋_GB2312" w:cs="Times New Roman"/>
                <w:color w:val="auto"/>
                <w:sz w:val="18"/>
                <w:szCs w:val="18"/>
                <w:lang w:val="en-US" w:eastAsia="zh-CN"/>
              </w:rPr>
              <w:t>90%</w:t>
            </w:r>
          </w:p>
        </w:tc>
        <w:tc>
          <w:tcPr>
            <w:tcW w:w="828" w:type="dxa"/>
            <w:noWrap w:val="0"/>
            <w:vAlign w:val="center"/>
          </w:tcPr>
          <w:p>
            <w:pPr>
              <w:widowControl/>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10</w:t>
            </w:r>
          </w:p>
        </w:tc>
        <w:tc>
          <w:tcPr>
            <w:tcW w:w="873"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10</w:t>
            </w:r>
          </w:p>
        </w:tc>
        <w:tc>
          <w:tcPr>
            <w:tcW w:w="141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32" w:type="dxa"/>
            <w:gridSpan w:val="6"/>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总分</w:t>
            </w:r>
          </w:p>
        </w:tc>
        <w:tc>
          <w:tcPr>
            <w:tcW w:w="828" w:type="dxa"/>
            <w:noWrap w:val="0"/>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100</w:t>
            </w:r>
          </w:p>
        </w:tc>
        <w:tc>
          <w:tcPr>
            <w:tcW w:w="873" w:type="dxa"/>
            <w:noWrap w:val="0"/>
            <w:vAlign w:val="center"/>
          </w:tcPr>
          <w:p>
            <w:pPr>
              <w:widowControl/>
              <w:jc w:val="left"/>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rPr>
              <w:t>　</w:t>
            </w:r>
            <w:r>
              <w:rPr>
                <w:rFonts w:hint="default" w:ascii="Times New Roman" w:hAnsi="Times New Roman" w:eastAsia="仿宋_GB2312" w:cs="Times New Roman"/>
                <w:color w:val="auto"/>
                <w:kern w:val="0"/>
                <w:szCs w:val="21"/>
                <w:lang w:val="en-US" w:eastAsia="zh-CN"/>
              </w:rPr>
              <w:t>95</w:t>
            </w:r>
          </w:p>
        </w:tc>
        <w:tc>
          <w:tcPr>
            <w:tcW w:w="1418" w:type="dxa"/>
            <w:noWrap w:val="0"/>
            <w:vAlign w:val="center"/>
          </w:tcPr>
          <w:p>
            <w:pPr>
              <w:widowControl/>
              <w:jc w:val="left"/>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　</w:t>
            </w:r>
          </w:p>
        </w:tc>
      </w:tr>
    </w:tbl>
    <w:p>
      <w:pPr>
        <w:rPr>
          <w:rFonts w:hint="default" w:ascii="Times New Roman" w:hAnsi="Times New Roman" w:cs="Times New Roman"/>
          <w:color w:val="auto"/>
        </w:rPr>
      </w:pPr>
    </w:p>
    <w:p>
      <w:pPr>
        <w:pStyle w:val="16"/>
        <w:spacing w:line="600" w:lineRule="exact"/>
        <w:ind w:firstLine="640" w:firstLineChars="200"/>
        <w:rPr>
          <w:rFonts w:hint="default" w:ascii="Times New Roman" w:hAnsi="Times New Roman" w:eastAsia="仿宋_GB2312" w:cs="Times New Roman"/>
          <w:color w:val="auto"/>
          <w:sz w:val="32"/>
          <w:szCs w:val="32"/>
        </w:rPr>
      </w:pPr>
    </w:p>
    <w:p>
      <w:pPr>
        <w:pStyle w:val="16"/>
        <w:spacing w:line="600" w:lineRule="exact"/>
        <w:ind w:firstLine="640" w:firstLineChars="200"/>
        <w:rPr>
          <w:rFonts w:hint="default" w:ascii="Times New Roman" w:hAnsi="Times New Roman" w:eastAsia="仿宋_GB2312" w:cs="Times New Roman"/>
          <w:color w:val="auto"/>
          <w:sz w:val="32"/>
          <w:szCs w:val="32"/>
        </w:rPr>
      </w:pPr>
    </w:p>
    <w:p>
      <w:pPr>
        <w:pStyle w:val="16"/>
        <w:jc w:val="center"/>
        <w:rPr>
          <w:rFonts w:hint="default" w:ascii="Times New Roman" w:hAnsi="Times New Roman" w:cs="Times New Roman"/>
          <w:color w:val="auto"/>
          <w:sz w:val="72"/>
          <w:szCs w:val="72"/>
        </w:rPr>
      </w:pPr>
    </w:p>
    <w:p>
      <w:pPr>
        <w:pStyle w:val="16"/>
        <w:jc w:val="center"/>
        <w:rPr>
          <w:rFonts w:hint="default" w:ascii="Times New Roman" w:hAnsi="Times New Roman" w:cs="Times New Roman"/>
          <w:color w:val="auto"/>
          <w:sz w:val="72"/>
          <w:szCs w:val="72"/>
        </w:rPr>
      </w:pPr>
    </w:p>
    <w:p>
      <w:pPr>
        <w:jc w:val="left"/>
        <w:rPr>
          <w:rFonts w:hint="default" w:ascii="Times New Roman" w:hAnsi="Times New Roman" w:cs="Times New Roman"/>
          <w:color w:val="auto"/>
          <w:kern w:val="0"/>
          <w:sz w:val="32"/>
          <w:szCs w:val="32"/>
        </w:rPr>
      </w:pPr>
    </w:p>
    <w:sectPr>
      <w:pgSz w:w="11906" w:h="16838"/>
      <w:pgMar w:top="1417" w:right="1588" w:bottom="1417"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Batang">
    <w:altName w:val="Noto Serif CJK JP SemiBold"/>
    <w:panose1 w:val="02030600000101010101"/>
    <w:charset w:val="00"/>
    <w:family w:val="roman"/>
    <w:pitch w:val="default"/>
    <w:sig w:usb0="00000000" w:usb1="00000000" w:usb2="00000030" w:usb3="00000000" w:csb0="0008009F"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楷体">
    <w:panose1 w:val="02010609060101010101"/>
    <w:charset w:val="86"/>
    <w:family w:val="auto"/>
    <w:pitch w:val="default"/>
    <w:sig w:usb0="800002BF" w:usb1="38CF7CFA" w:usb2="00000016" w:usb3="00000000" w:csb0="00040001" w:csb1="00000000"/>
  </w:font>
  <w:font w:name="Noto Serif CJK JP SemiBold">
    <w:panose1 w:val="02020600000000000000"/>
    <w:charset w:val="86"/>
    <w:family w:val="auto"/>
    <w:pitch w:val="default"/>
    <w:sig w:usb0="30000083" w:usb1="2BDF3C10" w:usb2="00000016" w:usb3="00000000" w:csb0="602E0107"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WxrOFQIAABkEAAAOAAAAZHJz&#10;L2Uyb0RvYy54bWytU8uO0zAU3SPxD5b3NGlRR1XVdFRmVIRUMSMVxNp1nCaSX7LdJuUD4A9YsWHP&#10;d/U75thNOghYITbOub4393Hu8eK2U5IchfON0QUdj3JKhOambPS+oB8/rF/NKPGB6ZJJo0VBT8LT&#10;2+XLF4vWzsXE1EaWwhEk0X7e2oLWIdh5lnleC8X8yFih4ayMUyzAdPusdKxFdiWzSZ7fZK1xpXWG&#10;C+9xe39x0mXKX1WCh4eq8iIQWVD0FtLp0rmLZ7ZcsPneMVs3vG+D/UMXijUaRa+p7llg5OCaP1Kp&#10;hjvjTRVG3KjMVFXDRZoB04zz36bZ1syKNAvI8fZKk/9/afn746MjTVnQKSWaKazo/O3r+fvP848v&#10;ZBrpaa2fI2prERe6N6YraHAHMbg87uPgXeVU/GIkghBwfbryK7pAOC7Hs8lslsPF4RsMlMief7fO&#10;h7fCKBJBQR0WmHhlx40Pl9AhJFbTZt1ImZYoNWkLevN6mqcfrh4klxo14hyXZiMK3a7rh9uZ8oTZ&#10;nLmIw1u+blB8w3x4ZA5qQMNQeHjAUUmDIqZHlNTGff7bfYzHkuClpIW6Cqohf0rkO43lRSEOwA1g&#10;NwB9UHcGch3j5VieIH5wQQ6wckZ9guxXsUbFpEdipjmqYTUDvAuweieeDxer1dWG9CwLG721vF9m&#10;5NLb1SGAz0Rz5OhCTE8d9JcW1b+VKPBf7RT1/KKX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AnWxrOFQIAABkEAAAOAAAAAAAAAAEAIAAAADUBAABkcnMvZTJvRG9jLnhtbFBLBQYAAAAABgAG&#10;AFkBAAC8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4CDA96"/>
    <w:multiLevelType w:val="singleLevel"/>
    <w:tmpl w:val="C34CDA96"/>
    <w:lvl w:ilvl="0" w:tentative="0">
      <w:start w:val="3"/>
      <w:numFmt w:val="chineseCounting"/>
      <w:suff w:val="nothing"/>
      <w:lvlText w:val="%1、"/>
      <w:lvlJc w:val="left"/>
      <w:rPr>
        <w:rFonts w:hint="eastAsia"/>
      </w:rPr>
    </w:lvl>
  </w:abstractNum>
  <w:abstractNum w:abstractNumId="1">
    <w:nsid w:val="48E36DDF"/>
    <w:multiLevelType w:val="singleLevel"/>
    <w:tmpl w:val="48E36DDF"/>
    <w:lvl w:ilvl="0" w:tentative="0">
      <w:start w:val="2"/>
      <w:numFmt w:val="chineseCounting"/>
      <w:suff w:val="nothing"/>
      <w:lvlText w:val="（%1）"/>
      <w:lvlJc w:val="left"/>
      <w:rPr>
        <w:rFonts w:hint="eastAsia"/>
      </w:rPr>
    </w:lvl>
  </w:abstractNum>
  <w:abstractNum w:abstractNumId="2">
    <w:nsid w:val="70E36316"/>
    <w:multiLevelType w:val="singleLevel"/>
    <w:tmpl w:val="70E36316"/>
    <w:lvl w:ilvl="0" w:tentative="0">
      <w:start w:val="8"/>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0001A"/>
    <w:rsid w:val="0002229B"/>
    <w:rsid w:val="000273BD"/>
    <w:rsid w:val="0003620C"/>
    <w:rsid w:val="00040CBC"/>
    <w:rsid w:val="000415B7"/>
    <w:rsid w:val="00041E3F"/>
    <w:rsid w:val="00055DAA"/>
    <w:rsid w:val="00061F7B"/>
    <w:rsid w:val="000658A3"/>
    <w:rsid w:val="00074155"/>
    <w:rsid w:val="00080785"/>
    <w:rsid w:val="000A3F69"/>
    <w:rsid w:val="000B20F1"/>
    <w:rsid w:val="000C5742"/>
    <w:rsid w:val="00103957"/>
    <w:rsid w:val="00152C6D"/>
    <w:rsid w:val="00162D39"/>
    <w:rsid w:val="001678BD"/>
    <w:rsid w:val="00182373"/>
    <w:rsid w:val="001A67DB"/>
    <w:rsid w:val="001B67D1"/>
    <w:rsid w:val="001C3C29"/>
    <w:rsid w:val="001D2B79"/>
    <w:rsid w:val="001D51E5"/>
    <w:rsid w:val="001E080D"/>
    <w:rsid w:val="001E53D0"/>
    <w:rsid w:val="001F0C3B"/>
    <w:rsid w:val="00202C82"/>
    <w:rsid w:val="00214427"/>
    <w:rsid w:val="00220689"/>
    <w:rsid w:val="00221AFD"/>
    <w:rsid w:val="00226CB7"/>
    <w:rsid w:val="00252450"/>
    <w:rsid w:val="00264552"/>
    <w:rsid w:val="00264EF9"/>
    <w:rsid w:val="00265724"/>
    <w:rsid w:val="0027426B"/>
    <w:rsid w:val="00296D60"/>
    <w:rsid w:val="002E0A30"/>
    <w:rsid w:val="0030077D"/>
    <w:rsid w:val="003130C4"/>
    <w:rsid w:val="00316C4B"/>
    <w:rsid w:val="0032192B"/>
    <w:rsid w:val="0033283E"/>
    <w:rsid w:val="00337CC2"/>
    <w:rsid w:val="003479BD"/>
    <w:rsid w:val="0037197D"/>
    <w:rsid w:val="003768D5"/>
    <w:rsid w:val="003926B9"/>
    <w:rsid w:val="003C2E17"/>
    <w:rsid w:val="003C47E6"/>
    <w:rsid w:val="003C4FC2"/>
    <w:rsid w:val="00401F9A"/>
    <w:rsid w:val="00416E61"/>
    <w:rsid w:val="0042790C"/>
    <w:rsid w:val="004506F9"/>
    <w:rsid w:val="00462315"/>
    <w:rsid w:val="004717A2"/>
    <w:rsid w:val="00473DF3"/>
    <w:rsid w:val="00487911"/>
    <w:rsid w:val="00490F48"/>
    <w:rsid w:val="00491741"/>
    <w:rsid w:val="004B0CEE"/>
    <w:rsid w:val="004C2A0A"/>
    <w:rsid w:val="004F5EFB"/>
    <w:rsid w:val="00500E5F"/>
    <w:rsid w:val="005122EF"/>
    <w:rsid w:val="0051441A"/>
    <w:rsid w:val="00517C33"/>
    <w:rsid w:val="00517D5F"/>
    <w:rsid w:val="00523644"/>
    <w:rsid w:val="0054069E"/>
    <w:rsid w:val="00544866"/>
    <w:rsid w:val="00552A3D"/>
    <w:rsid w:val="00574CC8"/>
    <w:rsid w:val="005767CC"/>
    <w:rsid w:val="00590D9F"/>
    <w:rsid w:val="00595D26"/>
    <w:rsid w:val="005A74E6"/>
    <w:rsid w:val="005B404E"/>
    <w:rsid w:val="005D4D55"/>
    <w:rsid w:val="005E0E6C"/>
    <w:rsid w:val="005E2CFB"/>
    <w:rsid w:val="005F2103"/>
    <w:rsid w:val="005F3D1C"/>
    <w:rsid w:val="005F4189"/>
    <w:rsid w:val="006171EE"/>
    <w:rsid w:val="0062378F"/>
    <w:rsid w:val="00641842"/>
    <w:rsid w:val="00651EEC"/>
    <w:rsid w:val="00686673"/>
    <w:rsid w:val="00691E8C"/>
    <w:rsid w:val="006A22C4"/>
    <w:rsid w:val="006A351B"/>
    <w:rsid w:val="006B0422"/>
    <w:rsid w:val="006C1B53"/>
    <w:rsid w:val="006D7730"/>
    <w:rsid w:val="006E5284"/>
    <w:rsid w:val="006F3EB5"/>
    <w:rsid w:val="006F56C8"/>
    <w:rsid w:val="00702E34"/>
    <w:rsid w:val="00704395"/>
    <w:rsid w:val="00710FE7"/>
    <w:rsid w:val="00717621"/>
    <w:rsid w:val="00720FF1"/>
    <w:rsid w:val="00727A53"/>
    <w:rsid w:val="007502DE"/>
    <w:rsid w:val="00787B42"/>
    <w:rsid w:val="007C4539"/>
    <w:rsid w:val="007F3657"/>
    <w:rsid w:val="00810F0C"/>
    <w:rsid w:val="00811AA2"/>
    <w:rsid w:val="00812ED5"/>
    <w:rsid w:val="008277D9"/>
    <w:rsid w:val="0084478C"/>
    <w:rsid w:val="0086638C"/>
    <w:rsid w:val="008764FA"/>
    <w:rsid w:val="008A1079"/>
    <w:rsid w:val="008A3E8D"/>
    <w:rsid w:val="008A5055"/>
    <w:rsid w:val="008D17F4"/>
    <w:rsid w:val="009237C4"/>
    <w:rsid w:val="00944C48"/>
    <w:rsid w:val="00950252"/>
    <w:rsid w:val="00967F5D"/>
    <w:rsid w:val="009A0F95"/>
    <w:rsid w:val="009B3ADF"/>
    <w:rsid w:val="009C31C5"/>
    <w:rsid w:val="009C3B52"/>
    <w:rsid w:val="009E6817"/>
    <w:rsid w:val="009E6E9A"/>
    <w:rsid w:val="00A01D2B"/>
    <w:rsid w:val="00A1392A"/>
    <w:rsid w:val="00A42218"/>
    <w:rsid w:val="00A70249"/>
    <w:rsid w:val="00A70B02"/>
    <w:rsid w:val="00A71D9F"/>
    <w:rsid w:val="00A92E9F"/>
    <w:rsid w:val="00AB18FF"/>
    <w:rsid w:val="00B26269"/>
    <w:rsid w:val="00B33BEA"/>
    <w:rsid w:val="00B57C9F"/>
    <w:rsid w:val="00B63572"/>
    <w:rsid w:val="00B845B3"/>
    <w:rsid w:val="00B85D8B"/>
    <w:rsid w:val="00BB4A40"/>
    <w:rsid w:val="00BD6022"/>
    <w:rsid w:val="00BD6C3E"/>
    <w:rsid w:val="00BE3674"/>
    <w:rsid w:val="00C10681"/>
    <w:rsid w:val="00C10822"/>
    <w:rsid w:val="00C15C89"/>
    <w:rsid w:val="00C27C0D"/>
    <w:rsid w:val="00C3049A"/>
    <w:rsid w:val="00C31B1E"/>
    <w:rsid w:val="00C32F2E"/>
    <w:rsid w:val="00C73888"/>
    <w:rsid w:val="00C77645"/>
    <w:rsid w:val="00CE04C3"/>
    <w:rsid w:val="00CE34BE"/>
    <w:rsid w:val="00CE76A0"/>
    <w:rsid w:val="00D148C6"/>
    <w:rsid w:val="00D17A8A"/>
    <w:rsid w:val="00D415BA"/>
    <w:rsid w:val="00D63780"/>
    <w:rsid w:val="00D644EE"/>
    <w:rsid w:val="00DD06FF"/>
    <w:rsid w:val="00DD5FE9"/>
    <w:rsid w:val="00DF298A"/>
    <w:rsid w:val="00E00C7A"/>
    <w:rsid w:val="00E37D6C"/>
    <w:rsid w:val="00E55B68"/>
    <w:rsid w:val="00E561AE"/>
    <w:rsid w:val="00E67BE6"/>
    <w:rsid w:val="00E8683C"/>
    <w:rsid w:val="00EA2B72"/>
    <w:rsid w:val="00F74360"/>
    <w:rsid w:val="00FB462F"/>
    <w:rsid w:val="00FE16FA"/>
    <w:rsid w:val="00FE328A"/>
    <w:rsid w:val="00FE6269"/>
    <w:rsid w:val="00FF5CD6"/>
    <w:rsid w:val="07C82852"/>
    <w:rsid w:val="09FB33AC"/>
    <w:rsid w:val="0AB7D69C"/>
    <w:rsid w:val="0B7F5C44"/>
    <w:rsid w:val="0C920AD6"/>
    <w:rsid w:val="109F4BD4"/>
    <w:rsid w:val="1BF568DB"/>
    <w:rsid w:val="1D97DEFF"/>
    <w:rsid w:val="1DFF72E5"/>
    <w:rsid w:val="1EFC6F07"/>
    <w:rsid w:val="25B86EF1"/>
    <w:rsid w:val="277231B0"/>
    <w:rsid w:val="2CE72920"/>
    <w:rsid w:val="2FDF85B8"/>
    <w:rsid w:val="2FFFEE04"/>
    <w:rsid w:val="34DF85B0"/>
    <w:rsid w:val="378A2D42"/>
    <w:rsid w:val="3B602C26"/>
    <w:rsid w:val="3B8F36BC"/>
    <w:rsid w:val="417A44F5"/>
    <w:rsid w:val="46FFC7EF"/>
    <w:rsid w:val="491FF225"/>
    <w:rsid w:val="4F416524"/>
    <w:rsid w:val="4FFD214C"/>
    <w:rsid w:val="53FD587D"/>
    <w:rsid w:val="5777D4F5"/>
    <w:rsid w:val="59DD8326"/>
    <w:rsid w:val="59FFAE8D"/>
    <w:rsid w:val="5CCD3038"/>
    <w:rsid w:val="5DEF592A"/>
    <w:rsid w:val="5FC6BB1E"/>
    <w:rsid w:val="5FF720F1"/>
    <w:rsid w:val="66712746"/>
    <w:rsid w:val="67FF5C0B"/>
    <w:rsid w:val="6EFC0924"/>
    <w:rsid w:val="6FB74722"/>
    <w:rsid w:val="6FEF8B7E"/>
    <w:rsid w:val="71A6591B"/>
    <w:rsid w:val="737D59BA"/>
    <w:rsid w:val="75BF414F"/>
    <w:rsid w:val="77C37683"/>
    <w:rsid w:val="79D19834"/>
    <w:rsid w:val="79FF515B"/>
    <w:rsid w:val="7B3E5942"/>
    <w:rsid w:val="7CAB139C"/>
    <w:rsid w:val="7E9E1962"/>
    <w:rsid w:val="7E9F11B4"/>
    <w:rsid w:val="7F37EC1E"/>
    <w:rsid w:val="7F72B7E6"/>
    <w:rsid w:val="7F7DCD9D"/>
    <w:rsid w:val="7F970A6F"/>
    <w:rsid w:val="7FC1FFF3"/>
    <w:rsid w:val="7FC69637"/>
    <w:rsid w:val="7FDF8620"/>
    <w:rsid w:val="7FE8C8F7"/>
    <w:rsid w:val="7FFB242F"/>
    <w:rsid w:val="7FFDB408"/>
    <w:rsid w:val="7FFE4EEB"/>
    <w:rsid w:val="95FB2B98"/>
    <w:rsid w:val="9A639BC2"/>
    <w:rsid w:val="9FF7D786"/>
    <w:rsid w:val="ABBFB23D"/>
    <w:rsid w:val="B3FF0676"/>
    <w:rsid w:val="C2F5690B"/>
    <w:rsid w:val="C3B4DA5A"/>
    <w:rsid w:val="CBFF70E0"/>
    <w:rsid w:val="CFF50B82"/>
    <w:rsid w:val="CFFFAD89"/>
    <w:rsid w:val="DF3DC536"/>
    <w:rsid w:val="DFFE359E"/>
    <w:rsid w:val="DFFE4FFD"/>
    <w:rsid w:val="E7D63572"/>
    <w:rsid w:val="EEABED75"/>
    <w:rsid w:val="F56FDF51"/>
    <w:rsid w:val="F6B69F17"/>
    <w:rsid w:val="F77F1D61"/>
    <w:rsid w:val="F7FED3A9"/>
    <w:rsid w:val="F8C9DB26"/>
    <w:rsid w:val="F97C32E7"/>
    <w:rsid w:val="F97E8EAE"/>
    <w:rsid w:val="FB36E1A6"/>
    <w:rsid w:val="FB3BE134"/>
    <w:rsid w:val="FCFF4275"/>
    <w:rsid w:val="FD7FEEEA"/>
    <w:rsid w:val="FDFFB577"/>
    <w:rsid w:val="FEEA50FE"/>
    <w:rsid w:val="FF16BD3C"/>
    <w:rsid w:val="FF7D47A9"/>
    <w:rsid w:val="FFCF21CB"/>
    <w:rsid w:val="FFFE9245"/>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semiHidden/>
    <w:unhideWhenUsed/>
    <w:qFormat/>
    <w:uiPriority w:val="99"/>
    <w:pPr>
      <w:spacing w:after="120"/>
    </w:pPr>
  </w:style>
  <w:style w:type="paragraph" w:styleId="3">
    <w:name w:val="Normal Indent"/>
    <w:basedOn w:val="1"/>
    <w:next w:val="1"/>
    <w:qFormat/>
    <w:uiPriority w:val="0"/>
    <w:pPr>
      <w:ind w:firstLine="420" w:firstLineChars="200"/>
    </w:pPr>
  </w:style>
  <w:style w:type="paragraph" w:styleId="4">
    <w:name w:val="Body Text Indent"/>
    <w:basedOn w:val="1"/>
    <w:next w:val="5"/>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First Indent 2"/>
    <w:basedOn w:val="4"/>
    <w:next w:val="1"/>
    <w:unhideWhenUsed/>
    <w:qFormat/>
    <w:uiPriority w:val="99"/>
    <w:pPr>
      <w:ind w:firstLine="420" w:firstLineChars="200"/>
    </w:pPr>
  </w:style>
  <w:style w:type="paragraph" w:styleId="6">
    <w:name w:val="Plain Text"/>
    <w:basedOn w:val="1"/>
    <w:qFormat/>
    <w:uiPriority w:val="0"/>
    <w:rPr>
      <w:rFonts w:ascii="宋体" w:hAnsi="Courier New"/>
    </w:rPr>
  </w:style>
  <w:style w:type="paragraph" w:styleId="7">
    <w:name w:val="Balloon Text"/>
    <w:basedOn w:val="1"/>
    <w:link w:val="18"/>
    <w:semiHidden/>
    <w:unhideWhenUsed/>
    <w:qFormat/>
    <w:uiPriority w:val="99"/>
    <w:rPr>
      <w:sz w:val="18"/>
      <w:szCs w:val="18"/>
    </w:rPr>
  </w:style>
  <w:style w:type="paragraph" w:styleId="8">
    <w:name w:val="footer"/>
    <w:basedOn w:val="1"/>
    <w:link w:val="15"/>
    <w:unhideWhenUsed/>
    <w:qFormat/>
    <w:uiPriority w:val="99"/>
    <w:pPr>
      <w:tabs>
        <w:tab w:val="center" w:pos="4153"/>
        <w:tab w:val="right" w:pos="8306"/>
      </w:tabs>
      <w:snapToGrid w:val="0"/>
      <w:jc w:val="left"/>
    </w:pPr>
    <w:rPr>
      <w:sz w:val="18"/>
      <w:szCs w:val="18"/>
    </w:rPr>
  </w:style>
  <w:style w:type="paragraph" w:styleId="9">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next w:val="5"/>
    <w:semiHidden/>
    <w:qFormat/>
    <w:uiPriority w:val="0"/>
    <w:pPr>
      <w:snapToGrid w:val="0"/>
      <w:jc w:val="left"/>
    </w:pPr>
    <w:rPr>
      <w:sz w:val="18"/>
      <w:szCs w:val="18"/>
    </w:rPr>
  </w:style>
  <w:style w:type="character" w:styleId="13">
    <w:name w:val="page number"/>
    <w:basedOn w:val="12"/>
    <w:qFormat/>
    <w:uiPriority w:val="0"/>
  </w:style>
  <w:style w:type="character" w:customStyle="1" w:styleId="14">
    <w:name w:val="页眉 Char"/>
    <w:basedOn w:val="12"/>
    <w:link w:val="9"/>
    <w:qFormat/>
    <w:uiPriority w:val="99"/>
    <w:rPr>
      <w:sz w:val="18"/>
      <w:szCs w:val="18"/>
    </w:rPr>
  </w:style>
  <w:style w:type="character" w:customStyle="1" w:styleId="15">
    <w:name w:val="页脚 Char"/>
    <w:basedOn w:val="12"/>
    <w:link w:val="8"/>
    <w:qFormat/>
    <w:uiPriority w:val="99"/>
    <w:rPr>
      <w:sz w:val="18"/>
      <w:szCs w:val="18"/>
    </w:rPr>
  </w:style>
  <w:style w:type="paragraph" w:customStyle="1" w:styleId="16">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7">
    <w:name w:val="List Paragraph"/>
    <w:basedOn w:val="1"/>
    <w:qFormat/>
    <w:uiPriority w:val="34"/>
    <w:pPr>
      <w:ind w:firstLine="420" w:firstLineChars="200"/>
    </w:pPr>
  </w:style>
  <w:style w:type="character" w:customStyle="1" w:styleId="18">
    <w:name w:val="批注框文本 Char"/>
    <w:basedOn w:val="12"/>
    <w:link w:val="7"/>
    <w:semiHidden/>
    <w:qFormat/>
    <w:uiPriority w:val="99"/>
    <w:rPr>
      <w:sz w:val="18"/>
      <w:szCs w:val="18"/>
    </w:rPr>
  </w:style>
  <w:style w:type="character" w:customStyle="1" w:styleId="19">
    <w:name w:val="font01"/>
    <w:basedOn w:val="12"/>
    <w:qFormat/>
    <w:uiPriority w:val="0"/>
    <w:rPr>
      <w:rFonts w:hint="eastAsia" w:ascii="宋体" w:hAnsi="宋体" w:eastAsia="宋体" w:cs="宋体"/>
      <w:color w:val="000000"/>
      <w:sz w:val="22"/>
      <w:szCs w:val="22"/>
      <w:u w:val="none"/>
    </w:rPr>
  </w:style>
  <w:style w:type="character" w:customStyle="1" w:styleId="20">
    <w:name w:val="font21"/>
    <w:basedOn w:val="12"/>
    <w:qFormat/>
    <w:uiPriority w:val="0"/>
    <w:rPr>
      <w:rFonts w:hint="eastAsia" w:ascii="宋体" w:hAnsi="宋体" w:eastAsia="宋体" w:cs="宋体"/>
      <w:color w:val="000000"/>
      <w:sz w:val="24"/>
      <w:szCs w:val="24"/>
      <w:u w:val="none"/>
    </w:rPr>
  </w:style>
  <w:style w:type="character" w:customStyle="1" w:styleId="21">
    <w:name w:val="font11"/>
    <w:basedOn w:val="1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38</Pages>
  <Words>1764</Words>
  <Characters>2471</Characters>
  <Lines>69</Lines>
  <Paragraphs>19</Paragraphs>
  <TotalTime>24</TotalTime>
  <ScaleCrop>false</ScaleCrop>
  <LinksUpToDate>false</LinksUpToDate>
  <CharactersWithSpaces>2554</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2025-08-20T18:17:00Z</dcterms:created>
  <dc:creator>李航 null</dc:creator>
  <cp:lastModifiedBy>greatwall</cp:lastModifiedBy>
  <cp:lastPrinted>2024-08-11T02:20:00Z</cp:lastPrinted>
  <dcterms:modified xsi:type="dcterms:W3CDTF">2025-09-18T11:36:24Z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9BA4E1281DB448308D89D15323475E29_13</vt:lpwstr>
  </property>
  <property fmtid="{D5CDD505-2E9C-101B-9397-08002B2CF9AE}" pid="4" name="KSOTemplateDocerSaveRecord">
    <vt:lpwstr>eyJoZGlkIjoiZjZjYjBhNjhkYjRiNWY3MTU4YjIyY2IxZTZkYzk0NzQiLCJ1c2VySWQiOiIxNDU5OTYyMjcxIn0=</vt:lpwstr>
  </property>
</Properties>
</file>