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rFonts w:ascii="Times New Roman" w:hAnsi="Times New Roman" w:cs="Times New Roman"/>
          <w:sz w:val="56"/>
          <w:szCs w:val="56"/>
        </w:rPr>
      </w:pPr>
    </w:p>
    <w:p>
      <w:pPr>
        <w:pStyle w:val="15"/>
        <w:jc w:val="center"/>
        <w:rPr>
          <w:rFonts w:ascii="Times New Roman" w:hAnsi="Times New Roman" w:cs="Times New Roman"/>
          <w:sz w:val="84"/>
          <w:szCs w:val="84"/>
        </w:rPr>
      </w:pPr>
    </w:p>
    <w:p>
      <w:pPr>
        <w:pStyle w:val="15"/>
        <w:jc w:val="center"/>
        <w:rPr>
          <w:rFonts w:ascii="Times New Roman" w:hAnsi="Times New Roman" w:cs="Times New Roman"/>
          <w:sz w:val="84"/>
          <w:szCs w:val="84"/>
        </w:rPr>
      </w:pP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5"/>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湖南省贺家山原种场</w:t>
      </w: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pPr>
        <w:pStyle w:val="15"/>
        <w:jc w:val="center"/>
        <w:rPr>
          <w:rFonts w:ascii="Times New Roman" w:hAnsi="Times New Roman" w:eastAsia="方正小标宋_GBK" w:cs="Times New Roman"/>
          <w:sz w:val="56"/>
          <w:szCs w:val="56"/>
        </w:rPr>
      </w:pPr>
    </w:p>
    <w:p>
      <w:pPr>
        <w:pStyle w:val="15"/>
        <w:jc w:val="center"/>
        <w:rPr>
          <w:rFonts w:ascii="Times New Roman" w:hAnsi="Times New Roman" w:cs="Times New Roman"/>
          <w:sz w:val="56"/>
          <w:szCs w:val="56"/>
        </w:rPr>
      </w:pPr>
    </w:p>
    <w:p>
      <w:pPr>
        <w:pStyle w:val="15"/>
        <w:rPr>
          <w:rFonts w:ascii="Times New Roman" w:hAnsi="Times New Roman" w:cs="Times New Roman"/>
          <w:sz w:val="56"/>
          <w:szCs w:val="56"/>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pgBorders>
            <w:top w:val="none" w:sz="0" w:space="0"/>
            <w:left w:val="none" w:sz="0" w:space="0"/>
            <w:bottom w:val="none" w:sz="0" w:space="0"/>
            <w:right w:val="none" w:sz="0" w:space="0"/>
          </w:pgBorders>
          <w:cols w:space="425" w:num="1"/>
          <w:docGrid w:type="lines" w:linePitch="312" w:charSpace="0"/>
        </w:sectPr>
      </w:pPr>
    </w:p>
    <w:p>
      <w:pPr>
        <w:pStyle w:val="15"/>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15"/>
        <w:spacing w:line="600" w:lineRule="exact"/>
        <w:jc w:val="both"/>
        <w:rPr>
          <w:rFonts w:ascii="Times New Roman" w:hAnsi="Times New Roman" w:cs="Times New Roman"/>
          <w:b/>
          <w:sz w:val="36"/>
          <w:szCs w:val="28"/>
        </w:rPr>
      </w:pPr>
    </w:p>
    <w:p>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5"/>
        <w:spacing w:line="600" w:lineRule="exact"/>
        <w:jc w:val="center"/>
        <w:rPr>
          <w:rFonts w:ascii="Times New Roman" w:hAnsi="Times New Roman" w:cs="Times New Roman"/>
          <w:b/>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湖南省贺家山原种场</w:t>
      </w:r>
      <w:r>
        <w:rPr>
          <w:rFonts w:ascii="Times New Roman" w:hAnsi="Times New Roman" w:cs="Times New Roman"/>
          <w:bCs/>
          <w:sz w:val="32"/>
          <w:szCs w:val="32"/>
        </w:rPr>
        <w:t>单位概况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9"/>
        <w:rPr>
          <w:rFonts w:ascii="Times New Roman" w:hAnsi="Times New Roman" w:cs="Times New Roman"/>
        </w:rPr>
        <w:sectPr>
          <w:footerReference r:id="rId5"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5"/>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湖南省贺家山原种场</w:t>
      </w:r>
      <w:r>
        <w:rPr>
          <w:rFonts w:ascii="Times New Roman" w:hAnsi="Times New Roman" w:eastAsia="方正小标宋_GBK" w:cs="Times New Roman"/>
          <w:sz w:val="52"/>
          <w:szCs w:val="52"/>
        </w:rPr>
        <w:t>单位概况</w:t>
      </w:r>
    </w:p>
    <w:p>
      <w:pPr>
        <w:pStyle w:val="5"/>
        <w:ind w:left="0" w:leftChars="0" w:firstLine="0" w:firstLineChars="0"/>
        <w:rPr>
          <w:rFonts w:ascii="Times New Roman" w:hAnsi="Times New Roman" w:cs="Times New Roman"/>
        </w:rPr>
      </w:pPr>
    </w:p>
    <w:p>
      <w:pPr>
        <w:pStyle w:val="16"/>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湖南省贺家山原种场系湖南省农业农村厅直属县团级农业事业单位。主要承担南方稻区水稻区域试验及湖南省水稻区域试验（预备试验）、湖南省水稻品种（组合）生产安全性鉴定、湖南省两用不育系生态鉴定、湖南省及南方稻区水稻新品种引进、筛选、展示、推广与杂交水稻科普教育、湖南省及南方稻区杂交水稻亲本种子提纯、繁殖与杂交水稻和优质棉种子生产、现代农业及社会主义新农村建设示范、现代农业技术示范和培训等公益服务职能，担负着保障全省乃至南方稻区种子生产安全的核心作用，是湖南省水稻、优质棉原（良）种子生产的重要基地。此外，还承担着辖区内社会管理综合治理与安全生产、计划生育与妇幼保健、九年制义务教育与文化管理、疾病预防控制与治疗、动物疾病防治与动植物检验检疫、民兵武装与国防教育、民政与社会优抚、劳动与社会保障、自然资源保护与林业管理、农村安全饮水、交通运输与管理、防汛抗旱与大堤安保、公共设施建设维护与管理等社会职能。</w:t>
      </w:r>
    </w:p>
    <w:p>
      <w:pPr>
        <w:widowControl/>
        <w:spacing w:line="600" w:lineRule="exact"/>
        <w:ind w:firstLine="640" w:firstLineChars="200"/>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kern w:val="0"/>
          <w:sz w:val="32"/>
          <w:szCs w:val="32"/>
          <w:lang w:eastAsia="zh-CN"/>
        </w:rPr>
        <w:t>湖南省贺家山原种场</w:t>
      </w:r>
      <w:r>
        <w:rPr>
          <w:rFonts w:ascii="Times New Roman" w:hAnsi="Times New Roman" w:eastAsia="仿宋_GB2312" w:cs="Times New Roman"/>
          <w:bCs/>
          <w:kern w:val="0"/>
          <w:sz w:val="32"/>
          <w:szCs w:val="32"/>
        </w:rPr>
        <w:t>内设机构包括：</w:t>
      </w:r>
      <w:r>
        <w:rPr>
          <w:rFonts w:hint="eastAsia" w:ascii="Times New Roman" w:hAnsi="Times New Roman" w:eastAsia="仿宋_GB2312" w:cs="Times New Roman"/>
          <w:bCs/>
          <w:kern w:val="0"/>
          <w:sz w:val="32"/>
          <w:szCs w:val="32"/>
        </w:rPr>
        <w:t>党政办公室、人事科、计划财务科、纪检监察室、发展规划科、农林水利科、种子质量管理科、平安建设办公室、老干部工作办公室、民政办公室、退役军人事务办公室、国土管理办公室、交通农机管理科、文化与教育科、卫生与健康管理科、信息中心16个内设科室、部门，设大洲分场、乐兴分场、新合分场、小凡洲分场、社保服务中心、后勤服务中心、种业科学研究所、农业技术服务中心、排灌站、常德市贺家山卫生院、子弟学校11个直属部门。</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Times New Roman"/>
          <w:bCs/>
          <w:kern w:val="0"/>
          <w:sz w:val="32"/>
          <w:szCs w:val="32"/>
          <w:lang w:eastAsia="zh-CN"/>
        </w:rPr>
        <w:t>湖南省贺家山原种场</w:t>
      </w:r>
      <w:r>
        <w:rPr>
          <w:rFonts w:ascii="Times New Roman" w:hAnsi="Times New Roman" w:eastAsia="仿宋_GB2312" w:cs="Times New Roman"/>
          <w:bCs/>
          <w:kern w:val="0"/>
          <w:sz w:val="32"/>
          <w:szCs w:val="32"/>
        </w:rPr>
        <w:t>2024年部门决算汇总公开单位构成包括：</w:t>
      </w:r>
      <w:r>
        <w:rPr>
          <w:rFonts w:hint="eastAsia" w:ascii="Times New Roman" w:hAnsi="Times New Roman" w:eastAsia="仿宋_GB2312" w:cs="Times New Roman"/>
          <w:bCs/>
          <w:kern w:val="0"/>
          <w:sz w:val="32"/>
          <w:szCs w:val="32"/>
        </w:rPr>
        <w:t>湖南省贺家山原种场本级。</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9"/>
        <w:rPr>
          <w:rFonts w:ascii="Times New Roman" w:hAnsi="Times New Roman" w:cs="Times New Roman"/>
        </w:rPr>
        <w:sectPr>
          <w:footerReference r:id="rId6"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rPr>
        <w:t>湖南省贺家山原种场</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0"/>
        <w:tblW w:w="14070" w:type="dxa"/>
        <w:tblInd w:w="0" w:type="dxa"/>
        <w:shd w:val="clear" w:color="auto" w:fill="auto"/>
        <w:tblLayout w:type="fixed"/>
        <w:tblCellMar>
          <w:top w:w="0" w:type="dxa"/>
          <w:left w:w="0" w:type="dxa"/>
          <w:bottom w:w="0" w:type="dxa"/>
          <w:right w:w="0" w:type="dxa"/>
        </w:tblCellMar>
      </w:tblPr>
      <w:tblGrid>
        <w:gridCol w:w="5066"/>
        <w:gridCol w:w="671"/>
        <w:gridCol w:w="1298"/>
        <w:gridCol w:w="4144"/>
        <w:gridCol w:w="585"/>
        <w:gridCol w:w="2306"/>
      </w:tblGrid>
      <w:tr>
        <w:tblPrEx>
          <w:shd w:val="clear" w:color="auto" w:fill="auto"/>
          <w:tblLayout w:type="fixed"/>
          <w:tblCellMar>
            <w:top w:w="0" w:type="dxa"/>
            <w:left w:w="0" w:type="dxa"/>
            <w:bottom w:w="0" w:type="dxa"/>
            <w:right w:w="0" w:type="dxa"/>
          </w:tblCellMar>
        </w:tblPrEx>
        <w:trPr>
          <w:trHeight w:val="300" w:hRule="atLeast"/>
        </w:trPr>
        <w:tc>
          <w:tcPr>
            <w:tcW w:w="7035" w:type="dxa"/>
            <w:gridSpan w:val="3"/>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035" w:type="dxa"/>
            <w:gridSpan w:val="3"/>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4,914.37</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245.57</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7.08</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1,004.72</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923.55</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262.15</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5,764.96</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64.32</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6,164.66</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7,283.06</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2,245.00</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1,126.61</w:t>
            </w:r>
          </w:p>
        </w:tc>
      </w:tr>
      <w:tr>
        <w:tblPrEx>
          <w:tblLayout w:type="fixed"/>
          <w:tblCellMar>
            <w:top w:w="0" w:type="dxa"/>
            <w:left w:w="0" w:type="dxa"/>
            <w:bottom w:w="0" w:type="dxa"/>
            <w:right w:w="0" w:type="dxa"/>
          </w:tblCellMar>
        </w:tblPrEx>
        <w:trPr>
          <w:trHeight w:val="300" w:hRule="atLeast"/>
        </w:trPr>
        <w:tc>
          <w:tcPr>
            <w:tcW w:w="50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71"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9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8,409.67</w:t>
            </w:r>
          </w:p>
        </w:tc>
        <w:tc>
          <w:tcPr>
            <w:tcW w:w="4144"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8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30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8,409.67</w:t>
            </w:r>
          </w:p>
        </w:tc>
      </w:tr>
    </w:tbl>
    <w:p>
      <w:pPr>
        <w:pStyle w:val="9"/>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pStyle w:val="9"/>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rPr>
        <w:t>湖南省贺家山原种场</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0"/>
        <w:tblW w:w="14670" w:type="dxa"/>
        <w:tblInd w:w="0" w:type="dxa"/>
        <w:shd w:val="clear" w:color="auto" w:fill="auto"/>
        <w:tblLayout w:type="fixed"/>
        <w:tblCellMar>
          <w:top w:w="0" w:type="dxa"/>
          <w:left w:w="0" w:type="dxa"/>
          <w:bottom w:w="0" w:type="dxa"/>
          <w:right w:w="0" w:type="dxa"/>
        </w:tblCellMar>
      </w:tblPr>
      <w:tblGrid>
        <w:gridCol w:w="978"/>
        <w:gridCol w:w="3550"/>
        <w:gridCol w:w="1322"/>
        <w:gridCol w:w="1463"/>
        <w:gridCol w:w="1126"/>
        <w:gridCol w:w="1519"/>
        <w:gridCol w:w="957"/>
        <w:gridCol w:w="1266"/>
        <w:gridCol w:w="2489"/>
      </w:tblGrid>
      <w:tr>
        <w:tblPrEx>
          <w:shd w:val="clear" w:color="auto" w:fill="auto"/>
          <w:tblLayout w:type="fixed"/>
          <w:tblCellMar>
            <w:top w:w="0" w:type="dxa"/>
            <w:left w:w="0" w:type="dxa"/>
            <w:bottom w:w="0" w:type="dxa"/>
            <w:right w:w="0" w:type="dxa"/>
          </w:tblCellMar>
        </w:tblPrEx>
        <w:trPr>
          <w:trHeight w:val="300" w:hRule="atLeast"/>
        </w:trPr>
        <w:tc>
          <w:tcPr>
            <w:tcW w:w="4528" w:type="dxa"/>
            <w:gridSpan w:val="2"/>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322"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463"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126"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519"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957"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266"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2489"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Layout w:type="fixed"/>
          <w:tblCellMar>
            <w:top w:w="0" w:type="dxa"/>
            <w:left w:w="0" w:type="dxa"/>
            <w:bottom w:w="0" w:type="dxa"/>
            <w:right w:w="0" w:type="dxa"/>
          </w:tblCellMar>
        </w:tblPrEx>
        <w:trPr>
          <w:trHeight w:val="300" w:hRule="atLeast"/>
        </w:trPr>
        <w:tc>
          <w:tcPr>
            <w:tcW w:w="978"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highlight w:val="none"/>
                <w:u w:val="none"/>
                <w:lang w:val="en-US" w:eastAsia="zh-CN" w:bidi="ar"/>
              </w:rPr>
              <w:t>功能分类科目编码</w:t>
            </w:r>
          </w:p>
        </w:tc>
        <w:tc>
          <w:tcPr>
            <w:tcW w:w="3550" w:type="dxa"/>
            <w:vMerge w:val="restart"/>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322"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3"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6"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19"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57"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66"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489"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78"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22"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3"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6"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19"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57"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66"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489"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78"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22"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3"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6"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19"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57"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66"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489"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4528" w:type="dxa"/>
            <w:gridSpan w:val="2"/>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322"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63"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26"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19"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57"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6"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489"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Layout w:type="fixed"/>
          <w:tblCellMar>
            <w:top w:w="0" w:type="dxa"/>
            <w:left w:w="0" w:type="dxa"/>
            <w:bottom w:w="0" w:type="dxa"/>
            <w:right w:w="0" w:type="dxa"/>
          </w:tblCellMar>
        </w:tblPrEx>
        <w:trPr>
          <w:trHeight w:val="300" w:hRule="atLeast"/>
        </w:trPr>
        <w:tc>
          <w:tcPr>
            <w:tcW w:w="4528" w:type="dxa"/>
            <w:gridSpan w:val="2"/>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6,164.66</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4,914.37</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245.57</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1,004.72</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20603</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应用研究</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2060302</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社会公益研究</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913.94</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910.56</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906.16</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906.16</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480.16</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480.16</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285.00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285.00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退役安置</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2080999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其他退役安置支出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301.02</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301.02</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基层医疗卫生机构</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2100399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其他基层医疗卫生机构支出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公共卫生</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201.25</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201.25</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2100408</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基本公共卫生服务</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60.38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60.38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重大公共卫生服务</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140.47</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140.47</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2100499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其他公共卫生支出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0.40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0.40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计划生育事务</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56.91</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56.91</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2100717</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计划生育服务</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56.91</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56.91</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21013</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医疗救助</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2101301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城乡医疗救助</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36.58</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4,588.88</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3,744.81</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245.57</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598.50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4,502.63</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3,744.81</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245.57</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512.25</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4,085.67</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3,690.00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245.57</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150.10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7.81</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防灾救灾</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2130120</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稳定农民收入补贴</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144.55</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144.55</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129.60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农业生态资源保护</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2130305</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水利工程建设</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2130306</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水利工程运行与维护</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目标价格补贴</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49.25</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49.25</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2130901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棉花目标价格补贴</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25.71</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25.71</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2130999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其他目标价格补贴</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23.54</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23.54</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交通运输支出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44.82</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44.82</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公路水路运输</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44.82</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44.82</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2140106</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公路养护</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21.82</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21.82</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2140199</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其他公路水路运输支出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215</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资源勘探工业信息等支出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21598</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超长期特别国债安排的支出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2159802</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制造业</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灾害防治及应急管理支出</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22406</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自然灾害防治</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r>
      <w:tr>
        <w:tblPrEx>
          <w:tblLayout w:type="fixed"/>
          <w:tblCellMar>
            <w:top w:w="0" w:type="dxa"/>
            <w:left w:w="0" w:type="dxa"/>
            <w:bottom w:w="0" w:type="dxa"/>
            <w:right w:w="0" w:type="dxa"/>
          </w:tblCellMar>
        </w:tblPrEx>
        <w:trPr>
          <w:trHeight w:val="300" w:hRule="atLeast"/>
        </w:trPr>
        <w:tc>
          <w:tcPr>
            <w:tcW w:w="97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2240601</w:t>
            </w:r>
          </w:p>
        </w:tc>
        <w:tc>
          <w:tcPr>
            <w:tcW w:w="355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地质灾害防治</w:t>
            </w:r>
          </w:p>
        </w:tc>
        <w:tc>
          <w:tcPr>
            <w:tcW w:w="1322"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6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2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95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6"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9"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r>
    </w:tbl>
    <w:p>
      <w:pPr>
        <w:pStyle w:val="5"/>
      </w:pPr>
    </w:p>
    <w:p>
      <w:pPr>
        <w:pStyle w:val="5"/>
      </w:pP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p>
    <w:p>
      <w:pPr>
        <w:rPr>
          <w:rFonts w:ascii="Times New Roman" w:hAnsi="Times New Roman" w:eastAsia="华文中宋" w:cs="Times New Roman"/>
          <w:color w:val="000000"/>
          <w:sz w:val="32"/>
          <w:szCs w:val="32"/>
        </w:rPr>
      </w:pP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rPr>
        <w:t>湖南省贺家山原种场</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0"/>
        <w:tblW w:w="14670" w:type="dxa"/>
        <w:tblInd w:w="0" w:type="dxa"/>
        <w:shd w:val="clear" w:color="auto" w:fill="auto"/>
        <w:tblLayout w:type="fixed"/>
        <w:tblCellMar>
          <w:top w:w="0" w:type="dxa"/>
          <w:left w:w="0" w:type="dxa"/>
          <w:bottom w:w="0" w:type="dxa"/>
          <w:right w:w="0" w:type="dxa"/>
        </w:tblCellMar>
      </w:tblPr>
      <w:tblGrid>
        <w:gridCol w:w="990"/>
        <w:gridCol w:w="3930"/>
        <w:gridCol w:w="1800"/>
        <w:gridCol w:w="1800"/>
        <w:gridCol w:w="1800"/>
        <w:gridCol w:w="1410"/>
        <w:gridCol w:w="1140"/>
        <w:gridCol w:w="1800"/>
      </w:tblGrid>
      <w:tr>
        <w:tblPrEx>
          <w:shd w:val="clear" w:color="auto" w:fill="auto"/>
          <w:tblLayout w:type="fixed"/>
          <w:tblCellMar>
            <w:top w:w="0" w:type="dxa"/>
            <w:left w:w="0" w:type="dxa"/>
            <w:bottom w:w="0" w:type="dxa"/>
            <w:right w:w="0" w:type="dxa"/>
          </w:tblCellMar>
        </w:tblPrEx>
        <w:trPr>
          <w:trHeight w:val="300" w:hRule="atLeast"/>
        </w:trPr>
        <w:tc>
          <w:tcPr>
            <w:tcW w:w="4920" w:type="dxa"/>
            <w:gridSpan w:val="2"/>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1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14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Layout w:type="fixed"/>
          <w:tblCellMar>
            <w:top w:w="0" w:type="dxa"/>
            <w:left w:w="0" w:type="dxa"/>
            <w:bottom w:w="0" w:type="dxa"/>
            <w:right w:w="0" w:type="dxa"/>
          </w:tblCellMar>
        </w:tblPrEx>
        <w:trPr>
          <w:trHeight w:val="300" w:hRule="atLeast"/>
        </w:trPr>
        <w:tc>
          <w:tcPr>
            <w:tcW w:w="99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highlight w:val="none"/>
                <w:u w:val="none"/>
                <w:lang w:val="en-US" w:eastAsia="zh-CN" w:bidi="ar"/>
              </w:rPr>
              <w:t>功能分类科目编码</w:t>
            </w:r>
          </w:p>
        </w:tc>
        <w:tc>
          <w:tcPr>
            <w:tcW w:w="3930" w:type="dxa"/>
            <w:vMerge w:val="restart"/>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930" w:type="dxa"/>
            <w:vMerge w:val="continue"/>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930" w:type="dxa"/>
            <w:vMerge w:val="continue"/>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1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4920" w:type="dxa"/>
            <w:gridSpan w:val="2"/>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800"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00"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800"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10"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40"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800"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Layout w:type="fixed"/>
          <w:tblCellMar>
            <w:top w:w="0" w:type="dxa"/>
            <w:left w:w="0" w:type="dxa"/>
            <w:bottom w:w="0" w:type="dxa"/>
            <w:right w:w="0" w:type="dxa"/>
          </w:tblCellMar>
        </w:tblPrEx>
        <w:trPr>
          <w:trHeight w:val="300" w:hRule="atLeast"/>
        </w:trPr>
        <w:tc>
          <w:tcPr>
            <w:tcW w:w="4920" w:type="dxa"/>
            <w:gridSpan w:val="2"/>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7,283.06</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5,250.83</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2,032.22</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b/>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b/>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b/>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科学技术管理事务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2060199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其他科学技术管理事务支出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20603</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应用研究</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2060302</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社会公益研究</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923.55</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906.16</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17.39</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906.16</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906.16</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480.16</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480.16</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285.00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285.00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20807</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就业补助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9.61</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9.61</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2080799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其他就业补助支出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9.61</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9.61</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退役安置</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2080999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其他退役安置支出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262.15</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262.15</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基层医疗卫生机构</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其他基层医疗卫生机构支出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公共卫生</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2100408</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基本公共卫生服务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60.38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60.38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重大公共卫生服务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140.72</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140.72</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其他公共卫生支出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计划生育事务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0.79</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0.79</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2100717</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计划生育服务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0.79</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0.79</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21013</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医疗救助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2101301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城乡医疗救助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24.88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5,764.96</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4,085.67</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1,679.29</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5,688.83</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4,085.67</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1,603.16</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4,085.67</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4,085.67</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21.21</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21.21</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7.81</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7.81</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防灾救灾</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48.95</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48.95</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2130120</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稳定农民收入补贴</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144.35</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144.35</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1,195.12</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1,195.12</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农业生态资源保护</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10.48</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10.48</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2130148</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渔业发展</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125.24</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125.24</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2130306</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水利工程运行与维护</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21308</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普惠金融发展支出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2.99</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2.99</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2130803</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农业保险保费补贴</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2.99</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2.99</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目标价格补贴</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46.14</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46.14</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棉花目标价格补贴</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16.92</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16.92</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其他目标价格补贴</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29.22</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29.22</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交通运输支出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64.32</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64.32</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公路水路运输</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64.32</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64.32</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2140106</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公路养护</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41.93</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41.93</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2140199</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其他公路水路运输支出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22.39</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22.39</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灾害防治及应急管理支出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22406</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自然灾害防治</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2240601</w:t>
            </w:r>
          </w:p>
        </w:tc>
        <w:tc>
          <w:tcPr>
            <w:tcW w:w="39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地质灾害防治</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1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1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bl>
    <w:p>
      <w:pPr>
        <w:pStyle w:val="9"/>
      </w:pPr>
    </w:p>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公开04表</w:t>
      </w:r>
    </w:p>
    <w:p>
      <w:pPr>
        <w:widowControl/>
        <w:tabs>
          <w:tab w:val="left" w:pos="3595"/>
          <w:tab w:val="left" w:pos="4031"/>
          <w:tab w:val="left" w:pos="5109"/>
          <w:tab w:val="left" w:pos="9152"/>
          <w:tab w:val="left" w:pos="9587"/>
          <w:tab w:val="left" w:pos="11160"/>
          <w:tab w:val="left" w:pos="12554"/>
          <w:tab w:val="left" w:pos="13948"/>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rPr>
        <w:t>湖南省贺家山原种场</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0"/>
        <w:tblW w:w="15000" w:type="dxa"/>
        <w:tblInd w:w="0" w:type="dxa"/>
        <w:shd w:val="clear" w:color="auto" w:fill="auto"/>
        <w:tblLayout w:type="fixed"/>
        <w:tblCellMar>
          <w:top w:w="0" w:type="dxa"/>
          <w:left w:w="0" w:type="dxa"/>
          <w:bottom w:w="0" w:type="dxa"/>
          <w:right w:w="0" w:type="dxa"/>
        </w:tblCellMar>
      </w:tblPr>
      <w:tblGrid>
        <w:gridCol w:w="3270"/>
        <w:gridCol w:w="570"/>
        <w:gridCol w:w="1365"/>
        <w:gridCol w:w="4327"/>
        <w:gridCol w:w="508"/>
        <w:gridCol w:w="1127"/>
        <w:gridCol w:w="1343"/>
        <w:gridCol w:w="860"/>
        <w:gridCol w:w="1630"/>
      </w:tblGrid>
      <w:tr>
        <w:tblPrEx>
          <w:shd w:val="clear" w:color="auto" w:fill="auto"/>
          <w:tblLayout w:type="fixed"/>
          <w:tblCellMar>
            <w:top w:w="0" w:type="dxa"/>
            <w:left w:w="0" w:type="dxa"/>
            <w:bottom w:w="0" w:type="dxa"/>
            <w:right w:w="0" w:type="dxa"/>
          </w:tblCellMar>
        </w:tblPrEx>
        <w:trPr>
          <w:trHeight w:val="300" w:hRule="atLeast"/>
        </w:trPr>
        <w:tc>
          <w:tcPr>
            <w:tcW w:w="5205" w:type="dxa"/>
            <w:gridSpan w:val="3"/>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795" w:type="dxa"/>
            <w:gridSpan w:val="6"/>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Layout w:type="fixed"/>
          <w:tblCellMar>
            <w:top w:w="0" w:type="dxa"/>
            <w:left w:w="0" w:type="dxa"/>
            <w:bottom w:w="0" w:type="dxa"/>
            <w:right w:w="0" w:type="dxa"/>
          </w:tblCellMar>
        </w:tblPrEx>
        <w:trPr>
          <w:trHeight w:val="285" w:hRule="atLeast"/>
        </w:trPr>
        <w:tc>
          <w:tcPr>
            <w:tcW w:w="327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7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65"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327"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08"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127" w:type="dxa"/>
            <w:vMerge w:val="restart"/>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43"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86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63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Layout w:type="fixed"/>
          <w:tblCellMar>
            <w:top w:w="0" w:type="dxa"/>
            <w:left w:w="0" w:type="dxa"/>
            <w:bottom w:w="0" w:type="dxa"/>
            <w:right w:w="0" w:type="dxa"/>
          </w:tblCellMar>
        </w:tblPrEx>
        <w:trPr>
          <w:trHeight w:val="600" w:hRule="atLeast"/>
        </w:trPr>
        <w:tc>
          <w:tcPr>
            <w:tcW w:w="327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7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5"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327"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08"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vMerge w:val="continue"/>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43"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6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3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4,914.37</w:t>
            </w: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910.56</w:t>
            </w: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910.56</w:t>
            </w: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4,370.43</w:t>
            </w: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4,370.43</w:t>
            </w: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259.00</w:t>
            </w: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4,914.37</w:t>
            </w: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5,539.99</w:t>
            </w: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5,539.99</w:t>
            </w: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637.34</w:t>
            </w: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11.72</w:t>
            </w: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11.72</w:t>
            </w: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637.34</w:t>
            </w: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32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7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6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5,551.71</w:t>
            </w:r>
          </w:p>
        </w:tc>
        <w:tc>
          <w:tcPr>
            <w:tcW w:w="43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08"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127"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5,551.71</w:t>
            </w:r>
          </w:p>
        </w:tc>
        <w:tc>
          <w:tcPr>
            <w:tcW w:w="1343"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5,551.71</w:t>
            </w:r>
          </w:p>
        </w:tc>
        <w:tc>
          <w:tcPr>
            <w:tcW w:w="86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63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bl>
    <w:p>
      <w:pPr>
        <w:pStyle w:val="9"/>
      </w:pPr>
    </w:p>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Cs w:val="21"/>
          <w:lang w:eastAsia="zh-CN"/>
        </w:rPr>
        <w:t>湖南省贺家山原种场</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tbl>
      <w:tblPr>
        <w:tblStyle w:val="10"/>
        <w:tblW w:w="14219" w:type="dxa"/>
        <w:jc w:val="center"/>
        <w:tblInd w:w="0" w:type="dxa"/>
        <w:tblLayout w:type="fixed"/>
        <w:tblCellMar>
          <w:top w:w="0" w:type="dxa"/>
          <w:left w:w="108" w:type="dxa"/>
          <w:bottom w:w="0" w:type="dxa"/>
          <w:right w:w="108" w:type="dxa"/>
        </w:tblCellMar>
      </w:tblPr>
      <w:tblGrid>
        <w:gridCol w:w="951"/>
        <w:gridCol w:w="3776"/>
        <w:gridCol w:w="3164"/>
        <w:gridCol w:w="3164"/>
        <w:gridCol w:w="3164"/>
      </w:tblGrid>
      <w:tr>
        <w:tblPrEx>
          <w:tblLayout w:type="fixed"/>
          <w:tblCellMar>
            <w:top w:w="0" w:type="dxa"/>
            <w:left w:w="108" w:type="dxa"/>
            <w:bottom w:w="0" w:type="dxa"/>
            <w:right w:w="108" w:type="dxa"/>
          </w:tblCellMar>
        </w:tblPrEx>
        <w:trPr>
          <w:trHeight w:val="54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b/>
                <w:kern w:val="0"/>
                <w:szCs w:val="21"/>
              </w:rPr>
            </w:pPr>
            <w:r>
              <w:rPr>
                <w:rFonts w:hint="eastAsia" w:ascii="宋体" w:hAnsi="宋体" w:eastAsia="宋体" w:cs="宋体"/>
                <w:i w:val="0"/>
                <w:color w:val="000000"/>
                <w:kern w:val="0"/>
                <w:sz w:val="22"/>
                <w:szCs w:val="22"/>
                <w:u w:val="none"/>
                <w:lang w:val="en-US" w:eastAsia="zh-CN" w:bidi="ar"/>
              </w:rPr>
              <w:t>项目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b/>
                <w:kern w:val="0"/>
                <w:szCs w:val="21"/>
              </w:rPr>
            </w:pPr>
            <w:r>
              <w:rPr>
                <w:rFonts w:hint="eastAsia" w:ascii="宋体" w:hAnsi="宋体" w:eastAsia="宋体" w:cs="宋体"/>
                <w:i w:val="0"/>
                <w:color w:val="000000"/>
                <w:kern w:val="0"/>
                <w:sz w:val="22"/>
                <w:szCs w:val="22"/>
                <w:u w:val="none"/>
                <w:lang w:val="en-US" w:eastAsia="zh-CN" w:bidi="ar"/>
              </w:rPr>
              <w:t>本年支出</w:t>
            </w:r>
          </w:p>
        </w:tc>
      </w:tr>
      <w:tr>
        <w:tblPrEx>
          <w:tblLayout w:type="fixed"/>
          <w:tblCellMar>
            <w:top w:w="0" w:type="dxa"/>
            <w:left w:w="108" w:type="dxa"/>
            <w:bottom w:w="0" w:type="dxa"/>
            <w:right w:w="108" w:type="dxa"/>
          </w:tblCellMar>
        </w:tblPrEx>
        <w:trPr>
          <w:trHeight w:val="312" w:hRule="exact"/>
          <w:jc w:val="center"/>
        </w:trPr>
        <w:tc>
          <w:tcPr>
            <w:tcW w:w="951"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b/>
                <w:kern w:val="0"/>
                <w:szCs w:val="21"/>
              </w:rPr>
            </w:pPr>
            <w:r>
              <w:rPr>
                <w:rFonts w:hint="eastAsia" w:ascii="宋体" w:hAnsi="宋体" w:eastAsia="宋体" w:cs="宋体"/>
                <w:i w:val="0"/>
                <w:color w:val="000000"/>
                <w:kern w:val="0"/>
                <w:sz w:val="22"/>
                <w:szCs w:val="22"/>
                <w:highlight w:val="none"/>
                <w:u w:val="none"/>
                <w:lang w:val="en-US" w:eastAsia="zh-CN" w:bidi="ar"/>
              </w:rPr>
              <w:t>功能分类科目编码</w:t>
            </w:r>
          </w:p>
        </w:tc>
        <w:tc>
          <w:tcPr>
            <w:tcW w:w="377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b/>
                <w:kern w:val="0"/>
                <w:szCs w:val="21"/>
              </w:rPr>
            </w:pPr>
            <w:r>
              <w:rPr>
                <w:rFonts w:hint="eastAsia" w:ascii="宋体" w:hAnsi="宋体" w:eastAsia="宋体" w:cs="宋体"/>
                <w:i w:val="0"/>
                <w:color w:val="000000"/>
                <w:kern w:val="0"/>
                <w:sz w:val="22"/>
                <w:szCs w:val="22"/>
                <w:u w:val="none"/>
                <w:lang w:val="en-US" w:eastAsia="zh-CN" w:bidi="ar"/>
              </w:rPr>
              <w:t>科目名称</w:t>
            </w:r>
          </w:p>
        </w:tc>
        <w:tc>
          <w:tcPr>
            <w:tcW w:w="3164"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b/>
                <w:kern w:val="0"/>
                <w:szCs w:val="21"/>
              </w:rPr>
            </w:pPr>
            <w:r>
              <w:rPr>
                <w:rFonts w:hint="eastAsia" w:ascii="宋体" w:hAnsi="宋体" w:eastAsia="宋体" w:cs="宋体"/>
                <w:i w:val="0"/>
                <w:color w:val="000000"/>
                <w:kern w:val="0"/>
                <w:sz w:val="22"/>
                <w:szCs w:val="22"/>
                <w:u w:val="none"/>
                <w:lang w:val="en-US" w:eastAsia="zh-CN" w:bidi="ar"/>
              </w:rPr>
              <w:t>小计</w:t>
            </w:r>
          </w:p>
        </w:tc>
        <w:tc>
          <w:tcPr>
            <w:tcW w:w="3164"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b/>
                <w:kern w:val="0"/>
                <w:szCs w:val="21"/>
              </w:rPr>
            </w:pPr>
            <w:r>
              <w:rPr>
                <w:rFonts w:hint="eastAsia" w:ascii="宋体" w:hAnsi="宋体" w:eastAsia="宋体" w:cs="宋体"/>
                <w:i w:val="0"/>
                <w:color w:val="000000"/>
                <w:kern w:val="0"/>
                <w:sz w:val="22"/>
                <w:szCs w:val="22"/>
                <w:u w:val="none"/>
                <w:lang w:val="en-US" w:eastAsia="zh-CN" w:bidi="ar"/>
              </w:rPr>
              <w:t>基本支出</w:t>
            </w:r>
          </w:p>
        </w:tc>
        <w:tc>
          <w:tcPr>
            <w:tcW w:w="3164" w:type="dxa"/>
            <w:vMerge w:val="restart"/>
            <w:tcBorders>
              <w:top w:val="nil"/>
              <w:left w:val="single" w:color="auto" w:sz="4" w:space="0"/>
              <w:bottom w:val="single" w:color="000000"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b/>
                <w:kern w:val="0"/>
                <w:szCs w:val="21"/>
              </w:rPr>
            </w:pPr>
            <w:r>
              <w:rPr>
                <w:rFonts w:hint="eastAsia" w:ascii="宋体" w:hAnsi="宋体" w:eastAsia="宋体" w:cs="宋体"/>
                <w:i w:val="0"/>
                <w:color w:val="000000"/>
                <w:kern w:val="0"/>
                <w:sz w:val="22"/>
                <w:szCs w:val="22"/>
                <w:u w:val="none"/>
                <w:lang w:val="en-US" w:eastAsia="zh-CN" w:bidi="ar"/>
              </w:rPr>
              <w:t>项目支出</w:t>
            </w:r>
          </w:p>
        </w:tc>
      </w:tr>
      <w:tr>
        <w:tblPrEx>
          <w:tblLayout w:type="fixed"/>
          <w:tblCellMar>
            <w:top w:w="0" w:type="dxa"/>
            <w:left w:w="108" w:type="dxa"/>
            <w:bottom w:w="0" w:type="dxa"/>
            <w:right w:w="108" w:type="dxa"/>
          </w:tblCellMar>
        </w:tblPrEx>
        <w:trPr>
          <w:trHeight w:val="360" w:hRule="atLeast"/>
          <w:jc w:val="center"/>
        </w:trPr>
        <w:tc>
          <w:tcPr>
            <w:tcW w:w="951"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776"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6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6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64"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12" w:hRule="atLeast"/>
          <w:jc w:val="center"/>
        </w:trPr>
        <w:tc>
          <w:tcPr>
            <w:tcW w:w="951"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776"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6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64"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164"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栏次</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1</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w:t>
            </w:r>
          </w:p>
        </w:tc>
        <w:tc>
          <w:tcPr>
            <w:tcW w:w="316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合计</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i w:val="0"/>
                <w:color w:val="000000"/>
                <w:kern w:val="0"/>
                <w:sz w:val="22"/>
                <w:szCs w:val="22"/>
                <w:u w:val="none"/>
                <w:lang w:val="en-US" w:eastAsia="zh-CN" w:bidi="ar"/>
              </w:rPr>
              <w:t>5,539.99</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i w:val="0"/>
                <w:color w:val="000000"/>
                <w:kern w:val="0"/>
                <w:sz w:val="22"/>
                <w:szCs w:val="22"/>
                <w:u w:val="none"/>
                <w:lang w:val="en-US" w:eastAsia="zh-CN" w:bidi="ar"/>
              </w:rPr>
              <w:t>4,855.16</w:t>
            </w:r>
          </w:p>
        </w:tc>
        <w:tc>
          <w:tcPr>
            <w:tcW w:w="316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i w:val="0"/>
                <w:color w:val="000000"/>
                <w:kern w:val="0"/>
                <w:sz w:val="22"/>
                <w:szCs w:val="22"/>
                <w:u w:val="none"/>
                <w:lang w:val="en-US" w:eastAsia="zh-CN" w:bidi="ar"/>
              </w:rPr>
              <w:t>684.83</w:t>
            </w:r>
          </w:p>
        </w:tc>
      </w:tr>
      <w:tr>
        <w:tblPrEx>
          <w:tblLayout w:type="fixed"/>
          <w:tblCellMar>
            <w:top w:w="0" w:type="dxa"/>
            <w:left w:w="108" w:type="dxa"/>
            <w:bottom w:w="0" w:type="dxa"/>
            <w:right w:w="108" w:type="dxa"/>
          </w:tblCellMar>
        </w:tblPrEx>
        <w:trPr>
          <w:trHeight w:val="450" w:hRule="atLeast"/>
          <w:jc w:val="center"/>
        </w:trPr>
        <w:tc>
          <w:tcPr>
            <w:tcW w:w="951"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208</w:t>
            </w:r>
          </w:p>
        </w:tc>
        <w:tc>
          <w:tcPr>
            <w:tcW w:w="377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社会保障和就业支出</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910.56</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906.16</w:t>
            </w:r>
          </w:p>
        </w:tc>
        <w:tc>
          <w:tcPr>
            <w:tcW w:w="316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4.40</w:t>
            </w:r>
          </w:p>
        </w:tc>
      </w:tr>
      <w:tr>
        <w:tblPrEx>
          <w:tblLayout w:type="fixed"/>
          <w:tblCellMar>
            <w:top w:w="0" w:type="dxa"/>
            <w:left w:w="108" w:type="dxa"/>
            <w:bottom w:w="0" w:type="dxa"/>
            <w:right w:w="108" w:type="dxa"/>
          </w:tblCellMar>
        </w:tblPrEx>
        <w:trPr>
          <w:trHeight w:val="450" w:hRule="atLeast"/>
          <w:jc w:val="center"/>
        </w:trPr>
        <w:tc>
          <w:tcPr>
            <w:tcW w:w="951"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20805</w:t>
            </w:r>
          </w:p>
        </w:tc>
        <w:tc>
          <w:tcPr>
            <w:tcW w:w="377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行政事业单位养老支出</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906.16</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906.16</w:t>
            </w:r>
          </w:p>
        </w:tc>
        <w:tc>
          <w:tcPr>
            <w:tcW w:w="3164" w:type="dxa"/>
            <w:tcBorders>
              <w:top w:val="nil"/>
              <w:left w:val="nil"/>
              <w:bottom w:val="single" w:color="auto" w:sz="4" w:space="0"/>
              <w:right w:val="single" w:color="auto" w:sz="8" w:space="0"/>
            </w:tcBorders>
            <w:shd w:val="clear" w:color="auto" w:fill="auto"/>
            <w:vAlign w:val="center"/>
          </w:tcPr>
          <w:p>
            <w:pPr>
              <w:jc w:val="righ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951"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2080502</w:t>
            </w:r>
          </w:p>
        </w:tc>
        <w:tc>
          <w:tcPr>
            <w:tcW w:w="377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事业单位离退休</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480.16</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480.16</w:t>
            </w:r>
          </w:p>
        </w:tc>
        <w:tc>
          <w:tcPr>
            <w:tcW w:w="3164" w:type="dxa"/>
            <w:tcBorders>
              <w:top w:val="nil"/>
              <w:left w:val="nil"/>
              <w:bottom w:val="single" w:color="auto" w:sz="4" w:space="0"/>
              <w:right w:val="single" w:color="auto" w:sz="8" w:space="0"/>
            </w:tcBorders>
            <w:shd w:val="clear" w:color="auto" w:fill="auto"/>
            <w:vAlign w:val="center"/>
          </w:tcPr>
          <w:p>
            <w:pPr>
              <w:jc w:val="righ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951"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2080505</w:t>
            </w:r>
          </w:p>
        </w:tc>
        <w:tc>
          <w:tcPr>
            <w:tcW w:w="377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285.00</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285.00</w:t>
            </w:r>
          </w:p>
        </w:tc>
        <w:tc>
          <w:tcPr>
            <w:tcW w:w="3164" w:type="dxa"/>
            <w:tcBorders>
              <w:top w:val="nil"/>
              <w:left w:val="nil"/>
              <w:bottom w:val="single" w:color="auto" w:sz="4" w:space="0"/>
              <w:right w:val="single" w:color="auto" w:sz="8" w:space="0"/>
            </w:tcBorders>
            <w:shd w:val="clear" w:color="auto" w:fill="auto"/>
            <w:vAlign w:val="center"/>
          </w:tcPr>
          <w:p>
            <w:pPr>
              <w:jc w:val="righ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951"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2080506</w:t>
            </w:r>
          </w:p>
        </w:tc>
        <w:tc>
          <w:tcPr>
            <w:tcW w:w="377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机关事业单位职业年金缴费支出</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141.00</w:t>
            </w:r>
          </w:p>
        </w:tc>
        <w:tc>
          <w:tcPr>
            <w:tcW w:w="31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141.00</w:t>
            </w:r>
          </w:p>
        </w:tc>
        <w:tc>
          <w:tcPr>
            <w:tcW w:w="3164" w:type="dxa"/>
            <w:tcBorders>
              <w:top w:val="nil"/>
              <w:left w:val="nil"/>
              <w:bottom w:val="single" w:color="auto" w:sz="4" w:space="0"/>
              <w:right w:val="single" w:color="auto" w:sz="8" w:space="0"/>
            </w:tcBorders>
            <w:shd w:val="clear" w:color="auto" w:fill="auto"/>
            <w:vAlign w:val="center"/>
          </w:tcPr>
          <w:p>
            <w:pPr>
              <w:jc w:val="righ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951"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20808</w:t>
            </w:r>
          </w:p>
        </w:tc>
        <w:tc>
          <w:tcPr>
            <w:tcW w:w="3776"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抚恤</w:t>
            </w:r>
          </w:p>
        </w:tc>
        <w:tc>
          <w:tcPr>
            <w:tcW w:w="3164"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4.40</w:t>
            </w:r>
          </w:p>
        </w:tc>
        <w:tc>
          <w:tcPr>
            <w:tcW w:w="3164" w:type="dxa"/>
            <w:tcBorders>
              <w:top w:val="nil"/>
              <w:left w:val="nil"/>
              <w:bottom w:val="single" w:color="auto" w:sz="8" w:space="0"/>
              <w:right w:val="single" w:color="auto" w:sz="4" w:space="0"/>
            </w:tcBorders>
            <w:shd w:val="clear" w:color="auto" w:fill="auto"/>
            <w:vAlign w:val="center"/>
          </w:tcPr>
          <w:p>
            <w:pPr>
              <w:jc w:val="right"/>
              <w:rPr>
                <w:rFonts w:ascii="Times New Roman" w:hAnsi="Times New Roman" w:eastAsia="仿宋_GB2312" w:cs="Times New Roman"/>
                <w:kern w:val="0"/>
                <w:szCs w:val="21"/>
              </w:rPr>
            </w:pPr>
          </w:p>
        </w:tc>
        <w:tc>
          <w:tcPr>
            <w:tcW w:w="316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color w:val="000000"/>
                <w:kern w:val="0"/>
                <w:sz w:val="22"/>
                <w:szCs w:val="22"/>
                <w:u w:val="none"/>
                <w:lang w:val="en-US" w:eastAsia="zh-CN" w:bidi="ar"/>
              </w:rPr>
              <w:t>4.40</w:t>
            </w: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公开06表</w:t>
      </w:r>
    </w:p>
    <w:p>
      <w:pPr>
        <w:widowControl/>
        <w:spacing w:line="240" w:lineRule="exact"/>
        <w:jc w:val="both"/>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lang w:eastAsia="zh-CN"/>
        </w:rPr>
        <w:t>湖南省贺家山原种场</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0"/>
        <w:tblW w:w="15285" w:type="dxa"/>
        <w:tblInd w:w="0" w:type="dxa"/>
        <w:shd w:val="clear" w:color="auto" w:fill="auto"/>
        <w:tblLayout w:type="fixed"/>
        <w:tblCellMar>
          <w:top w:w="0" w:type="dxa"/>
          <w:left w:w="0" w:type="dxa"/>
          <w:bottom w:w="0" w:type="dxa"/>
          <w:right w:w="0" w:type="dxa"/>
        </w:tblCellMar>
      </w:tblPr>
      <w:tblGrid>
        <w:gridCol w:w="735"/>
        <w:gridCol w:w="2790"/>
        <w:gridCol w:w="1800"/>
        <w:gridCol w:w="735"/>
        <w:gridCol w:w="2235"/>
        <w:gridCol w:w="1440"/>
        <w:gridCol w:w="735"/>
        <w:gridCol w:w="3420"/>
        <w:gridCol w:w="1395"/>
      </w:tblGrid>
      <w:tr>
        <w:tblPrEx>
          <w:shd w:val="clear" w:color="auto" w:fill="auto"/>
          <w:tblLayout w:type="fixed"/>
          <w:tblCellMar>
            <w:top w:w="0" w:type="dxa"/>
            <w:left w:w="0" w:type="dxa"/>
            <w:bottom w:w="0" w:type="dxa"/>
            <w:right w:w="0" w:type="dxa"/>
          </w:tblCellMar>
        </w:tblPrEx>
        <w:trPr>
          <w:trHeight w:val="280" w:hRule="atLeast"/>
        </w:trPr>
        <w:tc>
          <w:tcPr>
            <w:tcW w:w="5325" w:type="dxa"/>
            <w:gridSpan w:val="3"/>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人员经费</w:t>
            </w:r>
          </w:p>
        </w:tc>
        <w:tc>
          <w:tcPr>
            <w:tcW w:w="9960" w:type="dxa"/>
            <w:gridSpan w:val="6"/>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w:t>
            </w:r>
          </w:p>
        </w:tc>
      </w:tr>
      <w:tr>
        <w:tblPrEx>
          <w:tblLayout w:type="fixed"/>
          <w:tblCellMar>
            <w:top w:w="0" w:type="dxa"/>
            <w:left w:w="0" w:type="dxa"/>
            <w:bottom w:w="0" w:type="dxa"/>
            <w:right w:w="0" w:type="dxa"/>
          </w:tblCellMar>
        </w:tblPrEx>
        <w:trPr>
          <w:trHeight w:val="280" w:hRule="atLeast"/>
        </w:trPr>
        <w:tc>
          <w:tcPr>
            <w:tcW w:w="735"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2"/>
                <w:szCs w:val="22"/>
                <w:highlight w:val="none"/>
                <w:u w:val="none"/>
                <w:lang w:val="en-US" w:eastAsia="zh-CN" w:bidi="ar"/>
              </w:rPr>
              <w:t>经济分类科目编码</w:t>
            </w:r>
          </w:p>
        </w:tc>
        <w:tc>
          <w:tcPr>
            <w:tcW w:w="279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科目名称</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决算数</w:t>
            </w:r>
          </w:p>
        </w:tc>
        <w:tc>
          <w:tcPr>
            <w:tcW w:w="735"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2"/>
                <w:szCs w:val="22"/>
                <w:highlight w:val="none"/>
                <w:u w:val="none"/>
                <w:lang w:val="en-US" w:eastAsia="zh-CN" w:bidi="ar"/>
              </w:rPr>
              <w:t>经济分类科目编码</w:t>
            </w:r>
          </w:p>
        </w:tc>
        <w:tc>
          <w:tcPr>
            <w:tcW w:w="2235"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科目名称</w:t>
            </w:r>
          </w:p>
        </w:tc>
        <w:tc>
          <w:tcPr>
            <w:tcW w:w="144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决算数</w:t>
            </w:r>
          </w:p>
        </w:tc>
        <w:tc>
          <w:tcPr>
            <w:tcW w:w="735"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2"/>
                <w:szCs w:val="22"/>
                <w:highlight w:val="none"/>
                <w:u w:val="none"/>
                <w:lang w:val="en-US" w:eastAsia="zh-CN" w:bidi="ar"/>
              </w:rPr>
              <w:t>经济分类科目编码</w:t>
            </w:r>
          </w:p>
        </w:tc>
        <w:tc>
          <w:tcPr>
            <w:tcW w:w="3420"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科目名称</w:t>
            </w:r>
          </w:p>
        </w:tc>
        <w:tc>
          <w:tcPr>
            <w:tcW w:w="1395" w:type="dxa"/>
            <w:vMerge w:val="restart"/>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tblPrEx>
          <w:tblLayout w:type="fixed"/>
          <w:tblCellMar>
            <w:top w:w="0" w:type="dxa"/>
            <w:left w:w="0" w:type="dxa"/>
            <w:bottom w:w="0" w:type="dxa"/>
            <w:right w:w="0" w:type="dxa"/>
          </w:tblCellMar>
        </w:tblPrEx>
        <w:trPr>
          <w:trHeight w:val="280" w:hRule="atLeast"/>
        </w:trPr>
        <w:tc>
          <w:tcPr>
            <w:tcW w:w="735"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9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5"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35"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4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5"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0"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95" w:type="dxa"/>
            <w:vMerge w:val="continue"/>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工资福利支出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4,090.00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商品和服务支出</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159.00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债务利息及费用支出</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30101</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基本工资</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1,178.00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30201</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办公费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30701</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国内债务付息</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30102</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津贴补贴</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30202</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印刷费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30702</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国外债务付息</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30103</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奖金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30203</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咨询费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资本性支出</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30106</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伙食补助费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30204</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手续费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31001</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房屋建筑物购建</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30107</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绩效工资</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1,183.00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30205</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水费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31002</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办公设备购置</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30108</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机关事业单位基本养老保险缴费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285.00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30206</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电费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31003</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专用设备购置</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30109</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职业年金缴费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141.00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30207</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邮电费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31005</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基础设施建设</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30110</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职工基本医疗保险缴费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30208</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取暖费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31006</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大型修缮</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30111</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公务员医疗补助缴费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30209</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物业管理费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31007</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信息网络及软件购置更新</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30112</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其他社会保障缴费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637.00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30211</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差旅费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31008</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物资储备</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30113</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住房公积金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259.00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30212</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因公出国（境）费用</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31009</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土地补偿</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30114</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医疗费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30213</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维修（护）费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31010</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安置补助</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30199</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其他工资福利支出</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30214</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租赁费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31011</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地上附着物和青苗补偿</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对个人和家庭的补助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606.16</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30215</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会议费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31012</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拆迁补偿</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30301</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离休费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30216</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培训费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31013</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公务用车购置</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30302</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退休费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464.16</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30217</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公务接待费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31019</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其他交通工具购置</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30303</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退职（役）费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30218</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专用材料费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31021</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文物和陈列品购置</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30304</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抚恤金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30224</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被装购置费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31022</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无形资产购置</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30305</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生活补助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30225</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专用燃料费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31099</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其他资本性支出</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30306</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救济费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30226</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劳务费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其他支出</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30307</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医疗费补助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111.00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30227</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委托业务费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39907</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国家赔偿费用支出</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30308</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助学金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30228</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工会经费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39908</w:t>
            </w:r>
          </w:p>
        </w:tc>
        <w:tc>
          <w:tcPr>
            <w:tcW w:w="3420" w:type="dxa"/>
            <w:tcBorders>
              <w:top w:val="single" w:color="D4D4D4" w:sz="4" w:space="0"/>
              <w:left w:val="single" w:color="D4D4D4" w:sz="4" w:space="0"/>
              <w:bottom w:val="single" w:color="D4D4D4" w:sz="4" w:space="0"/>
              <w:right w:val="single" w:color="D4D4D4"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对民间非营利组织和群众性自治组织补贴</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30309</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奖励金</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30229</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福利费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39909</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30310</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个人农业生产补贴</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30231</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公务用车运行维护费</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39910</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30311</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代缴社会保险费</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30239</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其他交通费用</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39999</w:t>
            </w: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其他支出</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30399</w:t>
            </w: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其他对个人和家庭的补助</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30240</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税金及附加费用</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80" w:hRule="atLeast"/>
        </w:trPr>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279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30299</w:t>
            </w:r>
          </w:p>
        </w:tc>
        <w:tc>
          <w:tcPr>
            <w:tcW w:w="22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其他商品和服务支出</w:t>
            </w:r>
          </w:p>
        </w:tc>
        <w:tc>
          <w:tcPr>
            <w:tcW w:w="144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73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342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80" w:hRule="atLeast"/>
        </w:trPr>
        <w:tc>
          <w:tcPr>
            <w:tcW w:w="3525" w:type="dxa"/>
            <w:gridSpan w:val="2"/>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人员经费合计</w:t>
            </w:r>
          </w:p>
        </w:tc>
        <w:tc>
          <w:tcPr>
            <w:tcW w:w="1800"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4,696.16</w:t>
            </w:r>
          </w:p>
        </w:tc>
        <w:tc>
          <w:tcPr>
            <w:tcW w:w="8565" w:type="dxa"/>
            <w:gridSpan w:val="5"/>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公用经费合计</w:t>
            </w:r>
          </w:p>
        </w:tc>
        <w:tc>
          <w:tcPr>
            <w:tcW w:w="1395" w:type="dxa"/>
            <w:tcBorders>
              <w:top w:val="single" w:color="D4D4D4" w:sz="4" w:space="0"/>
              <w:left w:val="single" w:color="D4D4D4" w:sz="4" w:space="0"/>
              <w:bottom w:val="single" w:color="D4D4D4" w:sz="4" w:space="0"/>
              <w:right w:val="single" w:color="D4D4D4"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159.00</w:t>
            </w:r>
          </w:p>
        </w:tc>
      </w:tr>
    </w:tbl>
    <w:p>
      <w:pPr>
        <w:pStyle w:val="9"/>
      </w:pPr>
    </w:p>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湖南省贺家山原种场</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0"/>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8"/>
                <w:rFonts w:hint="default" w:ascii="Times New Roman" w:hAnsi="Times New Roman" w:eastAsia="仿宋_GB2312" w:cs="Times New Roman"/>
                <w:b/>
                <w:bCs/>
                <w:lang w:bidi="ar"/>
              </w:rPr>
              <w:t xml:space="preserve">   </w:t>
            </w:r>
            <w:r>
              <w:rPr>
                <w:rStyle w:val="19"/>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湖南省贺家山原种场</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0"/>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Layout w:type="fixed"/>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0"/>
                <w:rFonts w:hint="default" w:ascii="Times New Roman" w:hAnsi="Times New Roman" w:eastAsia="仿宋_GB2312" w:cs="Times New Roman"/>
                <w:b/>
                <w:bCs/>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9"/>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eastAsia="zh-CN" w:bidi="ar"/>
        </w:rPr>
        <w:t>湖南省贺家山原种场</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0"/>
        <w:tblW w:w="14544" w:type="dxa"/>
        <w:jc w:val="center"/>
        <w:tblInd w:w="0" w:type="dxa"/>
        <w:tblLayout w:type="fixed"/>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tblPrEx>
          <w:tblLayout w:type="fixed"/>
          <w:tblCellMar>
            <w:top w:w="0" w:type="dxa"/>
            <w:left w:w="108" w:type="dxa"/>
            <w:bottom w:w="0" w:type="dxa"/>
            <w:right w:w="108" w:type="dxa"/>
          </w:tblCellMar>
        </w:tblPrEx>
        <w:trPr>
          <w:trHeight w:val="606" w:hRule="atLeast"/>
          <w:jc w:val="center"/>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16.00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16.00</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16.00</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16.00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16.00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16.00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eastAsia="黑体" w:cs="Times New Roman"/>
          <w:szCs w:val="21"/>
        </w:rPr>
        <w:br w:type="page"/>
      </w: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8409.67</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84.45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0.99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项目资金减少。</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6164.66</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4914.37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79.72</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245.57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3.98</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1004.72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16.3</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7283.06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5250.83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72.1</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2032.22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27.9</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5551.71</w:t>
      </w:r>
      <w:r>
        <w:rPr>
          <w:rFonts w:ascii="Times New Roman" w:hAnsi="Times New Roman" w:eastAsia="仿宋_GB2312" w:cs="Times New Roman"/>
          <w:sz w:val="32"/>
          <w:szCs w:val="32"/>
        </w:rPr>
        <w:t>万元，与上年相比，</w:t>
      </w:r>
      <w:r>
        <w:rPr>
          <w:rFonts w:ascii="Times New Roman" w:hAnsi="Times New Roman" w:eastAsia="仿宋_GB2312" w:cs="Times New Roman"/>
          <w:sz w:val="32"/>
          <w:szCs w:val="32"/>
          <w:highlight w:val="none"/>
        </w:rPr>
        <w:t>减少</w:t>
      </w:r>
      <w:r>
        <w:rPr>
          <w:rFonts w:hint="eastAsia" w:ascii="Times New Roman" w:hAnsi="Times New Roman" w:eastAsia="仿宋_GB2312" w:cs="Times New Roman"/>
          <w:sz w:val="32"/>
          <w:szCs w:val="32"/>
          <w:highlight w:val="none"/>
          <w:lang w:val="en-US" w:eastAsia="zh-CN"/>
        </w:rPr>
        <w:t>234.25</w:t>
      </w:r>
      <w:r>
        <w:rPr>
          <w:rFonts w:ascii="Times New Roman" w:hAnsi="Times New Roman" w:eastAsia="仿宋_GB2312" w:cs="Times New Roman"/>
          <w:sz w:val="32"/>
          <w:szCs w:val="32"/>
          <w:highlight w:val="none"/>
        </w:rPr>
        <w:t>万元,降低</w:t>
      </w:r>
      <w:r>
        <w:rPr>
          <w:rFonts w:hint="eastAsia" w:ascii="Times New Roman" w:hAnsi="Times New Roman" w:eastAsia="仿宋_GB2312" w:cs="Times New Roman"/>
          <w:sz w:val="32"/>
          <w:szCs w:val="32"/>
          <w:highlight w:val="none"/>
          <w:lang w:val="en-US" w:eastAsia="zh-CN"/>
        </w:rPr>
        <w:t>4.05</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eastAsia="zh-CN"/>
        </w:rPr>
        <w:t>项目经费减少。</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（一）一般公共预算财政拨款支出决算总体情况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2024年度财政拨款支出</w:t>
      </w:r>
      <w:r>
        <w:rPr>
          <w:rFonts w:hint="eastAsia" w:ascii="Times New Roman" w:hAnsi="Times New Roman" w:eastAsia="仿宋_GB2312" w:cs="Times New Roman"/>
          <w:sz w:val="32"/>
          <w:szCs w:val="32"/>
          <w:highlight w:val="none"/>
          <w:lang w:val="en-US" w:eastAsia="zh-CN"/>
        </w:rPr>
        <w:t>5539.99</w:t>
      </w:r>
      <w:r>
        <w:rPr>
          <w:rFonts w:ascii="Times New Roman" w:hAnsi="Times New Roman" w:eastAsia="仿宋_GB2312" w:cs="Times New Roman"/>
          <w:sz w:val="32"/>
          <w:szCs w:val="32"/>
          <w:highlight w:val="none"/>
        </w:rPr>
        <w:t>万元，占本年支出合计的</w:t>
      </w:r>
      <w:r>
        <w:rPr>
          <w:rFonts w:hint="eastAsia" w:ascii="Times New Roman" w:hAnsi="Times New Roman" w:eastAsia="仿宋_GB2312" w:cs="Times New Roman"/>
          <w:sz w:val="32"/>
          <w:szCs w:val="32"/>
          <w:highlight w:val="none"/>
          <w:lang w:val="en-US" w:eastAsia="zh-CN"/>
        </w:rPr>
        <w:t>70.69</w:t>
      </w:r>
      <w:r>
        <w:rPr>
          <w:rFonts w:ascii="Times New Roman" w:hAnsi="Times New Roman" w:eastAsia="仿宋_GB2312" w:cs="Times New Roman"/>
          <w:sz w:val="32"/>
          <w:szCs w:val="32"/>
          <w:highlight w:val="none"/>
        </w:rPr>
        <w:t>%，与上年相比，财政拨款支出增加</w:t>
      </w:r>
      <w:r>
        <w:rPr>
          <w:rFonts w:hint="eastAsia" w:ascii="Times New Roman" w:hAnsi="Times New Roman" w:eastAsia="仿宋_GB2312" w:cs="Times New Roman"/>
          <w:sz w:val="32"/>
          <w:szCs w:val="32"/>
          <w:highlight w:val="none"/>
          <w:lang w:val="en-US" w:eastAsia="zh-CN"/>
        </w:rPr>
        <w:t>391.37</w:t>
      </w:r>
      <w:r>
        <w:rPr>
          <w:rFonts w:ascii="Times New Roman" w:hAnsi="Times New Roman" w:eastAsia="仿宋_GB2312" w:cs="Times New Roman"/>
          <w:sz w:val="32"/>
          <w:szCs w:val="32"/>
          <w:highlight w:val="none"/>
        </w:rPr>
        <w:t>万元，增长</w:t>
      </w:r>
      <w:r>
        <w:rPr>
          <w:rFonts w:hint="eastAsia" w:ascii="Times New Roman" w:hAnsi="Times New Roman" w:eastAsia="仿宋_GB2312" w:cs="Times New Roman"/>
          <w:sz w:val="32"/>
          <w:szCs w:val="32"/>
          <w:highlight w:val="none"/>
          <w:lang w:val="en-US" w:eastAsia="zh-CN"/>
        </w:rPr>
        <w:t>7.6</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eastAsia="zh-CN"/>
        </w:rPr>
        <w:t>绩效工资调整，</w:t>
      </w:r>
      <w:r>
        <w:rPr>
          <w:rFonts w:hint="eastAsia" w:ascii="Times New Roman" w:hAnsi="Times New Roman" w:eastAsia="仿宋_GB2312" w:cs="Times New Roman"/>
          <w:sz w:val="32"/>
          <w:szCs w:val="32"/>
          <w:highlight w:val="none"/>
        </w:rPr>
        <w:t>人员经费增加</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5539.99</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rPr>
        <w:t>社会保障和就业（类）支出</w:t>
      </w:r>
      <w:r>
        <w:rPr>
          <w:rFonts w:hint="eastAsia" w:ascii="Times New Roman" w:hAnsi="Times New Roman" w:eastAsia="仿宋_GB2312" w:cs="Times New Roman"/>
          <w:sz w:val="32"/>
          <w:szCs w:val="32"/>
          <w:lang w:val="en-US" w:eastAsia="zh-CN"/>
        </w:rPr>
        <w:t>910.56</w:t>
      </w:r>
      <w:r>
        <w:rPr>
          <w:rFonts w:hint="eastAsia"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16.44</w:t>
      </w:r>
      <w:r>
        <w:rPr>
          <w:rFonts w:hint="eastAsia" w:ascii="Times New Roman" w:hAnsi="Times New Roman" w:eastAsia="仿宋_GB2312" w:cs="Times New Roman"/>
          <w:sz w:val="32"/>
          <w:szCs w:val="32"/>
        </w:rPr>
        <w:t>%；农林水（类）支出</w:t>
      </w:r>
      <w:r>
        <w:rPr>
          <w:rFonts w:hint="eastAsia" w:ascii="Times New Roman" w:hAnsi="Times New Roman" w:eastAsia="仿宋_GB2312" w:cs="Times New Roman"/>
          <w:sz w:val="32"/>
          <w:szCs w:val="32"/>
          <w:lang w:val="en-US" w:eastAsia="zh-CN"/>
        </w:rPr>
        <w:t>4370.43</w:t>
      </w:r>
      <w:r>
        <w:rPr>
          <w:rFonts w:hint="eastAsia"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78.89</w:t>
      </w:r>
      <w:r>
        <w:rPr>
          <w:rFonts w:hint="eastAsia" w:ascii="Times New Roman" w:hAnsi="Times New Roman" w:eastAsia="仿宋_GB2312" w:cs="Times New Roman"/>
          <w:sz w:val="32"/>
          <w:szCs w:val="32"/>
        </w:rPr>
        <w:t>%；住房保障（类）支出2</w:t>
      </w:r>
      <w:r>
        <w:rPr>
          <w:rFonts w:hint="eastAsia" w:ascii="Times New Roman" w:hAnsi="Times New Roman" w:eastAsia="仿宋_GB2312" w:cs="Times New Roman"/>
          <w:sz w:val="32"/>
          <w:szCs w:val="32"/>
          <w:lang w:val="en-US" w:eastAsia="zh-CN"/>
        </w:rPr>
        <w:t>59</w:t>
      </w:r>
      <w:r>
        <w:rPr>
          <w:rFonts w:hint="eastAsia" w:ascii="Times New Roman" w:hAnsi="Times New Roman" w:eastAsia="仿宋_GB2312" w:cs="Times New Roman"/>
          <w:sz w:val="32"/>
          <w:szCs w:val="32"/>
        </w:rPr>
        <w:t>万元，占4.</w:t>
      </w:r>
      <w:r>
        <w:rPr>
          <w:rFonts w:hint="eastAsia" w:ascii="Times New Roman" w:hAnsi="Times New Roman" w:eastAsia="仿宋_GB2312" w:cs="Times New Roman"/>
          <w:sz w:val="32"/>
          <w:szCs w:val="32"/>
          <w:lang w:val="en-US" w:eastAsia="zh-CN"/>
        </w:rPr>
        <w:t>68</w:t>
      </w:r>
      <w:r>
        <w:rPr>
          <w:rFonts w:hint="eastAsia"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5536.5</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5539.99</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100.06</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1、社会保障和就业（类）行政事业单位养老支出（款）机关事业单位基本养老保险缴费支出（项）。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年初预算为2</w:t>
      </w:r>
      <w:r>
        <w:rPr>
          <w:rFonts w:hint="eastAsia" w:ascii="Times New Roman" w:hAnsi="Times New Roman" w:eastAsia="仿宋_GB2312" w:cs="Times New Roman"/>
          <w:sz w:val="32"/>
          <w:szCs w:val="32"/>
          <w:lang w:val="en-US" w:eastAsia="zh-CN"/>
        </w:rPr>
        <w:t>85</w:t>
      </w:r>
      <w:r>
        <w:rPr>
          <w:rFonts w:hint="eastAsia" w:ascii="Times New Roman" w:hAnsi="Times New Roman" w:eastAsia="仿宋_GB2312" w:cs="Times New Roman"/>
          <w:sz w:val="32"/>
          <w:szCs w:val="32"/>
        </w:rPr>
        <w:t>万元，支出决算为2</w:t>
      </w:r>
      <w:r>
        <w:rPr>
          <w:rFonts w:hint="eastAsia" w:ascii="Times New Roman" w:hAnsi="Times New Roman" w:eastAsia="仿宋_GB2312" w:cs="Times New Roman"/>
          <w:sz w:val="32"/>
          <w:szCs w:val="32"/>
          <w:lang w:val="en-US" w:eastAsia="zh-CN"/>
        </w:rPr>
        <w:t>85</w:t>
      </w:r>
      <w:r>
        <w:rPr>
          <w:rFonts w:hint="eastAsia" w:ascii="Times New Roman" w:hAnsi="Times New Roman" w:eastAsia="仿宋_GB2312" w:cs="Times New Roman"/>
          <w:sz w:val="32"/>
          <w:szCs w:val="32"/>
        </w:rPr>
        <w:t>万元，完成年初预算的100%。</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、社会保障和就业（类）行政事业单位养老支出（款）机关事业单位</w:t>
      </w:r>
      <w:r>
        <w:rPr>
          <w:rFonts w:hint="eastAsia" w:ascii="Times New Roman" w:hAnsi="Times New Roman" w:eastAsia="仿宋_GB2312" w:cs="Times New Roman"/>
          <w:sz w:val="32"/>
          <w:szCs w:val="32"/>
          <w:lang w:eastAsia="zh-CN"/>
        </w:rPr>
        <w:t>职业年金</w:t>
      </w:r>
      <w:r>
        <w:rPr>
          <w:rFonts w:hint="eastAsia" w:ascii="Times New Roman" w:hAnsi="Times New Roman" w:eastAsia="仿宋_GB2312" w:cs="Times New Roman"/>
          <w:sz w:val="32"/>
          <w:szCs w:val="32"/>
        </w:rPr>
        <w:t>缴费支出（项）。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141</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141</w:t>
      </w:r>
      <w:r>
        <w:rPr>
          <w:rFonts w:hint="eastAsia" w:ascii="Times New Roman" w:hAnsi="Times New Roman" w:eastAsia="仿宋_GB2312" w:cs="Times New Roman"/>
          <w:sz w:val="32"/>
          <w:szCs w:val="32"/>
        </w:rPr>
        <w:t>万元，完成年初预算的100%。</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、社会保障和就业（类）行政事业单位养老支出（款）</w:t>
      </w:r>
      <w:r>
        <w:rPr>
          <w:rFonts w:hint="eastAsia" w:ascii="Times New Roman" w:hAnsi="Times New Roman" w:eastAsia="仿宋_GB2312" w:cs="Times New Roman"/>
          <w:sz w:val="32"/>
          <w:szCs w:val="32"/>
          <w:lang w:eastAsia="zh-CN"/>
        </w:rPr>
        <w:t>事业单位离退休</w:t>
      </w:r>
      <w:r>
        <w:rPr>
          <w:rFonts w:hint="eastAsia" w:ascii="Times New Roman" w:hAnsi="Times New Roman" w:eastAsia="仿宋_GB2312" w:cs="Times New Roman"/>
          <w:sz w:val="32"/>
          <w:szCs w:val="32"/>
        </w:rPr>
        <w:t>（项）。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480.16</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480.16</w:t>
      </w:r>
      <w:r>
        <w:rPr>
          <w:rFonts w:hint="eastAsia" w:ascii="Times New Roman" w:hAnsi="Times New Roman" w:eastAsia="仿宋_GB2312" w:cs="Times New Roman"/>
          <w:sz w:val="32"/>
          <w:szCs w:val="32"/>
        </w:rPr>
        <w:t>万元，完成年初预算的100%。</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、社会保障和就业（类）</w:t>
      </w:r>
      <w:r>
        <w:rPr>
          <w:rFonts w:hint="eastAsia" w:ascii="Times New Roman" w:hAnsi="Times New Roman" w:eastAsia="仿宋_GB2312" w:cs="Times New Roman"/>
          <w:sz w:val="32"/>
          <w:szCs w:val="32"/>
          <w:lang w:eastAsia="zh-CN"/>
        </w:rPr>
        <w:t>抚恤</w:t>
      </w:r>
      <w:r>
        <w:rPr>
          <w:rFonts w:hint="eastAsia" w:ascii="Times New Roman" w:hAnsi="Times New Roman" w:eastAsia="仿宋_GB2312" w:cs="Times New Roman"/>
          <w:sz w:val="32"/>
          <w:szCs w:val="32"/>
        </w:rPr>
        <w:t>（款）死亡抚恤支出（项）。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年初预算为0万元，支出决算为</w:t>
      </w:r>
      <w:r>
        <w:rPr>
          <w:rFonts w:hint="eastAsia" w:ascii="Times New Roman" w:hAnsi="Times New Roman" w:eastAsia="仿宋_GB2312" w:cs="Times New Roman"/>
          <w:sz w:val="32"/>
          <w:szCs w:val="32"/>
          <w:lang w:val="en-US" w:eastAsia="zh-CN"/>
        </w:rPr>
        <w:t>4.4</w:t>
      </w:r>
      <w:r>
        <w:rPr>
          <w:rFonts w:hint="eastAsia" w:ascii="Times New Roman" w:hAnsi="Times New Roman" w:eastAsia="仿宋_GB2312" w:cs="Times New Roman"/>
          <w:sz w:val="32"/>
          <w:szCs w:val="32"/>
        </w:rPr>
        <w:t>万元，决算数大于年初预算数的主要原因是：</w:t>
      </w:r>
      <w:r>
        <w:rPr>
          <w:rFonts w:hint="eastAsia" w:ascii="Times New Roman" w:hAnsi="Times New Roman" w:eastAsia="仿宋_GB2312" w:cs="Times New Roman"/>
          <w:sz w:val="32"/>
          <w:szCs w:val="32"/>
          <w:highlight w:val="none"/>
          <w:lang w:eastAsia="zh-CN"/>
        </w:rPr>
        <w:t>年中</w:t>
      </w:r>
      <w:r>
        <w:rPr>
          <w:rFonts w:hint="eastAsia" w:ascii="Times New Roman" w:hAnsi="Times New Roman" w:eastAsia="仿宋_GB2312" w:cs="Times New Roman"/>
          <w:sz w:val="32"/>
          <w:szCs w:val="32"/>
          <w:highlight w:val="none"/>
        </w:rPr>
        <w:t>追加</w:t>
      </w:r>
      <w:r>
        <w:rPr>
          <w:rFonts w:hint="eastAsia" w:ascii="Times New Roman" w:hAnsi="Times New Roman" w:eastAsia="仿宋_GB2312" w:cs="Times New Roman"/>
          <w:sz w:val="32"/>
          <w:szCs w:val="32"/>
          <w:highlight w:val="none"/>
          <w:lang w:eastAsia="zh-CN"/>
        </w:rPr>
        <w:t>抚恤金</w:t>
      </w:r>
      <w:r>
        <w:rPr>
          <w:rFonts w:hint="eastAsia"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、农林水支出（类）农业农村（款）病虫害控制（项）。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rPr>
        <w:t>年初预算为0万元，支出决算为</w:t>
      </w:r>
      <w:r>
        <w:rPr>
          <w:rFonts w:hint="eastAsia" w:ascii="Times New Roman" w:hAnsi="Times New Roman" w:eastAsia="仿宋_GB2312" w:cs="Times New Roman"/>
          <w:sz w:val="32"/>
          <w:szCs w:val="32"/>
          <w:lang w:val="en-US" w:eastAsia="zh-CN"/>
        </w:rPr>
        <w:t>5.81</w:t>
      </w:r>
      <w:r>
        <w:rPr>
          <w:rFonts w:hint="eastAsia" w:ascii="Times New Roman" w:hAnsi="Times New Roman" w:eastAsia="仿宋_GB2312" w:cs="Times New Roman"/>
          <w:sz w:val="32"/>
          <w:szCs w:val="32"/>
        </w:rPr>
        <w:t>万元，决算数大于年初预算数的主要原因是：</w:t>
      </w:r>
      <w:bookmarkStart w:id="9" w:name="_GoBack"/>
      <w:r>
        <w:rPr>
          <w:rFonts w:hint="eastAsia" w:ascii="Times New Roman" w:hAnsi="Times New Roman" w:eastAsia="仿宋_GB2312" w:cs="Times New Roman"/>
          <w:sz w:val="32"/>
          <w:szCs w:val="32"/>
          <w:highlight w:val="none"/>
          <w:lang w:eastAsia="zh-CN"/>
        </w:rPr>
        <w:t>年中</w:t>
      </w:r>
      <w:r>
        <w:rPr>
          <w:rFonts w:hint="eastAsia" w:ascii="Times New Roman" w:hAnsi="Times New Roman" w:eastAsia="仿宋_GB2312" w:cs="Times New Roman"/>
          <w:sz w:val="32"/>
          <w:szCs w:val="32"/>
          <w:highlight w:val="none"/>
        </w:rPr>
        <w:t>追加</w:t>
      </w:r>
      <w:r>
        <w:rPr>
          <w:rFonts w:hint="eastAsia" w:ascii="Times New Roman" w:hAnsi="Times New Roman" w:eastAsia="仿宋_GB2312" w:cs="Times New Roman"/>
          <w:sz w:val="32"/>
          <w:szCs w:val="32"/>
          <w:highlight w:val="none"/>
          <w:lang w:eastAsia="zh-CN"/>
        </w:rPr>
        <w:t>项目资金</w:t>
      </w:r>
      <w:r>
        <w:rPr>
          <w:rFonts w:hint="eastAsia"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rPr>
        <w:t>、农林水支出（类）农业农村（款）农业资源保护修复与利用（项）。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年初预算为</w:t>
      </w:r>
      <w:r>
        <w:rPr>
          <w:rFonts w:hint="eastAsia" w:ascii="Times New Roman" w:hAnsi="Times New Roman" w:eastAsia="仿宋_GB2312" w:cs="Times New Roman"/>
          <w:sz w:val="32"/>
          <w:szCs w:val="32"/>
          <w:highlight w:val="none"/>
          <w:lang w:val="en-US" w:eastAsia="zh-CN"/>
        </w:rPr>
        <w:t>2.68</w:t>
      </w:r>
      <w:r>
        <w:rPr>
          <w:rFonts w:hint="eastAsia"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7.68</w:t>
      </w:r>
      <w:r>
        <w:rPr>
          <w:rFonts w:hint="eastAsia"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lang w:val="en-US" w:eastAsia="zh-CN"/>
        </w:rPr>
        <w:t>286.57</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决算数大于年初预算数的主要原因是：</w:t>
      </w:r>
      <w:r>
        <w:rPr>
          <w:rFonts w:hint="eastAsia" w:ascii="Times New Roman" w:hAnsi="Times New Roman" w:eastAsia="仿宋_GB2312" w:cs="Times New Roman"/>
          <w:sz w:val="32"/>
          <w:szCs w:val="32"/>
          <w:highlight w:val="none"/>
          <w:lang w:eastAsia="zh-CN"/>
        </w:rPr>
        <w:t>年中</w:t>
      </w:r>
      <w:r>
        <w:rPr>
          <w:rFonts w:hint="eastAsia" w:ascii="Times New Roman" w:hAnsi="Times New Roman" w:eastAsia="仿宋_GB2312" w:cs="Times New Roman"/>
          <w:sz w:val="32"/>
          <w:szCs w:val="32"/>
          <w:highlight w:val="none"/>
        </w:rPr>
        <w:t>追加</w:t>
      </w:r>
      <w:r>
        <w:rPr>
          <w:rFonts w:hint="eastAsia" w:ascii="Times New Roman" w:hAnsi="Times New Roman" w:eastAsia="仿宋_GB2312" w:cs="Times New Roman"/>
          <w:sz w:val="32"/>
          <w:szCs w:val="32"/>
          <w:highlight w:val="none"/>
          <w:lang w:eastAsia="zh-CN"/>
        </w:rPr>
        <w:t>项目资金</w:t>
      </w:r>
      <w:r>
        <w:rPr>
          <w:rFonts w:hint="eastAsia" w:ascii="Times New Roman" w:hAnsi="Times New Roman" w:eastAsia="仿宋_GB2312" w:cs="Times New Roman"/>
          <w:sz w:val="32"/>
          <w:szCs w:val="32"/>
          <w:highlight w:val="none"/>
        </w:rPr>
        <w:t>。</w:t>
      </w:r>
    </w:p>
    <w:bookmarkEnd w:id="9"/>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、农林水支出（类）农业农村（款）事业运行（项）。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3690</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3690</w:t>
      </w:r>
      <w:r>
        <w:rPr>
          <w:rFonts w:hint="eastAsia"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、农林水支出（类）农业农村（款）科技转化与推广服务（项）。</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11.21</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11.21</w:t>
      </w:r>
      <w:r>
        <w:rPr>
          <w:rFonts w:hint="eastAsia"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、农林水支出（类）农业农村（款）农业生产发展（项）。</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667.45</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655.73</w:t>
      </w:r>
      <w:r>
        <w:rPr>
          <w:rFonts w:hint="eastAsia"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98.24</w:t>
      </w:r>
      <w:r>
        <w:rPr>
          <w:rFonts w:hint="eastAsia"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highlight w:val="none"/>
        </w:rPr>
        <w:t>项目</w:t>
      </w:r>
      <w:r>
        <w:rPr>
          <w:rFonts w:hint="eastAsia" w:ascii="Times New Roman" w:hAnsi="Times New Roman" w:eastAsia="仿宋_GB2312" w:cs="Times New Roman"/>
          <w:sz w:val="32"/>
          <w:szCs w:val="32"/>
          <w:highlight w:val="none"/>
          <w:lang w:eastAsia="zh-CN"/>
        </w:rPr>
        <w:t>跨年度实施</w:t>
      </w:r>
      <w:r>
        <w:rPr>
          <w:rFonts w:hint="eastAsia"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10、住房保障支出（类）住房改革支出（款）住房公积金（项）。</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259</w:t>
      </w:r>
      <w:r>
        <w:rPr>
          <w:rFonts w:hint="eastAsia" w:ascii="Times New Roman" w:hAnsi="Times New Roman" w:eastAsia="仿宋_GB2312" w:cs="Times New Roman"/>
          <w:sz w:val="32"/>
          <w:szCs w:val="32"/>
        </w:rPr>
        <w:t>万元，支出决算为2</w:t>
      </w:r>
      <w:r>
        <w:rPr>
          <w:rFonts w:hint="eastAsia" w:ascii="Times New Roman" w:hAnsi="Times New Roman" w:eastAsia="仿宋_GB2312" w:cs="Times New Roman"/>
          <w:sz w:val="32"/>
          <w:szCs w:val="32"/>
          <w:lang w:val="en-US" w:eastAsia="zh-CN"/>
        </w:rPr>
        <w:t>59</w:t>
      </w:r>
      <w:r>
        <w:rPr>
          <w:rFonts w:hint="eastAsia" w:ascii="Times New Roman" w:hAnsi="Times New Roman" w:eastAsia="仿宋_GB2312" w:cs="Times New Roman"/>
          <w:sz w:val="32"/>
          <w:szCs w:val="32"/>
        </w:rPr>
        <w:t>万元，完成年初预算的100%。</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4855.16</w:t>
      </w:r>
      <w:r>
        <w:rPr>
          <w:rFonts w:ascii="Times New Roman" w:hAnsi="Times New Roman" w:eastAsia="仿宋_GB2312" w:cs="Times New Roman"/>
          <w:sz w:val="32"/>
          <w:szCs w:val="32"/>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highlight w:val="none"/>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4696.16</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96.73</w:t>
      </w:r>
      <w:r>
        <w:rPr>
          <w:rFonts w:ascii="Times New Roman" w:hAnsi="Times New Roman" w:eastAsia="仿宋_GB2312" w:cs="Times New Roman"/>
          <w:sz w:val="32"/>
          <w:szCs w:val="32"/>
        </w:rPr>
        <w:t>%,主要包括基本工资、</w:t>
      </w:r>
      <w:r>
        <w:rPr>
          <w:rFonts w:hint="eastAsia" w:ascii="Times New Roman" w:hAnsi="Times New Roman" w:eastAsia="仿宋_GB2312" w:cs="Times New Roman"/>
          <w:sz w:val="32"/>
          <w:szCs w:val="32"/>
          <w:lang w:eastAsia="zh-CN"/>
        </w:rPr>
        <w:t>绩效工资</w:t>
      </w:r>
      <w:r>
        <w:rPr>
          <w:rFonts w:ascii="Times New Roman" w:hAnsi="Times New Roman" w:eastAsia="仿宋_GB2312" w:cs="Times New Roman"/>
          <w:sz w:val="32"/>
          <w:szCs w:val="32"/>
        </w:rPr>
        <w:t>、奖金、</w:t>
      </w:r>
      <w:r>
        <w:rPr>
          <w:rFonts w:hint="eastAsia" w:ascii="Times New Roman" w:hAnsi="Times New Roman" w:eastAsia="仿宋_GB2312"/>
          <w:sz w:val="32"/>
          <w:szCs w:val="32"/>
          <w:highlight w:val="none"/>
          <w:lang w:eastAsia="zh-CN"/>
        </w:rPr>
        <w:t>社会保障缴费、住房公积金等</w:t>
      </w:r>
      <w:r>
        <w:rPr>
          <w:rFonts w:ascii="Times New Roman" w:hAnsi="Times New Roman" w:eastAsia="仿宋_GB2312" w:cs="Times New Roman"/>
          <w:sz w:val="32"/>
          <w:szCs w:val="32"/>
        </w:rPr>
        <w:t>。</w:t>
      </w: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159</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3.27</w:t>
      </w:r>
      <w:r>
        <w:rPr>
          <w:rFonts w:ascii="Times New Roman" w:hAnsi="Times New Roman" w:eastAsia="仿宋_GB2312" w:cs="Times New Roman"/>
          <w:sz w:val="32"/>
          <w:szCs w:val="32"/>
        </w:rPr>
        <w:t>%，主要包括</w:t>
      </w:r>
      <w:r>
        <w:rPr>
          <w:rFonts w:hint="eastAsia" w:ascii="Times New Roman" w:hAnsi="Times New Roman" w:eastAsia="仿宋_GB2312"/>
          <w:sz w:val="32"/>
          <w:szCs w:val="32"/>
          <w:highlight w:val="none"/>
        </w:rPr>
        <w:t>办公费、</w:t>
      </w:r>
      <w:r>
        <w:rPr>
          <w:rFonts w:hint="eastAsia" w:ascii="Times New Roman" w:hAnsi="Times New Roman" w:eastAsia="仿宋_GB2312"/>
          <w:sz w:val="32"/>
          <w:szCs w:val="32"/>
          <w:highlight w:val="none"/>
          <w:lang w:eastAsia="zh-CN"/>
        </w:rPr>
        <w:t>电费、邮电费、工会经费、公务用车运行维护费等</w:t>
      </w:r>
      <w:r>
        <w:rPr>
          <w:rFonts w:hint="eastAsia" w:ascii="Times New Roman" w:hAnsi="Times New Roman" w:eastAsia="仿宋_GB2312"/>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万元，支出决</w:t>
      </w:r>
      <w:r>
        <w:rPr>
          <w:rFonts w:ascii="Times New Roman" w:hAnsi="Times New Roman" w:eastAsia="仿宋_GB2312" w:cs="Times New Roman"/>
          <w:sz w:val="32"/>
          <w:szCs w:val="32"/>
          <w:highlight w:val="none"/>
        </w:rPr>
        <w:t>算为</w:t>
      </w:r>
      <w:r>
        <w:rPr>
          <w:rFonts w:hint="eastAsia" w:ascii="Times New Roman" w:hAnsi="Times New Roman" w:eastAsia="仿宋_GB2312" w:cs="Times New Roman"/>
          <w:sz w:val="32"/>
          <w:szCs w:val="32"/>
          <w:highlight w:val="none"/>
          <w:lang w:val="en-US" w:eastAsia="zh-CN"/>
        </w:rPr>
        <w:t>16</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%；与上年</w:t>
      </w:r>
      <w:r>
        <w:rPr>
          <w:rFonts w:hint="eastAsia" w:ascii="Times New Roman" w:hAnsi="Times New Roman" w:eastAsia="仿宋_GB2312" w:cs="Times New Roman"/>
          <w:sz w:val="32"/>
          <w:szCs w:val="32"/>
          <w:highlight w:val="none"/>
          <w:lang w:eastAsia="zh-CN"/>
        </w:rPr>
        <w:t>持平</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highlight w:val="none"/>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bookmarkStart w:id="3" w:name="OLE_LINK6"/>
      <w:r>
        <w:rPr>
          <w:rFonts w:hint="eastAsia" w:ascii="Times New Roman" w:hAnsi="Times New Roman" w:eastAsia="仿宋_GB2312"/>
          <w:sz w:val="32"/>
          <w:szCs w:val="32"/>
          <w:highlight w:val="none"/>
          <w:lang w:eastAsia="zh-CN"/>
        </w:rPr>
        <w:t>与上年持平</w:t>
      </w:r>
      <w:bookmarkEnd w:id="3"/>
      <w:r>
        <w:rPr>
          <w:rFonts w:hint="eastAsia" w:ascii="Times New Roman" w:hAnsi="Times New Roman" w:eastAsia="仿宋_GB2312"/>
          <w:sz w:val="32"/>
          <w:szCs w:val="32"/>
          <w:highlight w:val="none"/>
          <w:lang w:eastAsia="zh-CN"/>
        </w:rPr>
        <w:t>。</w:t>
      </w:r>
      <w:r>
        <w:rPr>
          <w:rFonts w:ascii="Times New Roman" w:hAnsi="Times New Roman" w:eastAsia="仿宋_GB2312" w:cs="Times New Roman"/>
          <w:sz w:val="32"/>
          <w:szCs w:val="32"/>
          <w:highlight w:val="none"/>
        </w:rPr>
        <w:t>2024年度安排因公出国（境）团组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个，累计</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人次</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sz w:val="32"/>
          <w:szCs w:val="32"/>
          <w:highlight w:val="none"/>
          <w:lang w:eastAsia="zh-CN"/>
        </w:rPr>
        <w:t>与上年持平</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highlight w:val="none"/>
          <w:lang w:eastAsia="zh-CN"/>
        </w:rPr>
        <w:t>与上年持平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highlight w:val="none"/>
          <w:lang w:eastAsia="zh-CN"/>
        </w:rPr>
        <w:t>本单位</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eastAsia="zh-CN"/>
        </w:rPr>
        <w:t>公务车加油费、车辆维修及保养费等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eastAsia="zh-CN"/>
        </w:rPr>
        <w:t>持平</w:t>
      </w:r>
      <w:r>
        <w:rPr>
          <w:rFonts w:hint="eastAsia" w:ascii="Times New Roman" w:hAnsi="Times New Roman" w:eastAsia="仿宋_GB2312"/>
          <w:sz w:val="32"/>
          <w:szCs w:val="32"/>
        </w:rPr>
        <w:t>。</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辆。</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highlight w:val="none"/>
        </w:rPr>
        <w:t>公务接待费支出</w:t>
      </w:r>
      <w:r>
        <w:rPr>
          <w:rFonts w:hint="eastAsia" w:ascii="Times New Roman" w:hAnsi="Times New Roman" w:eastAsia="仿宋_GB2312" w:cs="Times New Roman"/>
          <w:sz w:val="32"/>
          <w:szCs w:val="32"/>
          <w:highlight w:val="none"/>
          <w:lang w:eastAsia="zh-CN"/>
        </w:rPr>
        <w:t>预</w:t>
      </w:r>
      <w:r>
        <w:rPr>
          <w:rFonts w:hint="eastAsia" w:ascii="Times New Roman" w:hAnsi="Times New Roman" w:eastAsia="仿宋_GB2312" w:cs="Times New Roman"/>
          <w:sz w:val="32"/>
          <w:szCs w:val="32"/>
          <w:highlight w:val="none"/>
        </w:rPr>
        <w:t>算为0万元，</w:t>
      </w:r>
      <w:r>
        <w:rPr>
          <w:rFonts w:ascii="Times New Roman" w:hAnsi="Times New Roman" w:eastAsia="仿宋_GB2312" w:cs="Times New Roman"/>
          <w:sz w:val="32"/>
          <w:szCs w:val="32"/>
        </w:rPr>
        <w:t>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sz w:val="32"/>
          <w:szCs w:val="32"/>
          <w:highlight w:val="none"/>
          <w:lang w:eastAsia="zh-CN"/>
        </w:rPr>
        <w:t>与上年持平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highlight w:val="none"/>
        </w:rPr>
        <w:t>全年共接待来访团组0个、来宾0人次。</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年度本单位无政府性基金收支。</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hint="eastAsia" w:ascii="Times New Roman" w:hAnsi="Times New Roman" w:eastAsia="仿宋_GB2312"/>
          <w:sz w:val="32"/>
          <w:szCs w:val="32"/>
          <w:highlight w:val="none"/>
        </w:rPr>
        <w:t>本单位</w:t>
      </w:r>
      <w:r>
        <w:rPr>
          <w:rFonts w:ascii="Times New Roman" w:hAnsi="Times New Roman" w:eastAsia="仿宋_GB2312" w:cs="Times New Roman"/>
          <w:sz w:val="32"/>
          <w:szCs w:val="32"/>
          <w:highlight w:val="none"/>
        </w:rPr>
        <w:t>2024年度</w:t>
      </w:r>
      <w:r>
        <w:rPr>
          <w:rFonts w:hint="eastAsia" w:ascii="Times New Roman" w:hAnsi="Times New Roman" w:eastAsia="仿宋_GB2312"/>
          <w:sz w:val="32"/>
          <w:szCs w:val="32"/>
          <w:highlight w:val="none"/>
        </w:rPr>
        <w:t>机关运行经费支出</w:t>
      </w:r>
      <w:r>
        <w:rPr>
          <w:rFonts w:hint="eastAsia" w:ascii="Times New Roman" w:hAnsi="Times New Roman" w:eastAsia="仿宋_GB2312"/>
          <w:sz w:val="32"/>
          <w:szCs w:val="32"/>
          <w:highlight w:val="none"/>
          <w:lang w:val="en-US" w:eastAsia="zh-CN"/>
        </w:rPr>
        <w:t>0万元，与上年决算数持平</w:t>
      </w:r>
      <w:r>
        <w:rPr>
          <w:rFonts w:hint="eastAsia"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5"/>
        <w:overflowPunct w:val="0"/>
        <w:autoSpaceDE/>
        <w:autoSpaceDN/>
        <w:spacing w:line="600" w:lineRule="exact"/>
        <w:ind w:firstLine="640" w:firstLineChars="200"/>
        <w:jc w:val="both"/>
        <w:rPr>
          <w:rFonts w:hint="default" w:ascii="Times New Roman" w:hAnsi="Times New Roman" w:eastAsia="仿宋_GB2312"/>
          <w:sz w:val="32"/>
          <w:szCs w:val="32"/>
          <w:lang w:val="en-US" w:eastAsia="zh-CN"/>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。未</w:t>
      </w:r>
      <w:r>
        <w:rPr>
          <w:rFonts w:ascii="Times New Roman" w:hAnsi="Times New Roman" w:eastAsia="仿宋_GB2312" w:cs="Times New Roman"/>
          <w:sz w:val="32"/>
          <w:szCs w:val="32"/>
          <w:highlight w:val="none"/>
        </w:rPr>
        <w:t>举办节庆、晚会、论坛、赛事活动</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2110.49</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297.87</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829.19</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983.43</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1892.22</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89.66</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687.86</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36.35</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98</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87</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42</w:t>
      </w:r>
      <w:r>
        <w:rPr>
          <w:rFonts w:ascii="Times New Roman" w:hAnsi="Times New Roman" w:eastAsia="仿宋_GB2312" w:cs="Times New Roman"/>
          <w:color w:val="auto"/>
          <w:sz w:val="32"/>
          <w:szCs w:val="32"/>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5"/>
        <w:overflowPunct w:val="0"/>
        <w:autoSpaceDE/>
        <w:autoSpaceDN/>
        <w:spacing w:line="600" w:lineRule="exact"/>
        <w:ind w:firstLine="640" w:firstLineChars="200"/>
        <w:jc w:val="both"/>
        <w:rPr>
          <w:rFonts w:hint="eastAsia" w:ascii="Times New Roman" w:hAnsi="Times New Roman" w:eastAsia="仿宋_GB2312"/>
          <w:sz w:val="32"/>
          <w:szCs w:val="32"/>
        </w:rPr>
      </w:pPr>
      <w:r>
        <w:rPr>
          <w:rFonts w:ascii="Times New Roman" w:hAnsi="Times New Roman" w:eastAsia="仿宋_GB2312" w:cs="Times New Roman"/>
          <w:color w:val="auto"/>
          <w:sz w:val="32"/>
          <w:szCs w:val="32"/>
        </w:rPr>
        <w:t>截至2024年12月31日，</w:t>
      </w:r>
      <w:r>
        <w:rPr>
          <w:rFonts w:ascii="Times New Roman" w:hAnsi="Times New Roman" w:eastAsia="仿宋_GB2312" w:cs="Times New Roman"/>
          <w:color w:val="auto"/>
          <w:sz w:val="32"/>
          <w:szCs w:val="32"/>
          <w:highlight w:val="none"/>
        </w:rPr>
        <w:t>单位</w:t>
      </w:r>
      <w:r>
        <w:rPr>
          <w:rFonts w:ascii="Times New Roman" w:hAnsi="Times New Roman" w:eastAsia="仿宋_GB2312" w:cs="Times New Roman"/>
          <w:color w:val="auto"/>
          <w:sz w:val="32"/>
          <w:szCs w:val="32"/>
        </w:rPr>
        <w:t>共有车辆</w:t>
      </w:r>
      <w:r>
        <w:rPr>
          <w:rFonts w:hint="eastAsia" w:ascii="Times New Roman" w:hAnsi="Times New Roman" w:eastAsia="仿宋_GB2312" w:cs="Times New Roman"/>
          <w:color w:val="auto"/>
          <w:sz w:val="32"/>
          <w:szCs w:val="32"/>
          <w:lang w:val="en-US" w:eastAsia="zh-CN"/>
        </w:rPr>
        <w:t>4</w:t>
      </w:r>
      <w:r>
        <w:rPr>
          <w:rFonts w:ascii="Times New Roman" w:hAnsi="Times New Roman" w:eastAsia="仿宋_GB2312" w:cs="Times New Roman"/>
          <w:color w:val="auto"/>
          <w:sz w:val="32"/>
          <w:szCs w:val="32"/>
        </w:rPr>
        <w:t>辆，</w:t>
      </w:r>
      <w:r>
        <w:rPr>
          <w:rFonts w:hint="eastAsia" w:ascii="Times New Roman" w:hAnsi="Times New Roman" w:eastAsia="仿宋_GB2312"/>
          <w:sz w:val="32"/>
          <w:szCs w:val="32"/>
        </w:rPr>
        <w:t>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辆、离退休干部用车1辆、其他用车1辆，其他用车主要是洒水车；单位价值100万元以上设备</w:t>
      </w:r>
      <w:r>
        <w:rPr>
          <w:rFonts w:hint="eastAsia" w:ascii="Times New Roman" w:hAnsi="Times New Roman" w:eastAsia="仿宋_GB2312"/>
          <w:sz w:val="32"/>
          <w:szCs w:val="32"/>
          <w:lang w:eastAsia="zh-CN"/>
        </w:rPr>
        <w:t>（不含车辆）</w:t>
      </w:r>
      <w:r>
        <w:rPr>
          <w:rFonts w:hint="eastAsia" w:ascii="Times New Roman" w:hAnsi="Times New Roman" w:eastAsia="仿宋_GB2312"/>
          <w:sz w:val="32"/>
          <w:szCs w:val="32"/>
        </w:rPr>
        <w:t>1台（套）。</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7</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684.83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7</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684.83</w:t>
      </w:r>
      <w:r>
        <w:rPr>
          <w:rFonts w:ascii="Times New Roman" w:hAnsi="Times New Roman" w:eastAsia="仿宋_GB2312" w:cs="Times New Roman"/>
          <w:kern w:val="0"/>
          <w:sz w:val="32"/>
          <w:szCs w:val="32"/>
        </w:rPr>
        <w:t>万元，占</w:t>
      </w:r>
      <w:r>
        <w:rPr>
          <w:rFonts w:ascii="Times New Roman" w:hAnsi="Times New Roman" w:eastAsia="仿宋_GB2312" w:cs="Times New Roman"/>
          <w:kern w:val="0"/>
          <w:sz w:val="32"/>
          <w:szCs w:val="32"/>
          <w:highlight w:val="none"/>
        </w:rPr>
        <w:t>一般公共预算支出总额的</w:t>
      </w:r>
      <w:r>
        <w:rPr>
          <w:rFonts w:hint="eastAsia" w:ascii="Times New Roman" w:hAnsi="Times New Roman" w:eastAsia="仿宋_GB2312" w:cs="Times New Roman"/>
          <w:kern w:val="0"/>
          <w:sz w:val="32"/>
          <w:szCs w:val="32"/>
          <w:highlight w:val="none"/>
          <w:lang w:val="en-US" w:eastAsia="zh-CN"/>
        </w:rPr>
        <w:t>12.36</w:t>
      </w:r>
      <w:r>
        <w:rPr>
          <w:rFonts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5551.71</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5539.99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99.78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highlight w:val="none"/>
          <w:lang w:val="en-US" w:eastAsia="zh-CN"/>
        </w:rPr>
        <w:t>9</w:t>
      </w:r>
      <w:r>
        <w:rPr>
          <w:rFonts w:hint="eastAsia" w:ascii="Times New Roman" w:hAnsi="Times New Roman" w:eastAsia="仿宋_GB2312" w:cs="Times New Roman"/>
          <w:sz w:val="32"/>
          <w:szCs w:val="32"/>
          <w:highlight w:val="none"/>
          <w:lang w:val="en-US" w:eastAsia="zh-CN"/>
        </w:rPr>
        <w:t>9.98</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持续推进数字水稻示范研究。无人农场基本建成。水稻种植全程中的耕平田、秧苗移栽、收割环节已全部实现无人化作业，目前水稻全程无人化程度达到66.8%，位居国内领先水平，分别被《湖南新闻联播》和《湖南日报》报道</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大力推进种业科技创新。以“优品种、出效益”为目标，大力开展水稻新品种选育，共有268个水稻品种（组合）参加联合品比展示，其中22个品种（组合）优势强，前景好。切实发挥国家区试站功能，承担了国家南方稻区和湖南省水稻新品种区域试验、高低温适应性鉴定等试验，鉴定测试品种1007个，面积137.5亩</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rPr>
        <w:t>绩效评价结果与预算编制、项目管理等方面的结合有待加强</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下一步改进措施：</w:t>
      </w:r>
      <w:r>
        <w:rPr>
          <w:rFonts w:hint="eastAsia" w:ascii="Times New Roman" w:hAnsi="Times New Roman" w:eastAsia="仿宋_GB2312" w:cs="Times New Roman"/>
          <w:color w:val="auto"/>
          <w:sz w:val="32"/>
          <w:szCs w:val="32"/>
          <w:highlight w:val="none"/>
          <w:lang w:eastAsia="zh-CN"/>
        </w:rPr>
        <w:t>明确</w:t>
      </w:r>
      <w:r>
        <w:rPr>
          <w:rFonts w:hint="eastAsia" w:ascii="Times New Roman" w:hAnsi="Times New Roman" w:eastAsia="仿宋_GB2312" w:cs="Times New Roman"/>
          <w:color w:val="auto"/>
          <w:sz w:val="32"/>
          <w:szCs w:val="32"/>
          <w:highlight w:val="none"/>
        </w:rPr>
        <w:t>内部各科室之间在绩效管理工作中的职责分工，及时将绩效结果加以应用</w:t>
      </w:r>
      <w:r>
        <w:rPr>
          <w:rFonts w:ascii="Times New Roman" w:hAnsi="Times New Roman" w:eastAsia="仿宋_GB2312" w:cs="Times New Roman"/>
          <w:color w:val="auto"/>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楷体_GB2312" w:cs="Times New Roman"/>
          <w:b/>
          <w:bCs/>
          <w:color w:val="auto"/>
          <w:kern w:val="2"/>
          <w:sz w:val="32"/>
          <w:szCs w:val="32"/>
        </w:rPr>
        <w:t>（三）评价结果应用情况。</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加强预算管理意识，遵循预算法，科学编制预算，按预算执行。对评价中发现的问题，及时进行督促整改。</w:t>
      </w:r>
    </w:p>
    <w:p>
      <w:pPr>
        <w:pStyle w:val="2"/>
        <w:rPr>
          <w:rFonts w:hint="eastAsia"/>
          <w:highlight w:val="yellow"/>
          <w:lang w:val="en-US" w:eastAsia="zh-CN"/>
        </w:rPr>
      </w:pPr>
    </w:p>
    <w:p>
      <w:pPr>
        <w:pStyle w:val="15"/>
        <w:jc w:val="center"/>
        <w:rPr>
          <w:rFonts w:ascii="Times New Roman" w:hAnsi="Times New Roman" w:cs="Times New Roman"/>
          <w:sz w:val="72"/>
          <w:szCs w:val="7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5"/>
        <w:ind w:firstLine="640" w:firstLineChars="200"/>
        <w:jc w:val="left"/>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5"/>
        <w:ind w:firstLine="640" w:firstLineChars="200"/>
        <w:jc w:val="left"/>
        <w:rPr>
          <w:rFonts w:hint="eastAsia" w:ascii="仿宋" w:hAnsi="仿宋" w:eastAsia="仿宋" w:cs="仿宋"/>
          <w:b w:val="0"/>
          <w:bCs w:val="0"/>
          <w:color w:val="000000"/>
          <w:kern w:val="0"/>
          <w:sz w:val="32"/>
          <w:szCs w:val="32"/>
          <w:lang w:eastAsia="zh-CN"/>
        </w:rPr>
      </w:pPr>
      <w:r>
        <w:rPr>
          <w:rFonts w:hint="eastAsia" w:ascii="仿宋" w:hAnsi="仿宋" w:eastAsia="仿宋" w:cs="仿宋"/>
          <w:b w:val="0"/>
          <w:bCs w:val="0"/>
          <w:color w:val="000000"/>
          <w:kern w:val="0"/>
          <w:sz w:val="32"/>
          <w:szCs w:val="32"/>
        </w:rPr>
        <w:t>二、“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r>
        <w:rPr>
          <w:rFonts w:hint="eastAsia" w:ascii="仿宋" w:hAnsi="仿宋" w:eastAsia="仿宋" w:cs="仿宋"/>
          <w:b w:val="0"/>
          <w:bCs w:val="0"/>
          <w:color w:val="000000"/>
          <w:kern w:val="0"/>
          <w:sz w:val="32"/>
          <w:szCs w:val="32"/>
          <w:lang w:eastAsia="zh-CN"/>
        </w:rPr>
        <w:t>三公经费支出口径往年为一般公共预算财政拨款口径，今年为财政拨款口径。</w:t>
      </w:r>
    </w:p>
    <w:p>
      <w:pPr>
        <w:pStyle w:val="15"/>
        <w:spacing w:line="600" w:lineRule="exact"/>
        <w:ind w:firstLine="640" w:firstLineChars="200"/>
        <w:rPr>
          <w:rFonts w:ascii="Times New Roman" w:hAnsi="Times New Roman" w:eastAsia="楷体_GB2312" w:cs="Times New Roman"/>
          <w:b/>
          <w:bCs/>
          <w:i/>
          <w:color w:val="auto"/>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5"/>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2024年度单位整体支出绩效自评报告</w:t>
      </w:r>
    </w:p>
    <w:p>
      <w:pPr>
        <w:spacing w:line="600" w:lineRule="exact"/>
        <w:jc w:val="center"/>
        <w:rPr>
          <w:rFonts w:hint="eastAsia" w:eastAsia="方正小标宋_GBK"/>
          <w:sz w:val="44"/>
          <w:szCs w:val="44"/>
          <w:lang w:eastAsia="zh-CN"/>
        </w:rPr>
      </w:pPr>
    </w:p>
    <w:p>
      <w:pPr>
        <w:pStyle w:val="2"/>
        <w:rPr>
          <w:rFonts w:hint="eastAsia" w:eastAsia="方正小标宋_GBK"/>
          <w:sz w:val="44"/>
          <w:szCs w:val="44"/>
          <w:lang w:eastAsia="zh-CN"/>
        </w:rPr>
      </w:pPr>
    </w:p>
    <w:p>
      <w:pPr>
        <w:pStyle w:val="2"/>
        <w:rPr>
          <w:rFonts w:hint="eastAsia" w:eastAsia="方正小标宋_GBK"/>
          <w:sz w:val="44"/>
          <w:szCs w:val="44"/>
          <w:lang w:eastAsia="zh-CN"/>
        </w:rPr>
      </w:pPr>
    </w:p>
    <w:p>
      <w:pPr>
        <w:pStyle w:val="2"/>
        <w:rPr>
          <w:rFonts w:hint="eastAsia" w:eastAsia="方正小标宋_GBK"/>
          <w:sz w:val="44"/>
          <w:szCs w:val="44"/>
          <w:lang w:eastAsia="zh-CN"/>
        </w:rPr>
      </w:pPr>
    </w:p>
    <w:p>
      <w:pPr>
        <w:pStyle w:val="2"/>
        <w:rPr>
          <w:rFonts w:hint="eastAsia" w:eastAsia="方正小标宋_GBK"/>
          <w:sz w:val="44"/>
          <w:szCs w:val="44"/>
          <w:lang w:eastAsia="zh-CN"/>
        </w:rPr>
      </w:pPr>
    </w:p>
    <w:p>
      <w:pPr>
        <w:pStyle w:val="2"/>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lang w:eastAsia="zh-CN"/>
        </w:rPr>
      </w:pPr>
    </w:p>
    <w:p>
      <w:pPr>
        <w:spacing w:line="600" w:lineRule="exact"/>
        <w:jc w:val="center"/>
        <w:rPr>
          <w:rFonts w:hint="eastAsia" w:eastAsia="方正小标宋_GBK"/>
          <w:sz w:val="44"/>
          <w:szCs w:val="44"/>
        </w:rPr>
      </w:pPr>
      <w:r>
        <w:rPr>
          <w:rFonts w:hint="eastAsia" w:eastAsia="方正小标宋_GBK"/>
          <w:sz w:val="44"/>
          <w:szCs w:val="44"/>
          <w:lang w:eastAsia="zh-CN"/>
        </w:rPr>
        <w:t>202</w:t>
      </w:r>
      <w:r>
        <w:rPr>
          <w:rFonts w:hint="eastAsia" w:eastAsia="方正小标宋_GBK"/>
          <w:sz w:val="44"/>
          <w:szCs w:val="44"/>
          <w:lang w:val="en-US" w:eastAsia="zh-CN"/>
        </w:rPr>
        <w:t>4</w:t>
      </w:r>
      <w:r>
        <w:rPr>
          <w:rFonts w:hint="eastAsia" w:eastAsia="方正小标宋_GBK"/>
          <w:sz w:val="44"/>
          <w:szCs w:val="44"/>
          <w:lang w:eastAsia="zh-CN"/>
        </w:rPr>
        <w:t>年</w:t>
      </w:r>
      <w:r>
        <w:rPr>
          <w:rFonts w:eastAsia="方正小标宋_GBK"/>
          <w:sz w:val="44"/>
          <w:szCs w:val="44"/>
        </w:rPr>
        <w:t>度湖南省</w:t>
      </w:r>
      <w:r>
        <w:rPr>
          <w:rFonts w:hint="eastAsia" w:eastAsia="方正小标宋_GBK"/>
          <w:sz w:val="44"/>
          <w:szCs w:val="44"/>
        </w:rPr>
        <w:t>贺家山原种场</w:t>
      </w:r>
    </w:p>
    <w:p>
      <w:pPr>
        <w:spacing w:line="600" w:lineRule="exact"/>
        <w:jc w:val="center"/>
        <w:rPr>
          <w:rFonts w:eastAsia="方正小标宋_GBK"/>
          <w:sz w:val="44"/>
          <w:szCs w:val="44"/>
        </w:rPr>
      </w:pPr>
      <w:r>
        <w:rPr>
          <w:rFonts w:eastAsia="方正小标宋_GBK"/>
          <w:sz w:val="44"/>
          <w:szCs w:val="44"/>
        </w:rPr>
        <w:t>整体支出绩效</w:t>
      </w:r>
      <w:r>
        <w:rPr>
          <w:rFonts w:hint="eastAsia" w:eastAsia="方正小标宋_GBK"/>
          <w:sz w:val="44"/>
          <w:szCs w:val="44"/>
          <w:lang w:eastAsia="zh-CN"/>
        </w:rPr>
        <w:t>自评</w:t>
      </w:r>
      <w:r>
        <w:rPr>
          <w:rFonts w:eastAsia="方正小标宋_GBK"/>
          <w:sz w:val="44"/>
          <w:szCs w:val="44"/>
        </w:rPr>
        <w:t>报告</w:t>
      </w:r>
    </w:p>
    <w:p>
      <w:pPr>
        <w:widowControl/>
        <w:spacing w:line="600" w:lineRule="exact"/>
        <w:ind w:firstLine="627" w:firstLineChars="196"/>
        <w:jc w:val="left"/>
        <w:rPr>
          <w:rFonts w:eastAsia="黑体"/>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一、基本</w:t>
      </w:r>
      <w:r>
        <w:rPr>
          <w:rFonts w:hint="eastAsia" w:eastAsia="黑体"/>
          <w:bCs/>
          <w:kern w:val="0"/>
          <w:sz w:val="32"/>
          <w:szCs w:val="32"/>
          <w:lang w:eastAsia="zh-CN"/>
        </w:rPr>
        <w:t>情</w:t>
      </w:r>
      <w:r>
        <w:rPr>
          <w:rFonts w:eastAsia="黑体"/>
          <w:bCs/>
          <w:kern w:val="0"/>
          <w:sz w:val="32"/>
          <w:szCs w:val="32"/>
        </w:rPr>
        <w:t>况</w:t>
      </w:r>
    </w:p>
    <w:p>
      <w:pPr>
        <w:widowControl/>
        <w:shd w:val="clear" w:color="auto" w:fill="FFFFFF"/>
        <w:spacing w:line="560" w:lineRule="exact"/>
        <w:ind w:firstLine="640"/>
        <w:jc w:val="left"/>
        <w:rPr>
          <w:rFonts w:hint="default" w:eastAsia="仿宋_GB2312"/>
          <w:color w:val="000000"/>
          <w:sz w:val="32"/>
          <w:szCs w:val="32"/>
          <w:shd w:val="clear" w:color="auto" w:fill="FFFFFF"/>
          <w:lang w:val="en-US" w:eastAsia="zh-CN"/>
        </w:rPr>
      </w:pPr>
      <w:r>
        <w:rPr>
          <w:rFonts w:hint="eastAsia" w:eastAsia="仿宋_GB2312"/>
          <w:color w:val="000000"/>
          <w:sz w:val="32"/>
          <w:szCs w:val="32"/>
          <w:shd w:val="clear" w:color="auto" w:fill="FFFFFF"/>
          <w:lang w:val="en-US" w:eastAsia="zh-CN"/>
        </w:rPr>
        <w:t>(一)单位基本情况</w:t>
      </w:r>
    </w:p>
    <w:p>
      <w:pPr>
        <w:widowControl/>
        <w:shd w:val="clear" w:color="auto" w:fill="FFFFFF"/>
        <w:spacing w:line="560" w:lineRule="exact"/>
        <w:ind w:firstLine="640"/>
        <w:jc w:val="left"/>
        <w:rPr>
          <w:rFonts w:hint="eastAsia" w:eastAsia="仿宋_GB2312"/>
          <w:color w:val="000000"/>
          <w:kern w:val="0"/>
          <w:sz w:val="32"/>
          <w:szCs w:val="32"/>
          <w:shd w:val="clear" w:color="auto" w:fill="FFFFFF"/>
          <w:lang w:bidi="ar"/>
        </w:rPr>
      </w:pPr>
      <w:r>
        <w:rPr>
          <w:rFonts w:eastAsia="仿宋_GB2312"/>
          <w:color w:val="000000"/>
          <w:sz w:val="32"/>
          <w:szCs w:val="32"/>
          <w:shd w:val="clear" w:color="auto" w:fill="FFFFFF"/>
        </w:rPr>
        <w:t>湖南省贺家山原种场系湖南省农业农村厅直属县团级农业事业单位。主要承担</w:t>
      </w:r>
      <w:r>
        <w:rPr>
          <w:rFonts w:eastAsia="仿宋_GB2312"/>
          <w:color w:val="000000"/>
          <w:kern w:val="0"/>
          <w:sz w:val="32"/>
          <w:szCs w:val="32"/>
          <w:shd w:val="clear" w:color="auto" w:fill="FFFFFF"/>
          <w:lang w:bidi="ar"/>
        </w:rPr>
        <w:t>南方稻区水稻区域试验及湖南省水稻区域试验（预备试验）、湖南省水稻品种（组合）生产安全性鉴定、湖南省两用不育系生态鉴定、湖南省及南方稻区水稻新品种引进、筛选、展示、推广与杂交水稻科普教育、湖南省及南方稻区杂交水稻亲本种子提纯、繁殖与杂交水稻和优质棉种子生产、现代农业及社会主义新农村建设示范、现代农业技术示范和培训等</w:t>
      </w:r>
      <w:r>
        <w:rPr>
          <w:rFonts w:eastAsia="仿宋_GB2312"/>
          <w:color w:val="000000"/>
          <w:sz w:val="32"/>
          <w:szCs w:val="32"/>
          <w:shd w:val="clear" w:color="auto" w:fill="FFFFFF"/>
        </w:rPr>
        <w:t>公益服务职能，担负着保障全省乃至南方稻区种子生产安全的核心作用，是湖南省水稻、优质棉原（良）种子生产的重要基地。此外，还承担着辖区内</w:t>
      </w:r>
      <w:r>
        <w:rPr>
          <w:rFonts w:eastAsia="仿宋_GB2312"/>
          <w:color w:val="000000"/>
          <w:kern w:val="0"/>
          <w:sz w:val="32"/>
          <w:szCs w:val="32"/>
          <w:shd w:val="clear" w:color="auto" w:fill="FFFFFF"/>
          <w:lang w:bidi="ar"/>
        </w:rPr>
        <w:t>社会管理综合治理与安全生产、计划生育与妇幼保健、九年制义务教育与文化管理、疾病预防控制与治疗、动物疾病防治与动植物检验检疫、民兵武装与国防教育、民政与社会优抚、劳动与社会保障、</w:t>
      </w:r>
      <w:r>
        <w:rPr>
          <w:rFonts w:hint="eastAsia" w:eastAsia="仿宋_GB2312"/>
          <w:color w:val="000000"/>
          <w:kern w:val="0"/>
          <w:sz w:val="32"/>
          <w:szCs w:val="32"/>
          <w:shd w:val="clear" w:color="auto" w:fill="FFFFFF"/>
          <w:lang w:bidi="ar"/>
        </w:rPr>
        <w:t>自然</w:t>
      </w:r>
      <w:r>
        <w:rPr>
          <w:rFonts w:eastAsia="仿宋_GB2312"/>
          <w:color w:val="000000"/>
          <w:kern w:val="0"/>
          <w:sz w:val="32"/>
          <w:szCs w:val="32"/>
          <w:shd w:val="clear" w:color="auto" w:fill="FFFFFF"/>
          <w:lang w:bidi="ar"/>
        </w:rPr>
        <w:t>资源保护与林业管理、农村安全饮水、交通运输与管理、防汛抗旱与大堤安保、公共设施建设维护与管理等社会职能。</w:t>
      </w:r>
    </w:p>
    <w:p>
      <w:pPr>
        <w:widowControl/>
        <w:shd w:val="clear" w:color="auto" w:fill="FFFFFF"/>
        <w:spacing w:line="560" w:lineRule="exact"/>
        <w:ind w:firstLine="640" w:firstLineChars="200"/>
        <w:jc w:val="left"/>
        <w:rPr>
          <w:rFonts w:eastAsia="仿宋_GB2312"/>
          <w:sz w:val="32"/>
          <w:szCs w:val="32"/>
        </w:rPr>
      </w:pPr>
      <w:r>
        <w:rPr>
          <w:rFonts w:hint="eastAsia" w:eastAsia="仿宋_GB2312"/>
          <w:sz w:val="32"/>
          <w:szCs w:val="32"/>
        </w:rPr>
        <w:t>湖南省贺家山原种场设党政办公室、人事科、计划财务科、纪检监察室、发展规划科、农林水利科、种子质量管理科、平安建设办公室、老干部工作办公室、民政办公室、退役军人事务办公室、国土管理办公室、交通农机管理科、文化与教育科、卫生与健康管理科、信息中心16个内设科室、部门，设大洲分场、乐兴分场、新合分场、小凡洲分场、社保服务中心、后勤服务中心、种业科学研究所、农业技术服务中心、排灌站、常德市贺家山卫生院、子弟学校11个直属部门。</w:t>
      </w:r>
      <w:r>
        <w:rPr>
          <w:rFonts w:hint="eastAsia" w:eastAsia="仿宋_GB2312"/>
          <w:sz w:val="32"/>
          <w:szCs w:val="32"/>
          <w:lang w:eastAsia="zh-CN"/>
        </w:rPr>
        <w:t>202</w:t>
      </w:r>
      <w:r>
        <w:rPr>
          <w:rFonts w:hint="eastAsia" w:eastAsia="仿宋_GB2312"/>
          <w:sz w:val="32"/>
          <w:szCs w:val="32"/>
          <w:lang w:val="en-US" w:eastAsia="zh-CN"/>
        </w:rPr>
        <w:t>4</w:t>
      </w:r>
      <w:r>
        <w:rPr>
          <w:rFonts w:hint="eastAsia" w:eastAsia="仿宋_GB2312"/>
          <w:sz w:val="32"/>
          <w:szCs w:val="32"/>
          <w:lang w:eastAsia="zh-CN"/>
        </w:rPr>
        <w:t>年</w:t>
      </w:r>
      <w:r>
        <w:rPr>
          <w:rFonts w:eastAsia="仿宋_GB2312"/>
          <w:sz w:val="32"/>
          <w:szCs w:val="32"/>
        </w:rPr>
        <w:t>末，我单位共有编制</w:t>
      </w:r>
      <w:r>
        <w:rPr>
          <w:rFonts w:hint="eastAsia" w:eastAsia="仿宋_GB2312"/>
          <w:sz w:val="32"/>
          <w:szCs w:val="32"/>
        </w:rPr>
        <w:t>0</w:t>
      </w:r>
      <w:r>
        <w:rPr>
          <w:rFonts w:eastAsia="仿宋_GB2312"/>
          <w:sz w:val="32"/>
          <w:szCs w:val="32"/>
        </w:rPr>
        <w:t>人。年末实有在职人员</w:t>
      </w:r>
      <w:r>
        <w:rPr>
          <w:rFonts w:hint="eastAsia" w:eastAsia="仿宋_GB2312"/>
          <w:sz w:val="32"/>
          <w:szCs w:val="32"/>
        </w:rPr>
        <w:t>60</w:t>
      </w:r>
      <w:r>
        <w:rPr>
          <w:rFonts w:hint="eastAsia" w:eastAsia="仿宋_GB2312"/>
          <w:sz w:val="32"/>
          <w:szCs w:val="32"/>
          <w:lang w:val="en-US" w:eastAsia="zh-CN"/>
        </w:rPr>
        <w:t>8</w:t>
      </w:r>
      <w:r>
        <w:rPr>
          <w:rFonts w:eastAsia="仿宋_GB2312"/>
          <w:sz w:val="32"/>
          <w:szCs w:val="32"/>
        </w:rPr>
        <w:t>人，离休人员</w:t>
      </w:r>
      <w:r>
        <w:rPr>
          <w:rFonts w:hint="eastAsia" w:eastAsia="仿宋_GB2312"/>
          <w:sz w:val="32"/>
          <w:szCs w:val="32"/>
        </w:rPr>
        <w:t>1</w:t>
      </w:r>
      <w:r>
        <w:rPr>
          <w:rFonts w:eastAsia="仿宋_GB2312"/>
          <w:sz w:val="32"/>
          <w:szCs w:val="32"/>
        </w:rPr>
        <w:t>人。</w:t>
      </w:r>
    </w:p>
    <w:p>
      <w:pPr>
        <w:pStyle w:val="2"/>
        <w:rPr>
          <w:rFonts w:hint="default" w:eastAsia="仿宋_GB2312"/>
          <w:lang w:val="en-US" w:eastAsia="zh-CN"/>
        </w:rPr>
      </w:pPr>
      <w:r>
        <w:rPr>
          <w:rFonts w:hint="eastAsia" w:eastAsia="仿宋_GB2312"/>
          <w:sz w:val="32"/>
          <w:szCs w:val="32"/>
          <w:lang w:eastAsia="zh-CN"/>
        </w:rPr>
        <w:t>（二）单位年度整体支出绩效目标：全面履行本单位年度工作职责，贯彻落实党中央关于“三农"工作的方针政策和决策部署,全面落实省农业农村厅关于“三农"工作的部署要求。</w:t>
      </w:r>
      <w:r>
        <w:rPr>
          <w:rFonts w:hint="eastAsia" w:eastAsia="仿宋_GB2312"/>
          <w:sz w:val="32"/>
          <w:szCs w:val="32"/>
          <w:highlight w:val="none"/>
          <w:lang w:eastAsia="zh-CN"/>
        </w:rPr>
        <w:t>省级专项资金绩效目标：建成以农机智能化、种植数字化、管理信息化为核心的农机智能作业，为全国智慧农业（数字大米）标准体系搭建、核心标准研制等方面输出湖南经验成成果；完善稳定发展2024年粮食生产、集中育秧设施建设和保障早稻集中育秧实施。</w:t>
      </w:r>
      <w:r>
        <w:rPr>
          <w:rFonts w:hint="eastAsia" w:eastAsia="仿宋_GB2312"/>
          <w:sz w:val="32"/>
          <w:szCs w:val="32"/>
          <w:lang w:eastAsia="zh-CN"/>
        </w:rPr>
        <w:t>其他项目支出（除省级专项资金以外）绩效目标：加强2000亩污染耕地治理、提高农技推广队伍素质能力、开展农技推广信息化建设，完成动物疫病监测、免疫抗体合格率达到90%</w:t>
      </w:r>
      <w:r>
        <w:rPr>
          <w:rFonts w:eastAsia="仿宋_GB2312"/>
          <w:sz w:val="32"/>
          <w:szCs w:val="32"/>
        </w:rPr>
        <w:t>。</w:t>
      </w:r>
    </w:p>
    <w:p>
      <w:pPr>
        <w:widowControl/>
        <w:numPr>
          <w:ilvl w:val="0"/>
          <w:numId w:val="1"/>
        </w:numPr>
        <w:spacing w:line="60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一般公共预算支出情况</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年</w:t>
      </w:r>
      <w:r>
        <w:rPr>
          <w:rFonts w:hint="eastAsia" w:ascii="仿宋_GB2312" w:hAnsi="仿宋" w:eastAsia="仿宋_GB2312"/>
          <w:sz w:val="32"/>
          <w:szCs w:val="32"/>
        </w:rPr>
        <w:t>湖南省贺家山原种场一般公共预算收入</w:t>
      </w:r>
      <w:r>
        <w:rPr>
          <w:rFonts w:hint="eastAsia" w:ascii="仿宋_GB2312" w:hAnsi="仿宋" w:eastAsia="仿宋_GB2312"/>
          <w:sz w:val="32"/>
          <w:szCs w:val="32"/>
          <w:lang w:val="en-US" w:eastAsia="zh-CN"/>
        </w:rPr>
        <w:t>5551.71</w:t>
      </w:r>
      <w:r>
        <w:rPr>
          <w:rFonts w:hint="eastAsia" w:ascii="仿宋_GB2312" w:hAnsi="仿宋" w:eastAsia="仿宋_GB2312"/>
          <w:sz w:val="32"/>
          <w:szCs w:val="32"/>
        </w:rPr>
        <w:t>万元,其中部门预算收入为</w:t>
      </w:r>
      <w:r>
        <w:rPr>
          <w:rFonts w:hint="eastAsia" w:ascii="仿宋_GB2312" w:hAnsi="仿宋" w:eastAsia="仿宋_GB2312"/>
          <w:color w:val="auto"/>
          <w:sz w:val="32"/>
          <w:szCs w:val="32"/>
          <w:lang w:val="en-US" w:eastAsia="zh-CN"/>
        </w:rPr>
        <w:t>4855.16</w:t>
      </w:r>
      <w:r>
        <w:rPr>
          <w:rFonts w:hint="eastAsia" w:ascii="仿宋_GB2312" w:hAnsi="仿宋" w:eastAsia="仿宋_GB2312"/>
          <w:color w:val="auto"/>
          <w:sz w:val="32"/>
          <w:szCs w:val="32"/>
        </w:rPr>
        <w:t>万元,</w:t>
      </w:r>
      <w:r>
        <w:rPr>
          <w:rFonts w:hint="eastAsia"/>
          <w:color w:val="auto"/>
        </w:rPr>
        <w:t xml:space="preserve"> </w:t>
      </w:r>
      <w:r>
        <w:rPr>
          <w:rFonts w:hint="eastAsia" w:ascii="仿宋_GB2312" w:hAnsi="仿宋" w:eastAsia="仿宋_GB2312"/>
          <w:color w:val="auto"/>
          <w:sz w:val="32"/>
          <w:szCs w:val="32"/>
        </w:rPr>
        <w:t>省级专项</w:t>
      </w:r>
      <w:r>
        <w:rPr>
          <w:rFonts w:hint="eastAsia" w:ascii="仿宋_GB2312" w:hAnsi="仿宋" w:eastAsia="仿宋_GB2312"/>
          <w:color w:val="auto"/>
          <w:sz w:val="32"/>
          <w:szCs w:val="32"/>
          <w:lang w:val="en-US" w:eastAsia="zh-CN"/>
        </w:rPr>
        <w:t>44</w:t>
      </w:r>
      <w:r>
        <w:rPr>
          <w:rFonts w:hint="eastAsia" w:ascii="仿宋_GB2312" w:hAnsi="仿宋" w:eastAsia="仿宋_GB2312"/>
          <w:color w:val="auto"/>
          <w:sz w:val="32"/>
          <w:szCs w:val="32"/>
        </w:rPr>
        <w:t>万元,上年结转结余</w:t>
      </w:r>
      <w:r>
        <w:rPr>
          <w:rFonts w:hint="eastAsia" w:ascii="仿宋_GB2312" w:hAnsi="仿宋" w:eastAsia="仿宋_GB2312"/>
          <w:color w:val="auto"/>
          <w:sz w:val="32"/>
          <w:szCs w:val="32"/>
          <w:lang w:val="en-US" w:eastAsia="zh-CN"/>
        </w:rPr>
        <w:t>637.34</w:t>
      </w:r>
      <w:r>
        <w:rPr>
          <w:rFonts w:hint="eastAsia" w:ascii="仿宋_GB2312" w:hAnsi="仿宋" w:eastAsia="仿宋_GB2312"/>
          <w:color w:val="auto"/>
          <w:sz w:val="32"/>
          <w:szCs w:val="32"/>
        </w:rPr>
        <w:t>万元,年中追加</w:t>
      </w:r>
      <w:r>
        <w:rPr>
          <w:rFonts w:hint="eastAsia" w:ascii="仿宋_GB2312" w:hAnsi="仿宋" w:eastAsia="仿宋_GB2312"/>
          <w:color w:val="auto"/>
          <w:sz w:val="32"/>
          <w:szCs w:val="32"/>
          <w:lang w:val="en-US" w:eastAsia="zh-CN"/>
        </w:rPr>
        <w:t>19.21</w:t>
      </w:r>
      <w:r>
        <w:rPr>
          <w:rFonts w:hint="eastAsia" w:ascii="仿宋_GB2312" w:hAnsi="仿宋" w:eastAsia="仿宋_GB2312"/>
          <w:color w:val="auto"/>
          <w:sz w:val="32"/>
          <w:szCs w:val="32"/>
        </w:rPr>
        <w:t>万元,全年</w:t>
      </w:r>
      <w:r>
        <w:rPr>
          <w:rFonts w:hint="eastAsia" w:ascii="仿宋_GB2312" w:hAnsi="仿宋" w:eastAsia="仿宋_GB2312"/>
          <w:sz w:val="32"/>
          <w:szCs w:val="32"/>
        </w:rPr>
        <w:t>一般公共预算支出共计</w:t>
      </w:r>
      <w:r>
        <w:rPr>
          <w:rFonts w:hint="eastAsia" w:ascii="仿宋_GB2312" w:hAnsi="仿宋" w:eastAsia="仿宋_GB2312"/>
          <w:sz w:val="32"/>
          <w:szCs w:val="32"/>
          <w:lang w:val="en-US" w:eastAsia="zh-CN"/>
        </w:rPr>
        <w:t>5539.99</w:t>
      </w:r>
      <w:r>
        <w:rPr>
          <w:rFonts w:hint="eastAsia" w:ascii="仿宋_GB2312" w:hAnsi="仿宋" w:eastAsia="仿宋_GB2312"/>
          <w:sz w:val="32"/>
          <w:szCs w:val="32"/>
        </w:rPr>
        <w:t>元,年未结转结余</w:t>
      </w:r>
      <w:r>
        <w:rPr>
          <w:rFonts w:hint="eastAsia" w:ascii="仿宋_GB2312" w:hAnsi="仿宋" w:eastAsia="仿宋_GB2312"/>
          <w:sz w:val="32"/>
          <w:szCs w:val="32"/>
          <w:lang w:val="en-US" w:eastAsia="zh-CN"/>
        </w:rPr>
        <w:t>11.72</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Times New Roman" w:hAnsi="Times New Roman" w:eastAsia="黑体"/>
          <w:sz w:val="32"/>
          <w:szCs w:val="32"/>
          <w:lang w:eastAsia="zh-CN"/>
        </w:rPr>
        <w:t>（一）</w:t>
      </w:r>
      <w:r>
        <w:rPr>
          <w:rFonts w:hint="eastAsia" w:ascii="Times New Roman" w:hAnsi="Times New Roman" w:eastAsia="黑体"/>
          <w:sz w:val="32"/>
          <w:szCs w:val="32"/>
        </w:rPr>
        <w:t>基本支出情况。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年</w:t>
      </w:r>
      <w:r>
        <w:rPr>
          <w:rFonts w:hint="eastAsia" w:ascii="仿宋_GB2312" w:hAnsi="仿宋" w:eastAsia="仿宋_GB2312"/>
          <w:sz w:val="32"/>
          <w:szCs w:val="32"/>
        </w:rPr>
        <w:t>湖南省贺家山原种场一般公共预算支出中基本支出预算为</w:t>
      </w:r>
      <w:r>
        <w:rPr>
          <w:rFonts w:hint="eastAsia" w:ascii="仿宋_GB2312" w:hAnsi="仿宋" w:eastAsia="仿宋_GB2312"/>
          <w:sz w:val="32"/>
          <w:szCs w:val="32"/>
          <w:lang w:val="en-US" w:eastAsia="zh-CN"/>
        </w:rPr>
        <w:t>4855.16</w:t>
      </w:r>
      <w:r>
        <w:rPr>
          <w:rFonts w:hint="eastAsia" w:ascii="仿宋_GB2312" w:hAnsi="仿宋" w:eastAsia="仿宋_GB2312"/>
          <w:sz w:val="32"/>
          <w:szCs w:val="32"/>
        </w:rPr>
        <w:t>万元,其中工资福利支出</w:t>
      </w:r>
      <w:r>
        <w:rPr>
          <w:rFonts w:hint="eastAsia" w:ascii="仿宋_GB2312" w:hAnsi="仿宋" w:eastAsia="仿宋_GB2312"/>
          <w:sz w:val="32"/>
          <w:szCs w:val="32"/>
          <w:lang w:val="en-US" w:eastAsia="zh-CN"/>
        </w:rPr>
        <w:t>4090</w:t>
      </w:r>
      <w:r>
        <w:rPr>
          <w:rFonts w:hint="eastAsia" w:ascii="仿宋_GB2312" w:hAnsi="仿宋" w:eastAsia="仿宋_GB2312"/>
          <w:sz w:val="32"/>
          <w:szCs w:val="32"/>
        </w:rPr>
        <w:t>万元,商品和服务支出</w:t>
      </w:r>
      <w:r>
        <w:rPr>
          <w:rFonts w:hint="eastAsia" w:ascii="仿宋_GB2312" w:hAnsi="仿宋" w:eastAsia="仿宋_GB2312"/>
          <w:sz w:val="32"/>
          <w:szCs w:val="32"/>
          <w:lang w:val="en-US" w:eastAsia="zh-CN"/>
        </w:rPr>
        <w:t>159</w:t>
      </w:r>
      <w:r>
        <w:rPr>
          <w:rFonts w:hint="eastAsia" w:ascii="仿宋_GB2312" w:hAnsi="仿宋" w:eastAsia="仿宋_GB2312"/>
          <w:sz w:val="32"/>
          <w:szCs w:val="32"/>
        </w:rPr>
        <w:t>万元,对个人和家庭的补助</w:t>
      </w:r>
      <w:r>
        <w:rPr>
          <w:rFonts w:hint="eastAsia" w:ascii="仿宋_GB2312" w:hAnsi="仿宋" w:eastAsia="仿宋_GB2312"/>
          <w:sz w:val="32"/>
          <w:szCs w:val="32"/>
          <w:lang w:val="en-US" w:eastAsia="zh-CN"/>
        </w:rPr>
        <w:t>606.16</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黑体" w:hAnsi="黑体" w:eastAsia="黑体"/>
          <w:sz w:val="32"/>
          <w:szCs w:val="32"/>
          <w:lang w:eastAsia="zh-CN"/>
        </w:rPr>
        <w:t>（二）</w:t>
      </w:r>
      <w:r>
        <w:rPr>
          <w:rFonts w:hint="eastAsia" w:ascii="黑体" w:hAnsi="黑体" w:eastAsia="黑体"/>
          <w:sz w:val="32"/>
          <w:szCs w:val="32"/>
        </w:rPr>
        <w:t>项目支出情况。</w:t>
      </w:r>
      <w:r>
        <w:rPr>
          <w:rFonts w:hint="eastAsia" w:ascii="仿宋_GB2312" w:hAnsi="仿宋" w:eastAsia="仿宋_GB2312"/>
          <w:sz w:val="32"/>
          <w:szCs w:val="32"/>
        </w:rPr>
        <w:t xml:space="preserve"> </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年</w:t>
      </w:r>
      <w:r>
        <w:rPr>
          <w:rFonts w:hint="eastAsia" w:ascii="仿宋_GB2312" w:hAnsi="仿宋" w:eastAsia="仿宋_GB2312"/>
          <w:sz w:val="32"/>
          <w:szCs w:val="32"/>
        </w:rPr>
        <w:t>湖南省贺家山原种场一般公共预算支出中项目支出预算为</w:t>
      </w:r>
      <w:r>
        <w:rPr>
          <w:rFonts w:hint="eastAsia" w:ascii="仿宋_GB2312" w:hAnsi="仿宋" w:eastAsia="仿宋_GB2312"/>
          <w:sz w:val="32"/>
          <w:szCs w:val="32"/>
          <w:lang w:val="en-US" w:eastAsia="zh-CN"/>
        </w:rPr>
        <w:t>684.83</w:t>
      </w:r>
      <w:r>
        <w:rPr>
          <w:rFonts w:hint="eastAsia" w:ascii="仿宋_GB2312" w:hAnsi="仿宋" w:eastAsia="仿宋_GB2312"/>
          <w:sz w:val="32"/>
          <w:szCs w:val="32"/>
        </w:rPr>
        <w:t>万元,其中商品和服务支出</w:t>
      </w:r>
      <w:r>
        <w:rPr>
          <w:rFonts w:hint="eastAsia" w:ascii="仿宋_GB2312" w:hAnsi="仿宋" w:eastAsia="仿宋_GB2312"/>
          <w:sz w:val="32"/>
          <w:szCs w:val="32"/>
          <w:lang w:val="en-US" w:eastAsia="zh-CN"/>
        </w:rPr>
        <w:t>680.43</w:t>
      </w:r>
      <w:r>
        <w:rPr>
          <w:rFonts w:hint="eastAsia" w:ascii="仿宋_GB2312" w:hAnsi="仿宋" w:eastAsia="仿宋_GB2312"/>
          <w:sz w:val="32"/>
          <w:szCs w:val="32"/>
        </w:rPr>
        <w:t>万元,</w:t>
      </w:r>
      <w:r>
        <w:rPr>
          <w:rFonts w:hint="eastAsia" w:ascii="仿宋_GB2312" w:hAnsi="仿宋" w:eastAsia="仿宋_GB2312"/>
          <w:sz w:val="32"/>
          <w:szCs w:val="32"/>
          <w:lang w:eastAsia="zh-CN"/>
        </w:rPr>
        <w:t>对个人和家庭支出</w:t>
      </w:r>
      <w:r>
        <w:rPr>
          <w:rFonts w:hint="eastAsia" w:ascii="仿宋_GB2312" w:hAnsi="仿宋" w:eastAsia="仿宋_GB2312"/>
          <w:sz w:val="32"/>
          <w:szCs w:val="32"/>
          <w:lang w:val="en-US" w:eastAsia="zh-CN"/>
        </w:rPr>
        <w:t>4.4万元，</w:t>
      </w:r>
      <w:r>
        <w:rPr>
          <w:rFonts w:hint="eastAsia" w:ascii="仿宋_GB2312" w:hAnsi="仿宋" w:eastAsia="仿宋_GB2312"/>
          <w:sz w:val="32"/>
          <w:szCs w:val="32"/>
        </w:rPr>
        <w:t>资本性支出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1、2024年集中育秧指导。年初预算</w:t>
      </w:r>
      <w:r>
        <w:rPr>
          <w:rFonts w:hint="eastAsia" w:ascii="仿宋_GB2312" w:hAnsi="仿宋" w:eastAsia="仿宋_GB2312"/>
          <w:sz w:val="32"/>
          <w:szCs w:val="32"/>
          <w:lang w:val="en-US" w:eastAsia="zh-CN"/>
        </w:rPr>
        <w:t>44</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w:t>
      </w:r>
      <w:r>
        <w:rPr>
          <w:rFonts w:hint="eastAsia" w:ascii="仿宋_GB2312" w:hAnsi="仿宋" w:eastAsia="仿宋_GB2312"/>
          <w:sz w:val="32"/>
          <w:szCs w:val="32"/>
        </w:rPr>
        <w:t>年中追加预算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44</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32.28</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11.72</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w:t>
      </w:r>
      <w:r>
        <w:rPr>
          <w:rFonts w:hint="eastAsia" w:ascii="仿宋_GB2312" w:hAnsi="仿宋" w:eastAsia="仿宋_GB2312"/>
          <w:color w:val="auto"/>
          <w:sz w:val="32"/>
          <w:szCs w:val="32"/>
        </w:rPr>
        <w:t>现代农业发展专项</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2023年结转</w:t>
      </w:r>
      <w:r>
        <w:rPr>
          <w:rFonts w:hint="eastAsia" w:ascii="仿宋_GB2312" w:hAnsi="仿宋" w:eastAsia="仿宋_GB2312"/>
          <w:color w:val="auto"/>
          <w:sz w:val="32"/>
          <w:szCs w:val="32"/>
          <w:lang w:eastAsia="zh-CN"/>
        </w:rPr>
        <w:t>）</w:t>
      </w:r>
      <w:r>
        <w:rPr>
          <w:rFonts w:hint="eastAsia" w:ascii="仿宋_GB2312" w:hAnsi="仿宋" w:eastAsia="仿宋_GB2312"/>
          <w:sz w:val="32"/>
          <w:szCs w:val="32"/>
        </w:rPr>
        <w:t>。</w:t>
      </w:r>
      <w:r>
        <w:rPr>
          <w:rFonts w:hint="eastAsia" w:ascii="仿宋_GB2312" w:hAnsi="仿宋" w:eastAsia="仿宋_GB2312"/>
          <w:sz w:val="32"/>
          <w:szCs w:val="32"/>
          <w:lang w:eastAsia="zh-CN"/>
        </w:rPr>
        <w:t>上年结转</w:t>
      </w:r>
      <w:r>
        <w:rPr>
          <w:rFonts w:hint="eastAsia" w:ascii="仿宋_GB2312" w:hAnsi="仿宋" w:eastAsia="仿宋_GB2312"/>
          <w:sz w:val="32"/>
          <w:szCs w:val="32"/>
          <w:lang w:val="en-US" w:eastAsia="zh-CN"/>
        </w:rPr>
        <w:t>123.45万元，</w:t>
      </w:r>
      <w:r>
        <w:rPr>
          <w:rFonts w:hint="eastAsia" w:ascii="仿宋_GB2312" w:hAnsi="仿宋" w:eastAsia="仿宋_GB2312"/>
          <w:sz w:val="32"/>
          <w:szCs w:val="32"/>
        </w:rPr>
        <w:t>年中追加预算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123.45</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123.45</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农业资源修复与利用（受污染耕地安全利用）</w:t>
      </w:r>
      <w:r>
        <w:rPr>
          <w:rFonts w:hint="eastAsia" w:ascii="仿宋_GB2312" w:hAnsi="仿宋" w:eastAsia="仿宋_GB2312"/>
          <w:color w:val="auto"/>
          <w:sz w:val="32"/>
          <w:szCs w:val="32"/>
        </w:rPr>
        <w:t>。</w:t>
      </w:r>
      <w:r>
        <w:rPr>
          <w:rFonts w:hint="eastAsia" w:ascii="仿宋_GB2312" w:hAnsi="仿宋" w:eastAsia="仿宋_GB2312"/>
          <w:sz w:val="32"/>
          <w:szCs w:val="32"/>
          <w:lang w:eastAsia="zh-CN"/>
        </w:rPr>
        <w:t>上年结转</w:t>
      </w:r>
      <w:r>
        <w:rPr>
          <w:rFonts w:hint="eastAsia" w:ascii="仿宋_GB2312" w:hAnsi="仿宋" w:eastAsia="仿宋_GB2312"/>
          <w:sz w:val="32"/>
          <w:szCs w:val="32"/>
          <w:lang w:val="en-US" w:eastAsia="zh-CN"/>
        </w:rPr>
        <w:t>2.68</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5</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7.68</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7.68</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w:t>
      </w: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年省级动物防疫补助资金</w:t>
      </w:r>
      <w:r>
        <w:rPr>
          <w:rFonts w:hint="eastAsia" w:ascii="仿宋_GB2312" w:hAnsi="仿宋" w:eastAsia="仿宋_GB2312"/>
          <w:sz w:val="32"/>
          <w:szCs w:val="32"/>
        </w:rPr>
        <w:t>。年初预算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5.81</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5.81</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5.81</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color w:val="auto"/>
          <w:sz w:val="32"/>
          <w:szCs w:val="32"/>
          <w:lang w:val="en-US" w:eastAsia="zh-CN"/>
        </w:rPr>
        <w:t>5</w:t>
      </w:r>
      <w:r>
        <w:rPr>
          <w:rFonts w:hint="eastAsia" w:ascii="仿宋_GB2312" w:hAnsi="仿宋" w:eastAsia="仿宋_GB2312"/>
          <w:color w:val="0000FF"/>
          <w:sz w:val="32"/>
          <w:szCs w:val="32"/>
        </w:rPr>
        <w:t>、</w:t>
      </w:r>
      <w:r>
        <w:rPr>
          <w:rFonts w:hint="eastAsia" w:ascii="仿宋_GB2312" w:hAnsi="仿宋" w:eastAsia="仿宋_GB2312"/>
          <w:color w:val="auto"/>
          <w:sz w:val="32"/>
          <w:szCs w:val="32"/>
        </w:rPr>
        <w:t>科技转化与推广服务专项</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中央基层农技推广体系改革与建设</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w:t>
      </w:r>
      <w:r>
        <w:rPr>
          <w:rFonts w:hint="eastAsia" w:ascii="仿宋_GB2312" w:hAnsi="仿宋" w:eastAsia="仿宋_GB2312"/>
          <w:sz w:val="32"/>
          <w:szCs w:val="32"/>
        </w:rPr>
        <w:t>上年结转</w:t>
      </w:r>
      <w:r>
        <w:rPr>
          <w:rFonts w:hint="eastAsia" w:ascii="仿宋_GB2312" w:hAnsi="仿宋" w:eastAsia="仿宋_GB2312"/>
          <w:sz w:val="32"/>
          <w:szCs w:val="32"/>
          <w:lang w:val="en-US" w:eastAsia="zh-CN"/>
        </w:rPr>
        <w:t>11.21</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w:t>
      </w:r>
      <w:r>
        <w:rPr>
          <w:rFonts w:hint="eastAsia" w:ascii="仿宋_GB2312" w:hAnsi="仿宋" w:eastAsia="仿宋_GB2312"/>
          <w:sz w:val="32"/>
          <w:szCs w:val="32"/>
        </w:rPr>
        <w:t>年初预算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11.21</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11.21</w:t>
      </w:r>
      <w:r>
        <w:rPr>
          <w:rFonts w:hint="eastAsia" w:ascii="仿宋_GB2312" w:hAnsi="仿宋" w:eastAsia="仿宋_GB2312"/>
          <w:sz w:val="32"/>
          <w:szCs w:val="32"/>
        </w:rPr>
        <w:t>万元,年末结转结余</w:t>
      </w:r>
      <w:bookmarkStart w:id="4" w:name="OLE_LINK2"/>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bookmarkEnd w:id="4"/>
      <w:r>
        <w:rPr>
          <w:rFonts w:hint="eastAsia" w:ascii="仿宋_GB2312" w:hAnsi="仿宋" w:eastAsia="仿宋_GB2312"/>
          <w:sz w:val="32"/>
          <w:szCs w:val="32"/>
        </w:rPr>
        <w:t>。</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6</w:t>
      </w:r>
      <w:r>
        <w:rPr>
          <w:rFonts w:hint="eastAsia" w:ascii="仿宋_GB2312" w:hAnsi="仿宋" w:eastAsia="仿宋_GB2312"/>
          <w:sz w:val="32"/>
          <w:szCs w:val="32"/>
        </w:rPr>
        <w:t>、农</w:t>
      </w:r>
      <w:r>
        <w:rPr>
          <w:rFonts w:hint="eastAsia" w:ascii="仿宋_GB2312" w:hAnsi="仿宋" w:eastAsia="仿宋_GB2312"/>
          <w:color w:val="auto"/>
          <w:sz w:val="32"/>
          <w:szCs w:val="32"/>
        </w:rPr>
        <w:t>业生产保障服务（省级）专项</w:t>
      </w:r>
      <w:r>
        <w:rPr>
          <w:rFonts w:hint="eastAsia" w:ascii="仿宋_GB2312" w:hAnsi="仿宋" w:eastAsia="仿宋_GB2312"/>
          <w:sz w:val="32"/>
          <w:szCs w:val="32"/>
        </w:rPr>
        <w:t>。2023年省级农业产业融合发展项目</w:t>
      </w:r>
      <w:bookmarkStart w:id="5" w:name="OLE_LINK1"/>
      <w:r>
        <w:rPr>
          <w:rFonts w:hint="eastAsia" w:ascii="仿宋_GB2312" w:hAnsi="仿宋" w:eastAsia="仿宋_GB2312"/>
          <w:sz w:val="32"/>
          <w:szCs w:val="32"/>
        </w:rPr>
        <w:t>上年结转</w:t>
      </w:r>
      <w:bookmarkEnd w:id="5"/>
      <w:r>
        <w:rPr>
          <w:rFonts w:hint="eastAsia" w:ascii="仿宋_GB2312" w:hAnsi="仿宋" w:eastAsia="仿宋_GB2312"/>
          <w:sz w:val="32"/>
          <w:szCs w:val="32"/>
          <w:lang w:val="en-US" w:eastAsia="zh-CN"/>
        </w:rPr>
        <w:t>500</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500</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500</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7</w:t>
      </w:r>
      <w:r>
        <w:rPr>
          <w:rFonts w:hint="eastAsia" w:ascii="仿宋_GB2312" w:hAnsi="仿宋" w:eastAsia="仿宋_GB2312"/>
          <w:sz w:val="32"/>
          <w:szCs w:val="32"/>
        </w:rPr>
        <w:t>、</w:t>
      </w:r>
      <w:r>
        <w:rPr>
          <w:rFonts w:hint="eastAsia" w:ascii="仿宋_GB2312" w:hAnsi="仿宋" w:eastAsia="仿宋_GB2312"/>
          <w:color w:val="auto"/>
          <w:sz w:val="32"/>
          <w:szCs w:val="32"/>
        </w:rPr>
        <w:t>2024年第一批抚恤金、丧葬费</w:t>
      </w:r>
      <w:r>
        <w:rPr>
          <w:rFonts w:hint="eastAsia" w:ascii="仿宋_GB2312" w:hAnsi="仿宋" w:eastAsia="仿宋_GB2312"/>
          <w:sz w:val="32"/>
          <w:szCs w:val="32"/>
        </w:rPr>
        <w:t>。上年结转</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4.4</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4.4</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4.4</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numPr>
          <w:ilvl w:val="0"/>
          <w:numId w:val="1"/>
        </w:numPr>
        <w:spacing w:line="600" w:lineRule="exact"/>
        <w:ind w:left="0" w:leftChars="0" w:firstLine="640" w:firstLineChars="20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政府性基金预算支出</w:t>
      </w:r>
      <w:r>
        <w:rPr>
          <w:rFonts w:hint="eastAsia" w:ascii="Times New Roman" w:hAnsi="Times New Roman" w:eastAsia="黑体"/>
          <w:sz w:val="32"/>
          <w:szCs w:val="32"/>
        </w:rPr>
        <w:t>情况</w:t>
      </w:r>
    </w:p>
    <w:p>
      <w:pPr>
        <w:widowControl/>
        <w:numPr>
          <w:ilvl w:val="0"/>
          <w:numId w:val="0"/>
        </w:numPr>
        <w:spacing w:line="600" w:lineRule="exact"/>
        <w:ind w:leftChars="200" w:firstLine="1280" w:firstLineChars="40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widowControl/>
        <w:numPr>
          <w:ilvl w:val="0"/>
          <w:numId w:val="1"/>
        </w:numPr>
        <w:spacing w:line="600" w:lineRule="exact"/>
        <w:ind w:left="0" w:leftChars="0" w:firstLine="640" w:firstLineChars="20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国有资本经营预算支出</w:t>
      </w:r>
      <w:r>
        <w:rPr>
          <w:rFonts w:hint="eastAsia" w:ascii="Times New Roman" w:hAnsi="Times New Roman" w:eastAsia="黑体"/>
          <w:sz w:val="32"/>
          <w:szCs w:val="32"/>
        </w:rPr>
        <w:t>情况</w:t>
      </w:r>
    </w:p>
    <w:p>
      <w:pPr>
        <w:widowControl/>
        <w:numPr>
          <w:ilvl w:val="0"/>
          <w:numId w:val="0"/>
        </w:numPr>
        <w:spacing w:line="600" w:lineRule="exact"/>
        <w:ind w:firstLine="1600" w:firstLineChars="50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widowControl/>
        <w:numPr>
          <w:ilvl w:val="0"/>
          <w:numId w:val="1"/>
        </w:numPr>
        <w:spacing w:line="600" w:lineRule="exact"/>
        <w:ind w:left="0" w:leftChars="0" w:firstLine="640" w:firstLineChars="20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社会保险基金预算支出</w:t>
      </w:r>
      <w:r>
        <w:rPr>
          <w:rFonts w:hint="eastAsia" w:ascii="Times New Roman" w:hAnsi="Times New Roman" w:eastAsia="黑体"/>
          <w:sz w:val="32"/>
          <w:szCs w:val="32"/>
        </w:rPr>
        <w:t>情况</w:t>
      </w:r>
    </w:p>
    <w:p>
      <w:pPr>
        <w:widowControl/>
        <w:numPr>
          <w:ilvl w:val="0"/>
          <w:numId w:val="0"/>
        </w:numPr>
        <w:spacing w:line="600" w:lineRule="exact"/>
        <w:ind w:leftChars="200" w:firstLine="1280" w:firstLineChars="40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pStyle w:val="2"/>
        <w:rPr>
          <w:rFonts w:hint="eastAsia"/>
        </w:rPr>
      </w:pPr>
    </w:p>
    <w:p>
      <w:pPr>
        <w:widowControl/>
        <w:spacing w:line="600" w:lineRule="exact"/>
        <w:ind w:firstLine="640" w:firstLineChars="200"/>
        <w:jc w:val="left"/>
        <w:rPr>
          <w:rFonts w:hint="eastAsia" w:ascii="Times New Roman" w:hAnsi="Times New Roman" w:eastAsia="黑体"/>
          <w:sz w:val="32"/>
          <w:szCs w:val="32"/>
        </w:rPr>
      </w:pPr>
      <w:bookmarkStart w:id="6" w:name="OLE_LINK3"/>
      <w:r>
        <w:rPr>
          <w:rFonts w:hint="eastAsia" w:ascii="Times New Roman" w:hAnsi="Times New Roman" w:eastAsia="黑体"/>
          <w:sz w:val="32"/>
          <w:szCs w:val="32"/>
          <w:lang w:eastAsia="zh-CN"/>
        </w:rPr>
        <w:t>六</w:t>
      </w:r>
      <w:r>
        <w:rPr>
          <w:rFonts w:hint="eastAsia" w:ascii="Times New Roman" w:hAnsi="Times New Roman" w:eastAsia="黑体"/>
          <w:sz w:val="32"/>
          <w:szCs w:val="32"/>
        </w:rPr>
        <w:t>、部门整体支出绩效情况</w:t>
      </w:r>
    </w:p>
    <w:bookmarkEnd w:id="6"/>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1、运行成本</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全年预算数</w:t>
      </w:r>
      <w:r>
        <w:rPr>
          <w:rFonts w:hint="eastAsia" w:ascii="Times New Roman" w:hAnsi="Times New Roman" w:eastAsia="仿宋_GB2312"/>
          <w:color w:val="auto"/>
          <w:sz w:val="32"/>
          <w:szCs w:val="32"/>
          <w:lang w:val="en-US" w:eastAsia="zh-CN"/>
        </w:rPr>
        <w:t>5551.71</w:t>
      </w:r>
      <w:r>
        <w:rPr>
          <w:rFonts w:hint="eastAsia" w:ascii="Times New Roman" w:hAnsi="Times New Roman" w:eastAsia="仿宋_GB2312"/>
          <w:color w:val="auto"/>
          <w:sz w:val="32"/>
          <w:szCs w:val="32"/>
        </w:rPr>
        <w:t>万元，决算数</w:t>
      </w:r>
      <w:r>
        <w:rPr>
          <w:rFonts w:hint="eastAsia" w:ascii="Times New Roman" w:hAnsi="Times New Roman" w:eastAsia="仿宋_GB2312"/>
          <w:color w:val="auto"/>
          <w:sz w:val="32"/>
          <w:szCs w:val="32"/>
          <w:lang w:val="en-US" w:eastAsia="zh-CN"/>
        </w:rPr>
        <w:t>5539.99</w:t>
      </w:r>
      <w:r>
        <w:rPr>
          <w:rFonts w:hint="eastAsia" w:ascii="Times New Roman" w:hAnsi="Times New Roman" w:eastAsia="仿宋_GB2312"/>
          <w:color w:val="auto"/>
          <w:sz w:val="32"/>
          <w:szCs w:val="32"/>
        </w:rPr>
        <w:t>万元，执行率</w:t>
      </w:r>
      <w:r>
        <w:rPr>
          <w:rFonts w:hint="eastAsia" w:ascii="Times New Roman" w:hAnsi="Times New Roman" w:eastAsia="仿宋_GB2312"/>
          <w:color w:val="auto"/>
          <w:sz w:val="32"/>
          <w:szCs w:val="32"/>
          <w:lang w:val="en-US" w:eastAsia="zh-CN"/>
        </w:rPr>
        <w:t>99.79</w:t>
      </w:r>
      <w:r>
        <w:rPr>
          <w:rFonts w:hint="eastAsia" w:ascii="Times New Roman" w:hAnsi="Times New Roman" w:eastAsia="仿宋_GB2312"/>
          <w:color w:val="auto"/>
          <w:sz w:val="32"/>
          <w:szCs w:val="32"/>
        </w:rPr>
        <w:t>%，我单位全年整体预算执行率良好。</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人员经费预算数</w:t>
      </w:r>
      <w:r>
        <w:rPr>
          <w:rFonts w:hint="eastAsia" w:ascii="Times New Roman" w:hAnsi="Times New Roman" w:eastAsia="仿宋_GB2312"/>
          <w:color w:val="auto"/>
          <w:sz w:val="32"/>
          <w:szCs w:val="32"/>
          <w:lang w:val="en-US" w:eastAsia="zh-CN"/>
        </w:rPr>
        <w:t>4696.16</w:t>
      </w:r>
      <w:r>
        <w:rPr>
          <w:rFonts w:hint="eastAsia" w:ascii="Times New Roman" w:hAnsi="Times New Roman" w:eastAsia="仿宋_GB2312"/>
          <w:color w:val="auto"/>
          <w:sz w:val="32"/>
          <w:szCs w:val="32"/>
        </w:rPr>
        <w:t>万元，决算数</w:t>
      </w:r>
      <w:r>
        <w:rPr>
          <w:rFonts w:hint="eastAsia" w:ascii="Times New Roman" w:hAnsi="Times New Roman" w:eastAsia="仿宋_GB2312"/>
          <w:color w:val="auto"/>
          <w:sz w:val="32"/>
          <w:szCs w:val="32"/>
          <w:lang w:val="en-US" w:eastAsia="zh-CN"/>
        </w:rPr>
        <w:t>4696.16</w:t>
      </w:r>
      <w:r>
        <w:rPr>
          <w:rFonts w:hint="eastAsia" w:ascii="Times New Roman" w:hAnsi="Times New Roman" w:eastAsia="仿宋_GB2312"/>
          <w:color w:val="auto"/>
          <w:sz w:val="32"/>
          <w:szCs w:val="32"/>
        </w:rPr>
        <w:t>万元，公用经费数</w:t>
      </w:r>
      <w:r>
        <w:rPr>
          <w:rFonts w:hint="eastAsia" w:ascii="Times New Roman" w:hAnsi="Times New Roman" w:eastAsia="仿宋_GB2312"/>
          <w:color w:val="auto"/>
          <w:sz w:val="32"/>
          <w:szCs w:val="32"/>
          <w:lang w:val="en-US" w:eastAsia="zh-CN"/>
        </w:rPr>
        <w:t>159</w:t>
      </w:r>
      <w:r>
        <w:rPr>
          <w:rFonts w:hint="eastAsia" w:ascii="Times New Roman" w:hAnsi="Times New Roman" w:eastAsia="仿宋_GB2312"/>
          <w:color w:val="auto"/>
          <w:sz w:val="32"/>
          <w:szCs w:val="32"/>
        </w:rPr>
        <w:t>万元，决算数</w:t>
      </w:r>
      <w:r>
        <w:rPr>
          <w:rFonts w:hint="eastAsia" w:ascii="Times New Roman" w:hAnsi="Times New Roman" w:eastAsia="仿宋_GB2312"/>
          <w:color w:val="auto"/>
          <w:sz w:val="32"/>
          <w:szCs w:val="32"/>
          <w:lang w:val="en-US" w:eastAsia="zh-CN"/>
        </w:rPr>
        <w:t>159</w:t>
      </w:r>
      <w:r>
        <w:rPr>
          <w:rFonts w:hint="eastAsia" w:ascii="Times New Roman" w:hAnsi="Times New Roman" w:eastAsia="仿宋_GB2312"/>
          <w:color w:val="auto"/>
          <w:sz w:val="32"/>
          <w:szCs w:val="32"/>
        </w:rPr>
        <w:t>万元，均控制在预算范围内。</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“三公”经费财政拨款支出预算为1</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.00万元，支出决算为1</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控</w:t>
      </w:r>
      <w:r>
        <w:rPr>
          <w:rFonts w:hint="eastAsia" w:ascii="Times New Roman" w:hAnsi="Times New Roman" w:eastAsia="仿宋_GB2312"/>
          <w:color w:val="auto"/>
          <w:sz w:val="32"/>
          <w:szCs w:val="32"/>
        </w:rPr>
        <w:t>制在预算范围内。</w:t>
      </w:r>
    </w:p>
    <w:p>
      <w:pPr>
        <w:pStyle w:val="15"/>
        <w:numPr>
          <w:ilvl w:val="0"/>
          <w:numId w:val="2"/>
        </w:numPr>
        <w:spacing w:line="600" w:lineRule="exact"/>
        <w:ind w:firstLine="640" w:firstLineChars="200"/>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管理效率</w:t>
      </w:r>
    </w:p>
    <w:p>
      <w:pPr>
        <w:keepNext w:val="0"/>
        <w:keepLines w:val="0"/>
        <w:pageBreakBefore w:val="0"/>
        <w:widowControl/>
        <w:kinsoku/>
        <w:topLinePunct w:val="0"/>
        <w:autoSpaceDE/>
        <w:bidi w:val="0"/>
        <w:adjustRightInd w:val="0"/>
        <w:snapToGrid w:val="0"/>
        <w:spacing w:line="560" w:lineRule="exact"/>
        <w:ind w:firstLine="640" w:firstLineChars="200"/>
        <w:jc w:val="left"/>
        <w:textAlignment w:val="auto"/>
        <w:rPr>
          <w:rFonts w:hint="eastAsia" w:ascii="CESI仿宋-GB2312" w:hAnsi="CESI仿宋-GB2312" w:eastAsia="CESI仿宋-GB2312" w:cs="CESI仿宋-GB2312"/>
          <w:b w:val="0"/>
          <w:bCs w:val="0"/>
          <w:color w:val="auto"/>
          <w:sz w:val="32"/>
          <w:szCs w:val="32"/>
          <w:lang w:val="en-US" w:eastAsia="zh-CN"/>
        </w:rPr>
      </w:pPr>
      <w:r>
        <w:rPr>
          <w:rFonts w:hint="eastAsia" w:ascii="CESI仿宋-GB2312" w:hAnsi="CESI仿宋-GB2312" w:eastAsia="CESI仿宋-GB2312" w:cs="CESI仿宋-GB2312"/>
          <w:b/>
          <w:bCs/>
          <w:color w:val="000000"/>
          <w:kern w:val="0"/>
          <w:sz w:val="32"/>
          <w:szCs w:val="32"/>
        </w:rPr>
        <w:t>一是</w:t>
      </w:r>
      <w:r>
        <w:rPr>
          <w:rFonts w:hint="eastAsia" w:ascii="CESI仿宋-GB2312" w:hAnsi="CESI仿宋-GB2312" w:eastAsia="CESI仿宋-GB2312" w:cs="CESI仿宋-GB2312"/>
          <w:color w:val="000000"/>
          <w:kern w:val="0"/>
          <w:sz w:val="32"/>
          <w:szCs w:val="32"/>
          <w:lang w:eastAsia="zh-CN"/>
        </w:rPr>
        <w:t>积极做好厅党组巡察工作。</w:t>
      </w:r>
      <w:r>
        <w:rPr>
          <w:rFonts w:hint="eastAsia" w:ascii="CESI仿宋-GB2312" w:hAnsi="CESI仿宋-GB2312" w:eastAsia="CESI仿宋-GB2312" w:cs="CESI仿宋-GB2312"/>
          <w:i w:val="0"/>
          <w:caps w:val="0"/>
          <w:color w:val="000000"/>
          <w:spacing w:val="0"/>
          <w:kern w:val="0"/>
          <w:sz w:val="32"/>
          <w:szCs w:val="32"/>
          <w:shd w:val="clear" w:color="auto" w:fill="FFFFFF"/>
          <w:lang w:val="en-US" w:eastAsia="zh-CN" w:bidi="ar"/>
        </w:rPr>
        <w:t>扎实准备相关资料和撰写汇报材料，主动接受巡察组的监督检查；</w:t>
      </w:r>
      <w:r>
        <w:rPr>
          <w:rFonts w:hint="eastAsia" w:ascii="CESI仿宋-GB2312" w:hAnsi="CESI仿宋-GB2312" w:eastAsia="CESI仿宋-GB2312" w:cs="CESI仿宋-GB2312"/>
          <w:color w:val="000000"/>
          <w:kern w:val="0"/>
          <w:sz w:val="32"/>
          <w:szCs w:val="32"/>
          <w:lang w:eastAsia="zh-CN"/>
        </w:rPr>
        <w:t>认真组织好干部谈话，积极</w:t>
      </w:r>
      <w:r>
        <w:rPr>
          <w:rFonts w:hint="eastAsia" w:ascii="CESI仿宋-GB2312" w:hAnsi="CESI仿宋-GB2312" w:eastAsia="CESI仿宋-GB2312" w:cs="CESI仿宋-GB2312"/>
          <w:i w:val="0"/>
          <w:caps w:val="0"/>
          <w:color w:val="000000"/>
          <w:spacing w:val="0"/>
          <w:kern w:val="0"/>
          <w:sz w:val="32"/>
          <w:szCs w:val="32"/>
          <w:shd w:val="clear" w:color="auto" w:fill="FFFFFF"/>
          <w:lang w:val="en-US" w:eastAsia="zh-CN" w:bidi="ar"/>
        </w:rPr>
        <w:t>支持配合巡察组工作；坚决落实整改，认真制定巡察整改方案和责任清单，完成</w:t>
      </w:r>
      <w:r>
        <w:rPr>
          <w:rFonts w:hint="eastAsia" w:ascii="CESI仿宋-GB2312" w:hAnsi="CESI仿宋-GB2312" w:eastAsia="CESI仿宋-GB2312" w:cs="CESI仿宋-GB2312"/>
          <w:sz w:val="32"/>
          <w:szCs w:val="32"/>
          <w:lang w:val="en-US" w:eastAsia="zh-CN"/>
        </w:rPr>
        <w:t>整改任务41项</w:t>
      </w:r>
      <w:r>
        <w:rPr>
          <w:rFonts w:hint="eastAsia" w:ascii="CESI仿宋-GB2312" w:hAnsi="CESI仿宋-GB2312" w:eastAsia="CESI仿宋-GB2312" w:cs="CESI仿宋-GB2312"/>
          <w:sz w:val="32"/>
          <w:szCs w:val="32"/>
          <w:lang w:eastAsia="zh-CN"/>
        </w:rPr>
        <w:t>，</w:t>
      </w:r>
      <w:r>
        <w:rPr>
          <w:rFonts w:hint="eastAsia" w:ascii="CESI仿宋-GB2312" w:hAnsi="CESI仿宋-GB2312" w:eastAsia="CESI仿宋-GB2312" w:cs="CESI仿宋-GB2312"/>
          <w:sz w:val="32"/>
          <w:szCs w:val="32"/>
        </w:rPr>
        <w:t>办结巡察交办信访事项</w:t>
      </w:r>
      <w:r>
        <w:rPr>
          <w:rFonts w:hint="eastAsia" w:ascii="CESI仿宋-GB2312" w:hAnsi="CESI仿宋-GB2312" w:eastAsia="CESI仿宋-GB2312" w:cs="CESI仿宋-GB2312"/>
          <w:sz w:val="32"/>
          <w:szCs w:val="32"/>
          <w:lang w:val="en-US" w:eastAsia="zh-CN"/>
        </w:rPr>
        <w:t>29</w:t>
      </w:r>
      <w:r>
        <w:rPr>
          <w:rFonts w:hint="eastAsia" w:ascii="CESI仿宋-GB2312" w:hAnsi="CESI仿宋-GB2312" w:eastAsia="CESI仿宋-GB2312" w:cs="CESI仿宋-GB2312"/>
          <w:sz w:val="32"/>
          <w:szCs w:val="32"/>
        </w:rPr>
        <w:t>件，</w:t>
      </w:r>
      <w:r>
        <w:rPr>
          <w:rFonts w:hint="eastAsia" w:ascii="CESI仿宋-GB2312" w:hAnsi="CESI仿宋-GB2312" w:eastAsia="CESI仿宋-GB2312" w:cs="CESI仿宋-GB2312"/>
          <w:sz w:val="32"/>
          <w:szCs w:val="32"/>
          <w:lang w:val="en-US" w:eastAsia="zh-CN"/>
        </w:rPr>
        <w:t>完成</w:t>
      </w:r>
      <w:r>
        <w:rPr>
          <w:rFonts w:hint="eastAsia" w:ascii="CESI仿宋-GB2312" w:hAnsi="CESI仿宋-GB2312" w:eastAsia="CESI仿宋-GB2312" w:cs="CESI仿宋-GB2312"/>
          <w:sz w:val="32"/>
          <w:szCs w:val="32"/>
          <w:lang w:eastAsia="zh-CN"/>
        </w:rPr>
        <w:t>巡察立行立改</w:t>
      </w:r>
      <w:r>
        <w:rPr>
          <w:rFonts w:hint="eastAsia" w:ascii="CESI仿宋-GB2312" w:hAnsi="CESI仿宋-GB2312" w:eastAsia="CESI仿宋-GB2312" w:cs="CESI仿宋-GB2312"/>
          <w:sz w:val="32"/>
          <w:szCs w:val="32"/>
          <w:lang w:val="en-US" w:eastAsia="zh-CN"/>
        </w:rPr>
        <w:t>1件</w:t>
      </w:r>
      <w:r>
        <w:rPr>
          <w:rFonts w:hint="eastAsia" w:ascii="CESI仿宋-GB2312" w:hAnsi="CESI仿宋-GB2312" w:eastAsia="CESI仿宋-GB2312" w:cs="CESI仿宋-GB2312"/>
          <w:sz w:val="32"/>
          <w:szCs w:val="32"/>
        </w:rPr>
        <w:t>。</w:t>
      </w:r>
      <w:r>
        <w:rPr>
          <w:rFonts w:hint="eastAsia" w:ascii="CESI仿宋-GB2312" w:hAnsi="CESI仿宋-GB2312" w:eastAsia="CESI仿宋-GB2312" w:cs="CESI仿宋-GB2312"/>
          <w:b/>
          <w:bCs/>
          <w:i w:val="0"/>
          <w:caps w:val="0"/>
          <w:color w:val="000000"/>
          <w:spacing w:val="0"/>
          <w:kern w:val="0"/>
          <w:sz w:val="32"/>
          <w:szCs w:val="32"/>
          <w:shd w:val="clear" w:color="auto" w:fill="FFFFFF"/>
          <w:lang w:val="en-US" w:eastAsia="zh-CN" w:bidi="ar"/>
        </w:rPr>
        <w:t>二是</w:t>
      </w:r>
      <w:r>
        <w:rPr>
          <w:rFonts w:hint="eastAsia" w:ascii="CESI仿宋-GB2312" w:hAnsi="CESI仿宋-GB2312" w:eastAsia="CESI仿宋-GB2312" w:cs="CESI仿宋-GB2312"/>
          <w:color w:val="000000"/>
          <w:kern w:val="0"/>
          <w:sz w:val="32"/>
          <w:szCs w:val="32"/>
        </w:rPr>
        <w:t>扎实开展党纪学习教育。通过抓关键少数</w:t>
      </w:r>
      <w:r>
        <w:rPr>
          <w:rFonts w:hint="eastAsia" w:ascii="CESI仿宋-GB2312" w:hAnsi="CESI仿宋-GB2312" w:eastAsia="CESI仿宋-GB2312" w:cs="CESI仿宋-GB2312"/>
          <w:color w:val="000000"/>
          <w:kern w:val="0"/>
          <w:sz w:val="32"/>
          <w:szCs w:val="32"/>
          <w:lang w:eastAsia="zh-CN"/>
        </w:rPr>
        <w:t>、</w:t>
      </w:r>
      <w:r>
        <w:rPr>
          <w:rFonts w:hint="eastAsia" w:ascii="CESI仿宋-GB2312" w:hAnsi="CESI仿宋-GB2312" w:eastAsia="CESI仿宋-GB2312" w:cs="CESI仿宋-GB2312"/>
          <w:color w:val="000000"/>
          <w:kern w:val="0"/>
          <w:sz w:val="32"/>
          <w:szCs w:val="32"/>
        </w:rPr>
        <w:t>强头雁效应</w:t>
      </w:r>
      <w:r>
        <w:rPr>
          <w:rFonts w:hint="eastAsia" w:ascii="CESI仿宋-GB2312" w:hAnsi="CESI仿宋-GB2312" w:eastAsia="CESI仿宋-GB2312" w:cs="CESI仿宋-GB2312"/>
          <w:color w:val="000000"/>
          <w:kern w:val="0"/>
          <w:sz w:val="32"/>
          <w:szCs w:val="32"/>
          <w:lang w:eastAsia="zh-CN"/>
        </w:rPr>
        <w:t>，</w:t>
      </w:r>
      <w:r>
        <w:rPr>
          <w:rFonts w:hint="eastAsia" w:ascii="CESI仿宋-GB2312" w:hAnsi="CESI仿宋-GB2312" w:eastAsia="CESI仿宋-GB2312" w:cs="CESI仿宋-GB2312"/>
          <w:color w:val="000000"/>
          <w:kern w:val="0"/>
          <w:sz w:val="32"/>
          <w:szCs w:val="32"/>
        </w:rPr>
        <w:t>抓</w:t>
      </w:r>
      <w:r>
        <w:rPr>
          <w:rFonts w:hint="eastAsia" w:ascii="CESI仿宋-GB2312" w:hAnsi="CESI仿宋-GB2312" w:eastAsia="CESI仿宋-GB2312" w:cs="CESI仿宋-GB2312"/>
          <w:color w:val="000000"/>
          <w:kern w:val="0"/>
          <w:sz w:val="32"/>
          <w:szCs w:val="32"/>
          <w:lang w:eastAsia="zh-CN"/>
        </w:rPr>
        <w:t>《条例》</w:t>
      </w:r>
      <w:r>
        <w:rPr>
          <w:rFonts w:hint="eastAsia" w:ascii="CESI仿宋-GB2312" w:hAnsi="CESI仿宋-GB2312" w:eastAsia="CESI仿宋-GB2312" w:cs="CESI仿宋-GB2312"/>
          <w:color w:val="000000"/>
          <w:kern w:val="0"/>
          <w:sz w:val="32"/>
          <w:szCs w:val="32"/>
        </w:rPr>
        <w:t>学习</w:t>
      </w:r>
      <w:r>
        <w:rPr>
          <w:rFonts w:hint="eastAsia" w:ascii="CESI仿宋-GB2312" w:hAnsi="CESI仿宋-GB2312" w:eastAsia="CESI仿宋-GB2312" w:cs="CESI仿宋-GB2312"/>
          <w:color w:val="000000"/>
          <w:kern w:val="0"/>
          <w:sz w:val="32"/>
          <w:szCs w:val="32"/>
          <w:lang w:eastAsia="zh-CN"/>
        </w:rPr>
        <w:t>、提自律意识，</w:t>
      </w:r>
      <w:r>
        <w:rPr>
          <w:rFonts w:hint="eastAsia" w:ascii="CESI仿宋-GB2312" w:hAnsi="CESI仿宋-GB2312" w:eastAsia="CESI仿宋-GB2312" w:cs="CESI仿宋-GB2312"/>
          <w:color w:val="000000"/>
          <w:kern w:val="0"/>
          <w:sz w:val="32"/>
          <w:szCs w:val="32"/>
        </w:rPr>
        <w:t>抓</w:t>
      </w:r>
      <w:r>
        <w:rPr>
          <w:rFonts w:hint="eastAsia" w:ascii="CESI仿宋-GB2312" w:hAnsi="CESI仿宋-GB2312" w:eastAsia="CESI仿宋-GB2312" w:cs="CESI仿宋-GB2312"/>
          <w:color w:val="000000"/>
          <w:kern w:val="0"/>
          <w:sz w:val="32"/>
          <w:szCs w:val="32"/>
          <w:lang w:eastAsia="zh-CN"/>
        </w:rPr>
        <w:t>警示教育</w:t>
      </w:r>
      <w:r>
        <w:rPr>
          <w:rFonts w:hint="eastAsia" w:ascii="CESI仿宋-GB2312" w:hAnsi="CESI仿宋-GB2312" w:eastAsia="CESI仿宋-GB2312" w:cs="CESI仿宋-GB2312"/>
          <w:color w:val="000000"/>
          <w:kern w:val="0"/>
          <w:sz w:val="32"/>
          <w:szCs w:val="32"/>
        </w:rPr>
        <w:t>、</w:t>
      </w:r>
      <w:r>
        <w:rPr>
          <w:rFonts w:hint="eastAsia" w:ascii="CESI仿宋-GB2312" w:hAnsi="CESI仿宋-GB2312" w:eastAsia="CESI仿宋-GB2312" w:cs="CESI仿宋-GB2312"/>
          <w:color w:val="000000"/>
          <w:kern w:val="0"/>
          <w:sz w:val="32"/>
          <w:szCs w:val="32"/>
          <w:lang w:eastAsia="zh-CN"/>
        </w:rPr>
        <w:t>强底线思维，抓研讨交流、树宗旨意识等</w:t>
      </w:r>
      <w:r>
        <w:rPr>
          <w:rFonts w:hint="eastAsia" w:ascii="CESI仿宋-GB2312" w:hAnsi="CESI仿宋-GB2312" w:eastAsia="CESI仿宋-GB2312" w:cs="CESI仿宋-GB2312"/>
          <w:color w:val="000000"/>
          <w:kern w:val="0"/>
          <w:sz w:val="32"/>
          <w:szCs w:val="32"/>
        </w:rPr>
        <w:t>方式推动党纪学习教育落地见效</w:t>
      </w:r>
      <w:r>
        <w:rPr>
          <w:rFonts w:hint="eastAsia" w:ascii="CESI仿宋-GB2312" w:hAnsi="CESI仿宋-GB2312" w:eastAsia="CESI仿宋-GB2312" w:cs="CESI仿宋-GB2312"/>
          <w:color w:val="000000"/>
          <w:kern w:val="0"/>
          <w:sz w:val="32"/>
          <w:szCs w:val="32"/>
          <w:lang w:eastAsia="zh-CN"/>
        </w:rPr>
        <w:t>，进一步引导全场党员做到学纪、知纪、明纪、守纪</w:t>
      </w:r>
      <w:r>
        <w:rPr>
          <w:rFonts w:hint="eastAsia" w:ascii="CESI仿宋-GB2312" w:hAnsi="CESI仿宋-GB2312" w:eastAsia="CESI仿宋-GB2312" w:cs="CESI仿宋-GB2312"/>
          <w:color w:val="000000"/>
          <w:kern w:val="0"/>
          <w:sz w:val="32"/>
          <w:szCs w:val="32"/>
        </w:rPr>
        <w:t>。</w:t>
      </w:r>
      <w:r>
        <w:rPr>
          <w:rFonts w:hint="eastAsia" w:ascii="CESI仿宋-GB2312" w:hAnsi="CESI仿宋-GB2312" w:eastAsia="CESI仿宋-GB2312" w:cs="CESI仿宋-GB2312"/>
          <w:b/>
          <w:bCs/>
          <w:color w:val="000000"/>
          <w:kern w:val="0"/>
          <w:sz w:val="32"/>
          <w:szCs w:val="32"/>
          <w:lang w:eastAsia="zh-CN"/>
        </w:rPr>
        <w:t>三</w:t>
      </w:r>
      <w:r>
        <w:rPr>
          <w:rFonts w:hint="eastAsia" w:ascii="CESI仿宋-GB2312" w:hAnsi="CESI仿宋-GB2312" w:eastAsia="CESI仿宋-GB2312" w:cs="CESI仿宋-GB2312"/>
          <w:b/>
          <w:bCs/>
          <w:color w:val="000000"/>
          <w:kern w:val="0"/>
          <w:sz w:val="32"/>
          <w:szCs w:val="32"/>
        </w:rPr>
        <w:t>是</w:t>
      </w:r>
      <w:r>
        <w:rPr>
          <w:rFonts w:hint="eastAsia" w:ascii="CESI仿宋-GB2312" w:hAnsi="CESI仿宋-GB2312" w:eastAsia="CESI仿宋-GB2312" w:cs="CESI仿宋-GB2312"/>
          <w:color w:val="000000"/>
          <w:kern w:val="0"/>
          <w:sz w:val="32"/>
          <w:szCs w:val="32"/>
        </w:rPr>
        <w:t>抓好</w:t>
      </w:r>
      <w:r>
        <w:rPr>
          <w:rFonts w:hint="eastAsia" w:ascii="CESI仿宋-GB2312" w:hAnsi="CESI仿宋-GB2312" w:eastAsia="CESI仿宋-GB2312" w:cs="CESI仿宋-GB2312"/>
          <w:color w:val="000000"/>
          <w:kern w:val="0"/>
          <w:sz w:val="32"/>
          <w:szCs w:val="32"/>
          <w:lang w:eastAsia="zh-CN"/>
        </w:rPr>
        <w:t>清廉</w:t>
      </w:r>
      <w:r>
        <w:rPr>
          <w:rFonts w:hint="eastAsia" w:ascii="CESI仿宋-GB2312" w:hAnsi="CESI仿宋-GB2312" w:eastAsia="CESI仿宋-GB2312" w:cs="CESI仿宋-GB2312"/>
          <w:color w:val="000000"/>
          <w:kern w:val="0"/>
          <w:sz w:val="32"/>
          <w:szCs w:val="32"/>
        </w:rPr>
        <w:t>建设。</w:t>
      </w:r>
      <w:r>
        <w:rPr>
          <w:rFonts w:hint="eastAsia" w:ascii="CESI仿宋-GB2312" w:hAnsi="CESI仿宋-GB2312" w:eastAsia="CESI仿宋-GB2312" w:cs="CESI仿宋-GB2312"/>
          <w:color w:val="000000"/>
          <w:kern w:val="0"/>
          <w:sz w:val="32"/>
          <w:szCs w:val="32"/>
          <w:lang w:eastAsia="zh-CN"/>
        </w:rPr>
        <w:t>签订《党风廉政建设责任状》，明确责任；履行</w:t>
      </w:r>
      <w:r>
        <w:rPr>
          <w:rFonts w:hint="eastAsia" w:ascii="CESI仿宋-GB2312" w:hAnsi="CESI仿宋-GB2312" w:eastAsia="CESI仿宋-GB2312" w:cs="CESI仿宋-GB2312"/>
          <w:b w:val="0"/>
          <w:bCs/>
          <w:color w:val="auto"/>
          <w:sz w:val="32"/>
          <w:szCs w:val="32"/>
          <w:lang w:val="en-US" w:eastAsia="zh-CN"/>
        </w:rPr>
        <w:t>“一岗双责”，落实“两个责任”谈话98人次；</w:t>
      </w:r>
      <w:r>
        <w:rPr>
          <w:rFonts w:hint="eastAsia" w:ascii="CESI仿宋-GB2312" w:hAnsi="CESI仿宋-GB2312" w:eastAsia="CESI仿宋-GB2312" w:cs="CESI仿宋-GB2312"/>
          <w:b w:val="0"/>
          <w:bCs w:val="0"/>
          <w:color w:val="auto"/>
          <w:spacing w:val="0"/>
          <w:sz w:val="32"/>
          <w:szCs w:val="32"/>
          <w:lang w:val="en-US" w:eastAsia="zh-CN"/>
        </w:rPr>
        <w:t>认真制定廉政风险清单，</w:t>
      </w:r>
      <w:r>
        <w:rPr>
          <w:rStyle w:val="12"/>
          <w:rFonts w:hint="eastAsia" w:ascii="仿宋" w:hAnsi="仿宋" w:eastAsia="仿宋" w:cs="仿宋"/>
          <w:b w:val="0"/>
          <w:bCs/>
          <w:kern w:val="13"/>
          <w:sz w:val="32"/>
          <w:szCs w:val="32"/>
        </w:rPr>
        <w:t>完善防控机制；</w:t>
      </w:r>
      <w:r>
        <w:rPr>
          <w:rFonts w:hint="eastAsia" w:ascii="CESI仿宋-GB2312" w:hAnsi="CESI仿宋-GB2312" w:eastAsia="CESI仿宋-GB2312" w:cs="CESI仿宋-GB2312"/>
          <w:b w:val="0"/>
          <w:bCs w:val="0"/>
          <w:color w:val="auto"/>
          <w:spacing w:val="0"/>
          <w:sz w:val="32"/>
          <w:szCs w:val="32"/>
          <w:lang w:val="en-US" w:eastAsia="zh-CN"/>
        </w:rPr>
        <w:t>扎实开展杨乾案警示教育，做到以案促改促治；常态长效落实中央八项规定精神，</w:t>
      </w:r>
      <w:r>
        <w:rPr>
          <w:rFonts w:hint="eastAsia" w:ascii="CESI仿宋-GB2312" w:hAnsi="CESI仿宋-GB2312" w:eastAsia="CESI仿宋-GB2312" w:cs="CESI仿宋-GB2312"/>
          <w:b w:val="0"/>
          <w:bCs w:val="0"/>
          <w:color w:val="auto"/>
          <w:sz w:val="32"/>
          <w:szCs w:val="32"/>
          <w:lang w:val="en-US" w:eastAsia="zh-CN"/>
        </w:rPr>
        <w:t>开展</w:t>
      </w:r>
      <w:r>
        <w:rPr>
          <w:rFonts w:hint="eastAsia" w:ascii="CESI仿宋-GB2312" w:hAnsi="CESI仿宋-GB2312" w:eastAsia="CESI仿宋-GB2312" w:cs="CESI仿宋-GB2312"/>
          <w:b w:val="0"/>
          <w:bCs/>
          <w:color w:val="auto"/>
          <w:sz w:val="32"/>
          <w:szCs w:val="32"/>
          <w:lang w:val="en-US" w:eastAsia="zh-CN"/>
        </w:rPr>
        <w:t>作风纪律督查5次，</w:t>
      </w:r>
      <w:r>
        <w:rPr>
          <w:rFonts w:hint="eastAsia" w:ascii="CESI仿宋-GB2312" w:hAnsi="CESI仿宋-GB2312" w:eastAsia="CESI仿宋-GB2312" w:cs="CESI仿宋-GB2312"/>
          <w:b w:val="0"/>
          <w:bCs w:val="0"/>
          <w:color w:val="auto"/>
          <w:sz w:val="32"/>
          <w:szCs w:val="32"/>
          <w:lang w:val="en-US" w:eastAsia="zh-CN"/>
        </w:rPr>
        <w:t>确保全场风清气正。</w:t>
      </w:r>
    </w:p>
    <w:p>
      <w:pPr>
        <w:pStyle w:val="15"/>
        <w:numPr>
          <w:ilvl w:val="0"/>
          <w:numId w:val="2"/>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履职效能</w:t>
      </w:r>
    </w:p>
    <w:p>
      <w:pPr>
        <w:keepNext w:val="0"/>
        <w:keepLines w:val="0"/>
        <w:pageBreakBefore w:val="0"/>
        <w:widowControl/>
        <w:kinsoku/>
        <w:topLinePunct w:val="0"/>
        <w:autoSpaceDE/>
        <w:bidi w:val="0"/>
        <w:adjustRightInd w:val="0"/>
        <w:snapToGrid w:val="0"/>
        <w:spacing w:line="56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一是</w:t>
      </w:r>
      <w:r>
        <w:rPr>
          <w:rFonts w:hint="eastAsia" w:ascii="CESI仿宋-GB2312" w:hAnsi="CESI仿宋-GB2312" w:eastAsia="CESI仿宋-GB2312" w:cs="CESI仿宋-GB2312"/>
          <w:b w:val="0"/>
          <w:bCs/>
          <w:sz w:val="32"/>
          <w:szCs w:val="32"/>
          <w:lang w:val="en-US" w:eastAsia="zh-CN"/>
        </w:rPr>
        <w:t>持续推进数字水稻示范研究</w:t>
      </w:r>
      <w:r>
        <w:rPr>
          <w:rFonts w:hint="eastAsia" w:ascii="仿宋_GB2312" w:hAnsi="仿宋" w:eastAsia="仿宋_GB2312"/>
          <w:color w:val="auto"/>
          <w:sz w:val="32"/>
          <w:szCs w:val="32"/>
        </w:rPr>
        <w:t>。</w:t>
      </w:r>
      <w:r>
        <w:rPr>
          <w:rFonts w:hint="eastAsia" w:ascii="CESI仿宋-GB2312" w:hAnsi="CESI仿宋-GB2312" w:eastAsia="CESI仿宋-GB2312" w:cs="CESI仿宋-GB2312"/>
          <w:color w:val="auto"/>
          <w:kern w:val="0"/>
          <w:sz w:val="32"/>
          <w:szCs w:val="32"/>
          <w:lang w:val="en-US" w:eastAsia="zh-CN"/>
        </w:rPr>
        <w:t>无人农场基本建成。水稻种植全程中的耕平田、秧苗移栽、收割环节已全部实现</w:t>
      </w:r>
      <w:r>
        <w:rPr>
          <w:rFonts w:hint="eastAsia" w:ascii="CESI仿宋-GB2312" w:hAnsi="CESI仿宋-GB2312" w:eastAsia="CESI仿宋-GB2312" w:cs="CESI仿宋-GB2312"/>
          <w:sz w:val="32"/>
          <w:szCs w:val="32"/>
          <w:lang w:val="en-US" w:eastAsia="zh-CN"/>
        </w:rPr>
        <w:t>无人化作业</w:t>
      </w:r>
      <w:r>
        <w:rPr>
          <w:rFonts w:hint="eastAsia" w:ascii="CESI仿宋-GB2312" w:hAnsi="CESI仿宋-GB2312" w:eastAsia="CESI仿宋-GB2312" w:cs="CESI仿宋-GB2312"/>
          <w:color w:val="auto"/>
          <w:kern w:val="0"/>
          <w:sz w:val="32"/>
          <w:szCs w:val="32"/>
          <w:lang w:val="en-US" w:eastAsia="zh-CN"/>
        </w:rPr>
        <w:t>，目前水稻全程无人化程度达到66.8%，位居国内领先水平，分别被《湖南新闻联播》和《湖南日报》报道。</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二是</w:t>
      </w:r>
      <w:r>
        <w:rPr>
          <w:rFonts w:hint="eastAsia" w:ascii="CESI仿宋-GB2312" w:hAnsi="CESI仿宋-GB2312" w:eastAsia="CESI仿宋-GB2312" w:cs="CESI仿宋-GB2312"/>
          <w:b w:val="0"/>
          <w:bCs w:val="0"/>
          <w:color w:val="000000"/>
          <w:kern w:val="0"/>
          <w:sz w:val="32"/>
          <w:szCs w:val="32"/>
          <w:lang w:val="en-US" w:eastAsia="zh-CN"/>
        </w:rPr>
        <w:t>大力推进种业科技创新</w:t>
      </w:r>
      <w:r>
        <w:rPr>
          <w:rFonts w:hint="eastAsia" w:ascii="仿宋_GB2312" w:hAnsi="仿宋" w:eastAsia="仿宋_GB2312"/>
          <w:b w:val="0"/>
          <w:bCs w:val="0"/>
          <w:color w:val="auto"/>
          <w:sz w:val="32"/>
          <w:szCs w:val="32"/>
        </w:rPr>
        <w:t>。</w:t>
      </w:r>
      <w:r>
        <w:rPr>
          <w:rFonts w:hint="eastAsia" w:ascii="CESI仿宋-GB2312" w:hAnsi="CESI仿宋-GB2312" w:eastAsia="CESI仿宋-GB2312" w:cs="CESI仿宋-GB2312"/>
          <w:b w:val="0"/>
          <w:bCs/>
          <w:color w:val="000000"/>
          <w:kern w:val="0"/>
          <w:sz w:val="32"/>
          <w:szCs w:val="32"/>
          <w:lang w:val="en-US" w:eastAsia="zh-CN"/>
        </w:rPr>
        <w:t>以“优品种、出效益”为目标，</w:t>
      </w:r>
      <w:r>
        <w:rPr>
          <w:rFonts w:hint="eastAsia" w:ascii="CESI仿宋-GB2312" w:hAnsi="CESI仿宋-GB2312" w:eastAsia="CESI仿宋-GB2312" w:cs="CESI仿宋-GB2312"/>
          <w:b w:val="0"/>
          <w:bCs w:val="0"/>
          <w:kern w:val="24"/>
          <w:sz w:val="32"/>
          <w:szCs w:val="32"/>
          <w:lang w:val="en-US" w:eastAsia="zh-CN"/>
        </w:rPr>
        <w:t>大力开展</w:t>
      </w:r>
      <w:r>
        <w:rPr>
          <w:rFonts w:hint="eastAsia" w:ascii="CESI仿宋-GB2312" w:hAnsi="CESI仿宋-GB2312" w:eastAsia="CESI仿宋-GB2312" w:cs="CESI仿宋-GB2312"/>
          <w:b w:val="0"/>
          <w:bCs/>
          <w:color w:val="000000"/>
          <w:kern w:val="0"/>
          <w:sz w:val="32"/>
          <w:szCs w:val="32"/>
          <w:lang w:val="en-US" w:eastAsia="zh-CN"/>
        </w:rPr>
        <w:t>水稻</w:t>
      </w:r>
      <w:r>
        <w:rPr>
          <w:rFonts w:hint="eastAsia" w:ascii="CESI仿宋-GB2312" w:hAnsi="CESI仿宋-GB2312" w:eastAsia="CESI仿宋-GB2312" w:cs="CESI仿宋-GB2312"/>
          <w:b w:val="0"/>
          <w:bCs w:val="0"/>
          <w:kern w:val="24"/>
          <w:sz w:val="32"/>
          <w:szCs w:val="32"/>
          <w:lang w:eastAsia="zh-CN"/>
        </w:rPr>
        <w:t>新品种选育，共有</w:t>
      </w:r>
      <w:r>
        <w:rPr>
          <w:rFonts w:hint="eastAsia" w:ascii="CESI仿宋-GB2312" w:hAnsi="CESI仿宋-GB2312" w:eastAsia="CESI仿宋-GB2312" w:cs="CESI仿宋-GB2312"/>
          <w:b w:val="0"/>
          <w:bCs w:val="0"/>
          <w:kern w:val="24"/>
          <w:sz w:val="32"/>
          <w:szCs w:val="32"/>
          <w:lang w:val="en-US" w:eastAsia="zh-CN"/>
        </w:rPr>
        <w:t>268</w:t>
      </w:r>
      <w:r>
        <w:rPr>
          <w:rFonts w:hint="eastAsia" w:ascii="CESI仿宋-GB2312" w:hAnsi="CESI仿宋-GB2312" w:eastAsia="CESI仿宋-GB2312" w:cs="CESI仿宋-GB2312"/>
          <w:b w:val="0"/>
          <w:bCs/>
          <w:color w:val="000000"/>
          <w:kern w:val="0"/>
          <w:sz w:val="32"/>
          <w:szCs w:val="32"/>
          <w:lang w:val="en-US" w:eastAsia="zh-CN"/>
        </w:rPr>
        <w:t>个水稻品种（组合）</w:t>
      </w:r>
      <w:r>
        <w:rPr>
          <w:rFonts w:hint="eastAsia" w:ascii="CESI仿宋-GB2312" w:hAnsi="CESI仿宋-GB2312" w:eastAsia="CESI仿宋-GB2312" w:cs="CESI仿宋-GB2312"/>
          <w:b w:val="0"/>
          <w:bCs w:val="0"/>
          <w:kern w:val="24"/>
          <w:sz w:val="32"/>
          <w:szCs w:val="32"/>
          <w:lang w:eastAsia="zh-CN"/>
        </w:rPr>
        <w:t>参加联合品比</w:t>
      </w:r>
      <w:r>
        <w:rPr>
          <w:rFonts w:hint="eastAsia" w:ascii="CESI仿宋-GB2312" w:hAnsi="CESI仿宋-GB2312" w:eastAsia="CESI仿宋-GB2312" w:cs="CESI仿宋-GB2312"/>
          <w:b w:val="0"/>
          <w:bCs/>
          <w:color w:val="000000"/>
          <w:kern w:val="0"/>
          <w:sz w:val="32"/>
          <w:szCs w:val="32"/>
          <w:lang w:val="en-US" w:eastAsia="zh-CN"/>
        </w:rPr>
        <w:t>展示，其中22个品种（组合）</w:t>
      </w:r>
      <w:r>
        <w:rPr>
          <w:rFonts w:hint="eastAsia" w:ascii="CESI仿宋-GB2312" w:hAnsi="CESI仿宋-GB2312" w:eastAsia="CESI仿宋-GB2312" w:cs="CESI仿宋-GB2312"/>
          <w:b w:val="0"/>
          <w:bCs w:val="0"/>
          <w:kern w:val="24"/>
          <w:sz w:val="32"/>
          <w:szCs w:val="32"/>
          <w:lang w:eastAsia="zh-CN"/>
        </w:rPr>
        <w:t>优势强，</w:t>
      </w:r>
      <w:r>
        <w:rPr>
          <w:rFonts w:hint="eastAsia" w:ascii="CESI仿宋-GB2312" w:hAnsi="CESI仿宋-GB2312" w:eastAsia="CESI仿宋-GB2312" w:cs="CESI仿宋-GB2312"/>
          <w:b w:val="0"/>
          <w:bCs w:val="0"/>
          <w:kern w:val="24"/>
          <w:sz w:val="32"/>
          <w:szCs w:val="32"/>
          <w:lang w:val="en-US" w:eastAsia="zh-CN"/>
        </w:rPr>
        <w:t>前景好</w:t>
      </w:r>
      <w:r>
        <w:rPr>
          <w:rFonts w:hint="eastAsia" w:ascii="CESI仿宋-GB2312" w:hAnsi="CESI仿宋-GB2312" w:eastAsia="CESI仿宋-GB2312" w:cs="CESI仿宋-GB2312"/>
          <w:b w:val="0"/>
          <w:bCs/>
          <w:color w:val="000000"/>
          <w:kern w:val="0"/>
          <w:sz w:val="32"/>
          <w:szCs w:val="32"/>
          <w:lang w:val="en-US" w:eastAsia="zh-CN"/>
        </w:rPr>
        <w:t>。</w:t>
      </w:r>
      <w:r>
        <w:rPr>
          <w:rFonts w:hint="eastAsia" w:ascii="CESI仿宋-GB2312" w:hAnsi="CESI仿宋-GB2312" w:eastAsia="CESI仿宋-GB2312" w:cs="CESI仿宋-GB2312"/>
          <w:b w:val="0"/>
          <w:bCs w:val="0"/>
          <w:kern w:val="24"/>
          <w:sz w:val="32"/>
          <w:szCs w:val="32"/>
          <w:lang w:val="en-US" w:eastAsia="zh-CN"/>
        </w:rPr>
        <w:t>切实发挥国家区试站功能，承担了</w:t>
      </w:r>
      <w:r>
        <w:rPr>
          <w:rFonts w:hint="eastAsia" w:ascii="CESI仿宋-GB2312" w:hAnsi="CESI仿宋-GB2312" w:eastAsia="CESI仿宋-GB2312" w:cs="CESI仿宋-GB2312"/>
          <w:b w:val="0"/>
          <w:bCs w:val="0"/>
          <w:sz w:val="32"/>
          <w:szCs w:val="32"/>
        </w:rPr>
        <w:t>国家南方稻区</w:t>
      </w:r>
      <w:r>
        <w:rPr>
          <w:rFonts w:hint="eastAsia" w:ascii="CESI仿宋-GB2312" w:hAnsi="CESI仿宋-GB2312" w:eastAsia="CESI仿宋-GB2312" w:cs="CESI仿宋-GB2312"/>
          <w:b w:val="0"/>
          <w:bCs w:val="0"/>
          <w:sz w:val="32"/>
          <w:szCs w:val="32"/>
          <w:lang w:eastAsia="zh-CN"/>
        </w:rPr>
        <w:t>和</w:t>
      </w:r>
      <w:r>
        <w:rPr>
          <w:rFonts w:hint="eastAsia" w:ascii="CESI仿宋-GB2312" w:hAnsi="CESI仿宋-GB2312" w:eastAsia="CESI仿宋-GB2312" w:cs="CESI仿宋-GB2312"/>
          <w:b w:val="0"/>
          <w:bCs w:val="0"/>
          <w:sz w:val="32"/>
          <w:szCs w:val="32"/>
        </w:rPr>
        <w:t>湖南省水稻新品种区域试验、高低温适应性鉴定</w:t>
      </w:r>
      <w:r>
        <w:rPr>
          <w:rFonts w:hint="eastAsia" w:ascii="CESI仿宋-GB2312" w:hAnsi="CESI仿宋-GB2312" w:eastAsia="CESI仿宋-GB2312" w:cs="CESI仿宋-GB2312"/>
          <w:b w:val="0"/>
          <w:bCs w:val="0"/>
          <w:sz w:val="32"/>
          <w:szCs w:val="32"/>
          <w:lang w:eastAsia="zh-CN"/>
        </w:rPr>
        <w:t>等试验，鉴定测试</w:t>
      </w:r>
      <w:r>
        <w:rPr>
          <w:rFonts w:hint="eastAsia" w:ascii="CESI仿宋-GB2312" w:hAnsi="CESI仿宋-GB2312" w:eastAsia="CESI仿宋-GB2312" w:cs="CESI仿宋-GB2312"/>
          <w:b w:val="0"/>
          <w:bCs/>
          <w:color w:val="000000"/>
          <w:kern w:val="0"/>
          <w:sz w:val="32"/>
          <w:szCs w:val="32"/>
          <w:lang w:val="en-US" w:eastAsia="zh-CN"/>
        </w:rPr>
        <w:t>品种1007个，</w:t>
      </w:r>
      <w:r>
        <w:rPr>
          <w:rFonts w:hint="eastAsia" w:ascii="CESI仿宋-GB2312" w:hAnsi="CESI仿宋-GB2312" w:eastAsia="CESI仿宋-GB2312" w:cs="CESI仿宋-GB2312"/>
          <w:b w:val="0"/>
          <w:bCs w:val="0"/>
          <w:sz w:val="32"/>
          <w:szCs w:val="32"/>
          <w:lang w:eastAsia="zh-CN"/>
        </w:rPr>
        <w:t>面积</w:t>
      </w:r>
      <w:r>
        <w:rPr>
          <w:rFonts w:hint="eastAsia" w:ascii="CESI仿宋-GB2312" w:hAnsi="CESI仿宋-GB2312" w:eastAsia="CESI仿宋-GB2312" w:cs="CESI仿宋-GB2312"/>
          <w:b w:val="0"/>
          <w:bCs w:val="0"/>
          <w:sz w:val="32"/>
          <w:szCs w:val="32"/>
          <w:lang w:val="en-US" w:eastAsia="zh-CN"/>
        </w:rPr>
        <w:t>137.5亩。</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三是</w:t>
      </w:r>
      <w:r>
        <w:rPr>
          <w:rFonts w:hint="eastAsia" w:ascii="CESI楷体-GB2312" w:hAnsi="CESI楷体-GB2312" w:eastAsia="CESI楷体-GB2312" w:cs="CESI楷体-GB2312"/>
          <w:b w:val="0"/>
          <w:bCs/>
          <w:color w:val="000000"/>
          <w:kern w:val="0"/>
          <w:sz w:val="32"/>
          <w:szCs w:val="32"/>
          <w:lang w:eastAsia="zh-CN"/>
        </w:rPr>
        <w:t>产业发展</w:t>
      </w:r>
      <w:r>
        <w:rPr>
          <w:rFonts w:hint="eastAsia" w:ascii="CESI楷体-GB2312" w:hAnsi="CESI楷体-GB2312" w:eastAsia="CESI楷体-GB2312" w:cs="CESI楷体-GB2312"/>
          <w:b w:val="0"/>
          <w:bCs/>
          <w:color w:val="000000"/>
          <w:kern w:val="0"/>
          <w:sz w:val="32"/>
          <w:szCs w:val="32"/>
        </w:rPr>
        <w:t>有</w:t>
      </w:r>
      <w:r>
        <w:rPr>
          <w:rFonts w:hint="eastAsia" w:ascii="CESI楷体-GB2312" w:hAnsi="CESI楷体-GB2312" w:eastAsia="CESI楷体-GB2312" w:cs="CESI楷体-GB2312"/>
          <w:b w:val="0"/>
          <w:bCs/>
          <w:color w:val="000000"/>
          <w:kern w:val="0"/>
          <w:sz w:val="32"/>
          <w:szCs w:val="32"/>
          <w:lang w:eastAsia="zh-CN"/>
        </w:rPr>
        <w:t>成效</w:t>
      </w:r>
      <w:r>
        <w:rPr>
          <w:rFonts w:hint="eastAsia" w:ascii="仿宋_GB2312" w:hAnsi="仿宋" w:eastAsia="仿宋_GB2312"/>
          <w:b w:val="0"/>
          <w:bCs/>
          <w:color w:val="auto"/>
          <w:sz w:val="32"/>
          <w:szCs w:val="32"/>
        </w:rPr>
        <w:t>。</w:t>
      </w:r>
      <w:r>
        <w:rPr>
          <w:rFonts w:hint="eastAsia" w:ascii="CESI仿宋-GB2312" w:hAnsi="CESI仿宋-GB2312" w:eastAsia="CESI仿宋-GB2312" w:cs="CESI仿宋-GB2312"/>
          <w:b w:val="0"/>
          <w:bCs/>
          <w:color w:val="000000"/>
          <w:kern w:val="0"/>
          <w:sz w:val="32"/>
          <w:szCs w:val="32"/>
          <w:lang w:eastAsia="zh-CN"/>
        </w:rPr>
        <w:t>新建育秧大棚</w:t>
      </w:r>
      <w:r>
        <w:rPr>
          <w:rFonts w:hint="eastAsia" w:ascii="CESI仿宋-GB2312" w:hAnsi="CESI仿宋-GB2312" w:eastAsia="CESI仿宋-GB2312" w:cs="CESI仿宋-GB2312"/>
          <w:b w:val="0"/>
          <w:bCs/>
          <w:color w:val="000000"/>
          <w:kern w:val="0"/>
          <w:sz w:val="32"/>
          <w:szCs w:val="32"/>
          <w:lang w:val="en-US" w:eastAsia="zh-CN"/>
        </w:rPr>
        <w:t>8000多</w:t>
      </w:r>
      <w:r>
        <w:rPr>
          <w:rFonts w:hint="eastAsia" w:ascii="CESI仿宋-GB2312" w:hAnsi="CESI仿宋-GB2312" w:eastAsia="CESI仿宋-GB2312" w:cs="CESI仿宋-GB2312"/>
          <w:b w:val="0"/>
          <w:bCs/>
          <w:color w:val="000000"/>
          <w:kern w:val="0"/>
          <w:sz w:val="32"/>
          <w:szCs w:val="32"/>
          <w:lang w:eastAsia="zh-CN"/>
        </w:rPr>
        <w:t>平方米，修整机耕道</w:t>
      </w:r>
      <w:r>
        <w:rPr>
          <w:rFonts w:hint="eastAsia" w:ascii="CESI仿宋-GB2312" w:hAnsi="CESI仿宋-GB2312" w:eastAsia="CESI仿宋-GB2312" w:cs="CESI仿宋-GB2312"/>
          <w:b w:val="0"/>
          <w:bCs/>
          <w:color w:val="000000"/>
          <w:kern w:val="0"/>
          <w:sz w:val="32"/>
          <w:szCs w:val="32"/>
          <w:lang w:val="en-US" w:eastAsia="zh-CN"/>
        </w:rPr>
        <w:t>15.9千米，清理沟渠10.8千米，有力保障了农业生产。强化社会化服务,全年，我场乡兴农机合作社为水稻种植户育秧500亩，无人机施肥药1800余亩；新蔬合作社提供蔬菜秧苗2500余亩；电商平台销售本场优质农产品7.3万元。</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 xml:space="preserve"> 四是</w:t>
      </w:r>
      <w:r>
        <w:rPr>
          <w:rFonts w:hint="eastAsia" w:ascii="仿宋_GB2312" w:hAnsi="仿宋" w:eastAsia="仿宋_GB2312"/>
          <w:b w:val="0"/>
          <w:bCs w:val="0"/>
          <w:color w:val="auto"/>
          <w:sz w:val="32"/>
          <w:szCs w:val="32"/>
        </w:rPr>
        <w:t>和美乡村有亮点。</w:t>
      </w:r>
      <w:r>
        <w:rPr>
          <w:rFonts w:hint="eastAsia" w:ascii="CESI仿宋-GB2312" w:hAnsi="CESI仿宋-GB2312" w:eastAsia="CESI仿宋-GB2312" w:cs="CESI仿宋-GB2312"/>
          <w:color w:val="000000"/>
          <w:kern w:val="0"/>
          <w:sz w:val="32"/>
          <w:szCs w:val="32"/>
          <w:lang w:eastAsia="zh-CN"/>
        </w:rPr>
        <w:t>组织职工群众投工投劳实施村庄微改造，</w:t>
      </w:r>
      <w:r>
        <w:rPr>
          <w:rFonts w:hint="eastAsia" w:ascii="CESI仿宋-GB2312" w:hAnsi="CESI仿宋-GB2312" w:eastAsia="CESI仿宋-GB2312" w:cs="CESI仿宋-GB2312"/>
          <w:color w:val="000000"/>
          <w:kern w:val="0"/>
          <w:sz w:val="32"/>
          <w:szCs w:val="32"/>
        </w:rPr>
        <w:t>纵深推进农村人居环境整治，</w:t>
      </w:r>
      <w:r>
        <w:rPr>
          <w:rFonts w:hint="eastAsia" w:ascii="CESI仿宋-GB2312" w:hAnsi="CESI仿宋-GB2312" w:eastAsia="CESI仿宋-GB2312" w:cs="CESI仿宋-GB2312"/>
          <w:color w:val="000000"/>
          <w:kern w:val="0"/>
          <w:sz w:val="32"/>
          <w:szCs w:val="32"/>
          <w:lang w:eastAsia="zh-CN"/>
        </w:rPr>
        <w:t>制定人居环境整治积分管理制度，每季度开展一次评比。</w:t>
      </w:r>
    </w:p>
    <w:p>
      <w:pPr>
        <w:pStyle w:val="15"/>
        <w:numPr>
          <w:ilvl w:val="0"/>
          <w:numId w:val="2"/>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社会效应</w:t>
      </w:r>
    </w:p>
    <w:p>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50" w:lineRule="exact"/>
        <w:ind w:right="0" w:rightChars="0" w:firstLine="640" w:firstLineChars="200"/>
        <w:jc w:val="both"/>
        <w:textAlignment w:val="auto"/>
        <w:outlineLvl w:val="0"/>
        <w:rPr>
          <w:rFonts w:hint="eastAsia" w:ascii="仿宋" w:hAnsi="仿宋" w:eastAsia="仿宋" w:cs="仿宋"/>
          <w:b w:val="0"/>
          <w:bCs/>
          <w:color w:val="auto"/>
          <w:spacing w:val="0"/>
          <w:sz w:val="32"/>
          <w:szCs w:val="32"/>
          <w:lang w:val="en-US" w:eastAsia="zh-CN"/>
        </w:rPr>
      </w:pPr>
      <w:r>
        <w:rPr>
          <w:rFonts w:hint="eastAsia" w:ascii="CESI仿宋-GB2312" w:hAnsi="CESI仿宋-GB2312" w:eastAsia="CESI仿宋-GB2312" w:cs="CESI仿宋-GB2312"/>
          <w:b w:val="0"/>
          <w:bCs/>
          <w:sz w:val="32"/>
          <w:szCs w:val="32"/>
          <w:lang w:val="en-US" w:eastAsia="zh-CN"/>
        </w:rPr>
        <w:t>惠民政策及时落地。全年，发放耕地地力保护补贴稻谷价格目标补贴资金共173.5万元，农业生产救灾资金50万元，低保、救助资金144.48万元，优抚资金97.7万元，让职工群众切实感受到了厅党组的关心关怀。</w:t>
      </w:r>
      <w:r>
        <w:rPr>
          <w:rFonts w:hint="eastAsia" w:ascii="CESI仿宋-GB2312" w:hAnsi="CESI仿宋-GB2312" w:eastAsia="CESI仿宋-GB2312" w:cs="CESI仿宋-GB2312"/>
          <w:b w:val="0"/>
          <w:bCs/>
          <w:color w:val="auto"/>
          <w:kern w:val="44"/>
          <w:sz w:val="32"/>
          <w:szCs w:val="32"/>
          <w:lang w:val="en-US" w:eastAsia="zh-CN" w:bidi="ar"/>
        </w:rPr>
        <w:t>平安建设卓有成效。</w:t>
      </w:r>
      <w:r>
        <w:rPr>
          <w:rFonts w:hint="eastAsia" w:ascii="CESI仿宋-GB2312" w:hAnsi="CESI仿宋-GB2312" w:eastAsia="CESI仿宋-GB2312" w:cs="CESI仿宋-GB2312"/>
          <w:b w:val="0"/>
          <w:bCs/>
          <w:color w:val="auto"/>
          <w:kern w:val="0"/>
          <w:sz w:val="32"/>
          <w:szCs w:val="32"/>
          <w:shd w:val="clear" w:color="auto" w:fill="FFFFFF"/>
          <w:lang w:eastAsia="zh-CN" w:bidi="ar"/>
        </w:rPr>
        <w:t>充分利用</w:t>
      </w:r>
      <w:r>
        <w:rPr>
          <w:rFonts w:hint="eastAsia" w:ascii="CESI仿宋-GB2312" w:hAnsi="CESI仿宋-GB2312" w:eastAsia="CESI仿宋-GB2312" w:cs="CESI仿宋-GB2312"/>
          <w:b w:val="0"/>
          <w:bCs/>
          <w:color w:val="auto"/>
          <w:sz w:val="32"/>
          <w:szCs w:val="32"/>
          <w:u w:val="none"/>
          <w:lang w:eastAsia="zh-CN"/>
        </w:rPr>
        <w:t>法院审理我</w:t>
      </w:r>
      <w:r>
        <w:rPr>
          <w:rFonts w:hint="eastAsia" w:ascii="CESI仿宋-GB2312" w:hAnsi="CESI仿宋-GB2312" w:eastAsia="CESI仿宋-GB2312" w:cs="CESI仿宋-GB2312"/>
          <w:b w:val="0"/>
          <w:bCs w:val="0"/>
          <w:color w:val="auto"/>
          <w:sz w:val="32"/>
          <w:szCs w:val="32"/>
          <w:u w:val="none"/>
          <w:lang w:eastAsia="zh-CN"/>
        </w:rPr>
        <w:t>场职工群众工龄</w:t>
      </w:r>
      <w:r>
        <w:rPr>
          <w:rFonts w:hint="eastAsia" w:ascii="CESI仿宋-GB2312" w:hAnsi="CESI仿宋-GB2312" w:eastAsia="CESI仿宋-GB2312" w:cs="CESI仿宋-GB2312"/>
          <w:b w:val="0"/>
          <w:bCs w:val="0"/>
          <w:color w:val="auto"/>
          <w:sz w:val="32"/>
          <w:szCs w:val="32"/>
          <w:lang w:eastAsia="zh-CN"/>
        </w:rPr>
        <w:t>纠纷案件的契机</w:t>
      </w:r>
      <w:r>
        <w:rPr>
          <w:rFonts w:hint="eastAsia" w:ascii="CESI仿宋-GB2312" w:hAnsi="CESI仿宋-GB2312" w:eastAsia="CESI仿宋-GB2312" w:cs="CESI仿宋-GB2312"/>
          <w:b w:val="0"/>
          <w:bCs w:val="0"/>
          <w:color w:val="auto"/>
          <w:sz w:val="32"/>
          <w:szCs w:val="32"/>
          <w:u w:val="none"/>
          <w:lang w:eastAsia="zh-CN"/>
        </w:rPr>
        <w:t>，</w:t>
      </w:r>
      <w:r>
        <w:rPr>
          <w:rFonts w:hint="eastAsia" w:ascii="CESI仿宋-GB2312" w:hAnsi="CESI仿宋-GB2312" w:eastAsia="CESI仿宋-GB2312" w:cs="CESI仿宋-GB2312"/>
          <w:b w:val="0"/>
          <w:bCs w:val="0"/>
          <w:sz w:val="32"/>
          <w:szCs w:val="32"/>
          <w:lang w:eastAsia="zh-CN"/>
        </w:rPr>
        <w:t>广泛开展学法用法信法宣传，积极引导职工群众由“信访”变“信法”，全场因</w:t>
      </w:r>
      <w:r>
        <w:rPr>
          <w:rFonts w:hint="eastAsia" w:ascii="CESI仿宋-GB2312" w:hAnsi="CESI仿宋-GB2312" w:eastAsia="CESI仿宋-GB2312" w:cs="CESI仿宋-GB2312"/>
          <w:b w:val="0"/>
          <w:bCs w:val="0"/>
          <w:color w:val="auto"/>
          <w:sz w:val="32"/>
          <w:szCs w:val="32"/>
          <w:u w:val="none"/>
          <w:lang w:eastAsia="zh-CN"/>
        </w:rPr>
        <w:t>工龄问题上访的情况大为减少</w:t>
      </w:r>
      <w:r>
        <w:rPr>
          <w:rFonts w:hint="eastAsia" w:ascii="CESI仿宋-GB2312" w:hAnsi="CESI仿宋-GB2312" w:eastAsia="CESI仿宋-GB2312" w:cs="CESI仿宋-GB2312"/>
          <w:b w:val="0"/>
          <w:bCs w:val="0"/>
          <w:color w:val="auto"/>
          <w:sz w:val="32"/>
          <w:szCs w:val="32"/>
          <w:lang w:val="en-US" w:eastAsia="zh-CN"/>
        </w:rPr>
        <w:t>，</w:t>
      </w:r>
      <w:r>
        <w:rPr>
          <w:rFonts w:hint="eastAsia" w:ascii="CESI仿宋-GB2312" w:hAnsi="CESI仿宋-GB2312" w:eastAsia="CESI仿宋-GB2312" w:cs="CESI仿宋-GB2312"/>
          <w:b w:val="0"/>
          <w:bCs w:val="0"/>
          <w:color w:val="auto"/>
          <w:spacing w:val="0"/>
          <w:sz w:val="32"/>
          <w:szCs w:val="32"/>
          <w:lang w:val="en-US" w:eastAsia="zh-CN"/>
        </w:rPr>
        <w:t>有效维护了全场稳定</w:t>
      </w:r>
      <w:r>
        <w:rPr>
          <w:rFonts w:hint="eastAsia" w:ascii="CESI仿宋-GB2312" w:hAnsi="CESI仿宋-GB2312" w:eastAsia="CESI仿宋-GB2312" w:cs="CESI仿宋-GB2312"/>
          <w:b w:val="0"/>
          <w:bCs w:val="0"/>
          <w:color w:val="auto"/>
          <w:sz w:val="32"/>
          <w:szCs w:val="32"/>
          <w:lang w:val="en-US" w:eastAsia="zh-CN"/>
        </w:rPr>
        <w:t>。安全生产</w:t>
      </w:r>
      <w:r>
        <w:rPr>
          <w:rFonts w:hint="eastAsia" w:ascii="CESI仿宋-GB2312" w:hAnsi="CESI仿宋-GB2312" w:eastAsia="CESI仿宋-GB2312" w:cs="CESI仿宋-GB2312"/>
          <w:b w:val="0"/>
          <w:bCs/>
          <w:color w:val="auto"/>
          <w:kern w:val="24"/>
          <w:sz w:val="32"/>
          <w:szCs w:val="32"/>
          <w:lang w:val="en-US" w:eastAsia="zh-CN"/>
        </w:rPr>
        <w:t>落地落细。</w:t>
      </w:r>
    </w:p>
    <w:p>
      <w:pPr>
        <w:pStyle w:val="15"/>
        <w:numPr>
          <w:ilvl w:val="0"/>
          <w:numId w:val="2"/>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可持续发展能力</w:t>
      </w:r>
    </w:p>
    <w:p>
      <w:pPr>
        <w:keepNext w:val="0"/>
        <w:keepLines w:val="0"/>
        <w:pageBreakBefore w:val="0"/>
        <w:widowControl/>
        <w:kinsoku/>
        <w:topLinePunct w:val="0"/>
        <w:autoSpaceDE/>
        <w:bidi w:val="0"/>
        <w:adjustRightInd w:val="0"/>
        <w:snapToGrid w:val="0"/>
        <w:spacing w:line="560" w:lineRule="exact"/>
        <w:ind w:firstLine="640" w:firstLineChars="200"/>
        <w:jc w:val="left"/>
        <w:textAlignment w:val="auto"/>
        <w:rPr>
          <w:rFonts w:hint="eastAsia" w:ascii="CESI仿宋-GB2312" w:hAnsi="CESI仿宋-GB2312" w:eastAsia="CESI仿宋-GB2312" w:cs="CESI仿宋-GB2312"/>
          <w:color w:val="auto"/>
          <w:kern w:val="0"/>
          <w:sz w:val="32"/>
          <w:szCs w:val="32"/>
          <w:lang w:val="en-US" w:eastAsia="zh-CN"/>
        </w:rPr>
      </w:pPr>
      <w:r>
        <w:rPr>
          <w:rFonts w:hint="eastAsia" w:ascii="CESI仿宋-GB2312" w:hAnsi="CESI仿宋-GB2312" w:eastAsia="CESI仿宋-GB2312" w:cs="CESI仿宋-GB2312"/>
          <w:color w:val="auto"/>
          <w:kern w:val="0"/>
          <w:sz w:val="32"/>
          <w:szCs w:val="32"/>
          <w:lang w:val="en-US" w:eastAsia="zh-CN"/>
        </w:rPr>
        <w:t>全面完成了田间物联网设备施舍、无人农机、自动排灌设备与数字水稻管理平台的互联互通，实现了田间数据自动收集记录、无人农机远程点火启动、作业、停止熄火等控制和支持田间水位监测、远程开闸、闭闸等功能。</w:t>
      </w:r>
    </w:p>
    <w:p>
      <w:pPr>
        <w:pStyle w:val="15"/>
        <w:numPr>
          <w:ilvl w:val="0"/>
          <w:numId w:val="2"/>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服务对象满意度</w:t>
      </w:r>
    </w:p>
    <w:p>
      <w:pPr>
        <w:widowControl/>
        <w:spacing w:line="600" w:lineRule="exact"/>
        <w:ind w:firstLine="640" w:firstLineChars="200"/>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我场紧紧围社会职责职能积极开展工作，统筹推进智慧农业数字大米科研示范建设、优质高效农业产业发展、宜居宜业和美乡村建设“三篇文章”，促进全场高质量发展，取得良好成效。</w:t>
      </w:r>
    </w:p>
    <w:p>
      <w:pPr>
        <w:widowControl/>
        <w:numPr>
          <w:ilvl w:val="0"/>
          <w:numId w:val="3"/>
        </w:numPr>
        <w:spacing w:line="600" w:lineRule="exact"/>
        <w:ind w:leftChars="200"/>
        <w:jc w:val="left"/>
        <w:rPr>
          <w:rFonts w:ascii="Times New Roman" w:hAnsi="Times New Roman" w:eastAsia="黑体"/>
          <w:sz w:val="32"/>
          <w:szCs w:val="32"/>
        </w:rPr>
      </w:pPr>
      <w:r>
        <w:rPr>
          <w:rFonts w:ascii="Times New Roman" w:hAnsi="Times New Roman" w:eastAsia="黑体"/>
          <w:sz w:val="32"/>
          <w:szCs w:val="32"/>
        </w:rPr>
        <w:t>存在的问题及原因分析</w:t>
      </w:r>
    </w:p>
    <w:p>
      <w:pPr>
        <w:widowControl/>
        <w:numPr>
          <w:ilvl w:val="0"/>
          <w:numId w:val="0"/>
        </w:numPr>
        <w:spacing w:line="600" w:lineRule="exact"/>
        <w:ind w:firstLine="640" w:firstLineChars="200"/>
        <w:jc w:val="left"/>
        <w:rPr>
          <w:rFonts w:hint="eastAsia" w:ascii="仿宋_GB2312" w:hAnsi="仿宋" w:eastAsia="仿宋_GB2312" w:cs="Times New Roman"/>
          <w:color w:val="auto"/>
          <w:kern w:val="2"/>
          <w:sz w:val="32"/>
          <w:szCs w:val="32"/>
          <w:highlight w:val="none"/>
          <w:lang w:val="en-US" w:eastAsia="zh-CN" w:bidi="ar-SA"/>
        </w:rPr>
      </w:pPr>
      <w:r>
        <w:rPr>
          <w:rFonts w:hint="eastAsia" w:ascii="仿宋_GB2312" w:hAnsi="仿宋" w:eastAsia="仿宋_GB2312" w:cs="Times New Roman"/>
          <w:color w:val="auto"/>
          <w:kern w:val="2"/>
          <w:sz w:val="32"/>
          <w:szCs w:val="32"/>
          <w:highlight w:val="none"/>
          <w:lang w:val="en-US" w:eastAsia="zh-CN" w:bidi="ar-SA"/>
        </w:rPr>
        <w:t>存在的问题：绩效评价结果与预算编制、项目管理等方面的结合有待加强，绩效管理与预算管理“两张皮”的问题在一定范围内仍然存在。绩效评价结果未能得到充分有效的应用，对部门和单位的激励约束作用不明显。</w:t>
      </w:r>
    </w:p>
    <w:p>
      <w:pPr>
        <w:widowControl/>
        <w:numPr>
          <w:ilvl w:val="0"/>
          <w:numId w:val="0"/>
        </w:numPr>
        <w:spacing w:line="600" w:lineRule="exact"/>
        <w:ind w:firstLine="640" w:firstLineChars="200"/>
        <w:jc w:val="left"/>
        <w:rPr>
          <w:rFonts w:hint="eastAsia" w:ascii="仿宋_GB2312" w:hAnsi="仿宋" w:eastAsia="仿宋_GB2312" w:cs="Times New Roman"/>
          <w:color w:val="auto"/>
          <w:kern w:val="2"/>
          <w:sz w:val="32"/>
          <w:szCs w:val="32"/>
          <w:highlight w:val="none"/>
          <w:lang w:val="en-US" w:eastAsia="zh-CN" w:bidi="ar-SA"/>
        </w:rPr>
      </w:pPr>
      <w:r>
        <w:rPr>
          <w:rFonts w:hint="default" w:ascii="仿宋_GB2312" w:hAnsi="仿宋" w:eastAsia="仿宋_GB2312" w:cs="Times New Roman"/>
          <w:color w:val="auto"/>
          <w:kern w:val="2"/>
          <w:sz w:val="32"/>
          <w:szCs w:val="32"/>
          <w:highlight w:val="none"/>
          <w:lang w:val="en-US" w:eastAsia="zh-CN" w:bidi="ar-SA"/>
        </w:rPr>
        <w:t>原因</w:t>
      </w:r>
      <w:r>
        <w:rPr>
          <w:rFonts w:hint="eastAsia" w:ascii="仿宋_GB2312" w:hAnsi="仿宋" w:eastAsia="仿宋_GB2312" w:cs="Times New Roman"/>
          <w:color w:val="auto"/>
          <w:kern w:val="2"/>
          <w:sz w:val="32"/>
          <w:szCs w:val="32"/>
          <w:highlight w:val="none"/>
          <w:lang w:val="en-US" w:eastAsia="zh-CN" w:bidi="ar-SA"/>
        </w:rPr>
        <w:t>分析</w:t>
      </w:r>
      <w:r>
        <w:rPr>
          <w:rFonts w:hint="default" w:ascii="仿宋_GB2312" w:hAnsi="仿宋" w:eastAsia="仿宋_GB2312" w:cs="Times New Roman"/>
          <w:color w:val="auto"/>
          <w:kern w:val="2"/>
          <w:sz w:val="32"/>
          <w:szCs w:val="32"/>
          <w:highlight w:val="none"/>
          <w:lang w:val="en-US" w:eastAsia="zh-CN" w:bidi="ar-SA"/>
        </w:rPr>
        <w:t>：</w:t>
      </w:r>
      <w:bookmarkStart w:id="7" w:name="OLE_LINK4"/>
      <w:r>
        <w:rPr>
          <w:rFonts w:hint="default" w:ascii="仿宋_GB2312" w:hAnsi="仿宋" w:eastAsia="仿宋_GB2312" w:cs="Times New Roman"/>
          <w:color w:val="auto"/>
          <w:kern w:val="2"/>
          <w:sz w:val="32"/>
          <w:szCs w:val="32"/>
          <w:highlight w:val="none"/>
          <w:lang w:val="en-US" w:eastAsia="zh-CN" w:bidi="ar-SA"/>
        </w:rPr>
        <w:t>部门之间沟通协调不畅，财政部门与预算部门、预算部门内部各科室之间在绩效管理工作中的职责不够明确，导致信息传递不及时、不准确，影响了绩效结果的应用效果。此外，对绩效评价结果的公开力度不够，社会监督作用未能充分发挥。</w:t>
      </w:r>
    </w:p>
    <w:bookmarkEnd w:id="7"/>
    <w:p>
      <w:pPr>
        <w:widowControl/>
        <w:numPr>
          <w:ilvl w:val="0"/>
          <w:numId w:val="3"/>
        </w:numPr>
        <w:spacing w:line="600" w:lineRule="exact"/>
        <w:ind w:leftChars="200"/>
        <w:jc w:val="left"/>
        <w:rPr>
          <w:rFonts w:hint="eastAsia" w:ascii="Times New Roman" w:hAnsi="Times New Roman" w:eastAsia="黑体"/>
          <w:sz w:val="32"/>
          <w:szCs w:val="32"/>
          <w:lang w:val="en-US" w:eastAsia="zh-CN"/>
        </w:rPr>
      </w:pPr>
      <w:bookmarkStart w:id="8" w:name="OLE_LINK5"/>
      <w:r>
        <w:rPr>
          <w:rFonts w:hint="eastAsia" w:ascii="Times New Roman" w:hAnsi="Times New Roman" w:eastAsia="黑体"/>
          <w:sz w:val="32"/>
          <w:szCs w:val="32"/>
          <w:lang w:eastAsia="zh-CN"/>
        </w:rPr>
        <w:t>下一步改进措施</w:t>
      </w:r>
      <w:bookmarkEnd w:id="8"/>
    </w:p>
    <w:p>
      <w:pPr>
        <w:widowControl/>
        <w:numPr>
          <w:ilvl w:val="0"/>
          <w:numId w:val="4"/>
        </w:numPr>
        <w:spacing w:line="600" w:lineRule="exact"/>
        <w:ind w:firstLine="640" w:firstLineChars="200"/>
        <w:jc w:val="left"/>
        <w:rPr>
          <w:rFonts w:hint="eastAsia" w:ascii="仿宋_GB2312" w:hAnsi="仿宋" w:eastAsia="仿宋_GB2312" w:cs="Times New Roman"/>
          <w:color w:val="auto"/>
          <w:kern w:val="2"/>
          <w:sz w:val="32"/>
          <w:szCs w:val="32"/>
          <w:highlight w:val="none"/>
          <w:lang w:val="en-US" w:eastAsia="zh-CN" w:bidi="ar-SA"/>
        </w:rPr>
      </w:pPr>
      <w:r>
        <w:rPr>
          <w:rFonts w:hint="eastAsia" w:ascii="仿宋_GB2312" w:hAnsi="仿宋" w:eastAsia="仿宋_GB2312" w:cs="Times New Roman"/>
          <w:color w:val="auto"/>
          <w:kern w:val="2"/>
          <w:sz w:val="32"/>
          <w:szCs w:val="32"/>
          <w:highlight w:val="none"/>
          <w:lang w:val="en-US" w:eastAsia="zh-CN" w:bidi="ar-SA"/>
        </w:rPr>
        <w:t>加强</w:t>
      </w:r>
      <w:r>
        <w:rPr>
          <w:rFonts w:hint="default" w:ascii="仿宋_GB2312" w:hAnsi="仿宋" w:eastAsia="仿宋_GB2312" w:cs="Times New Roman"/>
          <w:color w:val="auto"/>
          <w:kern w:val="2"/>
          <w:sz w:val="32"/>
          <w:szCs w:val="32"/>
          <w:highlight w:val="none"/>
          <w:lang w:val="en-US" w:eastAsia="zh-CN" w:bidi="ar-SA"/>
        </w:rPr>
        <w:t>部门之间沟通，财政部门与预算部门、预算部门内部各科室之间在绩效管理工作中的职责明确</w:t>
      </w:r>
      <w:r>
        <w:rPr>
          <w:rFonts w:hint="eastAsia" w:ascii="仿宋_GB2312" w:hAnsi="仿宋" w:eastAsia="仿宋_GB2312" w:cs="Times New Roman"/>
          <w:color w:val="auto"/>
          <w:kern w:val="2"/>
          <w:sz w:val="32"/>
          <w:szCs w:val="32"/>
          <w:highlight w:val="none"/>
          <w:lang w:val="en-US" w:eastAsia="zh-CN" w:bidi="ar-SA"/>
        </w:rPr>
        <w:t>分工</w:t>
      </w:r>
      <w:r>
        <w:rPr>
          <w:rFonts w:hint="default" w:ascii="仿宋_GB2312" w:hAnsi="仿宋" w:eastAsia="仿宋_GB2312" w:cs="Times New Roman"/>
          <w:color w:val="auto"/>
          <w:kern w:val="2"/>
          <w:sz w:val="32"/>
          <w:szCs w:val="32"/>
          <w:highlight w:val="none"/>
          <w:lang w:val="en-US" w:eastAsia="zh-CN" w:bidi="ar-SA"/>
        </w:rPr>
        <w:t>，</w:t>
      </w:r>
      <w:r>
        <w:rPr>
          <w:rFonts w:hint="eastAsia" w:ascii="仿宋_GB2312" w:hAnsi="仿宋" w:eastAsia="仿宋_GB2312" w:cs="Times New Roman"/>
          <w:color w:val="auto"/>
          <w:kern w:val="2"/>
          <w:sz w:val="32"/>
          <w:szCs w:val="32"/>
          <w:highlight w:val="none"/>
          <w:lang w:val="en-US" w:eastAsia="zh-CN" w:bidi="ar-SA"/>
        </w:rPr>
        <w:t>及时将</w:t>
      </w:r>
      <w:r>
        <w:rPr>
          <w:rFonts w:hint="default" w:ascii="仿宋_GB2312" w:hAnsi="仿宋" w:eastAsia="仿宋_GB2312" w:cs="Times New Roman"/>
          <w:color w:val="auto"/>
          <w:kern w:val="2"/>
          <w:sz w:val="32"/>
          <w:szCs w:val="32"/>
          <w:highlight w:val="none"/>
          <w:lang w:val="en-US" w:eastAsia="zh-CN" w:bidi="ar-SA"/>
        </w:rPr>
        <w:t>绩效结果</w:t>
      </w:r>
      <w:r>
        <w:rPr>
          <w:rFonts w:hint="eastAsia" w:ascii="仿宋_GB2312" w:hAnsi="仿宋" w:eastAsia="仿宋_GB2312" w:cs="Times New Roman"/>
          <w:color w:val="auto"/>
          <w:kern w:val="2"/>
          <w:sz w:val="32"/>
          <w:szCs w:val="32"/>
          <w:highlight w:val="none"/>
          <w:lang w:val="en-US" w:eastAsia="zh-CN" w:bidi="ar-SA"/>
        </w:rPr>
        <w:t>加以</w:t>
      </w:r>
      <w:r>
        <w:rPr>
          <w:rFonts w:hint="default" w:ascii="仿宋_GB2312" w:hAnsi="仿宋" w:eastAsia="仿宋_GB2312" w:cs="Times New Roman"/>
          <w:color w:val="auto"/>
          <w:kern w:val="2"/>
          <w:sz w:val="32"/>
          <w:szCs w:val="32"/>
          <w:highlight w:val="none"/>
          <w:lang w:val="en-US" w:eastAsia="zh-CN" w:bidi="ar-SA"/>
        </w:rPr>
        <w:t>应用。</w:t>
      </w:r>
    </w:p>
    <w:p>
      <w:pPr>
        <w:widowControl/>
        <w:numPr>
          <w:ilvl w:val="0"/>
          <w:numId w:val="4"/>
        </w:numPr>
        <w:spacing w:line="600" w:lineRule="exact"/>
        <w:ind w:firstLine="640" w:firstLineChars="200"/>
        <w:jc w:val="left"/>
        <w:rPr>
          <w:rFonts w:hint="eastAsia" w:ascii="仿宋_GB2312" w:hAnsi="仿宋" w:eastAsia="仿宋_GB2312" w:cs="Times New Roman"/>
          <w:color w:val="auto"/>
          <w:kern w:val="2"/>
          <w:sz w:val="32"/>
          <w:szCs w:val="32"/>
          <w:highlight w:val="none"/>
          <w:lang w:val="en-US" w:eastAsia="zh-CN" w:bidi="ar-SA"/>
        </w:rPr>
      </w:pPr>
      <w:r>
        <w:rPr>
          <w:rFonts w:hint="eastAsia" w:ascii="仿宋_GB2312" w:hAnsi="仿宋" w:eastAsia="仿宋_GB2312" w:cs="Times New Roman"/>
          <w:color w:val="auto"/>
          <w:kern w:val="2"/>
          <w:sz w:val="32"/>
          <w:szCs w:val="32"/>
          <w:highlight w:val="none"/>
          <w:lang w:val="en-US" w:eastAsia="zh-CN" w:bidi="ar-SA"/>
        </w:rPr>
        <w:t>加强</w:t>
      </w:r>
      <w:r>
        <w:rPr>
          <w:rFonts w:hint="default" w:ascii="仿宋_GB2312" w:hAnsi="仿宋" w:eastAsia="仿宋_GB2312" w:cs="Times New Roman"/>
          <w:color w:val="auto"/>
          <w:kern w:val="2"/>
          <w:sz w:val="32"/>
          <w:szCs w:val="32"/>
          <w:highlight w:val="none"/>
          <w:lang w:val="en-US" w:eastAsia="zh-CN" w:bidi="ar-SA"/>
        </w:rPr>
        <w:t>绩效评价结果的公开力度，充分发挥社会监督作用。</w:t>
      </w:r>
    </w:p>
    <w:p>
      <w:pPr>
        <w:widowControl/>
        <w:numPr>
          <w:ilvl w:val="0"/>
          <w:numId w:val="0"/>
        </w:numPr>
        <w:spacing w:line="600" w:lineRule="exact"/>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九、绩效自评结果拟应用和公开情况</w:t>
      </w:r>
    </w:p>
    <w:p>
      <w:pPr>
        <w:pStyle w:val="2"/>
        <w:rPr>
          <w:rFonts w:hint="default" w:ascii="仿宋_GB2312" w:hAnsi="仿宋" w:eastAsia="仿宋_GB2312" w:cs="Times New Roman"/>
          <w:color w:val="auto"/>
          <w:kern w:val="2"/>
          <w:sz w:val="32"/>
          <w:szCs w:val="32"/>
          <w:highlight w:val="none"/>
          <w:lang w:val="en-US" w:eastAsia="zh-CN" w:bidi="ar-SA"/>
        </w:rPr>
      </w:pPr>
      <w:r>
        <w:rPr>
          <w:rFonts w:hint="default" w:ascii="仿宋_GB2312" w:hAnsi="仿宋" w:eastAsia="仿宋_GB2312" w:cs="Times New Roman"/>
          <w:color w:val="auto"/>
          <w:kern w:val="2"/>
          <w:sz w:val="32"/>
          <w:szCs w:val="32"/>
          <w:highlight w:val="none"/>
          <w:lang w:val="en-US" w:eastAsia="zh-CN" w:bidi="ar-SA"/>
        </w:rPr>
        <w:t>（一）反馈整改。加强预算管理意识，遵循预算法，科学编制预算，按预算执行。对评价中发现的问题，及时进行督促整改。</w:t>
      </w:r>
    </w:p>
    <w:p>
      <w:pPr>
        <w:pStyle w:val="2"/>
        <w:rPr>
          <w:rFonts w:hint="default" w:ascii="仿宋_GB2312" w:hAnsi="仿宋" w:eastAsia="仿宋_GB2312" w:cs="Times New Roman"/>
          <w:color w:val="auto"/>
          <w:kern w:val="2"/>
          <w:sz w:val="32"/>
          <w:szCs w:val="32"/>
          <w:highlight w:val="none"/>
          <w:lang w:val="en-US" w:eastAsia="zh-CN" w:bidi="ar-SA"/>
        </w:rPr>
      </w:pPr>
      <w:r>
        <w:rPr>
          <w:rFonts w:hint="default" w:ascii="仿宋_GB2312" w:hAnsi="仿宋" w:eastAsia="仿宋_GB2312" w:cs="Times New Roman"/>
          <w:color w:val="auto"/>
          <w:kern w:val="2"/>
          <w:sz w:val="32"/>
          <w:szCs w:val="32"/>
          <w:highlight w:val="none"/>
          <w:lang w:val="en-US" w:eastAsia="zh-CN" w:bidi="ar-SA"/>
        </w:rPr>
        <w:t>（二）公开结果。除涉密信息外，将按要求在门户网站全面公开2024年度部门支出绩效自评报告，接受社会监督。</w:t>
      </w:r>
    </w:p>
    <w:p>
      <w:pPr>
        <w:widowControl/>
        <w:numPr>
          <w:ilvl w:val="0"/>
          <w:numId w:val="0"/>
        </w:numPr>
        <w:spacing w:line="600" w:lineRule="exact"/>
        <w:ind w:firstLine="960" w:firstLineChars="300"/>
        <w:jc w:val="left"/>
        <w:rPr>
          <w:rFonts w:hint="eastAsia" w:ascii="仿宋_GB2312" w:hAnsi="仿宋" w:eastAsia="仿宋_GB2312" w:cs="Times New Roman"/>
          <w:b/>
          <w:bCs/>
          <w:color w:val="auto"/>
          <w:kern w:val="2"/>
          <w:sz w:val="32"/>
          <w:szCs w:val="32"/>
          <w:highlight w:val="none"/>
          <w:lang w:val="en-US" w:eastAsia="zh-CN" w:bidi="ar-SA"/>
        </w:rPr>
      </w:pPr>
      <w:r>
        <w:rPr>
          <w:rFonts w:hint="eastAsia" w:ascii="仿宋_GB2312" w:hAnsi="仿宋" w:eastAsia="仿宋_GB2312" w:cs="Times New Roman"/>
          <w:b/>
          <w:bCs/>
          <w:color w:val="auto"/>
          <w:kern w:val="2"/>
          <w:sz w:val="32"/>
          <w:szCs w:val="32"/>
          <w:highlight w:val="none"/>
          <w:lang w:val="en-US" w:eastAsia="zh-CN" w:bidi="ar-SA"/>
        </w:rPr>
        <w:t>无其他需要说明的情况</w:t>
      </w:r>
    </w:p>
    <w:p>
      <w:pPr>
        <w:pStyle w:val="2"/>
        <w:rPr>
          <w:rFonts w:hint="eastAsia" w:ascii="仿宋_GB2312" w:hAnsi="仿宋" w:eastAsia="仿宋_GB2312" w:cs="Times New Roman"/>
          <w:color w:val="auto"/>
          <w:kern w:val="2"/>
          <w:sz w:val="32"/>
          <w:szCs w:val="32"/>
          <w:highlight w:val="none"/>
          <w:lang w:val="en-US" w:eastAsia="zh-CN" w:bidi="ar-SA"/>
        </w:rPr>
      </w:pPr>
    </w:p>
    <w:p>
      <w:pPr>
        <w:pStyle w:val="2"/>
        <w:rPr>
          <w:rFonts w:hint="eastAsia" w:ascii="仿宋_GB2312" w:hAnsi="仿宋" w:eastAsia="仿宋_GB2312" w:cs="Times New Roman"/>
          <w:color w:val="auto"/>
          <w:kern w:val="2"/>
          <w:sz w:val="32"/>
          <w:szCs w:val="32"/>
          <w:highlight w:val="none"/>
          <w:lang w:val="en-US" w:eastAsia="zh-CN" w:bidi="ar-SA"/>
        </w:rPr>
      </w:pPr>
    </w:p>
    <w:p>
      <w:pPr>
        <w:pStyle w:val="2"/>
        <w:rPr>
          <w:rFonts w:hint="eastAsia"/>
          <w:lang w:val="en-US" w:eastAsia="zh-CN"/>
        </w:rPr>
      </w:pPr>
      <w:r>
        <w:rPr>
          <w:rFonts w:hint="eastAsia" w:ascii="仿宋_GB2312" w:hAnsi="仿宋" w:eastAsia="仿宋_GB2312" w:cs="Times New Roman"/>
          <w:color w:val="auto"/>
          <w:kern w:val="2"/>
          <w:sz w:val="32"/>
          <w:szCs w:val="32"/>
          <w:highlight w:val="none"/>
          <w:lang w:val="en-US" w:eastAsia="zh-CN" w:bidi="ar-SA"/>
        </w:rPr>
        <w:t>附表：</w:t>
      </w:r>
    </w:p>
    <w:p>
      <w:pPr>
        <w:pStyle w:val="2"/>
        <w:rPr>
          <w:rFonts w:hint="eastAsia" w:ascii="仿宋_GB2312" w:hAnsi="仿宋" w:eastAsia="仿宋_GB2312" w:cs="Times New Roman"/>
          <w:color w:val="auto"/>
          <w:kern w:val="2"/>
          <w:sz w:val="32"/>
          <w:szCs w:val="32"/>
          <w:highlight w:val="none"/>
          <w:lang w:val="en-US" w:eastAsia="zh-CN" w:bidi="ar-SA"/>
        </w:rPr>
      </w:pPr>
      <w:r>
        <w:rPr>
          <w:rFonts w:hint="eastAsia" w:ascii="仿宋_GB2312" w:hAnsi="仿宋" w:eastAsia="仿宋_GB2312" w:cs="Times New Roman"/>
          <w:color w:val="auto"/>
          <w:kern w:val="2"/>
          <w:sz w:val="32"/>
          <w:szCs w:val="32"/>
          <w:highlight w:val="none"/>
          <w:lang w:val="en-US" w:eastAsia="zh-CN" w:bidi="ar-SA"/>
        </w:rPr>
        <w:t>1、部门整体支出绩效评价基础数据表</w:t>
      </w:r>
    </w:p>
    <w:p>
      <w:pPr>
        <w:pStyle w:val="2"/>
        <w:rPr>
          <w:rFonts w:hint="eastAsia" w:ascii="仿宋_GB2312" w:hAnsi="仿宋" w:eastAsia="仿宋_GB2312" w:cs="Times New Roman"/>
          <w:color w:val="auto"/>
          <w:kern w:val="2"/>
          <w:sz w:val="32"/>
          <w:szCs w:val="32"/>
          <w:highlight w:val="none"/>
          <w:lang w:val="en-US" w:eastAsia="zh-CN" w:bidi="ar-SA"/>
        </w:rPr>
      </w:pPr>
      <w:r>
        <w:rPr>
          <w:rFonts w:hint="eastAsia" w:ascii="仿宋_GB2312" w:hAnsi="仿宋" w:eastAsia="仿宋_GB2312" w:cs="Times New Roman"/>
          <w:color w:val="auto"/>
          <w:kern w:val="2"/>
          <w:sz w:val="32"/>
          <w:szCs w:val="32"/>
          <w:highlight w:val="none"/>
          <w:lang w:val="en-US" w:eastAsia="zh-CN" w:bidi="ar-SA"/>
        </w:rPr>
        <w:t>2、部门整体支出绩效自评表</w:t>
      </w:r>
    </w:p>
    <w:p>
      <w:pPr>
        <w:pStyle w:val="2"/>
        <w:rPr>
          <w:rFonts w:hint="default" w:ascii="仿宋_GB2312" w:hAnsi="仿宋" w:eastAsia="仿宋_GB2312" w:cs="Times New Roman"/>
          <w:color w:val="auto"/>
          <w:kern w:val="2"/>
          <w:sz w:val="32"/>
          <w:szCs w:val="32"/>
          <w:highlight w:val="none"/>
          <w:lang w:val="en-US" w:eastAsia="zh-CN" w:bidi="ar-SA"/>
        </w:rPr>
      </w:pPr>
      <w:r>
        <w:rPr>
          <w:rFonts w:hint="eastAsia" w:ascii="仿宋_GB2312" w:hAnsi="仿宋" w:eastAsia="仿宋_GB2312" w:cs="Times New Roman"/>
          <w:color w:val="auto"/>
          <w:kern w:val="2"/>
          <w:sz w:val="32"/>
          <w:szCs w:val="32"/>
          <w:highlight w:val="none"/>
          <w:lang w:val="en-US" w:eastAsia="zh-CN" w:bidi="ar-SA"/>
        </w:rPr>
        <w:t>3、项目支出绩效自评表</w:t>
      </w:r>
    </w:p>
    <w:p>
      <w:pPr>
        <w:pStyle w:val="2"/>
        <w:rPr>
          <w:rFonts w:hint="default" w:ascii="仿宋_GB2312" w:hAnsi="仿宋" w:eastAsia="仿宋_GB2312" w:cs="Times New Roman"/>
          <w:color w:val="auto"/>
          <w:kern w:val="2"/>
          <w:sz w:val="32"/>
          <w:szCs w:val="32"/>
          <w:highlight w:val="none"/>
          <w:lang w:val="en-US" w:eastAsia="zh-CN" w:bidi="ar-SA"/>
        </w:rPr>
      </w:pPr>
    </w:p>
    <w:p>
      <w:pPr>
        <w:pStyle w:val="2"/>
        <w:rPr>
          <w:rFonts w:hint="default" w:ascii="仿宋_GB2312" w:hAnsi="仿宋" w:eastAsia="仿宋_GB2312" w:cs="Times New Roman"/>
          <w:color w:val="auto"/>
          <w:kern w:val="2"/>
          <w:sz w:val="32"/>
          <w:szCs w:val="32"/>
          <w:highlight w:val="none"/>
          <w:lang w:val="en-US" w:eastAsia="zh-CN" w:bidi="ar-SA"/>
        </w:rPr>
      </w:pPr>
    </w:p>
    <w:p>
      <w:pPr>
        <w:pStyle w:val="5"/>
        <w:numPr>
          <w:ilvl w:val="0"/>
          <w:numId w:val="0"/>
        </w:numPr>
        <w:ind w:firstLine="480" w:firstLineChars="200"/>
        <w:jc w:val="left"/>
      </w:pPr>
    </w:p>
    <w:p>
      <w:pPr>
        <w:widowControl/>
        <w:spacing w:line="580" w:lineRule="exact"/>
        <w:ind w:firstLine="960" w:firstLineChars="300"/>
        <w:jc w:val="left"/>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ind w:left="0" w:leftChars="0" w:firstLine="0" w:firstLineChars="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object>
          <v:shape id="_x0000_i1025" o:spt="75" type="#_x0000_t75" style="height:610.65pt;width:414.95pt;" o:ole="t" filled="f" o:preferrelative="t" stroked="f" coordsize="21600,21600">
            <v:path/>
            <v:fill on="f" focussize="0,0"/>
            <v:stroke on="f"/>
            <v:imagedata r:id="rId9" o:title=""/>
            <o:lock v:ext="edit" aspectratio="f"/>
            <w10:wrap type="none"/>
            <w10:anchorlock/>
          </v:shape>
          <o:OLEObject Type="Embed" ProgID="Excel.Sheet.8" ShapeID="_x0000_i1025" DrawAspect="Content" ObjectID="_1468075725" r:id="rId8">
            <o:LockedField>false</o:LockedField>
          </o:OLEObject>
        </w:object>
      </w:r>
    </w:p>
    <w:p>
      <w:pPr>
        <w:pStyle w:val="2"/>
        <w:rPr>
          <w:rFonts w:hint="eastAsia" w:ascii="Times New Roman" w:hAnsi="Times New Roman" w:eastAsia="仿宋_GB2312"/>
          <w:sz w:val="32"/>
          <w:szCs w:val="32"/>
          <w:lang w:eastAsia="zh-CN"/>
        </w:rPr>
      </w:pPr>
    </w:p>
    <w:p>
      <w:pPr>
        <w:pStyle w:val="2"/>
        <w:ind w:left="0" w:leftChars="0" w:firstLine="0" w:firstLineChars="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object>
          <v:shape id="_x0000_i1026" o:spt="75" type="#_x0000_t75" style="height:542pt;width:415.3pt;" o:ole="t" filled="f" o:preferrelative="t" stroked="f" coordsize="21600,21600">
            <v:path/>
            <v:fill on="f" focussize="0,0"/>
            <v:stroke on="f"/>
            <v:imagedata r:id="rId11" o:title=""/>
            <o:lock v:ext="edit" aspectratio="f"/>
            <w10:wrap type="none"/>
            <w10:anchorlock/>
          </v:shape>
          <o:OLEObject Type="Embed" ProgID="Excel.Sheet.8" ShapeID="_x0000_i1026" DrawAspect="Content" ObjectID="_1468075726" r:id="rId10">
            <o:LockedField>false</o:LockedField>
          </o:OLEObject>
        </w:object>
      </w: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rPr>
          <w:rFonts w:hint="eastAsia" w:ascii="Times New Roman" w:hAnsi="Times New Roman" w:eastAsia="仿宋_GB2312"/>
          <w:sz w:val="32"/>
          <w:szCs w:val="32"/>
          <w:lang w:eastAsia="zh-CN"/>
        </w:rPr>
      </w:pPr>
    </w:p>
    <w:p>
      <w:pPr>
        <w:pStyle w:val="2"/>
        <w:ind w:left="0" w:leftChars="0" w:firstLine="0" w:firstLineChars="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object>
          <v:shape id="_x0000_i1027" o:spt="75" type="#_x0000_t75" style="height:589.1pt;width:415.3pt;" o:ole="t" filled="f" o:preferrelative="t" stroked="f" coordsize="21600,21600">
            <v:path/>
            <v:fill on="f" focussize="0,0"/>
            <v:stroke on="f"/>
            <v:imagedata r:id="rId13" o:title=""/>
            <o:lock v:ext="edit" aspectratio="f"/>
            <w10:wrap type="none"/>
            <w10:anchorlock/>
          </v:shape>
          <o:OLEObject Type="Embed" ProgID="Excel.Sheet.8" ShapeID="_x0000_i1027" DrawAspect="Content" ObjectID="_1468075727" r:id="rId12">
            <o:LockedField>false</o:LockedField>
          </o:OLEObject>
        </w:object>
      </w:r>
    </w:p>
    <w:p>
      <w:pPr>
        <w:pStyle w:val="2"/>
        <w:rPr>
          <w:rFonts w:hint="eastAsia" w:ascii="Times New Roman" w:hAnsi="Times New Roman" w:eastAsia="仿宋_GB2312"/>
          <w:sz w:val="32"/>
          <w:szCs w:val="32"/>
          <w:lang w:eastAsia="zh-CN"/>
        </w:rPr>
      </w:pPr>
    </w:p>
    <w:p>
      <w:pPr>
        <w:pStyle w:val="15"/>
        <w:spacing w:line="600" w:lineRule="exact"/>
        <w:ind w:firstLine="640" w:firstLineChars="200"/>
        <w:rPr>
          <w:rFonts w:ascii="Times New Roman" w:hAnsi="Times New Roman" w:eastAsia="仿宋_GB2312" w:cs="Times New Roman"/>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r>
        <w:rPr>
          <w:rFonts w:hint="eastAsia" w:ascii="Times New Roman" w:hAnsi="Times New Roman" w:eastAsia="仿宋_GB2312"/>
          <w:sz w:val="32"/>
          <w:szCs w:val="32"/>
          <w:lang w:eastAsia="zh-CN"/>
        </w:rPr>
        <w:object>
          <v:shape id="_x0000_i1028" o:spt="75" type="#_x0000_t75" style="height:439.45pt;width:415.05pt;" o:ole="t" filled="f" o:preferrelative="t" stroked="f" coordsize="21600,21600">
            <v:path/>
            <v:fill on="f" focussize="0,0"/>
            <v:stroke on="f"/>
            <v:imagedata r:id="rId15" o:title=""/>
            <o:lock v:ext="edit" aspectratio="f"/>
            <w10:wrap type="none"/>
            <w10:anchorlock/>
          </v:shape>
          <o:OLEObject Type="Embed" ProgID="Excel.Sheet.8" ShapeID="_x0000_i1028" DrawAspect="Content" ObjectID="_1468075728" r:id="rId14">
            <o:LockedField>false</o:LockedField>
          </o:OLEObject>
        </w:object>
      </w: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CESI楷体-GB2312">
    <w:altName w:val="楷体"/>
    <w:panose1 w:val="02000500000000000000"/>
    <w:charset w:val="86"/>
    <w:family w:val="auto"/>
    <w:pitch w:val="default"/>
    <w:sig w:usb0="00000000" w:usb1="00000000" w:usb2="00000012"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7563D"/>
    <w:multiLevelType w:val="singleLevel"/>
    <w:tmpl w:val="A6B7563D"/>
    <w:lvl w:ilvl="0" w:tentative="0">
      <w:start w:val="2"/>
      <w:numFmt w:val="decimal"/>
      <w:suff w:val="nothing"/>
      <w:lvlText w:val="%1、"/>
      <w:lvlJc w:val="left"/>
    </w:lvl>
  </w:abstractNum>
  <w:abstractNum w:abstractNumId="1">
    <w:nsid w:val="C8627360"/>
    <w:multiLevelType w:val="singleLevel"/>
    <w:tmpl w:val="C8627360"/>
    <w:lvl w:ilvl="0" w:tentative="0">
      <w:start w:val="1"/>
      <w:numFmt w:val="decimal"/>
      <w:suff w:val="nothing"/>
      <w:lvlText w:val="%1、"/>
      <w:lvlJc w:val="left"/>
    </w:lvl>
  </w:abstractNum>
  <w:abstractNum w:abstractNumId="2">
    <w:nsid w:val="F639CCF1"/>
    <w:multiLevelType w:val="singleLevel"/>
    <w:tmpl w:val="F639CCF1"/>
    <w:lvl w:ilvl="0" w:tentative="0">
      <w:start w:val="2"/>
      <w:numFmt w:val="chineseCounting"/>
      <w:suff w:val="nothing"/>
      <w:lvlText w:val="%1、"/>
      <w:lvlJc w:val="left"/>
      <w:rPr>
        <w:rFonts w:hint="eastAsia"/>
      </w:rPr>
    </w:lvl>
  </w:abstractNum>
  <w:abstractNum w:abstractNumId="3">
    <w:nsid w:val="11E5C51D"/>
    <w:multiLevelType w:val="singleLevel"/>
    <w:tmpl w:val="11E5C51D"/>
    <w:lvl w:ilvl="0" w:tentative="0">
      <w:start w:val="7"/>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76B6631"/>
    <w:rsid w:val="0DD47E98"/>
    <w:rsid w:val="0E7A7A28"/>
    <w:rsid w:val="0E9A0BD9"/>
    <w:rsid w:val="0EC76B99"/>
    <w:rsid w:val="16952BEE"/>
    <w:rsid w:val="16984C26"/>
    <w:rsid w:val="1D97DEFF"/>
    <w:rsid w:val="1DFF72E5"/>
    <w:rsid w:val="1E594468"/>
    <w:rsid w:val="1EFC6F07"/>
    <w:rsid w:val="1FA33C7A"/>
    <w:rsid w:val="1FD27F2A"/>
    <w:rsid w:val="1FFF755E"/>
    <w:rsid w:val="247272D0"/>
    <w:rsid w:val="26AD6D06"/>
    <w:rsid w:val="271C4A6D"/>
    <w:rsid w:val="2FDF85B8"/>
    <w:rsid w:val="2FFFEE04"/>
    <w:rsid w:val="34DF85B0"/>
    <w:rsid w:val="36B64AF6"/>
    <w:rsid w:val="3A60673D"/>
    <w:rsid w:val="3B487D9B"/>
    <w:rsid w:val="3B8F36BC"/>
    <w:rsid w:val="3B962034"/>
    <w:rsid w:val="3C456275"/>
    <w:rsid w:val="3F441A70"/>
    <w:rsid w:val="45581051"/>
    <w:rsid w:val="491FF225"/>
    <w:rsid w:val="4A6E63B6"/>
    <w:rsid w:val="4FFD214C"/>
    <w:rsid w:val="51CA1300"/>
    <w:rsid w:val="55B60BAF"/>
    <w:rsid w:val="56F96E87"/>
    <w:rsid w:val="5777D4F5"/>
    <w:rsid w:val="579D7846"/>
    <w:rsid w:val="57AB444D"/>
    <w:rsid w:val="59DD8326"/>
    <w:rsid w:val="5B470C10"/>
    <w:rsid w:val="5BA228FB"/>
    <w:rsid w:val="5C7D2D7C"/>
    <w:rsid w:val="5DEF592A"/>
    <w:rsid w:val="5F367E67"/>
    <w:rsid w:val="5FC6BB1E"/>
    <w:rsid w:val="5FEB77A0"/>
    <w:rsid w:val="5FF720F1"/>
    <w:rsid w:val="61BA1908"/>
    <w:rsid w:val="65450A05"/>
    <w:rsid w:val="6748101D"/>
    <w:rsid w:val="67BF7E94"/>
    <w:rsid w:val="67FF5C0B"/>
    <w:rsid w:val="6AF671BA"/>
    <w:rsid w:val="6E5618DF"/>
    <w:rsid w:val="6EFC0924"/>
    <w:rsid w:val="6F3B4E6B"/>
    <w:rsid w:val="6FB74722"/>
    <w:rsid w:val="6FEF8B7E"/>
    <w:rsid w:val="706818DC"/>
    <w:rsid w:val="710E6056"/>
    <w:rsid w:val="71A6591B"/>
    <w:rsid w:val="737D59BA"/>
    <w:rsid w:val="77C37683"/>
    <w:rsid w:val="79D19834"/>
    <w:rsid w:val="79FF515B"/>
    <w:rsid w:val="7A4555BF"/>
    <w:rsid w:val="7CAC4238"/>
    <w:rsid w:val="7D6775EE"/>
    <w:rsid w:val="7E9E1962"/>
    <w:rsid w:val="7E9F11B4"/>
    <w:rsid w:val="7F37EC1E"/>
    <w:rsid w:val="7F7DCD9D"/>
    <w:rsid w:val="7F970A6F"/>
    <w:rsid w:val="7FC1FFF3"/>
    <w:rsid w:val="7FC69637"/>
    <w:rsid w:val="7FDF8620"/>
    <w:rsid w:val="7FE8C8F7"/>
    <w:rsid w:val="7FEB56D1"/>
    <w:rsid w:val="7FFB242F"/>
    <w:rsid w:val="7FFDB408"/>
    <w:rsid w:val="7FFE4EEB"/>
    <w:rsid w:val="95FB2B98"/>
    <w:rsid w:val="9A639BC2"/>
    <w:rsid w:val="9FF7D786"/>
    <w:rsid w:val="ABBFB23D"/>
    <w:rsid w:val="B7EF0E9D"/>
    <w:rsid w:val="C3B4DA5A"/>
    <w:rsid w:val="CBFF70E0"/>
    <w:rsid w:val="CFF50B82"/>
    <w:rsid w:val="CFFFAD89"/>
    <w:rsid w:val="DFFE359E"/>
    <w:rsid w:val="DFFE4FFD"/>
    <w:rsid w:val="EEABED75"/>
    <w:rsid w:val="EF6FE155"/>
    <w:rsid w:val="F56FDF51"/>
    <w:rsid w:val="F6B69F17"/>
    <w:rsid w:val="F77F1D61"/>
    <w:rsid w:val="F7FED3A9"/>
    <w:rsid w:val="F8C9DB26"/>
    <w:rsid w:val="F97E8EAE"/>
    <w:rsid w:val="FB36E1A6"/>
    <w:rsid w:val="FB3BE134"/>
    <w:rsid w:val="FCFF4275"/>
    <w:rsid w:val="FD7B2BAC"/>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9"/>
    <w:pPr>
      <w:spacing w:beforeAutospacing="1" w:afterAutospacing="1"/>
      <w:jc w:val="left"/>
      <w:outlineLvl w:val="0"/>
    </w:pPr>
    <w:rPr>
      <w:rFonts w:ascii="宋体" w:hAnsi="宋体"/>
      <w:b/>
      <w:kern w:val="44"/>
      <w:sz w:val="48"/>
      <w:szCs w:val="4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styleId="12">
    <w:name w:val="Strong"/>
    <w:basedOn w:val="11"/>
    <w:qFormat/>
    <w:uiPriority w:val="0"/>
    <w:rPr>
      <w:b/>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6"/>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0</TotalTime>
  <ScaleCrop>false</ScaleCrop>
  <LinksUpToDate>false</LinksUpToDate>
  <CharactersWithSpaces>9786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2025-08-20T02:17:00Z</dcterms:created>
  <dc:creator>李航 null</dc:creator>
  <cp:lastModifiedBy>Administrator</cp:lastModifiedBy>
  <cp:lastPrinted>2024-08-10T10:20:00Z</cp:lastPrinted>
  <dcterms:modified xsi:type="dcterms:W3CDTF">2025-09-15T08:11:54Z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BB7B6AA21D207914D6FDA268992A22D6</vt:lpwstr>
  </property>
</Properties>
</file>