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jc w:val="center"/>
        <w:rPr>
          <w:rFonts w:ascii="Times New Roman" w:hAnsi="Times New Roman" w:cs="Times New Roman"/>
          <w:sz w:val="56"/>
          <w:szCs w:val="56"/>
        </w:rPr>
      </w:pPr>
    </w:p>
    <w:p>
      <w:pPr>
        <w:pStyle w:val="17"/>
        <w:jc w:val="center"/>
        <w:rPr>
          <w:rFonts w:ascii="Times New Roman" w:hAnsi="Times New Roman" w:cs="Times New Roman"/>
          <w:sz w:val="84"/>
          <w:szCs w:val="84"/>
        </w:rPr>
      </w:pPr>
    </w:p>
    <w:p>
      <w:pPr>
        <w:pStyle w:val="17"/>
        <w:jc w:val="center"/>
        <w:rPr>
          <w:rFonts w:ascii="Times New Roman" w:hAnsi="Times New Roman" w:cs="Times New Roman"/>
          <w:sz w:val="84"/>
          <w:szCs w:val="84"/>
        </w:rPr>
      </w:pPr>
    </w:p>
    <w:p>
      <w:pPr>
        <w:pStyle w:val="17"/>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2024年度</w:t>
      </w:r>
    </w:p>
    <w:p>
      <w:pPr>
        <w:pStyle w:val="17"/>
        <w:jc w:val="center"/>
        <w:rPr>
          <w:rFonts w:ascii="Times New Roman" w:hAnsi="Times New Roman" w:eastAsia="方正小标宋简体" w:cs="Times New Roman"/>
          <w:sz w:val="72"/>
          <w:szCs w:val="72"/>
        </w:rPr>
      </w:pPr>
      <w:r>
        <w:rPr>
          <w:rFonts w:hint="eastAsia" w:ascii="Times New Roman" w:hAnsi="Times New Roman" w:eastAsia="方正小标宋简体" w:cs="Times New Roman"/>
          <w:sz w:val="72"/>
          <w:szCs w:val="72"/>
          <w:lang w:eastAsia="zh-CN"/>
        </w:rPr>
        <w:t>湖南省农药检定所</w:t>
      </w:r>
      <w:r>
        <w:rPr>
          <w:rFonts w:ascii="Times New Roman" w:hAnsi="Times New Roman" w:eastAsia="方正小标宋简体" w:cs="Times New Roman"/>
          <w:sz w:val="72"/>
          <w:szCs w:val="72"/>
        </w:rPr>
        <w:t>部门决算</w:t>
      </w:r>
    </w:p>
    <w:p>
      <w:pPr>
        <w:pStyle w:val="17"/>
        <w:jc w:val="center"/>
        <w:rPr>
          <w:rFonts w:ascii="Times New Roman" w:hAnsi="Times New Roman" w:eastAsia="方正小标宋_GBK" w:cs="Times New Roman"/>
          <w:sz w:val="56"/>
          <w:szCs w:val="56"/>
        </w:rPr>
      </w:pPr>
    </w:p>
    <w:p>
      <w:pPr>
        <w:pStyle w:val="17"/>
        <w:jc w:val="center"/>
        <w:rPr>
          <w:rFonts w:ascii="Times New Roman" w:hAnsi="Times New Roman" w:cs="Times New Roman"/>
          <w:sz w:val="56"/>
          <w:szCs w:val="56"/>
        </w:rPr>
      </w:pPr>
    </w:p>
    <w:p>
      <w:pPr>
        <w:pStyle w:val="17"/>
        <w:rPr>
          <w:rFonts w:ascii="Times New Roman" w:hAnsi="Times New Roman" w:cs="Times New Roman"/>
          <w:sz w:val="56"/>
          <w:szCs w:val="56"/>
        </w:rPr>
      </w:pPr>
    </w:p>
    <w:p>
      <w:pPr>
        <w:pStyle w:val="17"/>
        <w:jc w:val="center"/>
        <w:rPr>
          <w:rFonts w:ascii="Times New Roman" w:hAnsi="Times New Roman" w:cs="Times New Roman"/>
          <w:sz w:val="32"/>
          <w:szCs w:val="32"/>
        </w:rPr>
      </w:pPr>
    </w:p>
    <w:p>
      <w:pPr>
        <w:pStyle w:val="17"/>
        <w:jc w:val="center"/>
        <w:rPr>
          <w:rFonts w:ascii="Times New Roman" w:hAnsi="Times New Roman" w:cs="Times New Roman"/>
          <w:sz w:val="32"/>
          <w:szCs w:val="32"/>
        </w:rPr>
      </w:pPr>
    </w:p>
    <w:p>
      <w:pPr>
        <w:pStyle w:val="17"/>
        <w:jc w:val="center"/>
        <w:rPr>
          <w:rFonts w:ascii="Times New Roman" w:hAnsi="Times New Roman" w:cs="Times New Roman"/>
          <w:sz w:val="32"/>
          <w:szCs w:val="32"/>
        </w:rPr>
      </w:pPr>
    </w:p>
    <w:p>
      <w:pPr>
        <w:pStyle w:val="17"/>
        <w:jc w:val="center"/>
        <w:rPr>
          <w:rFonts w:ascii="Times New Roman" w:hAnsi="Times New Roman" w:cs="Times New Roman"/>
          <w:sz w:val="32"/>
          <w:szCs w:val="32"/>
        </w:rPr>
      </w:pPr>
    </w:p>
    <w:p>
      <w:pPr>
        <w:pStyle w:val="17"/>
        <w:jc w:val="center"/>
        <w:rPr>
          <w:rFonts w:ascii="Times New Roman" w:hAnsi="Times New Roman" w:cs="Times New Roman"/>
          <w:sz w:val="32"/>
          <w:szCs w:val="32"/>
        </w:rPr>
      </w:pPr>
    </w:p>
    <w:p>
      <w:pPr>
        <w:pStyle w:val="17"/>
        <w:jc w:val="center"/>
        <w:rPr>
          <w:rFonts w:ascii="Times New Roman" w:hAnsi="Times New Roman" w:cs="Times New Roman"/>
          <w:sz w:val="32"/>
          <w:szCs w:val="32"/>
        </w:rPr>
      </w:pPr>
    </w:p>
    <w:p>
      <w:pPr>
        <w:pStyle w:val="17"/>
        <w:spacing w:line="540" w:lineRule="exact"/>
        <w:jc w:val="center"/>
        <w:rPr>
          <w:rFonts w:ascii="Times New Roman" w:hAnsi="Times New Roman" w:cs="Times New Roman"/>
          <w:sz w:val="56"/>
          <w:szCs w:val="56"/>
        </w:rPr>
      </w:pPr>
    </w:p>
    <w:p>
      <w:pPr>
        <w:rPr>
          <w:rFonts w:ascii="Times New Roman" w:hAnsi="Times New Roman" w:cs="Times New Roman"/>
          <w:b/>
          <w:sz w:val="36"/>
          <w:szCs w:val="28"/>
        </w:rPr>
        <w:sectPr>
          <w:pgSz w:w="11906" w:h="16838"/>
          <w:pgMar w:top="1417" w:right="1588" w:bottom="1417" w:left="1588" w:header="851" w:footer="992" w:gutter="0"/>
          <w:cols w:space="425" w:num="1"/>
          <w:docGrid w:type="lines" w:linePitch="312" w:charSpace="0"/>
        </w:sectPr>
      </w:pPr>
    </w:p>
    <w:p>
      <w:pPr>
        <w:pStyle w:val="17"/>
        <w:spacing w:line="600" w:lineRule="exact"/>
        <w:jc w:val="both"/>
        <w:rPr>
          <w:rFonts w:ascii="Times New Roman" w:hAnsi="Times New Roman" w:cs="Times New Roman"/>
          <w:b/>
          <w:sz w:val="36"/>
          <w:szCs w:val="28"/>
        </w:rPr>
      </w:pPr>
    </w:p>
    <w:p>
      <w:pPr>
        <w:pStyle w:val="17"/>
        <w:spacing w:line="600" w:lineRule="exact"/>
        <w:jc w:val="center"/>
        <w:rPr>
          <w:rFonts w:ascii="Times New Roman" w:hAnsi="Times New Roman" w:cs="Times New Roman"/>
          <w:bCs/>
          <w:sz w:val="36"/>
          <w:szCs w:val="28"/>
        </w:rPr>
      </w:pPr>
      <w:r>
        <w:rPr>
          <w:rFonts w:ascii="Times New Roman" w:hAnsi="Times New Roman" w:cs="Times New Roman"/>
          <w:bCs/>
          <w:sz w:val="36"/>
          <w:szCs w:val="28"/>
        </w:rPr>
        <w:t>目  录</w:t>
      </w:r>
    </w:p>
    <w:p>
      <w:pPr>
        <w:pStyle w:val="17"/>
        <w:spacing w:line="600" w:lineRule="exact"/>
        <w:jc w:val="center"/>
        <w:rPr>
          <w:rFonts w:ascii="Times New Roman" w:hAnsi="Times New Roman" w:cs="Times New Roman"/>
          <w:b/>
          <w:sz w:val="36"/>
          <w:szCs w:val="28"/>
        </w:rPr>
      </w:pPr>
    </w:p>
    <w:p>
      <w:pPr>
        <w:pStyle w:val="17"/>
        <w:spacing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第一部分</w:t>
      </w:r>
      <w:r>
        <w:rPr>
          <w:rFonts w:hint="eastAsia" w:ascii="Times New Roman" w:hAnsi="Times New Roman" w:cs="Times New Roman"/>
          <w:bCs/>
          <w:sz w:val="32"/>
          <w:szCs w:val="32"/>
          <w:lang w:eastAsia="zh-CN"/>
        </w:rPr>
        <w:t>湖南省农药检定所</w:t>
      </w:r>
      <w:r>
        <w:rPr>
          <w:rFonts w:ascii="Times New Roman" w:hAnsi="Times New Roman" w:cs="Times New Roman"/>
          <w:bCs/>
          <w:sz w:val="32"/>
          <w:szCs w:val="32"/>
        </w:rPr>
        <w:t>概况</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一、部门职责</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二、机构设置及决算单位构成</w:t>
      </w:r>
    </w:p>
    <w:p>
      <w:pPr>
        <w:pStyle w:val="17"/>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第二部分 部门决算表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四、财政拨款收入支出决算总表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五、一般公共预算财政拨款支出决算表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六、一般公共预算财政拨款基本支出决算明细表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七、政府性基金预算财政拨款收入支出决算表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八、国有资本经营预算财政拨款支出决算表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九、财政拨款“三公”经费支出决算表</w:t>
      </w:r>
    </w:p>
    <w:p>
      <w:pPr>
        <w:pStyle w:val="17"/>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第三部分 部门决算情况说明</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一、收入支出决算总体情况说明</w:t>
      </w:r>
    </w:p>
    <w:p>
      <w:pPr>
        <w:spacing w:line="60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四、财政拨款收入支出决算总体情况说明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五、一般公共预算财政拨款支出决算情况说明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sectPr>
          <w:footerReference r:id="rId3" w:type="default"/>
          <w:pgSz w:w="11906" w:h="16838"/>
          <w:pgMar w:top="1417" w:right="1588" w:bottom="1417" w:left="1588" w:header="851" w:footer="992" w:gutter="0"/>
          <w:pgNumType w:start="1"/>
          <w:cols w:space="425" w:num="1"/>
          <w:docGrid w:type="lines" w:linePitch="312" w:charSpace="0"/>
        </w:sectPr>
      </w:pP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六、一般公共预算财政拨款基本支出决算情况说明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七、财政拨款“三公”经费支出决算情况说明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八、政府性基金预算收入支出决算情况</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九、关于机关运行经费支出说明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十、一般性支出情况说明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十一、关于政府采购支出说明</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十二、关于国有资产占用情况说明</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十三、关于2024年度预算绩效管理情况的说明</w:t>
      </w:r>
    </w:p>
    <w:p>
      <w:pPr>
        <w:pStyle w:val="17"/>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第四部分 名词解释</w:t>
      </w:r>
    </w:p>
    <w:p>
      <w:pPr>
        <w:pStyle w:val="17"/>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第五部分 附件</w:t>
      </w:r>
    </w:p>
    <w:p>
      <w:pPr>
        <w:pStyle w:val="17"/>
        <w:spacing w:line="600" w:lineRule="exact"/>
        <w:rPr>
          <w:rFonts w:ascii="Times New Roman" w:hAnsi="Times New Roman" w:cs="Times New Roman"/>
          <w:bCs/>
          <w:sz w:val="28"/>
          <w:szCs w:val="28"/>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pStyle w:val="2"/>
        <w:rPr>
          <w:rFonts w:ascii="Times New Roman" w:hAnsi="Times New Roman" w:cs="Times New Roman"/>
        </w:rPr>
        <w:sectPr>
          <w:footerReference r:id="rId4" w:type="default"/>
          <w:pgSz w:w="11906" w:h="16838"/>
          <w:pgMar w:top="1417" w:right="1588" w:bottom="1417" w:left="1588" w:header="851" w:footer="992" w:gutter="0"/>
          <w:pgNumType w:start="1"/>
          <w:cols w:space="425" w:num="1"/>
          <w:docGrid w:type="lines" w:linePitch="312" w:charSpace="0"/>
        </w:sectPr>
      </w:pPr>
    </w:p>
    <w:p>
      <w:pPr>
        <w:rPr>
          <w:rFonts w:ascii="Times New Roman" w:hAnsi="Times New Roman" w:eastAsia="方正小标宋_GBK" w:cs="Times New Roman"/>
          <w:sz w:val="72"/>
          <w:szCs w:val="72"/>
        </w:rPr>
      </w:pPr>
    </w:p>
    <w:p>
      <w:pPr>
        <w:pStyle w:val="17"/>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第一部分</w:t>
      </w:r>
    </w:p>
    <w:p>
      <w:pPr>
        <w:pStyle w:val="17"/>
        <w:spacing w:line="360" w:lineRule="auto"/>
        <w:jc w:val="center"/>
        <w:rPr>
          <w:rFonts w:ascii="Times New Roman" w:hAnsi="Times New Roman" w:eastAsia="方正小标宋_GBK" w:cs="Times New Roman"/>
          <w:sz w:val="52"/>
          <w:szCs w:val="52"/>
        </w:rPr>
      </w:pPr>
      <w:r>
        <w:rPr>
          <w:rFonts w:hint="eastAsia" w:ascii="Times New Roman" w:hAnsi="Times New Roman" w:eastAsia="方正小标宋_GBK" w:cs="Times New Roman"/>
          <w:sz w:val="52"/>
          <w:szCs w:val="52"/>
          <w:lang w:eastAsia="zh-CN"/>
        </w:rPr>
        <w:t>湖南省农药检定所</w:t>
      </w:r>
      <w:r>
        <w:rPr>
          <w:rFonts w:ascii="Times New Roman" w:hAnsi="Times New Roman" w:eastAsia="方正小标宋_GBK" w:cs="Times New Roman"/>
          <w:sz w:val="52"/>
          <w:szCs w:val="52"/>
        </w:rPr>
        <w:t>概况</w:t>
      </w:r>
    </w:p>
    <w:p>
      <w:pPr>
        <w:pStyle w:val="3"/>
        <w:ind w:left="0" w:leftChars="0" w:firstLine="0" w:firstLineChars="0"/>
        <w:rPr>
          <w:rFonts w:ascii="Times New Roman" w:hAnsi="Times New Roman" w:cs="Times New Roman"/>
        </w:rPr>
      </w:pPr>
    </w:p>
    <w:p>
      <w:pPr>
        <w:pStyle w:val="18"/>
        <w:spacing w:line="600" w:lineRule="exact"/>
        <w:ind w:firstLine="0" w:firstLineChars="0"/>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部门职责</w:t>
      </w:r>
    </w:p>
    <w:p>
      <w:pPr>
        <w:widowControl/>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负责全省农产品市场准入、农产品产地认定和农产品质量安全评价鉴定的检负责全省农产品市场准入、农产品产地认定和农产品质量安全评价鉴定的检验检测；</w:t>
      </w:r>
    </w:p>
    <w:p>
      <w:pPr>
        <w:widowControl/>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承担国家、省级农产品质量安全监督检验检测和名牌、优质农产品评定的检验检测；承担全省农产品质量安全认证、仲裁、行政许可、行政执法的检验检测；委托承担农产品质量安全重大事故、纠纷的技术调查、鉴定和评价；</w:t>
      </w:r>
    </w:p>
    <w:p>
      <w:pPr>
        <w:widowControl/>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承担国家、省农产品质量安全普查和风险评估工作；</w:t>
      </w:r>
    </w:p>
    <w:p>
      <w:pPr>
        <w:widowControl/>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承担农业转基因生物质量安全普查和风险评估工作；</w:t>
      </w:r>
    </w:p>
    <w:p>
      <w:pPr>
        <w:widowControl/>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负责全省种子、农药、肥料等农业生产资料质量监督检验、仲裁检验、评优检验；负责全省肥料登记产品抽样检验检测；承担农业科技成果、农业科技新产品鉴定的技术的检验检测；</w:t>
      </w:r>
    </w:p>
    <w:p>
      <w:pPr>
        <w:widowControl/>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负责全省农药登记、农药广告审查、农药市场监督、农药田间药效评价试验和农药残留试验评价等管理工作；</w:t>
      </w:r>
    </w:p>
    <w:p>
      <w:pPr>
        <w:widowControl/>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负责全省农业环境质量安全的技术检验检测与评价工作；</w:t>
      </w:r>
    </w:p>
    <w:p>
      <w:pPr>
        <w:widowControl/>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协助省农业行政主管部门承担农业标准的信息搜集、整理及标准的制（修）订、审查、宣贯工作，开展国外检验检测技术的信息收集、整理分析和检测等技术的研究开发工作；</w:t>
      </w:r>
    </w:p>
    <w:p>
      <w:pPr>
        <w:widowControl/>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委托承担有关检验检测专业技术人员的培训工作，承担全省有关企业和地方同类检</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keepNext w:val="0"/>
        <w:keepLines w:val="0"/>
        <w:pageBreakBefore w:val="0"/>
        <w:widowControl w:val="0"/>
        <w:kinsoku/>
        <w:wordWrap/>
        <w:overflowPunct/>
        <w:topLinePunct w:val="0"/>
        <w:autoSpaceDE/>
        <w:autoSpaceDN/>
        <w:bidi w:val="0"/>
        <w:spacing w:line="560" w:lineRule="exact"/>
        <w:ind w:firstLine="576"/>
        <w:textAlignment w:val="auto"/>
        <w:rPr>
          <w:rFonts w:hint="eastAsia" w:ascii="仿宋" w:hAnsi="仿宋" w:eastAsia="仿宋"/>
          <w:sz w:val="32"/>
          <w:szCs w:val="32"/>
          <w:lang w:eastAsia="zh-CN"/>
        </w:rPr>
      </w:pPr>
      <w:r>
        <w:rPr>
          <w:rFonts w:hint="eastAsia" w:ascii="Times New Roman" w:hAnsi="Times New Roman" w:eastAsia="仿宋_GB2312" w:cs="仿宋_GB2312"/>
          <w:bCs/>
          <w:kern w:val="0"/>
          <w:sz w:val="32"/>
          <w:szCs w:val="32"/>
        </w:rPr>
        <w:t>（一）内设机构设置。</w:t>
      </w:r>
      <w:r>
        <w:rPr>
          <w:rFonts w:hint="eastAsia" w:ascii="仿宋" w:hAnsi="仿宋" w:eastAsia="仿宋"/>
          <w:sz w:val="32"/>
          <w:szCs w:val="32"/>
          <w:lang w:eastAsia="zh-CN"/>
        </w:rPr>
        <w:t>湖南省农药检定所（湖南省农产品质量检验检测中心（长沙土壤肥料测试中心）），省农业农村厅直属正处级参公管理单位，2009年实施参照公务员法管理。内设办公室、业务科、综合科、药监科、药政科、审评科、检测科7个科室。</w:t>
      </w:r>
    </w:p>
    <w:p>
      <w:pPr>
        <w:widowControl/>
        <w:spacing w:line="600" w:lineRule="exact"/>
        <w:ind w:firstLine="640" w:firstLineChars="200"/>
        <w:rPr>
          <w:rFonts w:hint="eastAsia" w:ascii="仿宋_GB2312" w:eastAsia="仿宋_GB2312" w:hAnsiTheme="minorEastAsia"/>
          <w:sz w:val="28"/>
          <w:szCs w:val="32"/>
          <w:lang w:eastAsia="zh-CN"/>
        </w:rPr>
      </w:pPr>
      <w:r>
        <w:rPr>
          <w:rFonts w:hint="eastAsia" w:ascii="Times New Roman" w:hAnsi="Times New Roman" w:eastAsia="仿宋_GB2312" w:cs="仿宋_GB2312"/>
          <w:bCs/>
          <w:kern w:val="0"/>
          <w:sz w:val="32"/>
          <w:szCs w:val="32"/>
        </w:rPr>
        <w:t>（二）决算单位构成。</w:t>
      </w:r>
      <w:r>
        <w:rPr>
          <w:rFonts w:hint="eastAsia" w:ascii="仿宋" w:hAnsi="仿宋" w:eastAsia="仿宋"/>
          <w:sz w:val="32"/>
          <w:szCs w:val="32"/>
          <w:lang w:eastAsia="zh-CN"/>
        </w:rPr>
        <w:t>湖南省农药检定所</w:t>
      </w: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4</w:t>
      </w:r>
      <w:r>
        <w:rPr>
          <w:rFonts w:hint="eastAsia" w:ascii="Times New Roman" w:hAnsi="Times New Roman" w:eastAsia="仿宋_GB2312" w:cs="仿宋_GB2312"/>
          <w:bCs/>
          <w:kern w:val="0"/>
          <w:sz w:val="32"/>
          <w:szCs w:val="32"/>
        </w:rPr>
        <w:t>年部门决算汇总公开单位构成包括：</w:t>
      </w:r>
      <w:r>
        <w:rPr>
          <w:rFonts w:hint="eastAsia" w:ascii="仿宋" w:hAnsi="仿宋" w:eastAsia="仿宋"/>
          <w:sz w:val="32"/>
          <w:szCs w:val="32"/>
          <w:lang w:eastAsia="zh-CN"/>
        </w:rPr>
        <w:t>湖南省农药检定所</w:t>
      </w:r>
      <w:r>
        <w:rPr>
          <w:rFonts w:hint="eastAsia" w:ascii="Times New Roman" w:hAnsi="Times New Roman" w:eastAsia="仿宋_GB2312" w:cs="仿宋_GB2312"/>
          <w:bCs/>
          <w:kern w:val="0"/>
          <w:sz w:val="32"/>
          <w:szCs w:val="32"/>
        </w:rPr>
        <w:t>本级</w:t>
      </w:r>
      <w:r>
        <w:rPr>
          <w:rFonts w:hint="eastAsia" w:ascii="Times New Roman" w:hAnsi="Times New Roman" w:eastAsia="仿宋_GB2312" w:cs="仿宋_GB2312"/>
          <w:bCs/>
          <w:kern w:val="0"/>
          <w:sz w:val="32"/>
          <w:szCs w:val="32"/>
          <w:lang w:eastAsia="zh-CN"/>
        </w:rPr>
        <w:t>。</w:t>
      </w: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pStyle w:val="2"/>
        <w:rPr>
          <w:rFonts w:ascii="Times New Roman" w:hAnsi="Times New Roman" w:cs="Times New Roman"/>
        </w:rPr>
        <w:sectPr>
          <w:footerReference r:id="rId5" w:type="default"/>
          <w:pgSz w:w="11906" w:h="16838"/>
          <w:pgMar w:top="1417" w:right="1588" w:bottom="1417" w:left="1588" w:header="851" w:footer="992" w:gutter="0"/>
          <w:pgNumType w:start="1"/>
          <w:cols w:space="425" w:num="1"/>
          <w:docGrid w:type="lines" w:linePitch="312" w:charSpace="0"/>
        </w:sectPr>
      </w:pPr>
    </w:p>
    <w:p>
      <w:pPr>
        <w:pStyle w:val="17"/>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第二部分    部门决算表</w:t>
      </w:r>
    </w:p>
    <w:p>
      <w:pPr>
        <w:widowControl/>
        <w:spacing w:after="156" w:afterLines="50"/>
        <w:jc w:val="center"/>
        <w:textAlignment w:val="center"/>
        <w:rPr>
          <w:rFonts w:ascii="Times New Roman" w:hAnsi="Times New Roman" w:eastAsia="黑体" w:cs="Times New Roman"/>
          <w:color w:val="000000"/>
          <w:sz w:val="36"/>
          <w:szCs w:val="36"/>
        </w:rPr>
      </w:pPr>
      <w:r>
        <w:rPr>
          <w:rFonts w:ascii="Times New Roman" w:hAnsi="Times New Roman" w:eastAsia="黑体" w:cs="Times New Roman"/>
          <w:color w:val="000000"/>
          <w:kern w:val="0"/>
          <w:sz w:val="36"/>
          <w:szCs w:val="36"/>
          <w:lang w:bidi="ar"/>
        </w:rPr>
        <w:t>收入支出决算总表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公开01表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eastAsia="zh-CN" w:bidi="ar"/>
        </w:rPr>
        <w:t>湖南省农药检定所</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单位：万元</w:t>
      </w:r>
    </w:p>
    <w:p>
      <w:pPr>
        <w:widowControl/>
        <w:jc w:val="left"/>
        <w:textAlignment w:val="center"/>
        <w:rPr>
          <w:rFonts w:ascii="Times New Roman" w:hAnsi="Times New Roman" w:eastAsia="宋体" w:cs="Times New Roman"/>
          <w:color w:val="000000"/>
          <w:kern w:val="0"/>
          <w:sz w:val="24"/>
          <w:szCs w:val="24"/>
          <w:lang w:bidi="ar"/>
        </w:rPr>
      </w:pPr>
    </w:p>
    <w:tbl>
      <w:tblPr>
        <w:tblStyle w:val="13"/>
        <w:tblW w:w="1404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002"/>
        <w:gridCol w:w="650"/>
        <w:gridCol w:w="1271"/>
        <w:gridCol w:w="3320"/>
        <w:gridCol w:w="460"/>
        <w:gridCol w:w="33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692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收入</w:t>
            </w:r>
          </w:p>
        </w:tc>
        <w:tc>
          <w:tcPr>
            <w:tcW w:w="712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3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0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一、一般公共预算财政拨款收入</w:t>
            </w: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1,844.04</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3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二、政府性基金预算财政拨款收入</w:t>
            </w: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3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三、国有资本经营预算财政拨款收入</w:t>
            </w: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3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0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四、上级补助收入</w:t>
            </w: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3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五、事业收入</w:t>
            </w: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3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0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六、经营收入</w:t>
            </w: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3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七、附属单位上缴收入</w:t>
            </w: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3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八、其他收入</w:t>
            </w: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0.76</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3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0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3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0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3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3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3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1,803.11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3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3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3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0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3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0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3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3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3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3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3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0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3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0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3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3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3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0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3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1,844.80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3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2,024.86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0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使用非财政拨款结余（含专用结余）</w:t>
            </w: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结余分配</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3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0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年初结转和结余</w:t>
            </w: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552.80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年末结转和结余</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3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372.74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0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2,397.60</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33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2,397.60</w:t>
            </w:r>
          </w:p>
        </w:tc>
      </w:tr>
    </w:tbl>
    <w:p>
      <w:pPr>
        <w:widowControl/>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注：1.本表反映部门本年度的总收支和年末结转结余情况。</w:t>
      </w:r>
      <w:r>
        <w:rPr>
          <w:rFonts w:ascii="Times New Roman" w:hAnsi="Times New Roman" w:eastAsia="仿宋_GB2312" w:cs="Times New Roman"/>
          <w:color w:val="000000"/>
          <w:kern w:val="0"/>
          <w:sz w:val="24"/>
          <w:szCs w:val="24"/>
          <w:lang w:bidi="ar"/>
        </w:rPr>
        <w:br w:type="textWrapping"/>
      </w:r>
      <w:r>
        <w:rPr>
          <w:rFonts w:ascii="Times New Roman" w:hAnsi="Times New Roman" w:eastAsia="仿宋_GB2312" w:cs="Times New Roman"/>
          <w:color w:val="000000"/>
          <w:kern w:val="0"/>
          <w:sz w:val="24"/>
          <w:szCs w:val="24"/>
          <w:lang w:bidi="ar"/>
        </w:rPr>
        <w:t xml:space="preserve">    2.本套报表金额单位转换时可能存在尾数误差。</w:t>
      </w:r>
    </w:p>
    <w:p>
      <w:pPr>
        <w:rPr>
          <w:rFonts w:ascii="Times New Roman" w:hAnsi="Times New Roman" w:eastAsia="华文中宋" w:cs="Times New Roman"/>
          <w:color w:val="000000"/>
          <w:sz w:val="32"/>
          <w:szCs w:val="32"/>
        </w:rPr>
      </w:pPr>
      <w:r>
        <w:rPr>
          <w:rFonts w:ascii="Times New Roman" w:hAnsi="Times New Roman" w:eastAsia="华文中宋" w:cs="Times New Roman"/>
          <w:color w:val="000000"/>
          <w:sz w:val="32"/>
          <w:szCs w:val="32"/>
        </w:rPr>
        <w:br w:type="page"/>
      </w:r>
    </w:p>
    <w:p>
      <w:pPr>
        <w:widowControl/>
        <w:spacing w:line="400" w:lineRule="exact"/>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收入决算表</w:t>
      </w:r>
    </w:p>
    <w:p>
      <w:pPr>
        <w:tabs>
          <w:tab w:val="left" w:pos="315"/>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公开02表</w:t>
      </w:r>
    </w:p>
    <w:p>
      <w:pPr>
        <w:tabs>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部门：</w:t>
      </w:r>
      <w:r>
        <w:rPr>
          <w:rFonts w:ascii="Times New Roman" w:hAnsi="Times New Roman" w:eastAsia="仿宋_GB2312" w:cs="Times New Roman"/>
          <w:color w:val="000000"/>
          <w:sz w:val="20"/>
          <w:szCs w:val="20"/>
        </w:rPr>
        <w:tab/>
      </w:r>
      <w:r>
        <w:rPr>
          <w:rFonts w:hint="eastAsia" w:ascii="Times New Roman" w:hAnsi="Times New Roman" w:eastAsia="仿宋_GB2312" w:cs="Times New Roman"/>
          <w:color w:val="000000"/>
          <w:kern w:val="0"/>
          <w:sz w:val="20"/>
          <w:szCs w:val="20"/>
          <w:lang w:eastAsia="zh-CN" w:bidi="ar"/>
        </w:rPr>
        <w:t>湖南省农药检定所</w:t>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　</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单位：万元</w:t>
      </w:r>
    </w:p>
    <w:tbl>
      <w:tblPr>
        <w:tblStyle w:val="13"/>
        <w:tblW w:w="15430" w:type="dxa"/>
        <w:tblInd w:w="-5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09"/>
        <w:gridCol w:w="3603"/>
        <w:gridCol w:w="1649"/>
        <w:gridCol w:w="1649"/>
        <w:gridCol w:w="1649"/>
        <w:gridCol w:w="1649"/>
        <w:gridCol w:w="1649"/>
        <w:gridCol w:w="1212"/>
        <w:gridCol w:w="14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51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本年收入合计</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财政拨款收入</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上级补助收入</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事业收入</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经营收入</w:t>
            </w:r>
          </w:p>
        </w:tc>
        <w:tc>
          <w:tcPr>
            <w:tcW w:w="121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附属单位上缴收入</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360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1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51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1,844.80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1,844.04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2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122.76</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122.76</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122.76</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122.76</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行政单位离退休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43.20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43.20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79.56</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79.56</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卫生健康支出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32.04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32.04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行政事业单位医疗</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32.04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32.04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公务员医疗补助</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32.04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32.04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1,618.60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1,617.84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1,618.60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1,617.84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686.24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686.24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922.26</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921.50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71.40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71.40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71.40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71.40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9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71.40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71.40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bl>
    <w:p>
      <w:pPr>
        <w:spacing w:before="120"/>
        <w:rPr>
          <w:rFonts w:ascii="Times New Roman" w:hAnsi="Times New Roman" w:eastAsia="黑体" w:cs="Times New Roman"/>
          <w:color w:val="000000"/>
          <w:kern w:val="0"/>
          <w:sz w:val="32"/>
          <w:szCs w:val="32"/>
          <w:lang w:bidi="ar"/>
        </w:rPr>
      </w:pPr>
      <w:r>
        <w:rPr>
          <w:rFonts w:ascii="Times New Roman" w:hAnsi="Times New Roman" w:eastAsia="仿宋_GB2312" w:cs="Times New Roman"/>
        </w:rPr>
        <w:t>注：本表反映部门本年度取得的各项收入情况。</w:t>
      </w: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支出决算表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公开03表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lang w:eastAsia="zh-CN" w:bidi="ar"/>
        </w:rPr>
        <w:t>湖南省农药检定所</w:t>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　</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单位：万元</w:t>
      </w:r>
    </w:p>
    <w:tbl>
      <w:tblPr>
        <w:tblStyle w:val="13"/>
        <w:tblW w:w="144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180"/>
        <w:gridCol w:w="3603"/>
        <w:gridCol w:w="1649"/>
        <w:gridCol w:w="1649"/>
        <w:gridCol w:w="1649"/>
        <w:gridCol w:w="1649"/>
        <w:gridCol w:w="1649"/>
        <w:gridCol w:w="14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47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本年支出合计</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上缴上级支出</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经营支出</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360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41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47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2,024.86</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896.22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1,128.65</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118.31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118.31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118.31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118.31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行政单位离退休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43.03</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43.03</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75.28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75.28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卫生健康支出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32.04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32.04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行政事业单位医疗</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32.04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32.04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公务员医疗补助</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32.04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32.04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1,803.11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674.47</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1,128.65</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1,803.11</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674.47</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1,128.65</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674.47</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674.47</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2130109</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农产品质量安全</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1,023.98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1,023.98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2130135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农业生态资源保护</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59.99</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59.99</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71.40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71.40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71.40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71.40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71.40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71.40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spacing w:before="120"/>
        <w:jc w:val="left"/>
        <w:rPr>
          <w:rFonts w:ascii="Times New Roman" w:hAnsi="Times New Roman" w:eastAsia="方正小标宋_GBK" w:cs="Times New Roman"/>
          <w:color w:val="000000"/>
          <w:kern w:val="0"/>
          <w:sz w:val="36"/>
          <w:szCs w:val="21"/>
        </w:rPr>
      </w:pPr>
      <w:r>
        <w:rPr>
          <w:rFonts w:ascii="Times New Roman" w:hAnsi="Times New Roman" w:eastAsia="仿宋_GB2312" w:cs="Times New Roman"/>
          <w:kern w:val="0"/>
          <w:sz w:val="24"/>
          <w:szCs w:val="24"/>
        </w:rPr>
        <w:t>注：本表反映部门本年度各项支出情况。</w:t>
      </w:r>
    </w:p>
    <w:p>
      <w:pPr>
        <w:widowControl/>
        <w:tabs>
          <w:tab w:val="left" w:pos="3595"/>
          <w:tab w:val="left" w:pos="4031"/>
          <w:tab w:val="left" w:pos="5605"/>
          <w:tab w:val="left" w:pos="9152"/>
          <w:tab w:val="left" w:pos="9587"/>
          <w:tab w:val="left" w:pos="11160"/>
          <w:tab w:val="left" w:pos="12554"/>
          <w:tab w:val="left" w:pos="13948"/>
        </w:tabs>
        <w:jc w:val="right"/>
        <w:rPr>
          <w:rFonts w:ascii="Times New Roman" w:hAnsi="Times New Roman" w:eastAsia="宋体" w:cs="Times New Roman"/>
          <w:kern w:val="0"/>
          <w:sz w:val="24"/>
          <w:szCs w:val="24"/>
        </w:rPr>
      </w:pPr>
      <w:bookmarkStart w:id="0" w:name="RANGE!A1:I22"/>
      <w:bookmarkEnd w:id="0"/>
      <w:bookmarkStart w:id="1" w:name="RANGE!A1:F16"/>
      <w:r>
        <w:rPr>
          <w:rFonts w:ascii="Times New Roman" w:hAnsi="Times New Roman" w:eastAsia="黑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p>
    <w:p>
      <w:pPr>
        <w:widowControl/>
        <w:spacing w:line="400" w:lineRule="exact"/>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财政拨款收入支出决算总表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 xml:space="preserve">                                                                                                                  公开04表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lang w:eastAsia="zh-CN" w:bidi="ar"/>
        </w:rPr>
        <w:t>湖南省农药检定所</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color w:val="000000"/>
          <w:kern w:val="0"/>
          <w:sz w:val="20"/>
          <w:szCs w:val="20"/>
        </w:rPr>
        <w:t>单位：万元</w:t>
      </w:r>
    </w:p>
    <w:tbl>
      <w:tblPr>
        <w:tblStyle w:val="13"/>
        <w:tblW w:w="1589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400"/>
        <w:gridCol w:w="523"/>
        <w:gridCol w:w="1540"/>
        <w:gridCol w:w="3663"/>
        <w:gridCol w:w="523"/>
        <w:gridCol w:w="900"/>
        <w:gridCol w:w="1540"/>
        <w:gridCol w:w="1491"/>
        <w:gridCol w:w="23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46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     入</w:t>
            </w:r>
          </w:p>
        </w:tc>
        <w:tc>
          <w:tcPr>
            <w:tcW w:w="10430"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340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5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366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5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一般公共预算财政拨款</w:t>
            </w:r>
          </w:p>
        </w:tc>
        <w:tc>
          <w:tcPr>
            <w:tcW w:w="149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政府性基金预算财政拨款</w:t>
            </w:r>
          </w:p>
        </w:tc>
        <w:tc>
          <w:tcPr>
            <w:tcW w:w="231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34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3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1,844.04</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118.31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118.31</w:t>
            </w: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32.04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32.04</w:t>
            </w: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1,706.77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1,706.77</w:t>
            </w: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71.40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71.40</w:t>
            </w: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1,844.04</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1,928.52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1,928.52</w:t>
            </w: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年初财政拨款结转和结余</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118.65</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年末财政拨款结转和结余</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34.16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34.16</w:t>
            </w: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一般公共预算财政拨款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118.65</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政府性基金预算财政拨款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国有资本经营预算财政拨款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4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1,962.69</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1,962.69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1,962.69</w:t>
            </w: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注：</w:t>
      </w:r>
      <w:r>
        <w:rPr>
          <w:rFonts w:ascii="Times New Roman" w:hAnsi="Times New Roman" w:eastAsia="仿宋_GB2312" w:cs="Times New Roman"/>
          <w:spacing w:val="-6"/>
          <w:kern w:val="0"/>
          <w:sz w:val="24"/>
          <w:szCs w:val="24"/>
        </w:rPr>
        <w:t>本表反映部门本年度一般公共预算财政拨款、政府性基金预算财政拨款和国有资本经营预算财政拨款的总收支和年末结转结余情况。</w:t>
      </w:r>
    </w:p>
    <w:p>
      <w:pPr>
        <w:widowControl/>
        <w:jc w:val="center"/>
        <w:rPr>
          <w:rFonts w:ascii="Times New Roman" w:hAnsi="Times New Roman" w:eastAsia="方正小标宋_GBK" w:cs="Times New Roman"/>
          <w:kern w:val="0"/>
          <w:sz w:val="36"/>
          <w:szCs w:val="36"/>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w:t>
      </w:r>
      <w:r>
        <w:rPr>
          <w:rFonts w:hint="eastAsia" w:ascii="Times New Roman" w:hAnsi="Times New Roman" w:eastAsia="仿宋_GB2312" w:cs="Times New Roman"/>
          <w:color w:val="000000"/>
          <w:kern w:val="0"/>
          <w:sz w:val="20"/>
          <w:szCs w:val="20"/>
          <w:lang w:eastAsia="zh-CN" w:bidi="ar"/>
        </w:rPr>
        <w:t>湖南省农药检定所</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单位：万元</w:t>
      </w:r>
    </w:p>
    <w:tbl>
      <w:tblPr>
        <w:tblStyle w:val="13"/>
        <w:tblW w:w="137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926"/>
        <w:gridCol w:w="4943"/>
        <w:gridCol w:w="2377"/>
        <w:gridCol w:w="2277"/>
        <w:gridCol w:w="22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686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901"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92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494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237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227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224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19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94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3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2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2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9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94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3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2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2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686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23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2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686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23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1,928.52</w:t>
            </w:r>
          </w:p>
        </w:tc>
        <w:tc>
          <w:tcPr>
            <w:tcW w:w="22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896.22</w:t>
            </w:r>
          </w:p>
        </w:tc>
        <w:tc>
          <w:tcPr>
            <w:tcW w:w="2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1,032.31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49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23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118.31</w:t>
            </w:r>
          </w:p>
        </w:tc>
        <w:tc>
          <w:tcPr>
            <w:tcW w:w="22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118.31</w:t>
            </w:r>
          </w:p>
        </w:tc>
        <w:tc>
          <w:tcPr>
            <w:tcW w:w="2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49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23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118.31</w:t>
            </w:r>
          </w:p>
        </w:tc>
        <w:tc>
          <w:tcPr>
            <w:tcW w:w="22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118.31</w:t>
            </w:r>
          </w:p>
        </w:tc>
        <w:tc>
          <w:tcPr>
            <w:tcW w:w="2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2080501</w:t>
            </w:r>
          </w:p>
        </w:tc>
        <w:tc>
          <w:tcPr>
            <w:tcW w:w="49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行政单位离退休</w:t>
            </w:r>
          </w:p>
        </w:tc>
        <w:tc>
          <w:tcPr>
            <w:tcW w:w="23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43.03</w:t>
            </w:r>
          </w:p>
        </w:tc>
        <w:tc>
          <w:tcPr>
            <w:tcW w:w="22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43.03</w:t>
            </w:r>
          </w:p>
        </w:tc>
        <w:tc>
          <w:tcPr>
            <w:tcW w:w="2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49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23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75.28</w:t>
            </w:r>
          </w:p>
        </w:tc>
        <w:tc>
          <w:tcPr>
            <w:tcW w:w="22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75.28</w:t>
            </w:r>
          </w:p>
        </w:tc>
        <w:tc>
          <w:tcPr>
            <w:tcW w:w="2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49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卫生健康支出</w:t>
            </w:r>
          </w:p>
        </w:tc>
        <w:tc>
          <w:tcPr>
            <w:tcW w:w="23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32.04</w:t>
            </w:r>
          </w:p>
        </w:tc>
        <w:tc>
          <w:tcPr>
            <w:tcW w:w="22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32.04</w:t>
            </w:r>
          </w:p>
        </w:tc>
        <w:tc>
          <w:tcPr>
            <w:tcW w:w="2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w:t>
            </w:r>
          </w:p>
        </w:tc>
        <w:tc>
          <w:tcPr>
            <w:tcW w:w="49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行政事业单位医疗</w:t>
            </w:r>
          </w:p>
        </w:tc>
        <w:tc>
          <w:tcPr>
            <w:tcW w:w="23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32.04</w:t>
            </w:r>
          </w:p>
        </w:tc>
        <w:tc>
          <w:tcPr>
            <w:tcW w:w="22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32.04</w:t>
            </w:r>
          </w:p>
        </w:tc>
        <w:tc>
          <w:tcPr>
            <w:tcW w:w="2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2101103</w:t>
            </w:r>
          </w:p>
        </w:tc>
        <w:tc>
          <w:tcPr>
            <w:tcW w:w="49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公务员医疗补助</w:t>
            </w:r>
          </w:p>
        </w:tc>
        <w:tc>
          <w:tcPr>
            <w:tcW w:w="23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32.04</w:t>
            </w:r>
          </w:p>
        </w:tc>
        <w:tc>
          <w:tcPr>
            <w:tcW w:w="22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32.04</w:t>
            </w:r>
          </w:p>
        </w:tc>
        <w:tc>
          <w:tcPr>
            <w:tcW w:w="2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49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23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1,706.77</w:t>
            </w:r>
          </w:p>
        </w:tc>
        <w:tc>
          <w:tcPr>
            <w:tcW w:w="22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674.47</w:t>
            </w:r>
          </w:p>
        </w:tc>
        <w:tc>
          <w:tcPr>
            <w:tcW w:w="2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1,032.31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49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23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1,706.77</w:t>
            </w:r>
          </w:p>
        </w:tc>
        <w:tc>
          <w:tcPr>
            <w:tcW w:w="22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674.47</w:t>
            </w:r>
          </w:p>
        </w:tc>
        <w:tc>
          <w:tcPr>
            <w:tcW w:w="2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1,032.31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49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23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674.47</w:t>
            </w:r>
          </w:p>
        </w:tc>
        <w:tc>
          <w:tcPr>
            <w:tcW w:w="22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674.47</w:t>
            </w:r>
          </w:p>
        </w:tc>
        <w:tc>
          <w:tcPr>
            <w:tcW w:w="2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2130109</w:t>
            </w:r>
          </w:p>
        </w:tc>
        <w:tc>
          <w:tcPr>
            <w:tcW w:w="49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农产品质量安全</w:t>
            </w:r>
          </w:p>
        </w:tc>
        <w:tc>
          <w:tcPr>
            <w:tcW w:w="23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40.00</w:t>
            </w:r>
          </w:p>
        </w:tc>
        <w:tc>
          <w:tcPr>
            <w:tcW w:w="22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49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23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927.64</w:t>
            </w:r>
          </w:p>
        </w:tc>
        <w:tc>
          <w:tcPr>
            <w:tcW w:w="22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927.64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2130135</w:t>
            </w:r>
          </w:p>
        </w:tc>
        <w:tc>
          <w:tcPr>
            <w:tcW w:w="49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农业生态资源保护</w:t>
            </w:r>
          </w:p>
        </w:tc>
        <w:tc>
          <w:tcPr>
            <w:tcW w:w="23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59.99</w:t>
            </w:r>
          </w:p>
        </w:tc>
        <w:tc>
          <w:tcPr>
            <w:tcW w:w="22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49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23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4.68</w:t>
            </w:r>
          </w:p>
        </w:tc>
        <w:tc>
          <w:tcPr>
            <w:tcW w:w="22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49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23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71.40</w:t>
            </w:r>
          </w:p>
        </w:tc>
        <w:tc>
          <w:tcPr>
            <w:tcW w:w="22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71.40</w:t>
            </w:r>
          </w:p>
        </w:tc>
        <w:tc>
          <w:tcPr>
            <w:tcW w:w="2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49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23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71.40</w:t>
            </w:r>
          </w:p>
        </w:tc>
        <w:tc>
          <w:tcPr>
            <w:tcW w:w="22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71.40</w:t>
            </w:r>
          </w:p>
        </w:tc>
        <w:tc>
          <w:tcPr>
            <w:tcW w:w="2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49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23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71.40</w:t>
            </w:r>
          </w:p>
        </w:tc>
        <w:tc>
          <w:tcPr>
            <w:tcW w:w="22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71.40</w:t>
            </w:r>
          </w:p>
        </w:tc>
        <w:tc>
          <w:tcPr>
            <w:tcW w:w="224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spacing w:before="120"/>
        <w:jc w:val="left"/>
        <w:rPr>
          <w:rFonts w:ascii="Times New Roman" w:hAnsi="Times New Roman" w:eastAsia="仿宋_GB2312" w:cs="Times New Roman"/>
          <w:bCs/>
          <w:kern w:val="0"/>
          <w:szCs w:val="21"/>
        </w:rPr>
      </w:pPr>
      <w:r>
        <w:rPr>
          <w:rFonts w:ascii="Times New Roman" w:hAnsi="Times New Roman" w:eastAsia="仿宋_GB2312" w:cs="Times New Roman"/>
          <w:kern w:val="0"/>
          <w:szCs w:val="21"/>
        </w:rPr>
        <w:t>注：本表反映部门本年度一般公共预算财政拨款支出情况。</w:t>
      </w: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p>
      <w:pPr>
        <w:widowControl/>
        <w:spacing w:after="120"/>
        <w:jc w:val="center"/>
        <w:textAlignment w:val="center"/>
        <w:rPr>
          <w:rFonts w:ascii="Times New Roman" w:hAnsi="Times New Roman" w:eastAsia="黑体" w:cs="Times New Roman"/>
          <w:color w:val="000000"/>
          <w:kern w:val="0"/>
          <w:sz w:val="36"/>
          <w:szCs w:val="36"/>
          <w:lang w:bidi="ar"/>
        </w:rPr>
      </w:pPr>
      <w:bookmarkStart w:id="2" w:name="RANGE!A1:I34"/>
      <w:r>
        <w:rPr>
          <w:rFonts w:ascii="Times New Roman" w:hAnsi="Times New Roman" w:eastAsia="黑体" w:cs="Times New Roman"/>
          <w:color w:val="000000"/>
          <w:kern w:val="0"/>
          <w:sz w:val="36"/>
          <w:szCs w:val="36"/>
          <w:lang w:bidi="ar"/>
        </w:rPr>
        <w:t>一般公共预算财政拨款基本支出决算明细表</w:t>
      </w:r>
      <w:bookmarkEnd w:id="2"/>
    </w:p>
    <w:p>
      <w:pPr>
        <w:widowControl/>
        <w:wordWrap w:val="0"/>
        <w:spacing w:line="240" w:lineRule="exact"/>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 </w:t>
      </w:r>
      <w:r>
        <w:rPr>
          <w:rFonts w:hint="eastAsia" w:ascii="Times New Roman" w:hAnsi="Times New Roman" w:eastAsia="仿宋_GB2312" w:cs="Times New Roman"/>
          <w:color w:val="000000"/>
          <w:kern w:val="0"/>
          <w:sz w:val="20"/>
          <w:szCs w:val="20"/>
          <w:lang w:eastAsia="zh-CN" w:bidi="ar"/>
        </w:rPr>
        <w:t>湖南省农药检定所</w:t>
      </w:r>
      <w:r>
        <w:rPr>
          <w:rFonts w:ascii="Times New Roman" w:hAnsi="Times New Roman" w:eastAsia="仿宋_GB2312" w:cs="Times New Roman"/>
          <w:color w:val="000000"/>
          <w:kern w:val="0"/>
          <w:szCs w:val="21"/>
        </w:rPr>
        <w:t xml:space="preserve">                                                                                                    公开06表</w:t>
      </w:r>
    </w:p>
    <w:p>
      <w:pPr>
        <w:widowControl/>
        <w:spacing w:line="240" w:lineRule="exact"/>
        <w:jc w:val="right"/>
        <w:rPr>
          <w:rFonts w:ascii="Times New Roman" w:hAnsi="Times New Roman" w:eastAsia="华文中宋" w:cs="Times New Roman"/>
          <w:color w:val="000000"/>
          <w:kern w:val="0"/>
          <w:szCs w:val="32"/>
        </w:rPr>
      </w:pPr>
      <w:r>
        <w:rPr>
          <w:rFonts w:ascii="Times New Roman" w:hAnsi="Times New Roman" w:eastAsia="仿宋_GB2312" w:cs="Times New Roman"/>
          <w:color w:val="000000"/>
          <w:kern w:val="0"/>
          <w:szCs w:val="21"/>
        </w:rPr>
        <w:t>单位：万元</w:t>
      </w:r>
    </w:p>
    <w:tbl>
      <w:tblPr>
        <w:tblStyle w:val="13"/>
        <w:tblW w:w="14627" w:type="dxa"/>
        <w:jc w:val="center"/>
        <w:tblInd w:w="0" w:type="dxa"/>
        <w:tblLayout w:type="fixed"/>
        <w:tblCellMar>
          <w:top w:w="0" w:type="dxa"/>
          <w:left w:w="108" w:type="dxa"/>
          <w:bottom w:w="0" w:type="dxa"/>
          <w:right w:w="108" w:type="dxa"/>
        </w:tblCellMar>
      </w:tblPr>
      <w:tblGrid>
        <w:gridCol w:w="1081"/>
        <w:gridCol w:w="2850"/>
        <w:gridCol w:w="966"/>
        <w:gridCol w:w="1116"/>
        <w:gridCol w:w="2018"/>
        <w:gridCol w:w="933"/>
        <w:gridCol w:w="1217"/>
        <w:gridCol w:w="3517"/>
        <w:gridCol w:w="929"/>
      </w:tblGrid>
      <w:tr>
        <w:tblPrEx>
          <w:tblLayout w:type="fixed"/>
          <w:tblCellMar>
            <w:top w:w="0" w:type="dxa"/>
            <w:left w:w="108" w:type="dxa"/>
            <w:bottom w:w="0" w:type="dxa"/>
            <w:right w:w="108" w:type="dxa"/>
          </w:tblCellMar>
        </w:tblPrEx>
        <w:trPr>
          <w:trHeight w:val="530" w:hRule="atLeast"/>
          <w:jc w:val="center"/>
        </w:trPr>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 w:val="20"/>
                <w:szCs w:val="20"/>
              </w:rPr>
              <w:t>经济分类科目编码</w:t>
            </w:r>
          </w:p>
        </w:tc>
        <w:tc>
          <w:tcPr>
            <w:tcW w:w="285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6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11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2018"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33"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2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35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29"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工资福利支出</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792.25</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商品和服务支出</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59.55</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债务利息及费用支出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基本工资</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177.21</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国内债务付息</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津贴补贴</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166.98</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印刷费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国外债务付息</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180.98</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咨询费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资本性支出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伙食补助费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28.05</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手续费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房屋建筑物购建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绩效工资</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水费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办公设备购置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机关事业单位基本养老保险缴费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75.28</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电费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专用设备购置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职业年金缴费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邮电费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31005</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基础设施建设</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职工基本医疗保险缴费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51.36</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取暖费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31006</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大型修缮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公务员医疗补助缴费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32.04</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物业管理费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信息网络及软件购置更新</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其他社会保障缴费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2.69</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差旅费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物资储备</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住房公积金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71.40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因公出国（境）费用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土地补偿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1.25</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维修（护）费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安置补助</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其他工资福利支出</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5.00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租赁费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地上附着物和青苗补偿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对个人和家庭的补助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44.42</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会议费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拆迁补偿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离休费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培训费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退休费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43.03</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公务接待费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0.30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其他交通工具购置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退职（役）费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专用材料费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文物和陈列品购置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抚恤金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被装购置费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无形资产购置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30305</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生活补助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专用燃料费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其他资本性支出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救济费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劳务费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其他支出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0.33</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委托业务费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国家赔偿费用支出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助学金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工会经费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30.66</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对民间非营利组织和群众性自治组织补贴</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奖励金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1.06</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福利费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1.34</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经常性赠与</w:t>
            </w:r>
          </w:p>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p>
            <w:pPr>
              <w:widowControl/>
              <w:jc w:val="left"/>
              <w:rPr>
                <w:rFonts w:ascii="Times New Roman" w:hAnsi="Times New Roman" w:eastAsia="仿宋_GB2312" w:cs="Times New Roman"/>
                <w:color w:val="000000"/>
                <w:kern w:val="0"/>
                <w:szCs w:val="20"/>
              </w:rPr>
            </w:pPr>
          </w:p>
          <w:tbl>
            <w:tblPr>
              <w:tblStyle w:val="13"/>
              <w:tblW w:w="3946" w:type="dxa"/>
              <w:tblInd w:w="0" w:type="dxa"/>
              <w:tblLayout w:type="fixed"/>
              <w:tblCellMar>
                <w:top w:w="0" w:type="dxa"/>
                <w:left w:w="108" w:type="dxa"/>
                <w:bottom w:w="0" w:type="dxa"/>
                <w:right w:w="108" w:type="dxa"/>
              </w:tblCellMar>
            </w:tblPr>
            <w:tblGrid>
              <w:gridCol w:w="3946"/>
            </w:tblGrid>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pPr>
              <w:widowControl/>
              <w:jc w:val="left"/>
              <w:rPr>
                <w:rFonts w:ascii="Times New Roman" w:hAnsi="Times New Roman" w:eastAsia="仿宋_GB2312" w:cs="Times New Roman"/>
                <w:color w:val="000000"/>
                <w:kern w:val="0"/>
                <w:szCs w:val="20"/>
              </w:rPr>
            </w:pPr>
          </w:p>
          <w:tbl>
            <w:tblPr>
              <w:tblStyle w:val="13"/>
              <w:tblW w:w="3946" w:type="dxa"/>
              <w:tblInd w:w="0" w:type="dxa"/>
              <w:tblLayout w:type="fixed"/>
              <w:tblCellMar>
                <w:top w:w="0" w:type="dxa"/>
                <w:left w:w="108" w:type="dxa"/>
                <w:bottom w:w="0" w:type="dxa"/>
                <w:right w:w="108" w:type="dxa"/>
              </w:tblCellMar>
            </w:tblPr>
            <w:tblGrid>
              <w:gridCol w:w="3946"/>
            </w:tblGrid>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tblPrEx>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pPr>
              <w:widowControl/>
              <w:jc w:val="left"/>
              <w:rPr>
                <w:rFonts w:ascii="Times New Roman" w:hAnsi="Times New Roman" w:eastAsia="仿宋_GB2312" w:cs="Times New Roman"/>
                <w:color w:val="000000"/>
                <w:kern w:val="0"/>
                <w:szCs w:val="20"/>
              </w:rPr>
            </w:pP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个人农业生产补贴</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公务用车运行维护费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9.73</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代缴社会保险费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7.70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其他对个人和家庭的补助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30240</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税金及附加费用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000000"/>
                <w:kern w:val="0"/>
                <w:szCs w:val="20"/>
              </w:rPr>
            </w:pPr>
          </w:p>
        </w:tc>
      </w:tr>
      <w:tr>
        <w:tblPrEx>
          <w:tblLayout w:type="fixed"/>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966"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000000"/>
                <w:kern w:val="0"/>
                <w:szCs w:val="20"/>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30299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其他商品和服务支出</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9.82</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000000"/>
                <w:kern w:val="0"/>
                <w:szCs w:val="20"/>
              </w:rPr>
            </w:pPr>
          </w:p>
        </w:tc>
      </w:tr>
      <w:tr>
        <w:tblPrEx>
          <w:tblLayout w:type="fixed"/>
          <w:tblCellMar>
            <w:top w:w="0" w:type="dxa"/>
            <w:left w:w="108" w:type="dxa"/>
            <w:bottom w:w="0" w:type="dxa"/>
            <w:right w:w="108" w:type="dxa"/>
          </w:tblCellMar>
        </w:tblPrEx>
        <w:trPr>
          <w:trHeight w:val="255" w:hRule="exact"/>
          <w:jc w:val="center"/>
        </w:trPr>
        <w:tc>
          <w:tcPr>
            <w:tcW w:w="393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人员经费合计</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836.67</w:t>
            </w:r>
          </w:p>
        </w:tc>
        <w:tc>
          <w:tcPr>
            <w:tcW w:w="8801"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公用经费合计</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18"/>
              </w:rPr>
            </w:pPr>
            <w:r>
              <w:rPr>
                <w:rFonts w:hint="eastAsia" w:ascii="宋体" w:hAnsi="宋体" w:eastAsia="宋体" w:cs="宋体"/>
                <w:i w:val="0"/>
                <w:color w:val="000000"/>
                <w:kern w:val="0"/>
                <w:sz w:val="22"/>
                <w:szCs w:val="22"/>
                <w:u w:val="none"/>
                <w:lang w:val="en-US" w:eastAsia="zh-CN" w:bidi="ar"/>
              </w:rPr>
              <w:t>59.55</w:t>
            </w:r>
          </w:p>
        </w:tc>
      </w:tr>
    </w:tbl>
    <w:p>
      <w:pPr>
        <w:widowControl/>
        <w:jc w:val="left"/>
        <w:rPr>
          <w:rFonts w:ascii="Times New Roman" w:hAnsi="Times New Roman" w:eastAsia="仿宋_GB2312" w:cs="Times New Roman"/>
          <w:color w:val="000000"/>
          <w:kern w:val="0"/>
          <w:szCs w:val="24"/>
        </w:rPr>
      </w:pPr>
      <w:r>
        <w:rPr>
          <w:rFonts w:ascii="Times New Roman" w:hAnsi="Times New Roman" w:eastAsia="仿宋_GB2312" w:cs="Times New Roman"/>
          <w:color w:val="000000"/>
          <w:kern w:val="0"/>
          <w:szCs w:val="24"/>
        </w:rPr>
        <w:t>注：本表反映部门本年度一般公共预算财政拨款基本支出明细情况。</w:t>
      </w:r>
    </w:p>
    <w:p>
      <w:pPr>
        <w:widowControl/>
        <w:spacing w:line="400" w:lineRule="exact"/>
        <w:jc w:val="center"/>
        <w:textAlignment w:val="center"/>
        <w:rPr>
          <w:rFonts w:ascii="Times New Roman" w:hAnsi="Times New Roman" w:eastAsia="仿宋_GB2312"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政府性基金预算财政拨款收入支出决算表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公开07表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ascii="Times New Roman" w:hAnsi="Times New Roman" w:eastAsia="仿宋_GB2312" w:cs="Times New Roman"/>
          <w:color w:val="000000"/>
          <w:sz w:val="20"/>
          <w:szCs w:val="20"/>
        </w:rPr>
        <w:tab/>
      </w:r>
      <w:r>
        <w:rPr>
          <w:rFonts w:hint="eastAsia" w:ascii="Times New Roman" w:hAnsi="Times New Roman" w:eastAsia="仿宋_GB2312" w:cs="Times New Roman"/>
          <w:color w:val="000000"/>
          <w:kern w:val="0"/>
          <w:sz w:val="20"/>
          <w:szCs w:val="20"/>
          <w:lang w:eastAsia="zh-CN" w:bidi="ar"/>
        </w:rPr>
        <w:t>湖南省农药检定所</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13"/>
        <w:tblW w:w="14326" w:type="dxa"/>
        <w:jc w:val="center"/>
        <w:tblInd w:w="0" w:type="dxa"/>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tblPrEx>
          <w:tblLayout w:type="fixed"/>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Style w:val="20"/>
                <w:rFonts w:hint="default" w:ascii="Times New Roman" w:hAnsi="Times New Roman" w:eastAsia="仿宋_GB2312" w:cs="Times New Roman"/>
                <w:b/>
                <w:bCs/>
                <w:lang w:bidi="ar"/>
              </w:rPr>
              <w:t xml:space="preserve">   </w:t>
            </w:r>
            <w:r>
              <w:rPr>
                <w:rStyle w:val="21"/>
                <w:rFonts w:hint="default" w:ascii="Times New Roman" w:hAnsi="Times New Roman" w:eastAsia="仿宋_GB2312" w:cs="Times New Roman"/>
                <w:b/>
                <w:bCs/>
                <w:lang w:bidi="ar"/>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年末结转和结余</w:t>
            </w:r>
          </w:p>
        </w:tc>
      </w:tr>
      <w:tr>
        <w:tblPrEx>
          <w:tblLayout w:type="fixed"/>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6</w:t>
            </w:r>
          </w:p>
        </w:tc>
      </w:tr>
      <w:tr>
        <w:tblPrEx>
          <w:tblLayout w:type="fixed"/>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注：本表反映部门本年度政府性基金预算财政拨款收入、支出及结转和结余情况。</w:t>
      </w:r>
    </w:p>
    <w:p>
      <w:pPr>
        <w:widowControl/>
        <w:jc w:val="left"/>
        <w:textAlignment w:val="center"/>
        <w:rPr>
          <w:rFonts w:ascii="Times New Roman" w:hAnsi="Times New Roman" w:eastAsia="仿宋_GB2312" w:cs="Times New Roman"/>
          <w:color w:val="000000"/>
          <w:kern w:val="0"/>
          <w:sz w:val="24"/>
          <w:szCs w:val="24"/>
          <w:lang w:bidi="ar"/>
        </w:rPr>
      </w:pPr>
    </w:p>
    <w:p>
      <w:pPr>
        <w:widowControl/>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b/>
          <w:bCs/>
          <w:kern w:val="0"/>
          <w:sz w:val="24"/>
          <w:szCs w:val="24"/>
          <w:lang w:bidi="ar"/>
        </w:rPr>
        <w:t>说明：我单位没有政府性基金收入，也没有使用政府性基金安排的支出，故本表无数据。</w:t>
      </w:r>
    </w:p>
    <w:p>
      <w:pPr>
        <w:widowControl/>
        <w:jc w:val="center"/>
        <w:rPr>
          <w:rFonts w:ascii="Times New Roman" w:hAnsi="Times New Roman" w:eastAsia="方正小标宋_GBK" w:cs="Times New Roman"/>
          <w:color w:val="000000"/>
          <w:kern w:val="0"/>
          <w:sz w:val="36"/>
          <w:szCs w:val="36"/>
        </w:rPr>
      </w:pPr>
    </w:p>
    <w:p>
      <w:pPr>
        <w:widowControl/>
        <w:spacing w:line="400" w:lineRule="exact"/>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国有资本经营预算财政拨款支出决算表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w:t>
      </w:r>
      <w:r>
        <w:rPr>
          <w:rFonts w:hint="eastAsia" w:ascii="Times New Roman" w:hAnsi="Times New Roman" w:eastAsia="仿宋_GB2312" w:cs="Times New Roman"/>
          <w:color w:val="000000"/>
          <w:kern w:val="0"/>
          <w:sz w:val="20"/>
          <w:szCs w:val="20"/>
          <w:lang w:val="en-US" w:eastAsia="zh-CN" w:bidi="ar"/>
        </w:rPr>
        <w:t xml:space="preserve">          </w:t>
      </w:r>
      <w:r>
        <w:rPr>
          <w:rFonts w:ascii="Times New Roman" w:hAnsi="Times New Roman" w:eastAsia="仿宋_GB2312" w:cs="Times New Roman"/>
          <w:color w:val="000000"/>
          <w:kern w:val="0"/>
          <w:sz w:val="20"/>
          <w:szCs w:val="20"/>
          <w:lang w:bidi="ar"/>
        </w:rPr>
        <w:t>公开08表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eastAsia="zh-CN" w:bidi="ar"/>
        </w:rPr>
        <w:t>湖南省农药检定所</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13"/>
        <w:tblW w:w="14217" w:type="dxa"/>
        <w:tblInd w:w="0" w:type="dxa"/>
        <w:tblLayout w:type="fixed"/>
        <w:tblCellMar>
          <w:top w:w="0" w:type="dxa"/>
          <w:left w:w="108" w:type="dxa"/>
          <w:bottom w:w="0" w:type="dxa"/>
          <w:right w:w="108" w:type="dxa"/>
        </w:tblCellMar>
      </w:tblPr>
      <w:tblGrid>
        <w:gridCol w:w="3095"/>
        <w:gridCol w:w="3097"/>
        <w:gridCol w:w="1832"/>
        <w:gridCol w:w="3097"/>
        <w:gridCol w:w="3096"/>
      </w:tblGrid>
      <w:tr>
        <w:tblPrEx>
          <w:tblLayout w:type="fixed"/>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Fonts w:ascii="Times New Roman" w:hAnsi="Times New Roman" w:eastAsia="仿宋_GB2312" w:cs="Times New Roman"/>
                <w:b/>
                <w:bCs/>
                <w:color w:val="000000"/>
                <w:kern w:val="0"/>
                <w:sz w:val="22"/>
                <w:lang w:bidi="ar"/>
              </w:rPr>
              <w:t xml:space="preserve">   </w:t>
            </w:r>
            <w:r>
              <w:rPr>
                <w:rStyle w:val="22"/>
                <w:rFonts w:hint="default" w:ascii="Times New Roman" w:hAnsi="Times New Roman" w:eastAsia="仿宋_GB2312" w:cs="Times New Roman"/>
                <w:b/>
                <w:bCs/>
                <w:lang w:bidi="ar"/>
              </w:rPr>
              <w:t>目</w:t>
            </w:r>
          </w:p>
        </w:tc>
        <w:tc>
          <w:tcPr>
            <w:tcW w:w="80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r>
      <w:tr>
        <w:tblPrEx>
          <w:tblLayout w:type="fixed"/>
          <w:tblCellMar>
            <w:top w:w="0" w:type="dxa"/>
            <w:left w:w="108" w:type="dxa"/>
            <w:bottom w:w="0" w:type="dxa"/>
            <w:right w:w="108" w:type="dxa"/>
          </w:tblCellMar>
        </w:tblPrEx>
        <w:trPr>
          <w:trHeight w:val="312" w:hRule="exact"/>
        </w:trPr>
        <w:tc>
          <w:tcPr>
            <w:tcW w:w="3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合计</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30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r>
      <w:tr>
        <w:tblPrEx>
          <w:tblLayout w:type="fixed"/>
          <w:tblCellMar>
            <w:top w:w="0" w:type="dxa"/>
            <w:left w:w="108" w:type="dxa"/>
            <w:bottom w:w="0" w:type="dxa"/>
            <w:right w:w="108" w:type="dxa"/>
          </w:tblCellMar>
        </w:tblPrEx>
        <w:trPr>
          <w:trHeight w:val="312" w:hRule="exact"/>
        </w:trPr>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312" w:hRule="atLeast"/>
        </w:trPr>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r>
      <w:tr>
        <w:tblPrEx>
          <w:tblLayout w:type="fixed"/>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Layout w:type="fixed"/>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注：本表反映部门本年度国有资本经营预算财政拨款支出情况。</w:t>
      </w:r>
    </w:p>
    <w:p>
      <w:pPr>
        <w:widowControl/>
        <w:jc w:val="left"/>
        <w:textAlignment w:val="center"/>
        <w:rPr>
          <w:rFonts w:ascii="Times New Roman" w:hAnsi="Times New Roman" w:eastAsia="宋体" w:cs="Times New Roman"/>
          <w:color w:val="000000"/>
          <w:kern w:val="0"/>
          <w:sz w:val="24"/>
          <w:szCs w:val="24"/>
          <w:lang w:bidi="ar"/>
        </w:rPr>
      </w:pPr>
    </w:p>
    <w:p>
      <w:pPr>
        <w:widowControl/>
        <w:jc w:val="left"/>
        <w:textAlignment w:val="center"/>
        <w:rPr>
          <w:rFonts w:ascii="Times New Roman" w:hAnsi="Times New Roman" w:eastAsia="楷体_GB2312" w:cs="Times New Roman"/>
          <w:color w:val="000000"/>
          <w:kern w:val="0"/>
          <w:sz w:val="24"/>
          <w:szCs w:val="24"/>
          <w:lang w:bidi="ar"/>
        </w:rPr>
      </w:pPr>
      <w:r>
        <w:rPr>
          <w:rFonts w:ascii="Times New Roman" w:hAnsi="Times New Roman" w:eastAsia="楷体_GB2312" w:cs="Times New Roman"/>
          <w:b/>
          <w:bCs/>
          <w:kern w:val="0"/>
          <w:sz w:val="24"/>
          <w:szCs w:val="24"/>
          <w:lang w:bidi="ar"/>
        </w:rPr>
        <w:t>说明：我单位没有使用国有资本经营预算安排的支出，故本表无数据。</w:t>
      </w:r>
    </w:p>
    <w:p>
      <w:pPr>
        <w:widowControl/>
        <w:jc w:val="center"/>
        <w:rPr>
          <w:rFonts w:ascii="Times New Roman" w:hAnsi="Times New Roman" w:eastAsia="方正小标宋_GBK" w:cs="Times New Roman"/>
          <w:color w:val="000000"/>
          <w:kern w:val="0"/>
          <w:sz w:val="36"/>
          <w:szCs w:val="36"/>
        </w:rPr>
      </w:pPr>
    </w:p>
    <w:p>
      <w:pPr>
        <w:pStyle w:val="2"/>
        <w:spacing w:line="400" w:lineRule="exact"/>
        <w:rPr>
          <w:rFonts w:ascii="Times New Roman" w:hAnsi="Times New Roman" w:eastAsia="华文中宋"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财政拨款“三公”经费支出决算表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公开09表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楷体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eastAsia="zh-CN" w:bidi="ar"/>
        </w:rPr>
        <w:t>湖南省农药检定所</w:t>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单位：万元</w:t>
      </w:r>
    </w:p>
    <w:tbl>
      <w:tblPr>
        <w:tblStyle w:val="13"/>
        <w:tblW w:w="14544" w:type="dxa"/>
        <w:jc w:val="center"/>
        <w:tblInd w:w="0" w:type="dxa"/>
        <w:tblLayout w:type="fixed"/>
        <w:tblCellMar>
          <w:top w:w="0" w:type="dxa"/>
          <w:left w:w="108" w:type="dxa"/>
          <w:bottom w:w="0" w:type="dxa"/>
          <w:right w:w="108" w:type="dxa"/>
        </w:tblCellMar>
      </w:tblPr>
      <w:tblGrid>
        <w:gridCol w:w="935"/>
        <w:gridCol w:w="1229"/>
        <w:gridCol w:w="1086"/>
        <w:gridCol w:w="1188"/>
        <w:gridCol w:w="1425"/>
        <w:gridCol w:w="1373"/>
        <w:gridCol w:w="1050"/>
        <w:gridCol w:w="1166"/>
        <w:gridCol w:w="1166"/>
        <w:gridCol w:w="1166"/>
        <w:gridCol w:w="1358"/>
        <w:gridCol w:w="1402"/>
      </w:tblGrid>
      <w:tr>
        <w:tblPrEx>
          <w:tblLayout w:type="fixed"/>
          <w:tblCellMar>
            <w:top w:w="0" w:type="dxa"/>
            <w:left w:w="108" w:type="dxa"/>
            <w:bottom w:w="0" w:type="dxa"/>
            <w:right w:w="108" w:type="dxa"/>
          </w:tblCellMar>
        </w:tblPrEx>
        <w:trPr>
          <w:trHeight w:val="606" w:hRule="atLeast"/>
          <w:jc w:val="center"/>
        </w:trPr>
        <w:tc>
          <w:tcPr>
            <w:tcW w:w="72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预算数</w:t>
            </w:r>
          </w:p>
        </w:tc>
        <w:tc>
          <w:tcPr>
            <w:tcW w:w="73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决算数</w:t>
            </w:r>
          </w:p>
        </w:tc>
      </w:tr>
      <w:tr>
        <w:tblPrEx>
          <w:tblLayout w:type="fixed"/>
          <w:tblCellMar>
            <w:top w:w="0" w:type="dxa"/>
            <w:left w:w="108" w:type="dxa"/>
            <w:bottom w:w="0" w:type="dxa"/>
            <w:right w:w="108" w:type="dxa"/>
          </w:tblCellMar>
        </w:tblPrEx>
        <w:trPr>
          <w:trHeight w:val="495" w:hRule="atLeast"/>
          <w:jc w:val="center"/>
        </w:trPr>
        <w:tc>
          <w:tcPr>
            <w:tcW w:w="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2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3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1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r>
      <w:tr>
        <w:tblPrEx>
          <w:tblLayout w:type="fixed"/>
          <w:tblCellMar>
            <w:top w:w="0" w:type="dxa"/>
            <w:left w:w="108" w:type="dxa"/>
            <w:bottom w:w="0" w:type="dxa"/>
            <w:right w:w="108" w:type="dxa"/>
          </w:tblCellMar>
        </w:tblPrEx>
        <w:trPr>
          <w:trHeight w:val="864" w:hRule="atLeast"/>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3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r>
      <w:tr>
        <w:tblPrEx>
          <w:tblLayout w:type="fixed"/>
          <w:tblCellMar>
            <w:top w:w="0" w:type="dxa"/>
            <w:left w:w="108" w:type="dxa"/>
            <w:bottom w:w="0" w:type="dxa"/>
            <w:right w:w="108" w:type="dxa"/>
          </w:tblCellMar>
        </w:tblPrEx>
        <w:trPr>
          <w:trHeight w:val="614" w:hRule="atLeast"/>
          <w:jc w:val="center"/>
        </w:trPr>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3</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4</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7</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8</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9</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10</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11</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12</w:t>
            </w:r>
          </w:p>
        </w:tc>
      </w:tr>
      <w:tr>
        <w:tblPrEx>
          <w:tblLayout w:type="fixed"/>
          <w:tblCellMar>
            <w:top w:w="0" w:type="dxa"/>
            <w:left w:w="108" w:type="dxa"/>
            <w:bottom w:w="0" w:type="dxa"/>
            <w:right w:w="108" w:type="dxa"/>
          </w:tblCellMar>
        </w:tblPrEx>
        <w:trPr>
          <w:trHeight w:val="579" w:hRule="atLeast"/>
          <w:jc w:val="center"/>
        </w:trPr>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26.00</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5.00</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18.00</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18.00</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3.00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18.30</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18.00</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18.00</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0.30</w:t>
            </w:r>
          </w:p>
        </w:tc>
      </w:tr>
    </w:tbl>
    <w:p>
      <w:pPr>
        <w:widowControl/>
        <w:spacing w:before="120"/>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注：本表反映部门本年度财政拨款“三公”经费支出预决算情况。其中，预算数为“三公”经费全年预算数，反映按规定程序调整后的预算数；决算数是包括当年财政拨款和以前年度结转资金安排的实际支出。</w:t>
      </w: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widowControl/>
        <w:rPr>
          <w:rFonts w:ascii="Times New Roman" w:hAnsi="Times New Roman" w:cs="Times New Roman"/>
          <w:sz w:val="72"/>
          <w:szCs w:val="72"/>
        </w:rPr>
        <w:sectPr>
          <w:pgSz w:w="16838" w:h="11906" w:orient="landscape"/>
          <w:pgMar w:top="1134" w:right="1417" w:bottom="1134" w:left="1417" w:header="851" w:footer="992" w:gutter="0"/>
          <w:cols w:space="425" w:num="1"/>
          <w:docGrid w:type="lines" w:linePitch="312" w:charSpace="0"/>
        </w:sectPr>
      </w:pPr>
      <w:r>
        <w:rPr>
          <w:rFonts w:ascii="Times New Roman" w:hAnsi="Times New Roman" w:eastAsia="黑体" w:cs="Times New Roman"/>
          <w:szCs w:val="21"/>
        </w:rPr>
        <w:br w:type="page"/>
      </w:r>
    </w:p>
    <w:p>
      <w:pPr>
        <w:pStyle w:val="17"/>
        <w:rPr>
          <w:rFonts w:ascii="Times New Roman" w:hAnsi="Times New Roman" w:cs="Times New Roman"/>
          <w:sz w:val="72"/>
          <w:szCs w:val="72"/>
        </w:rPr>
      </w:pPr>
    </w:p>
    <w:p>
      <w:pPr>
        <w:pStyle w:val="17"/>
        <w:rPr>
          <w:rFonts w:ascii="Times New Roman" w:hAnsi="Times New Roman" w:cs="Times New Roman"/>
          <w:sz w:val="72"/>
          <w:szCs w:val="72"/>
        </w:rPr>
      </w:pPr>
    </w:p>
    <w:p>
      <w:pPr>
        <w:pStyle w:val="17"/>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eastAsia="方正小标宋_GBK" w:cs="Times New Roman"/>
          <w:sz w:val="72"/>
          <w:szCs w:val="72"/>
        </w:rPr>
      </w:pPr>
    </w:p>
    <w:p>
      <w:pPr>
        <w:pStyle w:val="17"/>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第三部分</w:t>
      </w:r>
    </w:p>
    <w:p>
      <w:pPr>
        <w:pStyle w:val="17"/>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2024年度部门决算情况说明</w:t>
      </w:r>
    </w:p>
    <w:p>
      <w:pPr>
        <w:widowControl/>
        <w:jc w:val="left"/>
        <w:rPr>
          <w:rFonts w:ascii="Times New Roman" w:hAnsi="Times New Roman" w:cs="Times New Roman"/>
          <w:sz w:val="32"/>
          <w:szCs w:val="32"/>
        </w:rPr>
      </w:pPr>
      <w:r>
        <w:rPr>
          <w:rFonts w:ascii="Times New Roman" w:hAnsi="Times New Roman" w:eastAsia="方正小标宋_GBK" w:cs="Times New Roman"/>
          <w:sz w:val="70"/>
          <w:szCs w:val="70"/>
        </w:rPr>
        <w:br w:type="page"/>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一、收入支出决算总体情况说明</w:t>
      </w:r>
    </w:p>
    <w:p>
      <w:pPr>
        <w:pStyle w:val="17"/>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2024年度收、支总计</w:t>
      </w:r>
      <w:r>
        <w:rPr>
          <w:rFonts w:hint="eastAsia" w:ascii="Times New Roman" w:hAnsi="Times New Roman" w:eastAsia="仿宋_GB2312" w:cs="Times New Roman"/>
          <w:sz w:val="32"/>
          <w:szCs w:val="32"/>
          <w:lang w:val="en-US" w:eastAsia="zh-CN"/>
        </w:rPr>
        <w:t>2397.60</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729.06</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23.32</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val="en-US" w:eastAsia="zh-CN"/>
        </w:rPr>
        <w:t>湖南省农药风险监测能力建设等项目资金减少。</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二、收入决算情况说明</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2024年度收入合计</w:t>
      </w:r>
      <w:r>
        <w:rPr>
          <w:rFonts w:hint="eastAsia" w:ascii="Times New Roman" w:hAnsi="Times New Roman" w:eastAsia="仿宋_GB2312" w:cs="Times New Roman"/>
          <w:sz w:val="32"/>
          <w:szCs w:val="32"/>
          <w:lang w:val="en-US" w:eastAsia="zh-CN"/>
        </w:rPr>
        <w:t>1844.80</w:t>
      </w:r>
      <w:r>
        <w:rPr>
          <w:rFonts w:ascii="Times New Roman" w:hAnsi="Times New Roman" w:eastAsia="仿宋_GB2312" w:cs="Times New Roman"/>
          <w:sz w:val="32"/>
          <w:szCs w:val="32"/>
        </w:rPr>
        <w:t>万元，其中：财政拨款收入</w:t>
      </w:r>
      <w:r>
        <w:rPr>
          <w:rFonts w:hint="eastAsia" w:ascii="Times New Roman" w:hAnsi="Times New Roman" w:eastAsia="仿宋_GB2312" w:cs="Times New Roman"/>
          <w:sz w:val="32"/>
          <w:szCs w:val="32"/>
          <w:lang w:val="en-US" w:eastAsia="zh-CN"/>
        </w:rPr>
        <w:t>1844.04</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99.96</w:t>
      </w:r>
      <w:r>
        <w:rPr>
          <w:rFonts w:ascii="Times New Roman" w:hAnsi="Times New Roman" w:eastAsia="仿宋_GB2312" w:cs="Times New Roman"/>
          <w:sz w:val="32"/>
          <w:szCs w:val="32"/>
        </w:rPr>
        <w:t>%；上级补助收入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%；事业收入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%；附属单位上缴收入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%；其他收入</w:t>
      </w:r>
      <w:r>
        <w:rPr>
          <w:rFonts w:hint="eastAsia" w:ascii="Times New Roman" w:hAnsi="Times New Roman" w:eastAsia="仿宋_GB2312" w:cs="Times New Roman"/>
          <w:sz w:val="32"/>
          <w:szCs w:val="32"/>
          <w:lang w:val="en-US" w:eastAsia="zh-CN"/>
        </w:rPr>
        <w:t>0.76</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0.04</w:t>
      </w:r>
      <w:r>
        <w:rPr>
          <w:rFonts w:ascii="Times New Roman" w:hAnsi="Times New Roman" w:eastAsia="仿宋_GB2312" w:cs="Times New Roman"/>
          <w:sz w:val="32"/>
          <w:szCs w:val="32"/>
        </w:rPr>
        <w:t>%。</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三、支出决算情况说明</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2024年度支出合计</w:t>
      </w:r>
      <w:r>
        <w:rPr>
          <w:rFonts w:hint="eastAsia" w:ascii="Times New Roman" w:hAnsi="Times New Roman" w:eastAsia="仿宋_GB2312" w:cs="Times New Roman"/>
          <w:sz w:val="32"/>
          <w:szCs w:val="32"/>
          <w:lang w:val="en-US" w:eastAsia="zh-CN"/>
        </w:rPr>
        <w:t>2024.86</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896.22</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44.26</w:t>
      </w:r>
      <w:r>
        <w:rPr>
          <w:rFonts w:ascii="Times New Roman" w:hAnsi="Times New Roman" w:eastAsia="仿宋_GB2312" w:cs="Times New Roman"/>
          <w:sz w:val="32"/>
          <w:szCs w:val="32"/>
        </w:rPr>
        <w:t>%；项目支出</w:t>
      </w:r>
      <w:r>
        <w:rPr>
          <w:rFonts w:hint="eastAsia" w:ascii="Times New Roman" w:hAnsi="Times New Roman" w:eastAsia="仿宋_GB2312" w:cs="Times New Roman"/>
          <w:sz w:val="32"/>
          <w:szCs w:val="32"/>
          <w:lang w:val="en-US" w:eastAsia="zh-CN"/>
        </w:rPr>
        <w:t>1128.65</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55.74</w:t>
      </w:r>
      <w:r>
        <w:rPr>
          <w:rFonts w:ascii="Times New Roman" w:hAnsi="Times New Roman" w:eastAsia="仿宋_GB2312" w:cs="Times New Roman"/>
          <w:sz w:val="32"/>
          <w:szCs w:val="32"/>
        </w:rPr>
        <w:t>%；上缴上级支出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%；对附属单位补助支出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四、财政拨款收入支出决算总体情况说明</w:t>
      </w:r>
    </w:p>
    <w:p>
      <w:pPr>
        <w:pStyle w:val="17"/>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2024年度财政拨款收、支总计</w:t>
      </w:r>
      <w:r>
        <w:rPr>
          <w:rFonts w:hint="eastAsia" w:ascii="Times New Roman" w:hAnsi="Times New Roman" w:eastAsia="仿宋_GB2312" w:cs="Times New Roman"/>
          <w:sz w:val="32"/>
          <w:szCs w:val="32"/>
          <w:lang w:val="en-US" w:eastAsia="zh-CN"/>
        </w:rPr>
        <w:t>1962.69</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390.44</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16.60</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val="en-US" w:eastAsia="zh-CN"/>
        </w:rPr>
        <w:t>湖南省农药风险监测能力建设等项目资金减少。</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五、一般公共预算财政拨款支出决算情况说明</w:t>
      </w:r>
    </w:p>
    <w:p>
      <w:pPr>
        <w:pStyle w:val="17"/>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（一）一般公共预算财政拨款支出决算总体情况</w:t>
      </w:r>
    </w:p>
    <w:p>
      <w:pPr>
        <w:pStyle w:val="17"/>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1928.52</w:t>
      </w:r>
      <w:r>
        <w:rPr>
          <w:rFonts w:ascii="Times New Roman" w:hAnsi="Times New Roman" w:eastAsia="仿宋_GB2312" w:cs="Times New Roman"/>
          <w:sz w:val="32"/>
          <w:szCs w:val="32"/>
        </w:rPr>
        <w:t>万元，占本年支出合计的</w:t>
      </w:r>
      <w:r>
        <w:rPr>
          <w:rFonts w:hint="eastAsia" w:ascii="Times New Roman" w:hAnsi="Times New Roman" w:eastAsia="仿宋_GB2312" w:cs="Times New Roman"/>
          <w:sz w:val="32"/>
          <w:szCs w:val="32"/>
          <w:lang w:val="en-US" w:eastAsia="zh-CN"/>
        </w:rPr>
        <w:t>95.24</w:t>
      </w:r>
      <w:r>
        <w:rPr>
          <w:rFonts w:ascii="Times New Roman" w:hAnsi="Times New Roman" w:eastAsia="仿宋_GB2312" w:cs="Times New Roman"/>
          <w:sz w:val="32"/>
          <w:szCs w:val="32"/>
        </w:rPr>
        <w:t>%，与上年相比，财政拨款支出减少</w:t>
      </w:r>
      <w:r>
        <w:rPr>
          <w:rFonts w:hint="eastAsia" w:ascii="Times New Roman" w:hAnsi="Times New Roman" w:eastAsia="仿宋_GB2312" w:cs="Times New Roman"/>
          <w:sz w:val="32"/>
          <w:szCs w:val="32"/>
          <w:lang w:val="en-US" w:eastAsia="zh-CN"/>
        </w:rPr>
        <w:t>285.85</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12.91</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lang w:val="en-US" w:eastAsia="zh-CN"/>
        </w:rPr>
        <w:t>湖南省农药风险监测能力建设等项目资金支出减少。</w:t>
      </w:r>
    </w:p>
    <w:p>
      <w:pPr>
        <w:pStyle w:val="17"/>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（二）一般公共预算财政拨款支出决算结构情况</w:t>
      </w:r>
    </w:p>
    <w:p>
      <w:pPr>
        <w:pStyle w:val="17"/>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1928.52</w:t>
      </w:r>
      <w:r>
        <w:rPr>
          <w:rFonts w:ascii="Times New Roman" w:hAnsi="Times New Roman" w:eastAsia="仿宋_GB2312" w:cs="Times New Roman"/>
          <w:sz w:val="32"/>
          <w:szCs w:val="32"/>
        </w:rPr>
        <w:t>万元，主要用于以下方面：</w:t>
      </w:r>
      <w:r>
        <w:rPr>
          <w:rFonts w:hint="eastAsia" w:ascii="Times New Roman" w:hAnsi="Times New Roman" w:eastAsia="仿宋_GB2312" w:cs="Times New Roman"/>
          <w:sz w:val="32"/>
          <w:szCs w:val="32"/>
        </w:rPr>
        <w:t>社会保障和就业</w:t>
      </w:r>
      <w:r>
        <w:rPr>
          <w:rFonts w:ascii="Times New Roman" w:hAnsi="Times New Roman" w:eastAsia="仿宋_GB2312" w:cs="Times New Roman"/>
          <w:sz w:val="32"/>
          <w:szCs w:val="32"/>
        </w:rPr>
        <w:t>务（类）支出</w:t>
      </w:r>
      <w:r>
        <w:rPr>
          <w:rFonts w:hint="eastAsia" w:ascii="Times New Roman" w:hAnsi="Times New Roman" w:eastAsia="仿宋_GB2312" w:cs="Times New Roman"/>
          <w:sz w:val="32"/>
          <w:szCs w:val="32"/>
          <w:lang w:val="en-US" w:eastAsia="zh-CN"/>
        </w:rPr>
        <w:t>118.31</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6.14</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卫生健康</w:t>
      </w:r>
      <w:r>
        <w:rPr>
          <w:rFonts w:ascii="Times New Roman" w:hAnsi="Times New Roman" w:eastAsia="仿宋_GB2312" w:cs="Times New Roman"/>
          <w:sz w:val="32"/>
          <w:szCs w:val="32"/>
        </w:rPr>
        <w:t>（类）支出</w:t>
      </w:r>
      <w:r>
        <w:rPr>
          <w:rFonts w:hint="eastAsia" w:ascii="Times New Roman" w:hAnsi="Times New Roman" w:eastAsia="仿宋_GB2312" w:cs="Times New Roman"/>
          <w:sz w:val="32"/>
          <w:szCs w:val="32"/>
          <w:lang w:val="en-US" w:eastAsia="zh-CN"/>
        </w:rPr>
        <w:t>32.04</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1.66</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w:t>
      </w:r>
      <w:r>
        <w:rPr>
          <w:rFonts w:hint="eastAsia" w:ascii="Times New Roman" w:hAnsi="Times New Roman" w:eastAsia="仿宋_GB2312"/>
          <w:sz w:val="32"/>
          <w:szCs w:val="32"/>
          <w:lang w:val="en-US" w:eastAsia="zh-CN"/>
        </w:rPr>
        <w:t>农林水</w:t>
      </w:r>
      <w:r>
        <w:rPr>
          <w:rFonts w:hint="eastAsia" w:ascii="Times New Roman" w:hAnsi="Times New Roman" w:eastAsia="仿宋_GB2312"/>
          <w:sz w:val="32"/>
          <w:szCs w:val="32"/>
        </w:rPr>
        <w:t>（类）支出</w:t>
      </w:r>
      <w:r>
        <w:rPr>
          <w:rFonts w:hint="eastAsia" w:ascii="Times New Roman" w:hAnsi="Times New Roman" w:eastAsia="仿宋_GB2312"/>
          <w:sz w:val="32"/>
          <w:szCs w:val="32"/>
          <w:lang w:val="en-US" w:eastAsia="zh-CN"/>
        </w:rPr>
        <w:t>1706.77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88.50</w:t>
      </w:r>
      <w:r>
        <w:rPr>
          <w:rFonts w:hint="eastAsia" w:ascii="Times New Roman" w:hAnsi="Times New Roman" w:eastAsia="仿宋_GB2312"/>
          <w:sz w:val="32"/>
          <w:szCs w:val="32"/>
        </w:rPr>
        <w:t>%</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住房保障</w:t>
      </w:r>
      <w:r>
        <w:rPr>
          <w:rFonts w:ascii="Times New Roman" w:hAnsi="Times New Roman" w:eastAsia="仿宋_GB2312" w:cs="Times New Roman"/>
          <w:sz w:val="32"/>
          <w:szCs w:val="32"/>
        </w:rPr>
        <w:t>（类）支出</w:t>
      </w:r>
      <w:r>
        <w:rPr>
          <w:rFonts w:hint="eastAsia" w:ascii="Times New Roman" w:hAnsi="Times New Roman" w:eastAsia="仿宋_GB2312" w:cs="Times New Roman"/>
          <w:sz w:val="32"/>
          <w:szCs w:val="32"/>
          <w:lang w:val="en-US" w:eastAsia="zh-CN"/>
        </w:rPr>
        <w:t>71.40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3.70</w:t>
      </w:r>
      <w:r>
        <w:rPr>
          <w:rFonts w:ascii="Times New Roman" w:hAnsi="Times New Roman" w:eastAsia="仿宋_GB2312" w:cs="Times New Roman"/>
          <w:sz w:val="32"/>
          <w:szCs w:val="32"/>
        </w:rPr>
        <w:t>%</w:t>
      </w:r>
      <w:r>
        <w:rPr>
          <w:rFonts w:hint="eastAsia" w:ascii="Times New Roman" w:hAnsi="Times New Roman" w:eastAsia="仿宋_GB2312"/>
          <w:sz w:val="32"/>
          <w:szCs w:val="32"/>
          <w:lang w:eastAsia="zh-CN"/>
        </w:rPr>
        <w:t>。</w:t>
      </w:r>
    </w:p>
    <w:p>
      <w:pPr>
        <w:pStyle w:val="17"/>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（三）一般公共预算财政拨款支出决算具体情况</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2024年度财政拨款支出年初预算数为</w:t>
      </w:r>
      <w:r>
        <w:rPr>
          <w:rFonts w:hint="eastAsia" w:ascii="Times New Roman" w:hAnsi="Times New Roman" w:eastAsia="仿宋_GB2312" w:cs="Times New Roman"/>
          <w:sz w:val="32"/>
          <w:szCs w:val="32"/>
          <w:lang w:val="en-US" w:eastAsia="zh-CN"/>
        </w:rPr>
        <w:t>1880.49</w:t>
      </w:r>
      <w:r>
        <w:rPr>
          <w:rFonts w:ascii="Times New Roman" w:hAnsi="Times New Roman" w:eastAsia="仿宋_GB2312" w:cs="Times New Roman"/>
          <w:sz w:val="32"/>
          <w:szCs w:val="32"/>
        </w:rPr>
        <w:t>万元，支出决算数为</w:t>
      </w:r>
      <w:r>
        <w:rPr>
          <w:rFonts w:hint="eastAsia" w:ascii="Times New Roman" w:hAnsi="Times New Roman" w:eastAsia="仿宋_GB2312" w:cs="Times New Roman"/>
          <w:sz w:val="32"/>
          <w:szCs w:val="32"/>
          <w:lang w:val="en-US" w:eastAsia="zh-CN"/>
        </w:rPr>
        <w:t>1928.52</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102.56</w:t>
      </w:r>
      <w:r>
        <w:rPr>
          <w:rFonts w:ascii="Times New Roman" w:hAnsi="Times New Roman" w:eastAsia="仿宋_GB2312" w:cs="Times New Roman"/>
          <w:sz w:val="32"/>
          <w:szCs w:val="32"/>
        </w:rPr>
        <w:t>%，其中：</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社会保障和就业支出</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rPr>
        <w:t>行政事业单位养老支出</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rPr>
        <w:t>行政单位离退休</w:t>
      </w:r>
      <w:r>
        <w:rPr>
          <w:rFonts w:ascii="Times New Roman" w:hAnsi="Times New Roman" w:eastAsia="仿宋_GB2312" w:cs="Times New Roman"/>
          <w:sz w:val="32"/>
          <w:szCs w:val="32"/>
        </w:rPr>
        <w:t>（项）。</w:t>
      </w:r>
    </w:p>
    <w:p>
      <w:pPr>
        <w:pStyle w:val="17"/>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43.20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43.03</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99.61</w:t>
      </w:r>
      <w:r>
        <w:rPr>
          <w:rFonts w:ascii="Times New Roman" w:hAnsi="Times New Roman" w:eastAsia="仿宋_GB2312" w:cs="Times New Roman"/>
          <w:sz w:val="32"/>
          <w:szCs w:val="32"/>
        </w:rPr>
        <w:t>%，决算数小于年初预算数的主要原因是：</w:t>
      </w:r>
      <w:r>
        <w:rPr>
          <w:rFonts w:hint="eastAsia" w:ascii="Times New Roman" w:hAnsi="Times New Roman" w:eastAsia="仿宋_GB2312" w:cs="Times New Roman"/>
          <w:sz w:val="32"/>
          <w:szCs w:val="32"/>
          <w:lang w:val="en-US" w:eastAsia="zh-CN"/>
        </w:rPr>
        <w:t>人员经费有结余。</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社会保障和就业支出</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rPr>
        <w:t>行政事业单位养老支出</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rPr>
        <w:t>机关事业单位基本养老保险缴费支出</w:t>
      </w:r>
      <w:r>
        <w:rPr>
          <w:rFonts w:ascii="Times New Roman" w:hAnsi="Times New Roman" w:eastAsia="仿宋_GB2312" w:cs="Times New Roman"/>
          <w:sz w:val="32"/>
          <w:szCs w:val="32"/>
        </w:rPr>
        <w:t>（项）。</w:t>
      </w:r>
    </w:p>
    <w:p>
      <w:pPr>
        <w:pStyle w:val="17"/>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79.56</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75.28</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94.62</w:t>
      </w:r>
      <w:r>
        <w:rPr>
          <w:rFonts w:ascii="Times New Roman" w:hAnsi="Times New Roman" w:eastAsia="仿宋_GB2312" w:cs="Times New Roman"/>
          <w:sz w:val="32"/>
          <w:szCs w:val="32"/>
        </w:rPr>
        <w:t>%，决决算数小于年初预算数的主要原因是：</w:t>
      </w:r>
      <w:r>
        <w:rPr>
          <w:rFonts w:hint="eastAsia" w:ascii="Times New Roman" w:hAnsi="Times New Roman" w:eastAsia="仿宋_GB2312" w:cs="Times New Roman"/>
          <w:sz w:val="32"/>
          <w:szCs w:val="32"/>
          <w:lang w:val="en-US" w:eastAsia="zh-CN"/>
        </w:rPr>
        <w:t>人员经费有结余。</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3、卫生健康支出</w:t>
      </w:r>
      <w:r>
        <w:rPr>
          <w:rFonts w:hint="eastAsia" w:ascii="Times New Roman" w:hAnsi="Times New Roman" w:eastAsia="仿宋_GB2312"/>
          <w:sz w:val="32"/>
          <w:szCs w:val="32"/>
        </w:rPr>
        <w:t>（类）</w:t>
      </w:r>
      <w:r>
        <w:rPr>
          <w:rFonts w:hint="eastAsia" w:ascii="Times New Roman" w:hAnsi="Times New Roman" w:eastAsia="仿宋_GB2312"/>
          <w:sz w:val="32"/>
          <w:szCs w:val="32"/>
          <w:lang w:val="en-US" w:eastAsia="zh-CN"/>
        </w:rPr>
        <w:t>行政事业单位医疗（</w:t>
      </w:r>
      <w:r>
        <w:rPr>
          <w:rFonts w:hint="eastAsia" w:ascii="Times New Roman" w:hAnsi="Times New Roman" w:eastAsia="仿宋_GB2312"/>
          <w:sz w:val="32"/>
          <w:szCs w:val="32"/>
        </w:rPr>
        <w:t>款）公务员医疗补助（项）。</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32.04</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32.04</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农林水支出</w:t>
      </w:r>
      <w:r>
        <w:rPr>
          <w:rFonts w:hint="eastAsia" w:ascii="Times New Roman" w:hAnsi="Times New Roman" w:eastAsia="仿宋_GB2312"/>
          <w:sz w:val="32"/>
          <w:szCs w:val="32"/>
        </w:rPr>
        <w:t>（类）</w:t>
      </w:r>
      <w:r>
        <w:rPr>
          <w:rFonts w:hint="eastAsia" w:ascii="Times New Roman" w:hAnsi="Times New Roman" w:eastAsia="仿宋_GB2312"/>
          <w:sz w:val="32"/>
          <w:szCs w:val="32"/>
          <w:lang w:val="en-US" w:eastAsia="zh-CN"/>
        </w:rPr>
        <w:t>农业农村（</w:t>
      </w:r>
      <w:r>
        <w:rPr>
          <w:rFonts w:hint="eastAsia" w:ascii="Times New Roman" w:hAnsi="Times New Roman" w:eastAsia="仿宋_GB2312"/>
          <w:sz w:val="32"/>
          <w:szCs w:val="32"/>
        </w:rPr>
        <w:t>款）行政运行（项）。</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634.04</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674.47</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106.38</w:t>
      </w:r>
      <w:r>
        <w:rPr>
          <w:rFonts w:hint="eastAsia" w:ascii="Times New Roman" w:hAnsi="Times New Roman" w:eastAsia="仿宋_GB2312"/>
          <w:sz w:val="32"/>
          <w:szCs w:val="32"/>
        </w:rPr>
        <w:t>%，决算数大于年初预算数的主要原因是：</w:t>
      </w:r>
      <w:r>
        <w:rPr>
          <w:rFonts w:hint="eastAsia" w:ascii="Times New Roman" w:hAnsi="Times New Roman" w:eastAsia="仿宋_GB2312"/>
          <w:sz w:val="32"/>
          <w:szCs w:val="32"/>
          <w:lang w:val="en-US" w:eastAsia="zh-CN"/>
        </w:rPr>
        <w:t>年中追加人员经费。</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5、农林水支出</w:t>
      </w:r>
      <w:r>
        <w:rPr>
          <w:rFonts w:hint="eastAsia" w:ascii="Times New Roman" w:hAnsi="Times New Roman" w:eastAsia="仿宋_GB2312"/>
          <w:sz w:val="32"/>
          <w:szCs w:val="32"/>
        </w:rPr>
        <w:t>（类）</w:t>
      </w:r>
      <w:r>
        <w:rPr>
          <w:rFonts w:hint="eastAsia" w:ascii="Times New Roman" w:hAnsi="Times New Roman" w:eastAsia="仿宋_GB2312"/>
          <w:sz w:val="32"/>
          <w:szCs w:val="32"/>
          <w:lang w:val="en-US" w:eastAsia="zh-CN"/>
        </w:rPr>
        <w:t>农业农村（</w:t>
      </w:r>
      <w:r>
        <w:rPr>
          <w:rFonts w:hint="eastAsia" w:ascii="Times New Roman" w:hAnsi="Times New Roman" w:eastAsia="仿宋_GB2312"/>
          <w:sz w:val="32"/>
          <w:szCs w:val="32"/>
        </w:rPr>
        <w:t>款）农产品质量安全（项）。</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40.00万</w:t>
      </w:r>
      <w:r>
        <w:rPr>
          <w:rFonts w:hint="eastAsia" w:ascii="Times New Roman" w:hAnsi="Times New Roman" w:eastAsia="仿宋_GB2312"/>
          <w:sz w:val="32"/>
          <w:szCs w:val="32"/>
        </w:rPr>
        <w:t>元，支出决算为</w:t>
      </w:r>
      <w:r>
        <w:rPr>
          <w:rFonts w:hint="eastAsia" w:ascii="Times New Roman" w:hAnsi="Times New Roman" w:eastAsia="仿宋_GB2312"/>
          <w:sz w:val="32"/>
          <w:szCs w:val="32"/>
          <w:lang w:val="en-US" w:eastAsia="zh-CN"/>
        </w:rPr>
        <w:t>40.00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highlight w:val="none"/>
          <w:lang w:val="en-US" w:eastAsia="zh-CN"/>
        </w:rPr>
        <w:t>。</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6、农林水支出</w:t>
      </w:r>
      <w:r>
        <w:rPr>
          <w:rFonts w:hint="eastAsia" w:ascii="Times New Roman" w:hAnsi="Times New Roman" w:eastAsia="仿宋_GB2312"/>
          <w:sz w:val="32"/>
          <w:szCs w:val="32"/>
        </w:rPr>
        <w:t>（类）</w:t>
      </w:r>
      <w:r>
        <w:rPr>
          <w:rFonts w:hint="eastAsia" w:ascii="Times New Roman" w:hAnsi="Times New Roman" w:eastAsia="仿宋_GB2312"/>
          <w:sz w:val="32"/>
          <w:szCs w:val="32"/>
          <w:lang w:val="en-US" w:eastAsia="zh-CN"/>
        </w:rPr>
        <w:t>农业农村（</w:t>
      </w:r>
      <w:r>
        <w:rPr>
          <w:rFonts w:hint="eastAsia" w:ascii="Times New Roman" w:hAnsi="Times New Roman" w:eastAsia="仿宋_GB2312"/>
          <w:sz w:val="32"/>
          <w:szCs w:val="32"/>
        </w:rPr>
        <w:t>款）农业生产发展（项）。</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910.15万</w:t>
      </w:r>
      <w:r>
        <w:rPr>
          <w:rFonts w:hint="eastAsia" w:ascii="Times New Roman" w:hAnsi="Times New Roman" w:eastAsia="仿宋_GB2312"/>
          <w:sz w:val="32"/>
          <w:szCs w:val="32"/>
        </w:rPr>
        <w:t>元，支出决算为</w:t>
      </w:r>
      <w:r>
        <w:rPr>
          <w:rFonts w:hint="eastAsia" w:ascii="Times New Roman" w:hAnsi="Times New Roman" w:eastAsia="仿宋_GB2312"/>
          <w:sz w:val="32"/>
          <w:szCs w:val="32"/>
          <w:lang w:val="en-US" w:eastAsia="zh-CN"/>
        </w:rPr>
        <w:t>927.64</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101.93</w:t>
      </w:r>
      <w:r>
        <w:rPr>
          <w:rFonts w:hint="eastAsia" w:ascii="Times New Roman" w:hAnsi="Times New Roman" w:eastAsia="仿宋_GB2312"/>
          <w:sz w:val="32"/>
          <w:szCs w:val="32"/>
        </w:rPr>
        <w:t>%，决算数</w:t>
      </w:r>
      <w:r>
        <w:rPr>
          <w:rFonts w:hint="eastAsia" w:ascii="Times New Roman" w:hAnsi="Times New Roman" w:eastAsia="仿宋_GB2312"/>
          <w:sz w:val="32"/>
          <w:szCs w:val="32"/>
          <w:lang w:val="en-US" w:eastAsia="zh-CN"/>
        </w:rPr>
        <w:t>大</w:t>
      </w:r>
      <w:r>
        <w:rPr>
          <w:rFonts w:hint="eastAsia" w:ascii="Times New Roman" w:hAnsi="Times New Roman" w:eastAsia="仿宋_GB2312"/>
          <w:sz w:val="32"/>
          <w:szCs w:val="32"/>
        </w:rPr>
        <w:t>于年初预算数的主要原因是：</w:t>
      </w:r>
      <w:r>
        <w:rPr>
          <w:rFonts w:hint="eastAsia" w:ascii="Times New Roman" w:hAnsi="Times New Roman" w:eastAsia="仿宋_GB2312"/>
          <w:sz w:val="32"/>
          <w:szCs w:val="32"/>
          <w:lang w:val="en-US" w:eastAsia="zh-CN"/>
        </w:rPr>
        <w:t>年中追加项目资金。</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7、农林水支出</w:t>
      </w:r>
      <w:r>
        <w:rPr>
          <w:rFonts w:hint="eastAsia" w:ascii="Times New Roman" w:hAnsi="Times New Roman" w:eastAsia="仿宋_GB2312"/>
          <w:sz w:val="32"/>
          <w:szCs w:val="32"/>
        </w:rPr>
        <w:t>（类）</w:t>
      </w:r>
      <w:r>
        <w:rPr>
          <w:rFonts w:hint="eastAsia" w:ascii="Times New Roman" w:hAnsi="Times New Roman" w:eastAsia="仿宋_GB2312"/>
          <w:sz w:val="32"/>
          <w:szCs w:val="32"/>
          <w:lang w:val="en-US" w:eastAsia="zh-CN"/>
        </w:rPr>
        <w:t>农业农村（</w:t>
      </w:r>
      <w:r>
        <w:rPr>
          <w:rFonts w:hint="eastAsia" w:ascii="Times New Roman" w:hAnsi="Times New Roman" w:eastAsia="仿宋_GB2312"/>
          <w:sz w:val="32"/>
          <w:szCs w:val="32"/>
        </w:rPr>
        <w:t>款）农业生态资源保护（项）。</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59.99</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59.99</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highlight w:val="none"/>
          <w:lang w:val="en-US" w:eastAsia="zh-CN"/>
        </w:rPr>
        <w:t>。</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8、农林水支出</w:t>
      </w:r>
      <w:r>
        <w:rPr>
          <w:rFonts w:hint="eastAsia" w:ascii="Times New Roman" w:hAnsi="Times New Roman" w:eastAsia="仿宋_GB2312"/>
          <w:sz w:val="32"/>
          <w:szCs w:val="32"/>
        </w:rPr>
        <w:t>（类）</w:t>
      </w:r>
      <w:r>
        <w:rPr>
          <w:rFonts w:hint="eastAsia" w:ascii="Times New Roman" w:hAnsi="Times New Roman" w:eastAsia="仿宋_GB2312"/>
          <w:sz w:val="32"/>
          <w:szCs w:val="32"/>
          <w:lang w:val="en-US" w:eastAsia="zh-CN"/>
        </w:rPr>
        <w:t>农业农村（</w:t>
      </w:r>
      <w:r>
        <w:rPr>
          <w:rFonts w:hint="eastAsia" w:ascii="Times New Roman" w:hAnsi="Times New Roman" w:eastAsia="仿宋_GB2312"/>
          <w:sz w:val="32"/>
          <w:szCs w:val="32"/>
        </w:rPr>
        <w:t>款）其他农业农村支出（项）。</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10.10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4.68</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46.34</w:t>
      </w:r>
      <w:r>
        <w:rPr>
          <w:rFonts w:hint="eastAsia" w:ascii="Times New Roman" w:hAnsi="Times New Roman" w:eastAsia="仿宋_GB2312"/>
          <w:sz w:val="32"/>
          <w:szCs w:val="32"/>
        </w:rPr>
        <w:t>%，决算数</w:t>
      </w:r>
      <w:r>
        <w:rPr>
          <w:rFonts w:hint="eastAsia" w:ascii="Times New Roman" w:hAnsi="Times New Roman" w:eastAsia="仿宋_GB2312"/>
          <w:sz w:val="32"/>
          <w:szCs w:val="32"/>
          <w:lang w:val="en-US" w:eastAsia="zh-CN"/>
        </w:rPr>
        <w:t>小</w:t>
      </w:r>
      <w:r>
        <w:rPr>
          <w:rFonts w:hint="eastAsia" w:ascii="Times New Roman" w:hAnsi="Times New Roman" w:eastAsia="仿宋_GB2312"/>
          <w:sz w:val="32"/>
          <w:szCs w:val="32"/>
        </w:rPr>
        <w:t>于年初预算数的主要原因是：</w:t>
      </w:r>
      <w:r>
        <w:rPr>
          <w:rFonts w:hint="eastAsia" w:ascii="Times New Roman" w:hAnsi="Times New Roman" w:eastAsia="仿宋_GB2312"/>
          <w:sz w:val="32"/>
          <w:szCs w:val="32"/>
          <w:lang w:val="en-US" w:eastAsia="zh-CN"/>
        </w:rPr>
        <w:t>项目跨年实施。</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9、住房保障支</w:t>
      </w:r>
      <w:r>
        <w:rPr>
          <w:rFonts w:hint="eastAsia" w:ascii="Times New Roman" w:hAnsi="Times New Roman" w:eastAsia="仿宋_GB2312"/>
          <w:sz w:val="32"/>
          <w:szCs w:val="32"/>
        </w:rPr>
        <w:t>（类）住房改革支出</w:t>
      </w:r>
      <w:r>
        <w:rPr>
          <w:rFonts w:hint="eastAsia" w:ascii="Times New Roman" w:hAnsi="Times New Roman" w:eastAsia="仿宋_GB2312"/>
          <w:sz w:val="32"/>
          <w:szCs w:val="32"/>
          <w:lang w:val="en-US" w:eastAsia="zh-CN"/>
        </w:rPr>
        <w:t>（</w:t>
      </w:r>
      <w:r>
        <w:rPr>
          <w:rFonts w:hint="eastAsia" w:ascii="Times New Roman" w:hAnsi="Times New Roman" w:eastAsia="仿宋_GB2312"/>
          <w:sz w:val="32"/>
          <w:szCs w:val="32"/>
        </w:rPr>
        <w:t>款）住房公积金（项）。</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71.40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71.40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六、一般公共预算财政拨款基本支出决算情况说明</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2024年度一般公共预算财政拨款基本支出</w:t>
      </w:r>
      <w:r>
        <w:rPr>
          <w:rFonts w:hint="eastAsia" w:ascii="Times New Roman" w:hAnsi="Times New Roman" w:eastAsia="仿宋_GB2312" w:cs="Times New Roman"/>
          <w:sz w:val="32"/>
          <w:szCs w:val="32"/>
          <w:lang w:val="en-US" w:eastAsia="zh-CN"/>
        </w:rPr>
        <w:t>896.22</w:t>
      </w:r>
      <w:r>
        <w:rPr>
          <w:rFonts w:ascii="Times New Roman" w:hAnsi="Times New Roman" w:eastAsia="仿宋_GB2312" w:cs="Times New Roman"/>
          <w:sz w:val="32"/>
          <w:szCs w:val="32"/>
        </w:rPr>
        <w:t>万元，其中：</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人员经费</w:t>
      </w:r>
      <w:r>
        <w:rPr>
          <w:rFonts w:hint="eastAsia" w:ascii="Times New Roman" w:hAnsi="Times New Roman" w:eastAsia="仿宋_GB2312" w:cs="Times New Roman"/>
          <w:sz w:val="32"/>
          <w:szCs w:val="32"/>
          <w:lang w:val="en-US" w:eastAsia="zh-CN"/>
        </w:rPr>
        <w:t>836.67</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93.36</w:t>
      </w:r>
      <w:r>
        <w:rPr>
          <w:rFonts w:ascii="Times New Roman" w:hAnsi="Times New Roman" w:eastAsia="仿宋_GB2312" w:cs="Times New Roman"/>
          <w:sz w:val="32"/>
          <w:szCs w:val="32"/>
        </w:rPr>
        <w:t>%,主要包括基本工资、津贴补贴、奖金、伙食补助费</w:t>
      </w:r>
      <w:r>
        <w:rPr>
          <w:rFonts w:hint="eastAsia" w:ascii="Times New Roman" w:hAnsi="Times New Roman" w:eastAsia="仿宋_GB2312" w:cs="Times New Roman"/>
          <w:sz w:val="32"/>
          <w:szCs w:val="32"/>
          <w:lang w:eastAsia="zh-CN"/>
        </w:rPr>
        <w:t>、机关事业单位基本养老保险缴费、职工基本医疗保险缴费、住房公积金、退休费</w:t>
      </w:r>
      <w:r>
        <w:rPr>
          <w:rFonts w:hint="eastAsia" w:ascii="Times New Roman" w:hAnsi="Times New Roman" w:eastAsia="仿宋_GB2312" w:cs="Times New Roman"/>
          <w:sz w:val="32"/>
          <w:szCs w:val="32"/>
          <w:lang w:val="en-US" w:eastAsia="zh-CN"/>
        </w:rPr>
        <w:t>等</w:t>
      </w:r>
      <w:r>
        <w:rPr>
          <w:rFonts w:ascii="Times New Roman" w:hAnsi="Times New Roman" w:eastAsia="仿宋_GB2312" w:cs="Times New Roman"/>
          <w:sz w:val="32"/>
          <w:szCs w:val="32"/>
        </w:rPr>
        <w:t>。</w:t>
      </w:r>
    </w:p>
    <w:p>
      <w:pPr>
        <w:pStyle w:val="17"/>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eastAsia="仿宋_GB2312" w:cs="Times New Roman"/>
          <w:b/>
          <w:bCs/>
          <w:sz w:val="32"/>
          <w:szCs w:val="32"/>
        </w:rPr>
        <w:t>公用经费</w:t>
      </w:r>
      <w:r>
        <w:rPr>
          <w:rFonts w:hint="eastAsia" w:ascii="Times New Roman" w:hAnsi="Times New Roman" w:eastAsia="仿宋_GB2312" w:cs="Times New Roman"/>
          <w:sz w:val="32"/>
          <w:szCs w:val="32"/>
          <w:lang w:val="en-US" w:eastAsia="zh-CN"/>
        </w:rPr>
        <w:t>59.55</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6.64</w:t>
      </w:r>
      <w:r>
        <w:rPr>
          <w:rFonts w:ascii="Times New Roman" w:hAnsi="Times New Roman" w:eastAsia="仿宋_GB2312" w:cs="Times New Roman"/>
          <w:sz w:val="32"/>
          <w:szCs w:val="32"/>
        </w:rPr>
        <w:t>%，主要包括</w:t>
      </w:r>
      <w:r>
        <w:rPr>
          <w:rFonts w:hint="eastAsia" w:ascii="Times New Roman" w:hAnsi="Times New Roman" w:eastAsia="仿宋_GB2312" w:cs="Times New Roman"/>
          <w:sz w:val="32"/>
          <w:szCs w:val="32"/>
          <w:lang w:val="en-US" w:eastAsia="zh-CN"/>
        </w:rPr>
        <w:t>工会经费、福利费、公务用车运行维护费、其他交通费用、其他商品和服务支出等</w:t>
      </w:r>
      <w:r>
        <w:rPr>
          <w:rFonts w:ascii="Times New Roman" w:hAnsi="Times New Roman" w:eastAsia="仿宋_GB2312" w:cs="Times New Roman"/>
          <w:sz w:val="32"/>
          <w:szCs w:val="32"/>
        </w:rPr>
        <w:t>。</w:t>
      </w:r>
    </w:p>
    <w:p>
      <w:pPr>
        <w:pStyle w:val="17"/>
        <w:overflowPunct w:val="0"/>
        <w:autoSpaceDE/>
        <w:autoSpaceDN/>
        <w:spacing w:line="600" w:lineRule="exact"/>
        <w:ind w:firstLine="640" w:firstLineChars="200"/>
        <w:jc w:val="both"/>
        <w:rPr>
          <w:rFonts w:ascii="Times New Roman" w:hAnsi="Times New Roman" w:eastAsia="仿宋_GB2312" w:cs="Times New Roman"/>
          <w:b/>
          <w:sz w:val="32"/>
          <w:szCs w:val="32"/>
        </w:rPr>
      </w:pPr>
    </w:p>
    <w:p>
      <w:pPr>
        <w:pStyle w:val="17"/>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cs="Times New Roman"/>
          <w:bCs/>
          <w:sz w:val="32"/>
          <w:szCs w:val="32"/>
        </w:rPr>
        <w:t>七、财政拨款“三公”经费支出决算情况说明</w:t>
      </w:r>
    </w:p>
    <w:p>
      <w:pPr>
        <w:pStyle w:val="17"/>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（一）“三公”经费财政拨款支出决算总体情况说明</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26.00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18.30</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70.38</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25.03</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57.77</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sz w:val="32"/>
          <w:szCs w:val="32"/>
          <w:lang w:val="en-US" w:eastAsia="zh-CN"/>
        </w:rPr>
        <w:t>从严控制三公经费支出在预算范围内</w:t>
      </w:r>
      <w:r>
        <w:rPr>
          <w:rFonts w:ascii="Times New Roman" w:hAnsi="Times New Roman" w:eastAsia="仿宋_GB2312" w:cs="Times New Roman"/>
          <w:sz w:val="32"/>
          <w:szCs w:val="32"/>
        </w:rPr>
        <w:t>。决算数小于上年数的主要原因是</w:t>
      </w:r>
      <w:r>
        <w:rPr>
          <w:rFonts w:hint="eastAsia" w:ascii="Times New Roman" w:hAnsi="Times New Roman" w:eastAsia="仿宋_GB2312" w:cs="Times New Roman"/>
          <w:sz w:val="32"/>
          <w:szCs w:val="32"/>
          <w:lang w:val="en-US" w:eastAsia="zh-CN"/>
        </w:rPr>
        <w:t>上年购置公车一台，本年无购置计划</w:t>
      </w:r>
      <w:r>
        <w:rPr>
          <w:rFonts w:ascii="Times New Roman" w:hAnsi="Times New Roman" w:eastAsia="仿宋_GB2312" w:cs="Times New Roman"/>
          <w:sz w:val="32"/>
          <w:szCs w:val="32"/>
        </w:rPr>
        <w:t>。</w:t>
      </w:r>
    </w:p>
    <w:p>
      <w:pPr>
        <w:pStyle w:val="17"/>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（二）“三公”经费财政拨款支出决算具体情况说明</w:t>
      </w:r>
    </w:p>
    <w:p>
      <w:pPr>
        <w:pStyle w:val="17"/>
        <w:overflowPunct w:val="0"/>
        <w:autoSpaceDE/>
        <w:autoSpaceDN/>
        <w:spacing w:line="600" w:lineRule="exact"/>
        <w:ind w:firstLine="640" w:firstLineChars="200"/>
        <w:jc w:val="both"/>
        <w:rPr>
          <w:rFonts w:hint="eastAsia" w:ascii="Times New Roman" w:hAnsi="Times New Roman" w:eastAsia="仿宋_GB2312" w:cs="Times New Roman"/>
          <w:b/>
          <w:bCs/>
          <w:i/>
          <w:color w:val="auto"/>
          <w:sz w:val="32"/>
          <w:szCs w:val="32"/>
          <w:lang w:eastAsia="zh-CN"/>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lang w:val="en-US" w:eastAsia="zh-CN"/>
        </w:rPr>
        <w:t>5.00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ascii="Times New Roman" w:hAnsi="Times New Roman" w:eastAsia="仿宋_GB2312" w:cs="Times New Roman"/>
          <w:sz w:val="32"/>
          <w:szCs w:val="32"/>
          <w:highlight w:val="none"/>
        </w:rPr>
        <w:t>完成预算的</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w:t>
      </w:r>
      <w:r>
        <w:rPr>
          <w:rFonts w:ascii="Times New Roman" w:hAnsi="Times New Roman" w:eastAsia="仿宋_GB2312" w:cs="Times New Roman"/>
          <w:sz w:val="32"/>
          <w:szCs w:val="32"/>
        </w:rPr>
        <w:t>；与上年</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sz w:val="32"/>
          <w:szCs w:val="32"/>
          <w:lang w:val="en-US" w:eastAsia="zh-CN"/>
        </w:rPr>
        <w:t>本年无因公出国（境）任务</w:t>
      </w:r>
      <w:r>
        <w:rPr>
          <w:rFonts w:ascii="Times New Roman" w:hAnsi="Times New Roman" w:eastAsia="仿宋_GB2312" w:cs="Times New Roman"/>
          <w:sz w:val="32"/>
          <w:szCs w:val="32"/>
        </w:rPr>
        <w:t>。2024年度安排因公出国（境）团组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r>
        <w:rPr>
          <w:rFonts w:hint="eastAsia" w:ascii="Times New Roman" w:hAnsi="Times New Roman" w:eastAsia="仿宋_GB2312" w:cs="Times New Roman"/>
          <w:sz w:val="32"/>
          <w:szCs w:val="32"/>
          <w:lang w:eastAsia="zh-CN"/>
        </w:rPr>
        <w:t>。</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18.00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18.00</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42.95</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58.09</w:t>
      </w:r>
      <w:r>
        <w:rPr>
          <w:rFonts w:ascii="Times New Roman" w:hAnsi="Times New Roman" w:eastAsia="仿宋_GB2312" w:cs="Times New Roman"/>
          <w:sz w:val="32"/>
          <w:szCs w:val="32"/>
        </w:rPr>
        <w:t>%。其中：</w:t>
      </w:r>
    </w:p>
    <w:p>
      <w:pPr>
        <w:pStyle w:val="17"/>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24.95</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%。决算数小于上年数的主要原因是</w:t>
      </w:r>
      <w:r>
        <w:rPr>
          <w:rFonts w:hint="eastAsia" w:ascii="Times New Roman" w:hAnsi="Times New Roman" w:eastAsia="仿宋_GB2312" w:cs="Times New Roman"/>
          <w:sz w:val="32"/>
          <w:szCs w:val="32"/>
          <w:lang w:val="en-US" w:eastAsia="zh-CN"/>
        </w:rPr>
        <w:t>上年购置公务用车一台，本年无公车购置计划</w:t>
      </w:r>
      <w:r>
        <w:rPr>
          <w:rFonts w:ascii="Times New Roman" w:hAnsi="Times New Roman" w:eastAsia="仿宋_GB2312" w:cs="Times New Roman"/>
          <w:sz w:val="32"/>
          <w:szCs w:val="32"/>
        </w:rPr>
        <w:t>。单位本级更新公务用车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r>
        <w:rPr>
          <w:rFonts w:hint="eastAsia" w:ascii="Times New Roman" w:hAnsi="Times New Roman" w:eastAsia="仿宋_GB2312" w:cs="Times New Roman"/>
          <w:sz w:val="32"/>
          <w:szCs w:val="32"/>
          <w:lang w:eastAsia="zh-CN"/>
        </w:rPr>
        <w:t>。</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18.00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18.00</w:t>
      </w:r>
      <w:r>
        <w:rPr>
          <w:rFonts w:ascii="Times New Roman" w:hAnsi="Times New Roman" w:eastAsia="仿宋_GB2312" w:cs="Times New Roman"/>
          <w:sz w:val="32"/>
          <w:szCs w:val="32"/>
        </w:rPr>
        <w:t>万元，主要是</w:t>
      </w:r>
      <w:r>
        <w:rPr>
          <w:rFonts w:hint="eastAsia" w:ascii="Times New Roman" w:hAnsi="Times New Roman" w:eastAsia="仿宋_GB2312" w:cs="Times New Roman"/>
          <w:sz w:val="32"/>
          <w:szCs w:val="32"/>
          <w:lang w:val="en-US" w:eastAsia="zh-CN"/>
        </w:rPr>
        <w:t>公</w:t>
      </w:r>
      <w:r>
        <w:rPr>
          <w:rFonts w:hint="eastAsia" w:ascii="Times New Roman" w:hAnsi="Times New Roman" w:eastAsia="仿宋_GB2312"/>
          <w:sz w:val="32"/>
          <w:szCs w:val="32"/>
          <w:lang w:eastAsia="zh-CN"/>
        </w:rPr>
        <w:t>车加油、保养、</w:t>
      </w:r>
      <w:r>
        <w:rPr>
          <w:rFonts w:hint="eastAsia" w:ascii="Times New Roman" w:hAnsi="Times New Roman" w:eastAsia="仿宋_GB2312"/>
          <w:sz w:val="32"/>
          <w:szCs w:val="32"/>
          <w:lang w:val="en-US" w:eastAsia="zh-CN"/>
        </w:rPr>
        <w:t>过路费</w:t>
      </w:r>
      <w:r>
        <w:rPr>
          <w:rFonts w:hint="eastAsia" w:ascii="Times New Roman" w:hAnsi="Times New Roman" w:eastAsia="仿宋_GB2312"/>
          <w:sz w:val="32"/>
          <w:szCs w:val="32"/>
          <w:lang w:eastAsia="zh-CN"/>
        </w:rPr>
        <w:t>和保险等费用</w:t>
      </w:r>
      <w:r>
        <w:rPr>
          <w:rFonts w:ascii="Times New Roman" w:hAnsi="Times New Roman" w:eastAsia="仿宋_GB2312" w:cs="Times New Roman"/>
          <w:sz w:val="32"/>
          <w:szCs w:val="32"/>
        </w:rPr>
        <w:t>支出，完成预算的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截止2024年12月31日，我单位开支财政拨款的公务用车保有量为</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辆。</w:t>
      </w:r>
    </w:p>
    <w:p>
      <w:pPr>
        <w:pStyle w:val="17"/>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cs="Times New Roman"/>
          <w:sz w:val="32"/>
          <w:szCs w:val="32"/>
        </w:rPr>
        <w:t>公务接待费支出预算为</w:t>
      </w:r>
      <w:r>
        <w:rPr>
          <w:rFonts w:hint="eastAsia" w:ascii="Times New Roman" w:hAnsi="Times New Roman" w:eastAsia="仿宋_GB2312" w:cs="Times New Roman"/>
          <w:sz w:val="32"/>
          <w:szCs w:val="32"/>
          <w:lang w:val="en-US" w:eastAsia="zh-CN"/>
        </w:rPr>
        <w:t>3.00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0.30</w:t>
      </w:r>
      <w:bookmarkStart w:id="44" w:name="_GoBack"/>
      <w:bookmarkEnd w:id="44"/>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10.00</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0.08</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21.05</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yellow"/>
        </w:rPr>
        <w:t>。决算数小于预算数的主要原因是</w:t>
      </w:r>
      <w:r>
        <w:rPr>
          <w:rFonts w:hint="eastAsia" w:ascii="Times New Roman" w:hAnsi="Times New Roman" w:eastAsia="仿宋_GB2312"/>
          <w:sz w:val="32"/>
          <w:szCs w:val="32"/>
          <w:highlight w:val="yellow"/>
          <w:lang w:val="en-US" w:eastAsia="zh-CN"/>
        </w:rPr>
        <w:t>落实省政府“过紧日子”政策，压减“三公”经费支出</w:t>
      </w:r>
      <w:r>
        <w:rPr>
          <w:rFonts w:ascii="Times New Roman" w:hAnsi="Times New Roman" w:eastAsia="仿宋_GB2312" w:cs="Times New Roman"/>
          <w:sz w:val="32"/>
          <w:szCs w:val="32"/>
          <w:highlight w:val="yellow"/>
        </w:rPr>
        <w:t>。决算数小于上年数的主要原因是</w:t>
      </w:r>
      <w:r>
        <w:rPr>
          <w:rFonts w:hint="eastAsia" w:ascii="Times New Roman" w:hAnsi="Times New Roman" w:eastAsia="仿宋_GB2312" w:cs="Times New Roman"/>
          <w:sz w:val="32"/>
          <w:szCs w:val="32"/>
          <w:highlight w:val="yellow"/>
          <w:lang w:val="en-US" w:eastAsia="zh-CN"/>
        </w:rPr>
        <w:t>本年</w:t>
      </w:r>
      <w:r>
        <w:rPr>
          <w:rFonts w:hint="eastAsia" w:ascii="Times New Roman" w:hAnsi="Times New Roman" w:eastAsia="仿宋_GB2312"/>
          <w:sz w:val="32"/>
          <w:szCs w:val="32"/>
          <w:highlight w:val="yellow"/>
          <w:lang w:val="en-US" w:eastAsia="zh-CN"/>
        </w:rPr>
        <w:t>接待任务减少</w:t>
      </w:r>
      <w:r>
        <w:rPr>
          <w:rFonts w:hint="eastAsia" w:ascii="Times New Roman" w:hAnsi="Times New Roman" w:eastAsia="仿宋_GB2312"/>
          <w:sz w:val="32"/>
          <w:szCs w:val="32"/>
          <w:highlight w:val="yellow"/>
        </w:rPr>
        <w:t>。</w:t>
      </w:r>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lang w:val="en-US" w:eastAsia="zh-CN"/>
        </w:rPr>
        <w:t>19</w:t>
      </w:r>
      <w:r>
        <w:rPr>
          <w:rFonts w:ascii="Times New Roman" w:hAnsi="Times New Roman" w:eastAsia="仿宋_GB2312" w:cs="Times New Roman"/>
          <w:sz w:val="32"/>
          <w:szCs w:val="32"/>
        </w:rPr>
        <w:t>人次，主要是</w:t>
      </w:r>
      <w:r>
        <w:rPr>
          <w:rFonts w:hint="eastAsia" w:ascii="Times New Roman" w:hAnsi="Times New Roman" w:eastAsia="仿宋_GB2312"/>
          <w:sz w:val="32"/>
          <w:szCs w:val="32"/>
          <w:lang w:val="en-US" w:eastAsia="zh-CN"/>
        </w:rPr>
        <w:t>汇报农药管理工作、农药执法工作咨询等</w:t>
      </w:r>
      <w:r>
        <w:rPr>
          <w:rFonts w:hint="eastAsia" w:ascii="Times New Roman" w:hAnsi="Times New Roman" w:eastAsia="仿宋_GB2312"/>
          <w:sz w:val="32"/>
          <w:szCs w:val="32"/>
        </w:rPr>
        <w:t>发生的接待支出。</w:t>
      </w:r>
    </w:p>
    <w:p>
      <w:pPr>
        <w:pStyle w:val="17"/>
        <w:numPr>
          <w:ilvl w:val="0"/>
          <w:numId w:val="0"/>
        </w:numPr>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八、政府性基金预算收入支出决算情况</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本</w:t>
      </w:r>
      <w:r>
        <w:rPr>
          <w:rFonts w:ascii="Times New Roman" w:hAnsi="Times New Roman" w:eastAsia="仿宋_GB2312" w:cs="Times New Roman"/>
          <w:sz w:val="32"/>
          <w:szCs w:val="32"/>
        </w:rPr>
        <w:t>单位无政府性基金收支</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九、关于机关运行经费支出说明</w:t>
      </w:r>
    </w:p>
    <w:p>
      <w:pPr>
        <w:pStyle w:val="17"/>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ascii="Times New Roman" w:hAnsi="Times New Roman" w:eastAsia="仿宋_GB2312" w:cs="Times New Roman"/>
          <w:sz w:val="32"/>
          <w:szCs w:val="32"/>
        </w:rPr>
        <w:t>本部门2024年度机关运行经费支出</w:t>
      </w:r>
      <w:r>
        <w:rPr>
          <w:rFonts w:hint="eastAsia" w:ascii="Times New Roman" w:hAnsi="Times New Roman" w:eastAsia="仿宋_GB2312" w:cs="Times New Roman"/>
          <w:sz w:val="32"/>
          <w:szCs w:val="32"/>
          <w:lang w:val="en-US" w:eastAsia="zh-CN"/>
        </w:rPr>
        <w:t>59.55</w:t>
      </w:r>
      <w:r>
        <w:rPr>
          <w:rFonts w:ascii="Times New Roman" w:hAnsi="Times New Roman" w:eastAsia="仿宋_GB2312" w:cs="Times New Roman"/>
          <w:sz w:val="32"/>
          <w:szCs w:val="32"/>
        </w:rPr>
        <w:t>万元，比年初预算数减少</w:t>
      </w:r>
      <w:r>
        <w:rPr>
          <w:rFonts w:hint="eastAsia" w:ascii="Times New Roman" w:hAnsi="Times New Roman" w:eastAsia="仿宋_GB2312" w:cs="Times New Roman"/>
          <w:sz w:val="32"/>
          <w:szCs w:val="32"/>
          <w:lang w:val="en-US" w:eastAsia="zh-CN"/>
        </w:rPr>
        <w:t>7.34</w:t>
      </w:r>
      <w:r>
        <w:rPr>
          <w:rFonts w:ascii="Times New Roman" w:hAnsi="Times New Roman" w:eastAsia="仿宋_GB2312" w:cs="Times New Roman"/>
          <w:sz w:val="32"/>
          <w:szCs w:val="32"/>
        </w:rPr>
        <w:t xml:space="preserve"> 万元，降低</w:t>
      </w:r>
      <w:r>
        <w:rPr>
          <w:rFonts w:hint="eastAsia" w:ascii="Times New Roman" w:hAnsi="Times New Roman" w:eastAsia="仿宋_GB2312" w:cs="Times New Roman"/>
          <w:sz w:val="32"/>
          <w:szCs w:val="32"/>
          <w:lang w:val="en-US" w:eastAsia="zh-CN"/>
        </w:rPr>
        <w:t>10.97</w:t>
      </w:r>
      <w:r>
        <w:rPr>
          <w:rFonts w:ascii="Times New Roman" w:hAnsi="Times New Roman" w:eastAsia="仿宋_GB2312" w:cs="Times New Roman"/>
          <w:sz w:val="32"/>
          <w:szCs w:val="32"/>
        </w:rPr>
        <w:t>%。主要原因是：</w:t>
      </w:r>
      <w:r>
        <w:rPr>
          <w:rFonts w:hint="eastAsia" w:ascii="Times New Roman" w:hAnsi="Times New Roman" w:eastAsia="仿宋_GB2312"/>
          <w:sz w:val="32"/>
          <w:szCs w:val="32"/>
          <w:lang w:val="en-US" w:eastAsia="zh-CN"/>
        </w:rPr>
        <w:t>落实省政府“过紧日子”政策，压减机关运行经费</w:t>
      </w:r>
      <w:r>
        <w:rPr>
          <w:rFonts w:hint="eastAsia" w:ascii="Times New Roman" w:hAnsi="Times New Roman" w:eastAsia="仿宋_GB2312"/>
          <w:sz w:val="32"/>
          <w:szCs w:val="32"/>
        </w:rPr>
        <w:t>。</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十、一般性支出情况说明</w:t>
      </w:r>
    </w:p>
    <w:p>
      <w:pPr>
        <w:pStyle w:val="17"/>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2024年本部门开支会议费</w:t>
      </w:r>
      <w:r>
        <w:rPr>
          <w:rFonts w:hint="eastAsia" w:ascii="Times New Roman" w:hAnsi="Times New Roman" w:eastAsia="仿宋_GB2312" w:cs="Times New Roman"/>
          <w:sz w:val="32"/>
          <w:szCs w:val="32"/>
          <w:lang w:val="en-US" w:eastAsia="zh-CN"/>
        </w:rPr>
        <w:t>0.66</w:t>
      </w:r>
      <w:r>
        <w:rPr>
          <w:rFonts w:ascii="Times New Roman" w:hAnsi="Times New Roman" w:eastAsia="仿宋_GB2312" w:cs="Times New Roman"/>
          <w:sz w:val="32"/>
          <w:szCs w:val="32"/>
        </w:rPr>
        <w:t>万元，用于召开</w:t>
      </w:r>
      <w:r>
        <w:rPr>
          <w:rFonts w:hint="eastAsia" w:ascii="Times New Roman" w:hAnsi="Times New Roman" w:eastAsia="仿宋_GB2312" w:cs="Times New Roman"/>
          <w:sz w:val="32"/>
          <w:szCs w:val="32"/>
          <w:lang w:val="en-US" w:eastAsia="zh-CN"/>
        </w:rPr>
        <w:t>全省种植业工作会议，</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lang w:val="en-US" w:eastAsia="zh-CN"/>
        </w:rPr>
        <w:t>35</w:t>
      </w:r>
      <w:r>
        <w:rPr>
          <w:rFonts w:ascii="Times New Roman" w:hAnsi="Times New Roman" w:eastAsia="仿宋_GB2312" w:cs="Times New Roman"/>
          <w:sz w:val="32"/>
          <w:szCs w:val="32"/>
        </w:rPr>
        <w:t>人，内容</w:t>
      </w:r>
      <w:r>
        <w:rPr>
          <w:rFonts w:hint="eastAsia" w:ascii="Times New Roman" w:hAnsi="Times New Roman" w:eastAsia="仿宋_GB2312" w:cs="Times New Roman"/>
          <w:sz w:val="32"/>
          <w:szCs w:val="32"/>
          <w:lang w:val="en-US" w:eastAsia="zh-CN"/>
        </w:rPr>
        <w:t>为总结交流2023年种植业生产情况，研究部署2024年种植业重点工作</w:t>
      </w:r>
      <w:r>
        <w:rPr>
          <w:rFonts w:hint="eastAsia" w:ascii="Times New Roman" w:hAnsi="Times New Roman" w:eastAsia="仿宋_GB2312" w:cs="Times New Roman"/>
          <w:sz w:val="32"/>
          <w:szCs w:val="32"/>
          <w:lang w:eastAsia="zh-CN"/>
        </w:rPr>
        <w:t>。</w:t>
      </w:r>
    </w:p>
    <w:p>
      <w:pPr>
        <w:ind w:firstLine="640" w:firstLineChars="200"/>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开支培训费</w:t>
      </w:r>
      <w:r>
        <w:rPr>
          <w:rFonts w:hint="eastAsia" w:ascii="Times New Roman" w:hAnsi="Times New Roman" w:eastAsia="仿宋_GB2312" w:cs="Times New Roman"/>
          <w:sz w:val="32"/>
          <w:szCs w:val="32"/>
          <w:lang w:val="en-US" w:eastAsia="zh-CN"/>
        </w:rPr>
        <w:t>49.65</w:t>
      </w:r>
      <w:r>
        <w:rPr>
          <w:rFonts w:ascii="Times New Roman" w:hAnsi="Times New Roman" w:eastAsia="仿宋_GB2312" w:cs="Times New Roman"/>
          <w:sz w:val="32"/>
          <w:szCs w:val="32"/>
        </w:rPr>
        <w:t>万元，用于开展</w:t>
      </w:r>
      <w:r>
        <w:rPr>
          <w:rFonts w:hint="eastAsia" w:ascii="Times New Roman" w:hAnsi="Times New Roman" w:eastAsia="仿宋_GB2312" w:cs="Times New Roman"/>
          <w:sz w:val="32"/>
          <w:szCs w:val="32"/>
          <w:lang w:val="en-US" w:eastAsia="zh-CN"/>
        </w:rPr>
        <w:t>下列</w:t>
      </w:r>
      <w:r>
        <w:rPr>
          <w:rFonts w:ascii="Times New Roman" w:hAnsi="Times New Roman" w:eastAsia="仿宋_GB2312" w:cs="Times New Roman"/>
          <w:sz w:val="32"/>
          <w:szCs w:val="32"/>
        </w:rPr>
        <w:t>培训</w:t>
      </w:r>
      <w:r>
        <w:rPr>
          <w:rFonts w:hint="eastAsia" w:ascii="Times New Roman" w:hAnsi="Times New Roman" w:eastAsia="仿宋_GB2312" w:cs="Times New Roman"/>
          <w:sz w:val="32"/>
          <w:szCs w:val="32"/>
          <w:lang w:eastAsia="zh-CN"/>
        </w:rPr>
        <w:t>：</w:t>
      </w:r>
    </w:p>
    <w:p>
      <w:pPr>
        <w:numPr>
          <w:ilvl w:val="0"/>
          <w:numId w:val="0"/>
        </w:num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1、农药行业法治和安全生产培训</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lang w:val="en-US" w:eastAsia="zh-CN"/>
        </w:rPr>
        <w:t>102</w:t>
      </w:r>
      <w:r>
        <w:rPr>
          <w:rFonts w:ascii="Times New Roman" w:hAnsi="Times New Roman" w:eastAsia="仿宋_GB2312" w:cs="Times New Roman"/>
          <w:sz w:val="32"/>
          <w:szCs w:val="32"/>
        </w:rPr>
        <w:t>人，内容为</w:t>
      </w:r>
      <w:r>
        <w:rPr>
          <w:rFonts w:hint="eastAsia" w:ascii="Times New Roman" w:hAnsi="Times New Roman" w:eastAsia="仿宋_GB2312" w:cs="Times New Roman"/>
          <w:sz w:val="32"/>
          <w:szCs w:val="32"/>
          <w:lang w:val="en-US" w:eastAsia="zh-CN"/>
        </w:rPr>
        <w:t>全省农药行业法治和安全生产培训暨消防应急演练，费用4.27万元。</w:t>
      </w:r>
    </w:p>
    <w:p>
      <w:pPr>
        <w:ind w:firstLine="640" w:firstLineChars="200"/>
        <w:rPr>
          <w:rFonts w:hint="default" w:eastAsia="仿宋_GB2312"/>
          <w:lang w:val="en-US" w:eastAsia="zh-CN"/>
        </w:rPr>
      </w:pPr>
      <w:r>
        <w:rPr>
          <w:rFonts w:hint="eastAsia" w:ascii="Times New Roman" w:hAnsi="Times New Roman" w:eastAsia="仿宋_GB2312" w:cs="Times New Roman"/>
          <w:sz w:val="32"/>
          <w:szCs w:val="32"/>
          <w:lang w:val="en-US" w:eastAsia="zh-CN"/>
        </w:rPr>
        <w:t>2、农药宣传培训培训</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lang w:val="en-US" w:eastAsia="zh-CN"/>
        </w:rPr>
        <w:t>1000</w:t>
      </w:r>
      <w:r>
        <w:rPr>
          <w:rFonts w:ascii="Times New Roman" w:hAnsi="Times New Roman" w:eastAsia="仿宋_GB2312" w:cs="Times New Roman"/>
          <w:sz w:val="32"/>
          <w:szCs w:val="32"/>
        </w:rPr>
        <w:t>人，内容</w:t>
      </w:r>
      <w:r>
        <w:rPr>
          <w:rFonts w:hint="eastAsia" w:ascii="Times New Roman" w:hAnsi="Times New Roman" w:eastAsia="仿宋_GB2312" w:cs="Times New Roman"/>
          <w:sz w:val="32"/>
          <w:szCs w:val="32"/>
          <w:lang w:val="en-US" w:eastAsia="zh-CN"/>
        </w:rPr>
        <w:t>为在开展培训8个县市区同步开展科学安全合理使用农药的宣传、包装废弃物回收处理等，费用30万元。</w:t>
      </w:r>
    </w:p>
    <w:p>
      <w:pPr>
        <w:ind w:firstLine="640" w:firstLineChars="200"/>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eastAsia="zh-CN"/>
        </w:rPr>
        <w:t>3、2024年湖南省农产品质量安全检测能力验证培训</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lang w:val="en-US" w:eastAsia="zh-CN"/>
        </w:rPr>
        <w:t>200</w:t>
      </w:r>
      <w:r>
        <w:rPr>
          <w:rFonts w:ascii="Times New Roman" w:hAnsi="Times New Roman" w:eastAsia="仿宋_GB2312" w:cs="Times New Roman"/>
          <w:sz w:val="32"/>
          <w:szCs w:val="32"/>
        </w:rPr>
        <w:t>人，内容</w:t>
      </w:r>
      <w:r>
        <w:rPr>
          <w:rFonts w:hint="eastAsia" w:ascii="Times New Roman" w:hAnsi="Times New Roman" w:eastAsia="仿宋_GB2312" w:cs="Times New Roman"/>
          <w:sz w:val="32"/>
          <w:szCs w:val="32"/>
          <w:lang w:val="en-US" w:eastAsia="zh-CN"/>
        </w:rPr>
        <w:t>2024年湖南省农产品质量安全检测能力验证情况、问题分析及整改；虚假报告与不实报告解读，费用5.87万元。</w:t>
      </w:r>
    </w:p>
    <w:p>
      <w:pPr>
        <w:ind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4、全省农药监管工作培训</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lang w:val="en-US" w:eastAsia="zh-CN"/>
        </w:rPr>
        <w:t>150</w:t>
      </w:r>
      <w:r>
        <w:rPr>
          <w:rFonts w:ascii="Times New Roman" w:hAnsi="Times New Roman" w:eastAsia="仿宋_GB2312" w:cs="Times New Roman"/>
          <w:sz w:val="32"/>
          <w:szCs w:val="32"/>
        </w:rPr>
        <w:t>人，内容为</w:t>
      </w:r>
      <w:r>
        <w:rPr>
          <w:rFonts w:hint="eastAsia" w:ascii="Times New Roman" w:hAnsi="Times New Roman" w:eastAsia="仿宋_GB2312" w:cs="Times New Roman"/>
          <w:sz w:val="32"/>
          <w:szCs w:val="32"/>
          <w:lang w:val="en-US" w:eastAsia="zh-CN"/>
        </w:rPr>
        <w:t>开展相关法律法规宣贯、专题学习和研讨交流等，费用9.51万元。</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未</w:t>
      </w:r>
      <w:r>
        <w:rPr>
          <w:rFonts w:ascii="Times New Roman" w:hAnsi="Times New Roman" w:eastAsia="仿宋_GB2312" w:cs="Times New Roman"/>
          <w:sz w:val="32"/>
          <w:szCs w:val="32"/>
        </w:rPr>
        <w:t>举办节庆、晚会、论坛、赛事活动。</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十一、关于政府采购支出说明</w:t>
      </w:r>
    </w:p>
    <w:p>
      <w:pPr>
        <w:pStyle w:val="17"/>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sz w:val="32"/>
          <w:szCs w:val="32"/>
        </w:rPr>
        <w:t>本部门2024年度政府采购支出总额</w:t>
      </w:r>
      <w:r>
        <w:rPr>
          <w:rFonts w:hint="eastAsia" w:ascii="Times New Roman" w:hAnsi="Times New Roman" w:eastAsia="仿宋_GB2312" w:cs="Times New Roman"/>
          <w:sz w:val="32"/>
          <w:szCs w:val="32"/>
          <w:lang w:val="en-US" w:eastAsia="zh-CN"/>
        </w:rPr>
        <w:t>426.03</w:t>
      </w:r>
      <w:r>
        <w:rPr>
          <w:rFonts w:ascii="Times New Roman" w:hAnsi="Times New Roman" w:eastAsia="仿宋_GB2312" w:cs="Times New Roman"/>
          <w:sz w:val="32"/>
          <w:szCs w:val="32"/>
        </w:rPr>
        <w:t>万元，其中：政府采购货物支出</w:t>
      </w:r>
      <w:r>
        <w:rPr>
          <w:rFonts w:hint="eastAsia" w:ascii="Times New Roman" w:hAnsi="Times New Roman" w:eastAsia="仿宋_GB2312" w:cs="Times New Roman"/>
          <w:sz w:val="32"/>
          <w:szCs w:val="32"/>
          <w:lang w:val="en-US" w:eastAsia="zh-CN"/>
        </w:rPr>
        <w:t>309.27</w:t>
      </w:r>
      <w:r>
        <w:rPr>
          <w:rFonts w:ascii="Times New Roman" w:hAnsi="Times New Roman" w:eastAsia="仿宋_GB2312" w:cs="Times New Roman"/>
          <w:sz w:val="32"/>
          <w:szCs w:val="32"/>
        </w:rPr>
        <w:t>万元、政府采购工程支出</w:t>
      </w:r>
      <w:r>
        <w:rPr>
          <w:rFonts w:hint="eastAsia" w:ascii="Times New Roman" w:hAnsi="Times New Roman" w:eastAsia="仿宋_GB2312" w:cs="Times New Roman"/>
          <w:sz w:val="32"/>
          <w:szCs w:val="32"/>
          <w:lang w:val="en-US" w:eastAsia="zh-CN"/>
        </w:rPr>
        <w:t>1.38</w:t>
      </w:r>
      <w:r>
        <w:rPr>
          <w:rFonts w:ascii="Times New Roman" w:hAnsi="Times New Roman" w:eastAsia="仿宋_GB2312" w:cs="Times New Roman"/>
          <w:sz w:val="32"/>
          <w:szCs w:val="32"/>
        </w:rPr>
        <w:t>万元、政府采购服务支出</w:t>
      </w:r>
      <w:r>
        <w:rPr>
          <w:rFonts w:hint="eastAsia" w:ascii="Times New Roman" w:hAnsi="Times New Roman" w:eastAsia="仿宋_GB2312" w:cs="Times New Roman"/>
          <w:sz w:val="32"/>
          <w:szCs w:val="32"/>
          <w:lang w:val="en-US" w:eastAsia="zh-CN"/>
        </w:rPr>
        <w:t>115.38</w:t>
      </w:r>
      <w:r>
        <w:rPr>
          <w:rFonts w:ascii="Times New Roman" w:hAnsi="Times New Roman" w:eastAsia="仿宋_GB2312" w:cs="Times New Roman"/>
          <w:sz w:val="32"/>
          <w:szCs w:val="32"/>
        </w:rPr>
        <w:t>万元。授予中小企业合同金额</w:t>
      </w:r>
      <w:r>
        <w:rPr>
          <w:rFonts w:hint="eastAsia" w:ascii="Times New Roman" w:hAnsi="Times New Roman" w:eastAsia="仿宋_GB2312" w:cs="Times New Roman"/>
          <w:sz w:val="32"/>
          <w:szCs w:val="32"/>
          <w:lang w:val="en-US" w:eastAsia="zh-CN"/>
        </w:rPr>
        <w:t>423.69</w:t>
      </w:r>
      <w:r>
        <w:rPr>
          <w:rFonts w:ascii="Times New Roman" w:hAnsi="Times New Roman" w:eastAsia="仿宋_GB2312" w:cs="Times New Roman"/>
          <w:sz w:val="32"/>
          <w:szCs w:val="32"/>
        </w:rPr>
        <w:t>万元，占政府采购支出总额的</w:t>
      </w:r>
      <w:r>
        <w:rPr>
          <w:rFonts w:hint="eastAsia" w:ascii="Times New Roman" w:hAnsi="Times New Roman" w:eastAsia="仿宋_GB2312" w:cs="Times New Roman"/>
          <w:sz w:val="32"/>
          <w:szCs w:val="32"/>
          <w:lang w:val="en-US" w:eastAsia="zh-CN"/>
        </w:rPr>
        <w:t>99.45</w:t>
      </w:r>
      <w:r>
        <w:rPr>
          <w:rFonts w:ascii="Times New Roman" w:hAnsi="Times New Roman" w:eastAsia="仿宋_GB2312" w:cs="Times New Roman"/>
          <w:sz w:val="32"/>
          <w:szCs w:val="32"/>
        </w:rPr>
        <w:t>%，其中：授予小微企业合同金额</w:t>
      </w:r>
      <w:r>
        <w:rPr>
          <w:rFonts w:hint="eastAsia" w:ascii="Times New Roman" w:hAnsi="Times New Roman" w:eastAsia="仿宋_GB2312" w:cs="Times New Roman"/>
          <w:sz w:val="32"/>
          <w:szCs w:val="32"/>
          <w:lang w:val="en-US" w:eastAsia="zh-CN"/>
        </w:rPr>
        <w:t>218.90</w:t>
      </w:r>
      <w:r>
        <w:rPr>
          <w:rFonts w:ascii="Times New Roman" w:hAnsi="Times New Roman" w:eastAsia="仿宋_GB2312" w:cs="Times New Roman"/>
          <w:sz w:val="32"/>
          <w:szCs w:val="32"/>
        </w:rPr>
        <w:t>万元，</w:t>
      </w:r>
      <w:r>
        <w:rPr>
          <w:rFonts w:ascii="Times New Roman" w:hAnsi="Times New Roman" w:eastAsia="仿宋_GB2312" w:cs="Times New Roman"/>
          <w:color w:val="auto"/>
          <w:sz w:val="32"/>
          <w:szCs w:val="32"/>
        </w:rPr>
        <w:t>占授予中小企业合同金额的</w:t>
      </w:r>
      <w:r>
        <w:rPr>
          <w:rFonts w:hint="eastAsia" w:ascii="Times New Roman" w:hAnsi="Times New Roman" w:eastAsia="仿宋_GB2312" w:cs="Times New Roman"/>
          <w:color w:val="auto"/>
          <w:sz w:val="32"/>
          <w:szCs w:val="32"/>
          <w:lang w:val="en-US" w:eastAsia="zh-CN"/>
        </w:rPr>
        <w:t>51.67</w:t>
      </w:r>
      <w:r>
        <w:rPr>
          <w:rFonts w:ascii="Times New Roman" w:hAnsi="Times New Roman" w:eastAsia="仿宋_GB2312" w:cs="Times New Roman"/>
          <w:color w:val="auto"/>
          <w:sz w:val="32"/>
          <w:szCs w:val="32"/>
        </w:rPr>
        <w:t>%。货物采购授予中小企业合同金额占货物支出金额的</w:t>
      </w:r>
      <w:r>
        <w:rPr>
          <w:rFonts w:hint="eastAsia" w:ascii="Times New Roman" w:hAnsi="Times New Roman" w:eastAsia="仿宋_GB2312" w:cs="Times New Roman"/>
          <w:color w:val="auto"/>
          <w:sz w:val="32"/>
          <w:szCs w:val="32"/>
          <w:lang w:val="en-US" w:eastAsia="zh-CN"/>
        </w:rPr>
        <w:t>99.24</w:t>
      </w:r>
      <w:r>
        <w:rPr>
          <w:rFonts w:ascii="Times New Roman" w:hAnsi="Times New Roman" w:eastAsia="仿宋_GB2312" w:cs="Times New Roman"/>
          <w:color w:val="auto"/>
          <w:sz w:val="32"/>
          <w:szCs w:val="32"/>
        </w:rPr>
        <w:t>%，工程采购授予中小企业合同金额占工程支出金额的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%，服务采购授予中小企业合同金额占服务支出金额的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w:t>
      </w:r>
    </w:p>
    <w:p>
      <w:pPr>
        <w:pStyle w:val="17"/>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十二、关于国有资产占用情况说明</w:t>
      </w:r>
    </w:p>
    <w:p>
      <w:pPr>
        <w:pStyle w:val="17"/>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截至2024年12月31日，部门（单位）共有车辆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辆，其中，副部（省）级及以上领导用车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辆、主要负责人用车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辆、机要通信用车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辆、应急保障用车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辆、执法执勤用车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辆、特种专业技术用车</w:t>
      </w:r>
      <w:r>
        <w:rPr>
          <w:rFonts w:hint="eastAsia" w:ascii="Times New Roman" w:hAnsi="Times New Roman" w:eastAsia="仿宋_GB2312" w:cs="Times New Roman"/>
          <w:color w:val="auto"/>
          <w:sz w:val="32"/>
          <w:szCs w:val="32"/>
          <w:lang w:val="en-US" w:eastAsia="zh-CN"/>
        </w:rPr>
        <w:t>3</w:t>
      </w:r>
      <w:r>
        <w:rPr>
          <w:rFonts w:ascii="Times New Roman" w:hAnsi="Times New Roman" w:eastAsia="仿宋_GB2312" w:cs="Times New Roman"/>
          <w:color w:val="auto"/>
          <w:sz w:val="32"/>
          <w:szCs w:val="32"/>
        </w:rPr>
        <w:t>辆、离退休干部服务用车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辆、其他用车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辆；单位价值100万元以上设备（不含车辆）</w:t>
      </w:r>
      <w:r>
        <w:rPr>
          <w:rFonts w:hint="eastAsia" w:ascii="Times New Roman" w:hAnsi="Times New Roman" w:eastAsia="仿宋_GB2312" w:cs="Times New Roman"/>
          <w:color w:val="auto"/>
          <w:sz w:val="32"/>
          <w:szCs w:val="32"/>
          <w:lang w:val="en-US" w:eastAsia="zh-CN"/>
        </w:rPr>
        <w:t>10</w:t>
      </w:r>
      <w:r>
        <w:rPr>
          <w:rFonts w:ascii="Times New Roman" w:hAnsi="Times New Roman" w:eastAsia="仿宋_GB2312" w:cs="Times New Roman"/>
          <w:color w:val="auto"/>
          <w:sz w:val="32"/>
          <w:szCs w:val="32"/>
        </w:rPr>
        <w:t>台（套）。</w:t>
      </w:r>
    </w:p>
    <w:p>
      <w:pPr>
        <w:pStyle w:val="17"/>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十三、关于</w:t>
      </w:r>
      <w:r>
        <w:rPr>
          <w:rFonts w:ascii="Times New Roman" w:hAnsi="Times New Roman" w:eastAsia="仿宋_GB2312" w:cs="Times New Roman"/>
          <w:color w:val="auto"/>
          <w:sz w:val="32"/>
          <w:szCs w:val="32"/>
        </w:rPr>
        <w:t>2024</w:t>
      </w:r>
      <w:r>
        <w:rPr>
          <w:rFonts w:ascii="Times New Roman" w:hAnsi="Times New Roman" w:cs="Times New Roman"/>
          <w:bCs/>
          <w:color w:val="auto"/>
          <w:sz w:val="32"/>
          <w:szCs w:val="32"/>
        </w:rPr>
        <w:t>年度预算绩效情况的说明</w:t>
      </w:r>
    </w:p>
    <w:p>
      <w:pPr>
        <w:overflowPunct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楷体_GB2312" w:cs="Times New Roman"/>
          <w:b/>
          <w:bCs/>
          <w:sz w:val="32"/>
          <w:szCs w:val="32"/>
        </w:rPr>
        <w:t>（一）绩效评价工作开展情况。</w:t>
      </w:r>
      <w:r>
        <w:rPr>
          <w:rFonts w:ascii="Times New Roman" w:hAnsi="Times New Roman" w:eastAsia="仿宋_GB2312" w:cs="Times New Roman"/>
          <w:b/>
          <w:bCs/>
          <w:kern w:val="0"/>
          <w:sz w:val="32"/>
          <w:szCs w:val="32"/>
        </w:rPr>
        <w:t>一是绩效自评开展情况。</w:t>
      </w:r>
      <w:r>
        <w:rPr>
          <w:rFonts w:ascii="Times New Roman" w:hAnsi="Times New Roman" w:eastAsia="仿宋_GB2312" w:cs="Times New Roman"/>
          <w:kern w:val="0"/>
          <w:sz w:val="32"/>
          <w:szCs w:val="32"/>
        </w:rPr>
        <w:t>组织对2024年度本单位整体支出开展绩效自评，涉及项目</w:t>
      </w: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kern w:val="0"/>
          <w:sz w:val="32"/>
          <w:szCs w:val="32"/>
        </w:rPr>
        <w:t>个，共涉及资金</w:t>
      </w:r>
      <w:r>
        <w:rPr>
          <w:rFonts w:hint="eastAsia" w:ascii="Times New Roman" w:hAnsi="Times New Roman" w:eastAsia="仿宋_GB2312" w:cs="Times New Roman"/>
          <w:kern w:val="0"/>
          <w:sz w:val="32"/>
          <w:szCs w:val="32"/>
          <w:lang w:val="en-US" w:eastAsia="zh-CN"/>
        </w:rPr>
        <w:t>1032.30</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1032.30</w:t>
      </w:r>
      <w:r>
        <w:rPr>
          <w:rFonts w:ascii="Times New Roman" w:hAnsi="Times New Roman" w:eastAsia="仿宋_GB2312" w:cs="Times New Roman"/>
          <w:kern w:val="0"/>
          <w:sz w:val="32"/>
          <w:szCs w:val="32"/>
        </w:rPr>
        <w:t>万元，占一般公共预算支出总额的</w:t>
      </w:r>
      <w:r>
        <w:rPr>
          <w:rFonts w:hint="eastAsia" w:ascii="Times New Roman" w:hAnsi="Times New Roman" w:eastAsia="仿宋_GB2312" w:cs="Times New Roman"/>
          <w:kern w:val="0"/>
          <w:sz w:val="32"/>
          <w:szCs w:val="32"/>
          <w:lang w:val="en-US" w:eastAsia="zh-CN"/>
        </w:rPr>
        <w:t>53.53</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万元；社会保险基金预算项目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w:t>
      </w:r>
    </w:p>
    <w:p>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仿宋_GB2312" w:hAnsi="仿宋_GB2312" w:eastAsia="仿宋_GB2312" w:cs="仿宋_GB2312"/>
          <w:sz w:val="32"/>
          <w:szCs w:val="32"/>
        </w:rPr>
      </w:pPr>
      <w:r>
        <w:rPr>
          <w:rFonts w:ascii="Times New Roman" w:hAnsi="Times New Roman" w:eastAsia="楷体_GB2312" w:cs="Times New Roman"/>
          <w:b/>
          <w:bCs/>
          <w:sz w:val="32"/>
          <w:szCs w:val="32"/>
        </w:rPr>
        <w:t>（二）绩效评价结果。</w:t>
      </w:r>
      <w:r>
        <w:rPr>
          <w:rFonts w:ascii="Times New Roman" w:hAnsi="Times New Roman" w:eastAsia="仿宋_GB2312" w:cs="Times New Roman"/>
          <w:b/>
          <w:bCs/>
          <w:kern w:val="0"/>
          <w:sz w:val="32"/>
          <w:szCs w:val="32"/>
        </w:rPr>
        <w:t>一是绩效自评结果。</w:t>
      </w:r>
      <w:r>
        <w:rPr>
          <w:rFonts w:ascii="Times New Roman" w:hAnsi="Times New Roman" w:eastAsia="仿宋_GB2312" w:cs="Times New Roman"/>
          <w:kern w:val="0"/>
          <w:sz w:val="32"/>
          <w:szCs w:val="32"/>
        </w:rPr>
        <w:t>2024年度本单位整体支出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1962.69</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1928.52</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98.29</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99.83</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优</w:t>
      </w:r>
      <w:r>
        <w:rPr>
          <w:rFonts w:ascii="Times New Roman" w:hAnsi="Times New Roman" w:eastAsia="仿宋_GB2312" w:cs="Times New Roman"/>
          <w:sz w:val="32"/>
          <w:szCs w:val="32"/>
        </w:rPr>
        <w:t>”。绩效目标完成情况：</w:t>
      </w:r>
      <w:r>
        <w:rPr>
          <w:rFonts w:hint="eastAsia" w:ascii="方正仿宋_GB2312" w:hAnsi="方正仿宋_GB2312" w:eastAsia="方正仿宋_GB2312" w:cs="方正仿宋_GB2312"/>
          <w:b/>
          <w:bCs/>
          <w:color w:val="auto"/>
          <w:sz w:val="32"/>
          <w:lang w:val="en-US" w:eastAsia="zh-CN"/>
        </w:rPr>
        <w:t>一是</w:t>
      </w:r>
      <w:r>
        <w:rPr>
          <w:rFonts w:hint="eastAsia" w:ascii="方正仿宋_GB2312" w:hAnsi="方正仿宋_GB2312" w:eastAsia="方正仿宋_GB2312" w:cs="方正仿宋_GB2312"/>
          <w:b/>
          <w:bCs/>
          <w:color w:val="auto"/>
          <w:sz w:val="32"/>
        </w:rPr>
        <w:t>强</w:t>
      </w:r>
      <w:r>
        <w:rPr>
          <w:rFonts w:hint="eastAsia" w:ascii="方正仿宋_GB2312" w:hAnsi="方正仿宋_GB2312" w:eastAsia="方正仿宋_GB2312" w:cs="方正仿宋_GB2312"/>
          <w:b/>
          <w:bCs/>
          <w:color w:val="auto"/>
          <w:sz w:val="32"/>
          <w:lang w:val="en-US" w:eastAsia="zh-CN"/>
        </w:rPr>
        <w:t>引导促行业不断优化</w:t>
      </w:r>
      <w:r>
        <w:rPr>
          <w:rFonts w:hint="eastAsia" w:ascii="方正仿宋_GB2312" w:hAnsi="方正仿宋_GB2312" w:eastAsia="方正仿宋_GB2312" w:cs="方正仿宋_GB2312"/>
          <w:b/>
          <w:bCs/>
          <w:color w:val="auto"/>
          <w:sz w:val="32"/>
          <w:lang w:eastAsia="zh-CN"/>
        </w:rPr>
        <w:t>。</w:t>
      </w:r>
      <w:r>
        <w:rPr>
          <w:rFonts w:hint="eastAsia" w:ascii="方正仿宋_GB2312" w:hAnsi="方正仿宋_GB2312" w:eastAsia="方正仿宋_GB2312" w:cs="方正仿宋_GB2312"/>
          <w:color w:val="auto"/>
          <w:kern w:val="0"/>
          <w:sz w:val="32"/>
          <w:szCs w:val="32"/>
        </w:rPr>
        <w:t>严把许可关，</w:t>
      </w:r>
      <w:r>
        <w:rPr>
          <w:rFonts w:hint="eastAsia" w:ascii="方正仿宋_GB2312" w:hAnsi="方正仿宋_GB2312" w:eastAsia="方正仿宋_GB2312" w:cs="方正仿宋_GB2312"/>
          <w:color w:val="auto"/>
          <w:kern w:val="0"/>
          <w:sz w:val="32"/>
          <w:szCs w:val="32"/>
          <w:lang w:val="en-US" w:eastAsia="zh-CN"/>
        </w:rPr>
        <w:t>采取预审制、专家负责制等措施，不断提高行政许可效率。</w:t>
      </w:r>
      <w:r>
        <w:rPr>
          <w:rFonts w:hint="eastAsia" w:ascii="方正仿宋_GB2312" w:hAnsi="方正仿宋_GB2312" w:eastAsia="方正仿宋_GB2312" w:cs="方正仿宋_GB2312"/>
          <w:bCs/>
          <w:color w:val="auto"/>
          <w:sz w:val="32"/>
          <w:szCs w:val="32"/>
        </w:rPr>
        <w:t>截至目前，全省共有农药生产企业36家，</w:t>
      </w:r>
      <w:r>
        <w:rPr>
          <w:rFonts w:hint="eastAsia" w:ascii="方正仿宋_GB2312" w:hAnsi="方正仿宋_GB2312" w:eastAsia="方正仿宋_GB2312" w:cs="方正仿宋_GB2312"/>
          <w:color w:val="auto"/>
          <w:sz w:val="32"/>
          <w:szCs w:val="32"/>
        </w:rPr>
        <w:t>入园率80.6%，有效期内的登记产品760个。现有农药经营许可证14103</w:t>
      </w:r>
      <w:r>
        <w:rPr>
          <w:rFonts w:hint="eastAsia" w:ascii="方正仿宋_GB2312" w:hAnsi="方正仿宋_GB2312" w:eastAsia="方正仿宋_GB2312" w:cs="方正仿宋_GB2312"/>
          <w:color w:val="auto"/>
          <w:sz w:val="32"/>
          <w:szCs w:val="32"/>
          <w:lang w:val="en-US" w:eastAsia="zh-CN"/>
        </w:rPr>
        <w:t>张</w:t>
      </w:r>
      <w:r>
        <w:rPr>
          <w:rFonts w:hint="eastAsia" w:ascii="方正仿宋_GB2312" w:hAnsi="方正仿宋_GB2312" w:eastAsia="方正仿宋_GB2312" w:cs="方正仿宋_GB2312"/>
          <w:color w:val="auto"/>
          <w:sz w:val="32"/>
          <w:szCs w:val="32"/>
        </w:rPr>
        <w:t>，其中限用经营许可证832</w:t>
      </w:r>
      <w:r>
        <w:rPr>
          <w:rFonts w:hint="eastAsia" w:ascii="方正仿宋_GB2312" w:hAnsi="方正仿宋_GB2312" w:eastAsia="方正仿宋_GB2312" w:cs="方正仿宋_GB2312"/>
          <w:color w:val="auto"/>
          <w:sz w:val="32"/>
          <w:szCs w:val="32"/>
          <w:lang w:val="en-US" w:eastAsia="zh-CN"/>
        </w:rPr>
        <w:t>个，较2023年减少69个</w:t>
      </w:r>
      <w:r>
        <w:rPr>
          <w:rFonts w:hint="eastAsia" w:ascii="方正仿宋_GB2312" w:hAnsi="方正仿宋_GB2312" w:eastAsia="方正仿宋_GB2312" w:cs="方正仿宋_GB2312"/>
          <w:color w:val="auto"/>
          <w:sz w:val="32"/>
          <w:szCs w:val="32"/>
        </w:rPr>
        <w:t>。大力开展农药标准化门店示范创建，</w:t>
      </w:r>
      <w:r>
        <w:rPr>
          <w:rFonts w:hint="eastAsia" w:ascii="方正仿宋_GB2312" w:hAnsi="方正仿宋_GB2312" w:eastAsia="方正仿宋_GB2312" w:cs="方正仿宋_GB2312"/>
          <w:color w:val="auto"/>
          <w:sz w:val="32"/>
          <w:szCs w:val="32"/>
          <w:lang w:val="en-US" w:eastAsia="zh-CN"/>
        </w:rPr>
        <w:t>推行</w:t>
      </w:r>
      <w:r>
        <w:rPr>
          <w:rFonts w:hint="eastAsia" w:ascii="方正仿宋_GB2312" w:hAnsi="方正仿宋_GB2312" w:eastAsia="方正仿宋_GB2312" w:cs="方正仿宋_GB2312"/>
          <w:color w:val="auto"/>
          <w:sz w:val="32"/>
          <w:szCs w:val="32"/>
        </w:rPr>
        <w:t>农药经营门店标准化管理和开方卖药服务</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rPr>
        <w:t>全省已创建农药标准化经营服务门店680个。</w:t>
      </w:r>
      <w:r>
        <w:rPr>
          <w:rFonts w:hint="eastAsia" w:ascii="方正仿宋_GB2312" w:hAnsi="方正仿宋_GB2312" w:eastAsia="方正仿宋_GB2312" w:cs="方正仿宋_GB2312"/>
          <w:b/>
          <w:bCs/>
          <w:color w:val="auto"/>
          <w:sz w:val="32"/>
          <w:lang w:val="en-US" w:eastAsia="zh-CN"/>
        </w:rPr>
        <w:t>二是</w:t>
      </w:r>
      <w:r>
        <w:rPr>
          <w:rFonts w:hint="eastAsia" w:ascii="方正仿宋_GB2312" w:hAnsi="方正仿宋_GB2312" w:eastAsia="方正仿宋_GB2312" w:cs="方正仿宋_GB2312"/>
          <w:b/>
          <w:bCs/>
          <w:color w:val="auto"/>
          <w:sz w:val="32"/>
          <w:lang w:eastAsia="zh-CN"/>
        </w:rPr>
        <w:t>强监管</w:t>
      </w:r>
      <w:r>
        <w:rPr>
          <w:rFonts w:hint="eastAsia" w:ascii="方正仿宋_GB2312" w:hAnsi="方正仿宋_GB2312" w:eastAsia="方正仿宋_GB2312" w:cs="方正仿宋_GB2312"/>
          <w:b/>
          <w:bCs/>
          <w:color w:val="auto"/>
          <w:sz w:val="32"/>
          <w:lang w:val="en-US" w:eastAsia="zh-CN"/>
        </w:rPr>
        <w:t>促</w:t>
      </w:r>
      <w:r>
        <w:rPr>
          <w:rFonts w:hint="eastAsia" w:ascii="方正仿宋_GB2312" w:hAnsi="方正仿宋_GB2312" w:eastAsia="方正仿宋_GB2312" w:cs="方正仿宋_GB2312"/>
          <w:b/>
          <w:bCs/>
          <w:color w:val="auto"/>
          <w:sz w:val="32"/>
          <w:lang w:eastAsia="zh-CN"/>
        </w:rPr>
        <w:t>市场</w:t>
      </w:r>
      <w:r>
        <w:rPr>
          <w:rFonts w:hint="eastAsia" w:ascii="方正仿宋_GB2312" w:hAnsi="方正仿宋_GB2312" w:eastAsia="方正仿宋_GB2312" w:cs="方正仿宋_GB2312"/>
          <w:b/>
          <w:bCs/>
          <w:color w:val="auto"/>
          <w:sz w:val="32"/>
          <w:lang w:val="en-US" w:eastAsia="zh-CN"/>
        </w:rPr>
        <w:t>不断</w:t>
      </w:r>
      <w:r>
        <w:rPr>
          <w:rFonts w:hint="eastAsia" w:ascii="方正仿宋_GB2312" w:hAnsi="方正仿宋_GB2312" w:eastAsia="方正仿宋_GB2312" w:cs="方正仿宋_GB2312"/>
          <w:b/>
          <w:bCs/>
          <w:color w:val="auto"/>
          <w:sz w:val="32"/>
          <w:lang w:eastAsia="zh-CN"/>
        </w:rPr>
        <w:t>规范。</w:t>
      </w:r>
      <w:r>
        <w:rPr>
          <w:rFonts w:hint="eastAsia" w:ascii="方正仿宋_GB2312" w:hAnsi="方正仿宋_GB2312" w:eastAsia="方正仿宋_GB2312" w:cs="方正仿宋_GB2312"/>
          <w:color w:val="auto"/>
          <w:sz w:val="32"/>
          <w:szCs w:val="32"/>
        </w:rPr>
        <w:t>按照“双随机</w:t>
      </w:r>
      <w:r>
        <w:rPr>
          <w:rFonts w:hint="eastAsia" w:ascii="方正仿宋_GB2312" w:hAnsi="方正仿宋_GB2312" w:eastAsia="方正仿宋_GB2312" w:cs="方正仿宋_GB2312"/>
          <w:color w:val="auto"/>
          <w:sz w:val="32"/>
          <w:szCs w:val="32"/>
          <w:lang w:val="en-US" w:eastAsia="zh-CN"/>
        </w:rPr>
        <w:t xml:space="preserve"> </w:t>
      </w:r>
      <w:r>
        <w:rPr>
          <w:rFonts w:hint="eastAsia" w:ascii="方正仿宋_GB2312" w:hAnsi="方正仿宋_GB2312" w:eastAsia="方正仿宋_GB2312" w:cs="方正仿宋_GB2312"/>
          <w:color w:val="auto"/>
          <w:sz w:val="32"/>
          <w:szCs w:val="32"/>
        </w:rPr>
        <w:t>一公开”要求，2024年完成部抽样品200批次，合格率96.5%，完成省抽样品525批次，合格率97.3%。通过监督抽查，农药市场秩序逐步规范，产品质量相对稳定。加强对农药生产、经营和登记试验单位的监督检查</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lang w:val="en-US" w:eastAsia="zh-CN"/>
        </w:rPr>
        <w:t>联合厅法规处、</w:t>
      </w:r>
      <w:r>
        <w:rPr>
          <w:rFonts w:hint="eastAsia" w:ascii="方正仿宋_GB2312" w:hAnsi="方正仿宋_GB2312" w:eastAsia="方正仿宋_GB2312" w:cs="方正仿宋_GB2312"/>
          <w:color w:val="auto"/>
          <w:sz w:val="32"/>
          <w:szCs w:val="32"/>
        </w:rPr>
        <w:t>各级农业农村部门共检查农药生产企业84家次、农药经营单位18557家次、农药登记试验单位11家次。加大普法宣传力度，发放宣传材料</w:t>
      </w:r>
      <w:r>
        <w:rPr>
          <w:rFonts w:hint="eastAsia" w:ascii="方正仿宋_GB2312" w:hAnsi="方正仿宋_GB2312" w:eastAsia="方正仿宋_GB2312" w:cs="方正仿宋_GB2312"/>
          <w:color w:val="auto"/>
          <w:sz w:val="32"/>
          <w:szCs w:val="32"/>
          <w:lang w:val="en-US" w:eastAsia="zh-CN"/>
        </w:rPr>
        <w:t>26万</w:t>
      </w:r>
      <w:r>
        <w:rPr>
          <w:rFonts w:hint="eastAsia" w:ascii="方正仿宋_GB2312" w:hAnsi="方正仿宋_GB2312" w:eastAsia="方正仿宋_GB2312" w:cs="方正仿宋_GB2312"/>
          <w:color w:val="auto"/>
          <w:sz w:val="32"/>
          <w:szCs w:val="32"/>
        </w:rPr>
        <w:t>份</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rPr>
        <w:t>开展农药监管、农药使用等相关培训477场次，培训对象2</w:t>
      </w:r>
      <w:r>
        <w:rPr>
          <w:rFonts w:hint="eastAsia" w:ascii="方正仿宋_GB2312" w:hAnsi="方正仿宋_GB2312" w:eastAsia="方正仿宋_GB2312" w:cs="方正仿宋_GB2312"/>
          <w:color w:val="auto"/>
          <w:sz w:val="32"/>
          <w:szCs w:val="32"/>
          <w:lang w:val="en-US" w:eastAsia="zh-CN"/>
        </w:rPr>
        <w:t>.</w:t>
      </w:r>
      <w:r>
        <w:rPr>
          <w:rFonts w:hint="eastAsia" w:ascii="方正仿宋_GB2312" w:hAnsi="方正仿宋_GB2312" w:eastAsia="方正仿宋_GB2312" w:cs="方正仿宋_GB2312"/>
          <w:color w:val="auto"/>
          <w:sz w:val="32"/>
          <w:szCs w:val="32"/>
        </w:rPr>
        <w:t>6</w:t>
      </w:r>
      <w:r>
        <w:rPr>
          <w:rFonts w:hint="eastAsia" w:ascii="方正仿宋_GB2312" w:hAnsi="方正仿宋_GB2312" w:eastAsia="方正仿宋_GB2312" w:cs="方正仿宋_GB2312"/>
          <w:color w:val="auto"/>
          <w:sz w:val="32"/>
          <w:szCs w:val="32"/>
          <w:lang w:val="en-US" w:eastAsia="zh-CN"/>
        </w:rPr>
        <w:t>万</w:t>
      </w:r>
      <w:r>
        <w:rPr>
          <w:rFonts w:hint="eastAsia" w:ascii="方正仿宋_GB2312" w:hAnsi="方正仿宋_GB2312" w:eastAsia="方正仿宋_GB2312" w:cs="方正仿宋_GB2312"/>
          <w:color w:val="auto"/>
          <w:sz w:val="32"/>
          <w:szCs w:val="32"/>
        </w:rPr>
        <w:t>人次。</w:t>
      </w:r>
      <w:r>
        <w:rPr>
          <w:rFonts w:hint="eastAsia" w:ascii="方正仿宋_GB2312" w:hAnsi="方正仿宋_GB2312" w:eastAsia="方正仿宋_GB2312" w:cs="方正仿宋_GB2312"/>
          <w:bCs/>
          <w:color w:val="auto"/>
          <w:sz w:val="32"/>
          <w:szCs w:val="32"/>
        </w:rPr>
        <w:t>推进农药监管信息化建设，积极与部所平台对接，实现农药登记试验、生产、经营、使用的全程追溯监管。</w:t>
      </w:r>
      <w:r>
        <w:rPr>
          <w:rFonts w:hint="eastAsia" w:ascii="方正仿宋_GB2312" w:hAnsi="方正仿宋_GB2312" w:eastAsia="方正仿宋_GB2312" w:cs="方正仿宋_GB2312"/>
          <w:b/>
          <w:color w:val="auto"/>
          <w:sz w:val="32"/>
          <w:u w:val="none"/>
        </w:rPr>
        <w:t>三</w:t>
      </w:r>
      <w:r>
        <w:rPr>
          <w:rFonts w:hint="eastAsia" w:ascii="方正仿宋_GB2312" w:hAnsi="方正仿宋_GB2312" w:eastAsia="方正仿宋_GB2312" w:cs="方正仿宋_GB2312"/>
          <w:b/>
          <w:bCs/>
          <w:color w:val="auto"/>
          <w:sz w:val="32"/>
          <w:lang w:val="en-US" w:eastAsia="zh-CN"/>
        </w:rPr>
        <w:t>是强质效促</w:t>
      </w:r>
      <w:r>
        <w:rPr>
          <w:rFonts w:hint="eastAsia" w:ascii="方正仿宋_GB2312" w:hAnsi="方正仿宋_GB2312" w:eastAsia="方正仿宋_GB2312" w:cs="方正仿宋_GB2312"/>
          <w:b/>
          <w:bCs/>
          <w:color w:val="auto"/>
          <w:sz w:val="32"/>
          <w:lang w:eastAsia="zh-CN"/>
        </w:rPr>
        <w:t>安全绿色</w:t>
      </w:r>
      <w:r>
        <w:rPr>
          <w:rFonts w:hint="eastAsia" w:ascii="方正仿宋_GB2312" w:hAnsi="方正仿宋_GB2312" w:eastAsia="方正仿宋_GB2312" w:cs="方正仿宋_GB2312"/>
          <w:b/>
          <w:bCs/>
          <w:color w:val="auto"/>
          <w:sz w:val="32"/>
          <w:lang w:val="en-US" w:eastAsia="zh-CN"/>
        </w:rPr>
        <w:t>发展</w:t>
      </w:r>
      <w:r>
        <w:rPr>
          <w:rFonts w:hint="eastAsia" w:ascii="方正仿宋_GB2312" w:hAnsi="方正仿宋_GB2312" w:eastAsia="方正仿宋_GB2312" w:cs="方正仿宋_GB2312"/>
          <w:b/>
          <w:bCs/>
          <w:color w:val="auto"/>
          <w:sz w:val="32"/>
          <w:lang w:eastAsia="zh-CN"/>
        </w:rPr>
        <w:t>。</w:t>
      </w:r>
      <w:r>
        <w:rPr>
          <w:rFonts w:hint="eastAsia" w:ascii="方正仿宋_GB2312" w:hAnsi="方正仿宋_GB2312" w:eastAsia="方正仿宋_GB2312" w:cs="方正仿宋_GB2312"/>
          <w:bCs/>
          <w:color w:val="auto"/>
          <w:sz w:val="32"/>
          <w:szCs w:val="32"/>
        </w:rPr>
        <w:t>在全省15个晚稻种植区组织开展了农药使用安全风险监测，</w:t>
      </w:r>
      <w:r>
        <w:rPr>
          <w:rFonts w:hint="eastAsia" w:ascii="方正仿宋_GB2312" w:hAnsi="方正仿宋_GB2312" w:eastAsia="方正仿宋_GB2312" w:cs="方正仿宋_GB2312"/>
          <w:bCs/>
          <w:color w:val="auto"/>
          <w:sz w:val="32"/>
          <w:szCs w:val="32"/>
          <w:lang w:val="en-US" w:eastAsia="zh-CN"/>
        </w:rPr>
        <w:t>有效</w:t>
      </w:r>
      <w:r>
        <w:rPr>
          <w:rFonts w:hint="eastAsia" w:ascii="方正仿宋_GB2312" w:hAnsi="方正仿宋_GB2312" w:eastAsia="方正仿宋_GB2312" w:cs="方正仿宋_GB2312"/>
          <w:bCs/>
          <w:color w:val="auto"/>
          <w:sz w:val="32"/>
          <w:szCs w:val="32"/>
        </w:rPr>
        <w:t>保障农产品质量安全和生态环境安全。</w:t>
      </w:r>
      <w:r>
        <w:rPr>
          <w:rFonts w:hint="eastAsia" w:ascii="方正仿宋_GB2312" w:hAnsi="方正仿宋_GB2312" w:eastAsia="方正仿宋_GB2312" w:cs="方正仿宋_GB2312"/>
          <w:color w:val="auto"/>
          <w:sz w:val="32"/>
          <w:szCs w:val="32"/>
        </w:rPr>
        <w:t>建立健全</w:t>
      </w:r>
      <w:r>
        <w:rPr>
          <w:rFonts w:hint="eastAsia" w:ascii="方正仿宋_GB2312" w:hAnsi="方正仿宋_GB2312" w:eastAsia="方正仿宋_GB2312" w:cs="方正仿宋_GB2312"/>
          <w:b w:val="0"/>
          <w:bCs w:val="0"/>
          <w:color w:val="auto"/>
          <w:sz w:val="32"/>
          <w:szCs w:val="32"/>
        </w:rPr>
        <w:t>农药包装废弃物回收处理体系，在双峰县开展农药包装废弃</w:t>
      </w:r>
      <w:r>
        <w:rPr>
          <w:rFonts w:hint="eastAsia" w:ascii="方正仿宋_GB2312" w:hAnsi="方正仿宋_GB2312" w:eastAsia="方正仿宋_GB2312" w:cs="方正仿宋_GB2312"/>
          <w:color w:val="auto"/>
          <w:sz w:val="32"/>
          <w:szCs w:val="32"/>
        </w:rPr>
        <w:t>物回收处理可追溯管理试点，</w:t>
      </w:r>
      <w:r>
        <w:rPr>
          <w:rFonts w:hint="eastAsia" w:ascii="方正仿宋_GB2312" w:hAnsi="方正仿宋_GB2312" w:eastAsia="方正仿宋_GB2312" w:cs="方正仿宋_GB2312"/>
          <w:color w:val="auto"/>
          <w:sz w:val="32"/>
          <w:szCs w:val="32"/>
          <w:lang w:val="en-US" w:eastAsia="zh-CN"/>
        </w:rPr>
        <w:t>达到了预期效果</w:t>
      </w:r>
      <w:r>
        <w:rPr>
          <w:rFonts w:hint="eastAsia" w:ascii="方正仿宋_GB2312" w:hAnsi="方正仿宋_GB2312" w:eastAsia="方正仿宋_GB2312" w:cs="方正仿宋_GB2312"/>
          <w:color w:val="auto"/>
          <w:sz w:val="32"/>
          <w:szCs w:val="32"/>
        </w:rPr>
        <w:t>。全省建设回收站点27</w:t>
      </w:r>
      <w:r>
        <w:rPr>
          <w:rFonts w:hint="eastAsia" w:ascii="方正仿宋_GB2312" w:hAnsi="方正仿宋_GB2312" w:eastAsia="方正仿宋_GB2312" w:cs="方正仿宋_GB2312"/>
          <w:color w:val="auto"/>
          <w:sz w:val="32"/>
          <w:szCs w:val="32"/>
          <w:lang w:val="en-US" w:eastAsia="zh-CN"/>
        </w:rPr>
        <w:t>411</w:t>
      </w:r>
      <w:r>
        <w:rPr>
          <w:rFonts w:hint="eastAsia" w:ascii="方正仿宋_GB2312" w:hAnsi="方正仿宋_GB2312" w:eastAsia="方正仿宋_GB2312" w:cs="方正仿宋_GB2312"/>
          <w:color w:val="auto"/>
          <w:sz w:val="32"/>
          <w:szCs w:val="32"/>
        </w:rPr>
        <w:t>个、归集贮存中心（站）</w:t>
      </w:r>
      <w:r>
        <w:rPr>
          <w:rFonts w:hint="eastAsia" w:ascii="方正仿宋_GB2312" w:hAnsi="方正仿宋_GB2312" w:eastAsia="方正仿宋_GB2312" w:cs="方正仿宋_GB2312"/>
          <w:color w:val="auto"/>
          <w:sz w:val="32"/>
          <w:szCs w:val="32"/>
          <w:lang w:val="en-US" w:eastAsia="zh-CN"/>
        </w:rPr>
        <w:t>366</w:t>
      </w:r>
      <w:r>
        <w:rPr>
          <w:rFonts w:hint="eastAsia" w:ascii="方正仿宋_GB2312" w:hAnsi="方正仿宋_GB2312" w:eastAsia="方正仿宋_GB2312" w:cs="方正仿宋_GB2312"/>
          <w:color w:val="auto"/>
          <w:sz w:val="32"/>
          <w:szCs w:val="32"/>
        </w:rPr>
        <w:t>个，</w:t>
      </w:r>
      <w:r>
        <w:rPr>
          <w:rFonts w:hint="eastAsia" w:ascii="方正仿宋_GB2312" w:hAnsi="方正仿宋_GB2312" w:eastAsia="方正仿宋_GB2312" w:cs="方正仿宋_GB2312"/>
          <w:color w:val="auto"/>
          <w:sz w:val="32"/>
          <w:szCs w:val="32"/>
          <w:lang w:val="en-US" w:eastAsia="zh-CN"/>
        </w:rPr>
        <w:t>截止11月底</w:t>
      </w:r>
      <w:r>
        <w:rPr>
          <w:rFonts w:hint="eastAsia" w:ascii="方正仿宋_GB2312" w:hAnsi="方正仿宋_GB2312" w:eastAsia="方正仿宋_GB2312" w:cs="方正仿宋_GB2312"/>
          <w:color w:val="auto"/>
          <w:sz w:val="32"/>
          <w:szCs w:val="32"/>
        </w:rPr>
        <w:t>回收农药包装废弃物2</w:t>
      </w:r>
      <w:r>
        <w:rPr>
          <w:rFonts w:hint="eastAsia" w:ascii="方正仿宋_GB2312" w:hAnsi="方正仿宋_GB2312" w:eastAsia="方正仿宋_GB2312" w:cs="方正仿宋_GB2312"/>
          <w:color w:val="auto"/>
          <w:sz w:val="32"/>
          <w:szCs w:val="32"/>
          <w:lang w:val="en-US" w:eastAsia="zh-CN"/>
        </w:rPr>
        <w:t>221</w:t>
      </w:r>
      <w:r>
        <w:rPr>
          <w:rFonts w:hint="eastAsia" w:ascii="方正仿宋_GB2312" w:hAnsi="方正仿宋_GB2312" w:eastAsia="方正仿宋_GB2312" w:cs="方正仿宋_GB2312"/>
          <w:color w:val="auto"/>
          <w:sz w:val="32"/>
          <w:szCs w:val="32"/>
        </w:rPr>
        <w:t>吨，全年回收率超过7</w:t>
      </w:r>
      <w:r>
        <w:rPr>
          <w:rFonts w:hint="eastAsia" w:ascii="方正仿宋_GB2312" w:hAnsi="方正仿宋_GB2312" w:eastAsia="方正仿宋_GB2312" w:cs="方正仿宋_GB2312"/>
          <w:color w:val="auto"/>
          <w:sz w:val="32"/>
          <w:szCs w:val="32"/>
          <w:lang w:val="en-US" w:eastAsia="zh-CN"/>
        </w:rPr>
        <w:t>5</w:t>
      </w:r>
      <w:r>
        <w:rPr>
          <w:rFonts w:hint="eastAsia" w:ascii="方正仿宋_GB2312" w:hAnsi="方正仿宋_GB2312" w:eastAsia="方正仿宋_GB2312" w:cs="方正仿宋_GB2312"/>
          <w:color w:val="auto"/>
          <w:sz w:val="32"/>
          <w:szCs w:val="32"/>
        </w:rPr>
        <w:t>%。</w:t>
      </w:r>
      <w:r>
        <w:rPr>
          <w:rFonts w:hint="eastAsia" w:ascii="方正仿宋_GB2312" w:hAnsi="方正仿宋_GB2312" w:eastAsia="方正仿宋_GB2312" w:cs="方正仿宋_GB2312"/>
          <w:b w:val="0"/>
          <w:bCs/>
          <w:color w:val="auto"/>
          <w:sz w:val="32"/>
          <w:u w:val="none"/>
          <w:lang w:val="en-US" w:eastAsia="zh-CN"/>
        </w:rPr>
        <w:t>层层压实责任，加强行业安全监管，</w:t>
      </w:r>
      <w:r>
        <w:rPr>
          <w:rFonts w:hint="eastAsia" w:ascii="方正仿宋_GB2312" w:hAnsi="方正仿宋_GB2312" w:eastAsia="方正仿宋_GB2312" w:cs="方正仿宋_GB2312"/>
          <w:b w:val="0"/>
          <w:bCs/>
          <w:color w:val="auto"/>
          <w:sz w:val="32"/>
          <w:szCs w:val="28"/>
          <w:u w:val="none"/>
        </w:rPr>
        <w:t>6月，在常德津市组织开展</w:t>
      </w:r>
      <w:r>
        <w:rPr>
          <w:rFonts w:hint="eastAsia" w:ascii="方正仿宋_GB2312" w:hAnsi="方正仿宋_GB2312" w:eastAsia="方正仿宋_GB2312" w:cs="方正仿宋_GB2312"/>
          <w:color w:val="auto"/>
          <w:sz w:val="32"/>
          <w:u w:val="none"/>
          <w:shd w:val="clear" w:color="auto" w:fill="FFFFFF"/>
        </w:rPr>
        <w:t>全省农药行业法治和安全生产培训暨消防应急演练活动，有效提升了农药从业人员安全生产意识和技能。</w:t>
      </w:r>
      <w:r>
        <w:rPr>
          <w:rFonts w:hint="eastAsia" w:ascii="方正仿宋_GB2312" w:hAnsi="方正仿宋_GB2312" w:eastAsia="方正仿宋_GB2312" w:cs="方正仿宋_GB2312"/>
          <w:color w:val="auto"/>
          <w:sz w:val="32"/>
          <w:u w:val="none"/>
          <w:shd w:val="clear" w:color="auto" w:fill="FFFFFF"/>
          <w:lang w:val="en-US" w:eastAsia="zh-CN"/>
        </w:rPr>
        <w:t>四是</w:t>
      </w:r>
      <w:r>
        <w:rPr>
          <w:rFonts w:hint="eastAsia" w:ascii="Times New Roman" w:hAnsi="Times New Roman" w:eastAsia="仿宋"/>
          <w:sz w:val="32"/>
          <w:szCs w:val="28"/>
          <w:lang w:val="en-US" w:eastAsia="zh-CN"/>
        </w:rPr>
        <w:t>充分利用现有条件，突出抓“三个规范化”：即检测场所规范化、检测流程规范化、报告记录规范化。同时结合检测任务，重点抓“三个能力”提升：即技术上手能力、时效保证能力、问题解决能力。检测服务农药监管、农产品质量安全监管的技术支撑作用不断凸显，全年完成农产品例行监测6600批次，重点农产品监督抽查1000批次</w:t>
      </w:r>
      <w:r>
        <w:rPr>
          <w:rFonts w:hint="eastAsia" w:ascii="Times New Roman" w:hAnsi="Times New Roman" w:eastAsia="仿宋" w:cs="Times New Roman"/>
          <w:sz w:val="32"/>
          <w:szCs w:val="32"/>
        </w:rPr>
        <w:t>，稻谷重金属专项监测1600批次，耕地质量调查1820批次，3种农药在蔬菜水果中残留风险评估等等任务，</w:t>
      </w:r>
      <w:r>
        <w:rPr>
          <w:rFonts w:ascii="Times New Roman" w:hAnsi="Times New Roman" w:eastAsia="仿宋" w:cs="Times New Roman"/>
          <w:sz w:val="32"/>
          <w:szCs w:val="32"/>
        </w:rPr>
        <w:t>为全省粮食安全和农产品质量安全提供了技术支撑和数据保障。</w:t>
      </w:r>
      <w:r>
        <w:rPr>
          <w:rFonts w:ascii="Times New Roman" w:hAnsi="Times New Roman" w:eastAsia="仿宋_GB2312" w:cs="Times New Roman"/>
          <w:sz w:val="32"/>
          <w:szCs w:val="32"/>
        </w:rPr>
        <w:t>发现的主要问题及原因：</w:t>
      </w:r>
      <w:r>
        <w:rPr>
          <w:rFonts w:hint="eastAsia" w:ascii="Times New Roman" w:hAnsi="Times New Roman" w:eastAsia="仿宋"/>
          <w:sz w:val="32"/>
          <w:szCs w:val="28"/>
        </w:rPr>
        <w:t>一是精准预算难度大</w:t>
      </w:r>
      <w:r>
        <w:rPr>
          <w:rFonts w:ascii="Times New Roman" w:hAnsi="Times New Roman" w:eastAsia="仿宋_GB2312" w:cs="Times New Roman"/>
          <w:sz w:val="32"/>
          <w:szCs w:val="32"/>
        </w:rPr>
        <w:t>；二是</w:t>
      </w:r>
      <w:r>
        <w:rPr>
          <w:rFonts w:hint="eastAsia" w:ascii="Times New Roman" w:hAnsi="Times New Roman" w:eastAsia="仿宋"/>
          <w:sz w:val="32"/>
          <w:szCs w:val="28"/>
        </w:rPr>
        <w:t>少数绩效目标难以量化</w:t>
      </w:r>
      <w:r>
        <w:rPr>
          <w:rFonts w:ascii="Times New Roman" w:hAnsi="Times New Roman" w:eastAsia="仿宋_GB2312" w:cs="Times New Roman"/>
          <w:sz w:val="32"/>
          <w:szCs w:val="32"/>
        </w:rPr>
        <w:t>。下一步改进措施：</w:t>
      </w:r>
      <w:r>
        <w:rPr>
          <w:rFonts w:hint="eastAsia" w:ascii="仿宋_GB2312" w:hAnsi="仿宋_GB2312" w:eastAsia="仿宋_GB2312" w:cs="仿宋_GB2312"/>
          <w:sz w:val="32"/>
          <w:szCs w:val="32"/>
        </w:rPr>
        <w:t>提高预算编制水平，合理地、精准地、科学的编制预算。为加快项目预算执行，单位将加强项目实施的组织管理，做好项目前期各项准备工作，提高项目前期工作质量，明确计划、项目和财务部门的职责，建立健全责任制度和评价机制，加强沟通和协调，按照精细化管理的要求，落实到项目实施的各环节、全过程。切实协调解决项目实施过程中的难点问题，及时掌握预算执行动态，分析、跟踪预算执行情况。</w:t>
      </w:r>
    </w:p>
    <w:p>
      <w:pPr>
        <w:keepNext w:val="0"/>
        <w:keepLines w:val="0"/>
        <w:pageBreakBefore w:val="0"/>
        <w:widowControl/>
        <w:kinsoku/>
        <w:wordWrap/>
        <w:overflowPunct/>
        <w:topLinePunct w:val="0"/>
        <w:autoSpaceDE/>
        <w:autoSpaceDN/>
        <w:bidi w:val="0"/>
        <w:spacing w:line="360" w:lineRule="auto"/>
        <w:ind w:firstLine="645"/>
        <w:jc w:val="left"/>
        <w:textAlignment w:val="auto"/>
        <w:rPr>
          <w:rFonts w:hint="eastAsia" w:eastAsia="仿宋_GB2312"/>
          <w:color w:val="auto"/>
          <w:sz w:val="32"/>
          <w:szCs w:val="32"/>
          <w:lang w:val="en-US" w:eastAsia="zh-CN"/>
        </w:rPr>
      </w:pPr>
      <w:r>
        <w:rPr>
          <w:rFonts w:ascii="Times New Roman" w:hAnsi="Times New Roman" w:eastAsia="楷体_GB2312" w:cs="Times New Roman"/>
          <w:b/>
          <w:bCs/>
          <w:color w:val="auto"/>
          <w:kern w:val="2"/>
          <w:sz w:val="32"/>
          <w:szCs w:val="32"/>
        </w:rPr>
        <w:t>（三）评价结果应用情况。</w:t>
      </w:r>
      <w:r>
        <w:rPr>
          <w:rFonts w:hint="eastAsia" w:eastAsia="仿宋_GB2312"/>
          <w:color w:val="auto"/>
          <w:sz w:val="32"/>
          <w:szCs w:val="32"/>
          <w:lang w:val="en-US" w:eastAsia="zh-CN"/>
        </w:rPr>
        <w:t>我所加强预算管理意识，严格按照预算编制的相关制度和要求，结合年度收支计划，科学编制预算，遵循预算管理办法。对评价中发现的问题，及时进行督促整改。</w:t>
      </w:r>
    </w:p>
    <w:p>
      <w:pPr>
        <w:pStyle w:val="17"/>
        <w:overflowPunct w:val="0"/>
        <w:autoSpaceDE/>
        <w:autoSpaceDN/>
        <w:spacing w:line="600" w:lineRule="exact"/>
        <w:ind w:firstLine="1440" w:firstLineChars="200"/>
        <w:jc w:val="both"/>
        <w:rPr>
          <w:rFonts w:ascii="Times New Roman" w:hAnsi="Times New Roman" w:eastAsia="仿宋_GB2312" w:cs="Times New Roman"/>
          <w:color w:val="auto"/>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第四部分    名词解释</w:t>
      </w:r>
    </w:p>
    <w:p>
      <w:pPr>
        <w:widowControl/>
        <w:jc w:val="left"/>
        <w:rPr>
          <w:rFonts w:ascii="Times New Roman" w:hAnsi="Times New Roman" w:cs="Times New Roman"/>
          <w:color w:val="000000"/>
          <w:kern w:val="0"/>
          <w:sz w:val="32"/>
          <w:szCs w:val="32"/>
        </w:rPr>
      </w:pPr>
    </w:p>
    <w:p>
      <w:pPr>
        <w:pStyle w:val="17"/>
        <w:ind w:firstLine="600" w:firstLineChars="200"/>
        <w:rPr>
          <w:rFonts w:ascii="Times New Roman" w:hAnsi="仿宋" w:eastAsia="仿宋" w:cs="Times New Roman"/>
          <w:color w:val="000000" w:themeColor="text1"/>
          <w:sz w:val="30"/>
          <w:szCs w:val="30"/>
          <w14:textFill>
            <w14:solidFill>
              <w14:schemeClr w14:val="tx1"/>
            </w14:solidFill>
          </w14:textFill>
        </w:rPr>
      </w:pPr>
      <w:r>
        <w:rPr>
          <w:rFonts w:hint="eastAsia" w:ascii="Times New Roman" w:hAnsi="仿宋" w:eastAsia="仿宋" w:cs="Times New Roman"/>
          <w:color w:val="000000" w:themeColor="text1"/>
          <w:sz w:val="30"/>
          <w:szCs w:val="30"/>
          <w:lang w:val="en-US" w:eastAsia="zh-CN"/>
          <w14:textFill>
            <w14:solidFill>
              <w14:schemeClr w14:val="tx1"/>
            </w14:solidFill>
          </w14:textFill>
        </w:rPr>
        <w:t>一、</w:t>
      </w:r>
      <w:r>
        <w:rPr>
          <w:rFonts w:hint="eastAsia" w:ascii="Times New Roman" w:hAnsi="仿宋" w:eastAsia="仿宋" w:cs="Times New Roman"/>
          <w:color w:val="000000" w:themeColor="text1"/>
          <w:sz w:val="30"/>
          <w:szCs w:val="30"/>
          <w14:textFill>
            <w14:solidFill>
              <w14:schemeClr w14:val="tx1"/>
            </w14:solidFill>
          </w14:textFill>
        </w:rPr>
        <w:t>基</w:t>
      </w:r>
      <w:r>
        <w:rPr>
          <w:rFonts w:ascii="Times New Roman" w:hAnsi="仿宋" w:eastAsia="仿宋" w:cs="Times New Roman"/>
          <w:color w:val="000000" w:themeColor="text1"/>
          <w:sz w:val="30"/>
          <w:szCs w:val="30"/>
          <w14:textFill>
            <w14:solidFill>
              <w14:schemeClr w14:val="tx1"/>
            </w14:solidFill>
          </w14:textFill>
        </w:rPr>
        <w:t>本支出：指为保障机构正常运转、完成日常工作任务而 发生的各项支出，包括人员支出和公用支出。</w:t>
      </w:r>
    </w:p>
    <w:p>
      <w:pPr>
        <w:pStyle w:val="17"/>
        <w:ind w:firstLine="450" w:firstLineChars="150"/>
        <w:rPr>
          <w:rFonts w:ascii="Times New Roman" w:hAnsi="仿宋" w:eastAsia="仿宋" w:cs="Times New Roman"/>
          <w:color w:val="000000" w:themeColor="text1"/>
          <w:sz w:val="30"/>
          <w:szCs w:val="30"/>
          <w14:textFill>
            <w14:solidFill>
              <w14:schemeClr w14:val="tx1"/>
            </w14:solidFill>
          </w14:textFill>
        </w:rPr>
      </w:pPr>
      <w:r>
        <w:rPr>
          <w:rFonts w:hint="eastAsia" w:ascii="Times New Roman" w:hAnsi="仿宋" w:eastAsia="仿宋" w:cs="Times New Roman"/>
          <w:color w:val="000000" w:themeColor="text1"/>
          <w:sz w:val="30"/>
          <w:szCs w:val="30"/>
          <w:lang w:val="en-US" w:eastAsia="zh-CN"/>
          <w14:textFill>
            <w14:solidFill>
              <w14:schemeClr w14:val="tx1"/>
            </w14:solidFill>
          </w14:textFill>
        </w:rPr>
        <w:t>二、</w:t>
      </w:r>
      <w:r>
        <w:rPr>
          <w:rFonts w:ascii="Times New Roman" w:hAnsi="仿宋" w:eastAsia="仿宋" w:cs="Times New Roman"/>
          <w:color w:val="000000" w:themeColor="text1"/>
          <w:sz w:val="30"/>
          <w:szCs w:val="30"/>
          <w14:textFill>
            <w14:solidFill>
              <w14:schemeClr w14:val="tx1"/>
            </w14:solidFill>
          </w14:textFill>
        </w:rPr>
        <w:t xml:space="preserve"> 项目支出：指在基本支出以外为完成相关行政任务和事业 发展目标所发生的各项支出。 </w:t>
      </w:r>
    </w:p>
    <w:p>
      <w:pPr>
        <w:pStyle w:val="17"/>
        <w:ind w:firstLine="600" w:firstLineChars="200"/>
        <w:rPr>
          <w:rFonts w:ascii="仿宋" w:hAnsi="仿宋" w:eastAsia="仿宋"/>
          <w:bCs/>
          <w:sz w:val="32"/>
          <w:szCs w:val="32"/>
        </w:rPr>
      </w:pPr>
      <w:r>
        <w:rPr>
          <w:rFonts w:hint="eastAsia" w:ascii="Times New Roman" w:hAnsi="仿宋" w:eastAsia="仿宋" w:cs="Times New Roman"/>
          <w:color w:val="000000" w:themeColor="text1"/>
          <w:sz w:val="30"/>
          <w:szCs w:val="30"/>
          <w:lang w:val="en-US" w:eastAsia="zh-CN"/>
          <w14:textFill>
            <w14:solidFill>
              <w14:schemeClr w14:val="tx1"/>
            </w14:solidFill>
          </w14:textFill>
        </w:rPr>
        <w:t>三、</w:t>
      </w:r>
      <w:r>
        <w:rPr>
          <w:rFonts w:ascii="Times New Roman" w:hAnsi="仿宋" w:eastAsia="仿宋" w:cs="Times New Roman"/>
          <w:color w:val="000000" w:themeColor="text1"/>
          <w:sz w:val="30"/>
          <w:szCs w:val="30"/>
          <w14:textFill>
            <w14:solidFill>
              <w14:schemeClr w14:val="tx1"/>
            </w14:solidFill>
          </w14:textFill>
        </w:rPr>
        <w:t>“</w:t>
      </w:r>
      <w:r>
        <w:rPr>
          <w:rFonts w:hint="eastAsia" w:ascii="仿宋" w:hAnsi="仿宋" w:eastAsia="仿宋" w:cs="黑体"/>
          <w:bCs/>
          <w:color w:val="000000"/>
          <w:kern w:val="0"/>
          <w:sz w:val="32"/>
          <w:szCs w:val="32"/>
          <w:lang w:val="en-US" w:eastAsia="zh-CN" w:bidi="ar-SA"/>
        </w:rPr>
        <w:t>“三公”经费:纳入省财政预算管理的“三</w:t>
      </w:r>
      <w:r>
        <w:rPr>
          <w:rFonts w:hint="eastAsia" w:ascii="仿宋" w:hAnsi="仿宋" w:eastAsia="仿宋"/>
          <w:bCs/>
          <w:sz w:val="32"/>
          <w:szCs w:val="32"/>
        </w:rPr>
        <w:t>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widowControl/>
        <w:ind w:firstLine="600" w:firstLineChars="200"/>
        <w:jc w:val="left"/>
        <w:rPr>
          <w:rFonts w:ascii="黑体" w:eastAsia="黑体" w:cs="黑体"/>
          <w:color w:val="000000" w:themeColor="text1"/>
          <w:kern w:val="0"/>
          <w:sz w:val="70"/>
          <w:szCs w:val="70"/>
          <w14:textFill>
            <w14:solidFill>
              <w14:schemeClr w14:val="tx1"/>
            </w14:solidFill>
          </w14:textFill>
        </w:rPr>
      </w:pPr>
      <w:r>
        <w:rPr>
          <w:rFonts w:hint="eastAsia" w:ascii="Times New Roman" w:hAnsi="仿宋" w:eastAsia="仿宋" w:cs="Times New Roman"/>
          <w:color w:val="000000" w:themeColor="text1"/>
          <w:sz w:val="30"/>
          <w:szCs w:val="30"/>
          <w:lang w:val="en-US" w:eastAsia="zh-CN"/>
          <w14:textFill>
            <w14:solidFill>
              <w14:schemeClr w14:val="tx1"/>
            </w14:solidFill>
          </w14:textFill>
        </w:rPr>
        <w:t>四、</w:t>
      </w:r>
      <w:r>
        <w:rPr>
          <w:rFonts w:ascii="Times New Roman" w:hAnsi="仿宋" w:eastAsia="仿宋" w:cs="Times New Roman"/>
          <w:color w:val="000000" w:themeColor="text1"/>
          <w:sz w:val="30"/>
          <w:szCs w:val="30"/>
          <w14:textFill>
            <w14:solidFill>
              <w14:schemeClr w14:val="tx1"/>
            </w14:solidFill>
          </w14:textFill>
        </w:rPr>
        <w:t>机关运行经费：是指各部门的公用经费，包括办公及印刷 费、邮电费、差旅费、会议费、福利费、日常维修费、专用材 料及一般设备购置费、办公用房水电费、办公用房取暖费、办公用房物业管理费、公务用车运行维护费以及其他费用。</w:t>
      </w: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both"/>
        <w:rPr>
          <w:rFonts w:ascii="Times New Roman" w:hAnsi="Times New Roman" w:cs="Times New Roman"/>
          <w:sz w:val="72"/>
          <w:szCs w:val="72"/>
        </w:rPr>
      </w:pPr>
    </w:p>
    <w:p>
      <w:pPr>
        <w:pStyle w:val="17"/>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第五部分   附 件</w:t>
      </w:r>
    </w:p>
    <w:p>
      <w:pPr>
        <w:rPr>
          <w:rFonts w:ascii="Times New Roman" w:hAnsi="Times New Roman" w:cs="Times New Roman"/>
          <w:sz w:val="72"/>
          <w:szCs w:val="72"/>
        </w:rPr>
      </w:pPr>
    </w:p>
    <w:p>
      <w:pPr>
        <w:pStyle w:val="17"/>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一、</w:t>
      </w:r>
      <w:r>
        <w:rPr>
          <w:rFonts w:ascii="Times New Roman" w:hAnsi="Times New Roman" w:eastAsia="仿宋_GB2312" w:cs="Times New Roman"/>
          <w:sz w:val="32"/>
          <w:szCs w:val="32"/>
        </w:rPr>
        <w:t>2024年度部门(单位)整体支出绩效自评报告。</w:t>
      </w:r>
    </w:p>
    <w:p>
      <w:pPr>
        <w:pStyle w:val="17"/>
        <w:spacing w:line="600" w:lineRule="exact"/>
        <w:ind w:firstLine="640" w:firstLineChars="200"/>
        <w:rPr>
          <w:rFonts w:ascii="Times New Roman" w:hAnsi="Times New Roman" w:eastAsia="仿宋_GB2312" w:cs="Times New Roman"/>
          <w:sz w:val="32"/>
          <w:szCs w:val="3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jc w:val="center"/>
        <w:rPr>
          <w:rFonts w:ascii="方正小标宋_GBK" w:eastAsia="方正小标宋_GBK"/>
          <w:sz w:val="48"/>
          <w:szCs w:val="48"/>
        </w:rPr>
      </w:pPr>
      <w:r>
        <w:rPr>
          <w:rFonts w:hint="eastAsia" w:ascii="方正小标宋_GBK" w:eastAsia="方正小标宋_GBK"/>
          <w:sz w:val="48"/>
          <w:szCs w:val="48"/>
        </w:rPr>
        <w:t>2024年度湖南省农药检定所整体支出</w:t>
      </w:r>
    </w:p>
    <w:p>
      <w:pPr>
        <w:jc w:val="center"/>
        <w:rPr>
          <w:rFonts w:ascii="方正小标宋_GBK" w:eastAsia="方正小标宋_GBK"/>
          <w:sz w:val="48"/>
          <w:szCs w:val="48"/>
        </w:rPr>
      </w:pPr>
      <w:r>
        <w:rPr>
          <w:rFonts w:hint="eastAsia" w:ascii="方正小标宋_GBK" w:eastAsia="方正小标宋_GBK"/>
          <w:sz w:val="48"/>
          <w:szCs w:val="48"/>
        </w:rPr>
        <w:t>绩效自评报告</w:t>
      </w:r>
    </w:p>
    <w:p>
      <w:pPr>
        <w:jc w:val="center"/>
        <w:rPr>
          <w:rFonts w:eastAsia="黑体"/>
          <w:szCs w:val="32"/>
        </w:rPr>
      </w:pPr>
    </w:p>
    <w:p>
      <w:pPr>
        <w:jc w:val="center"/>
        <w:rPr>
          <w:rFonts w:eastAsia="黑体"/>
          <w:szCs w:val="32"/>
        </w:rPr>
      </w:pPr>
      <w:r>
        <w:rPr>
          <w:rFonts w:eastAsia="黑体"/>
          <w:szCs w:val="32"/>
        </w:rPr>
        <w:t xml:space="preserve"> </w:t>
      </w:r>
    </w:p>
    <w:p>
      <w:pPr>
        <w:jc w:val="center"/>
        <w:rPr>
          <w:rFonts w:eastAsia="黑体"/>
          <w:szCs w:val="32"/>
        </w:rPr>
      </w:pPr>
      <w:r>
        <w:rPr>
          <w:rFonts w:eastAsia="黑体"/>
          <w:szCs w:val="32"/>
        </w:rPr>
        <w:t xml:space="preserve"> </w:t>
      </w:r>
    </w:p>
    <w:p>
      <w:pPr>
        <w:jc w:val="center"/>
        <w:rPr>
          <w:rFonts w:eastAsia="黑体"/>
          <w:szCs w:val="32"/>
        </w:rPr>
      </w:pPr>
      <w:r>
        <w:rPr>
          <w:rFonts w:eastAsia="黑体"/>
          <w:szCs w:val="32"/>
        </w:rPr>
        <w:t xml:space="preserve"> </w:t>
      </w:r>
    </w:p>
    <w:p>
      <w:pPr>
        <w:jc w:val="center"/>
        <w:rPr>
          <w:rFonts w:eastAsia="黑体"/>
          <w:szCs w:val="32"/>
        </w:rPr>
      </w:pPr>
      <w:r>
        <w:rPr>
          <w:rFonts w:eastAsia="黑体"/>
          <w:szCs w:val="32"/>
        </w:rPr>
        <w:t xml:space="preserve"> </w:t>
      </w:r>
    </w:p>
    <w:p>
      <w:pPr>
        <w:jc w:val="center"/>
        <w:rPr>
          <w:rFonts w:eastAsia="黑体"/>
          <w:szCs w:val="32"/>
        </w:rPr>
      </w:pPr>
      <w:r>
        <w:rPr>
          <w:rFonts w:eastAsia="黑体"/>
          <w:szCs w:val="32"/>
        </w:rPr>
        <w:t xml:space="preserve"> </w:t>
      </w:r>
    </w:p>
    <w:p>
      <w:pPr>
        <w:jc w:val="center"/>
        <w:rPr>
          <w:rFonts w:eastAsia="黑体"/>
          <w:szCs w:val="32"/>
        </w:rPr>
      </w:pPr>
      <w:r>
        <w:rPr>
          <w:rFonts w:eastAsia="黑体"/>
          <w:szCs w:val="32"/>
        </w:rPr>
        <w:t xml:space="preserve"> </w:t>
      </w:r>
    </w:p>
    <w:p>
      <w:pPr>
        <w:jc w:val="center"/>
        <w:rPr>
          <w:rFonts w:eastAsia="黑体"/>
          <w:sz w:val="44"/>
          <w:szCs w:val="44"/>
        </w:rPr>
      </w:pPr>
      <w:r>
        <w:rPr>
          <w:rFonts w:eastAsia="黑体"/>
          <w:sz w:val="44"/>
          <w:szCs w:val="44"/>
        </w:rPr>
        <w:t xml:space="preserve"> </w:t>
      </w:r>
    </w:p>
    <w:p>
      <w:pPr>
        <w:jc w:val="center"/>
        <w:rPr>
          <w:rFonts w:eastAsia="黑体"/>
          <w:sz w:val="44"/>
          <w:szCs w:val="44"/>
        </w:rPr>
      </w:pPr>
      <w:r>
        <w:rPr>
          <w:rFonts w:eastAsia="黑体"/>
          <w:sz w:val="44"/>
          <w:szCs w:val="44"/>
        </w:rPr>
        <w:t xml:space="preserve"> </w:t>
      </w:r>
    </w:p>
    <w:p>
      <w:pPr>
        <w:jc w:val="center"/>
        <w:rPr>
          <w:rFonts w:eastAsia="黑体"/>
          <w:sz w:val="44"/>
          <w:szCs w:val="44"/>
        </w:rPr>
      </w:pPr>
    </w:p>
    <w:p>
      <w:pPr>
        <w:jc w:val="center"/>
        <w:rPr>
          <w:rFonts w:eastAsia="黑体"/>
          <w:sz w:val="44"/>
          <w:szCs w:val="44"/>
        </w:rPr>
      </w:pPr>
    </w:p>
    <w:p>
      <w:pPr>
        <w:jc w:val="center"/>
        <w:rPr>
          <w:rFonts w:eastAsia="黑体"/>
          <w:sz w:val="44"/>
          <w:szCs w:val="44"/>
        </w:rPr>
      </w:pPr>
    </w:p>
    <w:p>
      <w:pPr>
        <w:jc w:val="center"/>
        <w:rPr>
          <w:rFonts w:eastAsia="黑体"/>
          <w:sz w:val="44"/>
          <w:szCs w:val="44"/>
        </w:rPr>
      </w:pPr>
    </w:p>
    <w:p>
      <w:pPr>
        <w:jc w:val="center"/>
        <w:rPr>
          <w:rFonts w:eastAsia="黑体"/>
          <w:sz w:val="44"/>
          <w:szCs w:val="44"/>
        </w:rPr>
      </w:pPr>
    </w:p>
    <w:p>
      <w:pPr>
        <w:jc w:val="center"/>
        <w:rPr>
          <w:rFonts w:eastAsia="黑体"/>
          <w:sz w:val="44"/>
          <w:szCs w:val="44"/>
        </w:rPr>
      </w:pPr>
      <w:r>
        <w:rPr>
          <w:rFonts w:eastAsia="黑体"/>
          <w:sz w:val="44"/>
          <w:szCs w:val="44"/>
        </w:rPr>
        <w:t xml:space="preserve"> </w:t>
      </w:r>
    </w:p>
    <w:p>
      <w:pPr>
        <w:jc w:val="center"/>
        <w:rPr>
          <w:rFonts w:eastAsia="黑体"/>
          <w:sz w:val="36"/>
          <w:szCs w:val="36"/>
        </w:rPr>
      </w:pPr>
      <w:r>
        <w:rPr>
          <w:rFonts w:eastAsia="黑体"/>
          <w:sz w:val="36"/>
          <w:szCs w:val="36"/>
        </w:rPr>
        <w:t>单位名称（盖章）：</w:t>
      </w:r>
      <w:r>
        <w:rPr>
          <w:rFonts w:hint="eastAsia" w:eastAsia="黑体"/>
          <w:sz w:val="36"/>
          <w:szCs w:val="36"/>
        </w:rPr>
        <w:t>湖南省农药检定所</w:t>
      </w:r>
    </w:p>
    <w:p>
      <w:pPr>
        <w:jc w:val="center"/>
        <w:rPr>
          <w:rFonts w:eastAsia="黑体"/>
          <w:sz w:val="36"/>
          <w:szCs w:val="36"/>
        </w:rPr>
      </w:pPr>
      <w:r>
        <w:rPr>
          <w:rFonts w:eastAsia="黑体"/>
          <w:sz w:val="36"/>
          <w:szCs w:val="36"/>
        </w:rPr>
        <w:t xml:space="preserve"> </w:t>
      </w:r>
    </w:p>
    <w:p>
      <w:pPr>
        <w:jc w:val="center"/>
        <w:rPr>
          <w:rFonts w:eastAsia="黑体"/>
          <w:szCs w:val="32"/>
        </w:rPr>
      </w:pPr>
      <w:r>
        <w:rPr>
          <w:rFonts w:eastAsia="黑体"/>
          <w:szCs w:val="32"/>
        </w:rPr>
        <w:t xml:space="preserve"> </w:t>
      </w:r>
    </w:p>
    <w:p>
      <w:pPr>
        <w:jc w:val="center"/>
        <w:rPr>
          <w:rFonts w:eastAsia="黑体"/>
          <w:szCs w:val="32"/>
        </w:rPr>
      </w:pPr>
      <w:r>
        <w:rPr>
          <w:rFonts w:eastAsia="黑体"/>
          <w:szCs w:val="32"/>
        </w:rPr>
        <w:t xml:space="preserve"> </w:t>
      </w:r>
    </w:p>
    <w:p>
      <w:pPr>
        <w:jc w:val="center"/>
        <w:rPr>
          <w:rFonts w:eastAsia="黑体"/>
          <w:szCs w:val="32"/>
        </w:rPr>
      </w:pPr>
      <w:r>
        <w:rPr>
          <w:rFonts w:eastAsia="黑体"/>
          <w:szCs w:val="32"/>
        </w:rPr>
        <w:t xml:space="preserve"> </w:t>
      </w:r>
    </w:p>
    <w:p>
      <w:pPr>
        <w:jc w:val="center"/>
        <w:rPr>
          <w:szCs w:val="32"/>
        </w:rPr>
      </w:pPr>
    </w:p>
    <w:p>
      <w:pPr>
        <w:jc w:val="center"/>
        <w:rPr>
          <w:b/>
          <w:sz w:val="44"/>
          <w:szCs w:val="44"/>
        </w:rPr>
      </w:pPr>
      <w:r>
        <w:rPr>
          <w:rFonts w:eastAsia="仿宋_GB2312"/>
        </w:rPr>
        <w:br w:type="page"/>
      </w:r>
    </w:p>
    <w:p>
      <w:pPr>
        <w:widowControl w:val="0"/>
        <w:adjustRightInd w:val="0"/>
        <w:snapToGrid w:val="0"/>
        <w:spacing w:line="570" w:lineRule="atLeast"/>
        <w:ind w:firstLine="640" w:firstLineChars="200"/>
        <w:jc w:val="both"/>
        <w:outlineLvl w:val="1"/>
        <w:rPr>
          <w:rFonts w:ascii="Times New Roman" w:hAnsi="Times New Roman" w:eastAsia="黑体" w:cs="Times New Roman"/>
          <w:bCs/>
          <w:kern w:val="2"/>
          <w:sz w:val="32"/>
          <w:szCs w:val="32"/>
          <w:lang w:val="en-US" w:eastAsia="zh-CN" w:bidi="ar-SA"/>
        </w:rPr>
      </w:pPr>
      <w:r>
        <w:rPr>
          <w:rFonts w:ascii="Times New Roman" w:hAnsi="Times New Roman" w:eastAsia="黑体" w:cs="Times New Roman"/>
          <w:bCs/>
          <w:kern w:val="2"/>
          <w:sz w:val="32"/>
          <w:szCs w:val="32"/>
          <w:lang w:val="en-US" w:eastAsia="zh-CN" w:bidi="ar-SA"/>
        </w:rPr>
        <w:t>一、</w:t>
      </w:r>
      <w:bookmarkStart w:id="3" w:name="OLE_LINK1"/>
      <w:r>
        <w:rPr>
          <w:rFonts w:ascii="Times New Roman" w:hAnsi="Times New Roman" w:eastAsia="黑体" w:cs="Times New Roman"/>
          <w:bCs/>
          <w:kern w:val="2"/>
          <w:sz w:val="32"/>
          <w:szCs w:val="32"/>
          <w:lang w:val="en-US" w:eastAsia="zh-CN" w:bidi="ar-SA"/>
        </w:rPr>
        <w:t>基本情况</w:t>
      </w:r>
    </w:p>
    <w:p>
      <w:pPr>
        <w:adjustRightInd w:val="0"/>
        <w:snapToGrid w:val="0"/>
        <w:spacing w:line="570" w:lineRule="atLeast"/>
        <w:ind w:firstLine="640"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（一）单位基本情况</w:t>
      </w:r>
    </w:p>
    <w:bookmarkEnd w:id="3"/>
    <w:p>
      <w:pPr>
        <w:pStyle w:val="18"/>
        <w:adjustRightInd w:val="0"/>
        <w:snapToGrid w:val="0"/>
        <w:spacing w:line="360" w:lineRule="auto"/>
        <w:ind w:firstLine="643"/>
        <w:rPr>
          <w:rFonts w:ascii="Times New Roman" w:hAnsi="Times New Roman" w:eastAsia="仿宋"/>
          <w:sz w:val="32"/>
          <w:szCs w:val="28"/>
        </w:rPr>
      </w:pPr>
      <w:r>
        <w:rPr>
          <w:rFonts w:hint="eastAsia" w:ascii="Times New Roman" w:hAnsi="Times New Roman" w:eastAsia="仿宋" w:cs="宋体"/>
          <w:b/>
          <w:sz w:val="32"/>
          <w:szCs w:val="28"/>
          <w:lang w:val="en-US" w:eastAsia="zh-CN"/>
        </w:rPr>
        <w:t>1.</w:t>
      </w:r>
      <w:r>
        <w:rPr>
          <w:rFonts w:hint="eastAsia" w:ascii="Times New Roman" w:hAnsi="Times New Roman" w:eastAsia="仿宋" w:cs="宋体"/>
          <w:b/>
          <w:sz w:val="32"/>
          <w:szCs w:val="28"/>
        </w:rPr>
        <w:t>职能职责。</w:t>
      </w:r>
      <w:r>
        <w:rPr>
          <w:rFonts w:hint="eastAsia" w:ascii="Times New Roman" w:hAnsi="Times New Roman" w:eastAsia="仿宋"/>
          <w:sz w:val="32"/>
          <w:szCs w:val="28"/>
        </w:rPr>
        <w:t>湖南省农药检定所负责全省农药登记及登记试验具体工作、已登记农药的安全性和有效性监测、农药产品质量监测与风险评估工作，农药科学研究、普及，信息交流，相关技术培训、服务、咨询等工作；协助厅种植业（农药管理）处开展农药生产、农药经营、农药试验单位备案等农药监督管理工作，以及农药行业监管、发展指导与服务工作；承担全省农产品、农业投入品、农产品产地环境质量监督和监测、风险评价等检验检测职能。</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ascii="Times New Roman" w:hAnsi="Times New Roman" w:eastAsia="仿宋"/>
          <w:sz w:val="32"/>
          <w:szCs w:val="28"/>
        </w:rPr>
      </w:pPr>
      <w:r>
        <w:rPr>
          <w:rFonts w:hint="eastAsia" w:ascii="Times New Roman" w:hAnsi="Times New Roman" w:eastAsia="仿宋" w:cs="宋体"/>
          <w:b/>
          <w:sz w:val="32"/>
          <w:szCs w:val="28"/>
          <w:lang w:val="en-US" w:eastAsia="zh-CN"/>
        </w:rPr>
        <w:t>2.</w:t>
      </w:r>
      <w:r>
        <w:rPr>
          <w:rFonts w:hint="eastAsia" w:ascii="Times New Roman" w:hAnsi="Times New Roman" w:eastAsia="仿宋" w:cs="宋体"/>
          <w:b/>
          <w:sz w:val="32"/>
          <w:szCs w:val="28"/>
        </w:rPr>
        <w:t>机构设置。</w:t>
      </w:r>
      <w:r>
        <w:rPr>
          <w:rFonts w:hint="eastAsia" w:ascii="Times New Roman" w:hAnsi="Times New Roman" w:eastAsia="仿宋"/>
          <w:sz w:val="32"/>
          <w:szCs w:val="28"/>
        </w:rPr>
        <w:t>湖南省农药检定所（湖南省农产品质量检验检测中心（长沙土壤肥料测试中心）），省农业农村厅直属正处级参公管理单位，2009年实施参照公务员法管理。内设办公室、业务科、综合科、药监科、药政科、审评科、检测科7个科室。</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Times New Roman" w:hAnsi="Times New Roman" w:eastAsia="楷体_GB2312" w:cs="Times New Roman"/>
          <w:b/>
          <w:sz w:val="32"/>
          <w:szCs w:val="32"/>
          <w:lang w:eastAsia="zh-CN"/>
        </w:rPr>
      </w:pPr>
      <w:r>
        <w:rPr>
          <w:rFonts w:ascii="Times New Roman" w:hAnsi="Times New Roman" w:eastAsia="楷体_GB2312" w:cs="Times New Roman"/>
          <w:b/>
          <w:sz w:val="32"/>
          <w:szCs w:val="32"/>
        </w:rPr>
        <w:t>（二）</w:t>
      </w:r>
      <w:bookmarkStart w:id="4" w:name="OLE_LINK20"/>
      <w:r>
        <w:rPr>
          <w:rFonts w:ascii="Times New Roman" w:hAnsi="Times New Roman" w:eastAsia="楷体_GB2312" w:cs="Times New Roman"/>
          <w:b/>
          <w:sz w:val="32"/>
          <w:szCs w:val="32"/>
        </w:rPr>
        <w:t>单位年度整体支出绩效目标</w:t>
      </w:r>
      <w:bookmarkEnd w:id="4"/>
      <w:r>
        <w:rPr>
          <w:rFonts w:ascii="Times New Roman" w:hAnsi="Times New Roman" w:eastAsia="楷体_GB2312" w:cs="Times New Roman"/>
          <w:b/>
          <w:sz w:val="32"/>
          <w:szCs w:val="32"/>
        </w:rPr>
        <w:t>，</w:t>
      </w:r>
      <w:bookmarkStart w:id="5" w:name="OLE_LINK21"/>
      <w:r>
        <w:rPr>
          <w:rFonts w:ascii="Times New Roman" w:hAnsi="Times New Roman" w:eastAsia="楷体_GB2312" w:cs="Times New Roman"/>
          <w:b/>
          <w:sz w:val="32"/>
          <w:szCs w:val="32"/>
        </w:rPr>
        <w:t>省级专项资金绩效目标</w:t>
      </w:r>
      <w:bookmarkEnd w:id="5"/>
      <w:r>
        <w:rPr>
          <w:rFonts w:ascii="Times New Roman" w:hAnsi="Times New Roman" w:eastAsia="楷体_GB2312" w:cs="Times New Roman"/>
          <w:b/>
          <w:sz w:val="32"/>
          <w:szCs w:val="32"/>
        </w:rPr>
        <w:t>、</w:t>
      </w:r>
      <w:bookmarkStart w:id="6" w:name="OLE_LINK22"/>
      <w:r>
        <w:rPr>
          <w:rFonts w:ascii="Times New Roman" w:hAnsi="Times New Roman" w:eastAsia="楷体_GB2312" w:cs="Times New Roman"/>
          <w:b/>
          <w:sz w:val="32"/>
          <w:szCs w:val="32"/>
        </w:rPr>
        <w:t>其他项目支出（除省级专项资金以外）绩效目标</w:t>
      </w:r>
      <w:bookmarkEnd w:id="6"/>
      <w:r>
        <w:rPr>
          <w:rFonts w:hint="eastAsia" w:ascii="Times New Roman" w:hAnsi="Times New Roman" w:eastAsia="楷体_GB2312" w:cs="Times New Roman"/>
          <w:b/>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Times New Roman" w:hAnsi="Times New Roman" w:eastAsia="仿宋"/>
          <w:sz w:val="32"/>
          <w:szCs w:val="28"/>
          <w:lang w:eastAsia="zh-CN"/>
        </w:rPr>
      </w:pPr>
      <w:r>
        <w:rPr>
          <w:rFonts w:hint="eastAsia" w:ascii="Times New Roman" w:hAnsi="Times New Roman" w:eastAsia="仿宋"/>
          <w:sz w:val="32"/>
          <w:szCs w:val="28"/>
          <w:lang w:val="en-US" w:eastAsia="zh-CN"/>
        </w:rPr>
        <w:t>1.</w:t>
      </w:r>
      <w:r>
        <w:rPr>
          <w:rFonts w:hint="eastAsia" w:ascii="Times New Roman" w:hAnsi="Times New Roman" w:eastAsia="仿宋"/>
          <w:sz w:val="32"/>
          <w:szCs w:val="28"/>
        </w:rPr>
        <w:t>单位年度整体支出绩效目标</w:t>
      </w:r>
      <w:r>
        <w:rPr>
          <w:rFonts w:hint="eastAsia" w:ascii="Times New Roman" w:hAnsi="Times New Roman" w:eastAsia="仿宋"/>
          <w:sz w:val="32"/>
          <w:szCs w:val="28"/>
          <w:lang w:eastAsia="zh-CN"/>
        </w:rPr>
        <w:t>：农药质量抽检合格率≥92%，农药标签抽查合格率≥83%；完成蔬菜、水果、茶叶、稻谷等8240批次样品质量安全例行监测、监督抽查、风险评估与能力验证工作。加强农药管理、检验检测等技术培训，确保基层单位参加培训率达90%以上；加强条例及配套规章宣贯、监督指导、考察学习、经验交流等日常工作开展；加强行业自律，规范评审、生产、经营、使用及证后监管等工作；加强重点课题研究及成果出版；全面提升农药监管能力与农产品质量安全检验检测水平。</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Times New Roman" w:hAnsi="Times New Roman" w:eastAsia="仿宋"/>
          <w:sz w:val="32"/>
          <w:szCs w:val="28"/>
          <w:lang w:val="en-US" w:eastAsia="zh-CN"/>
        </w:rPr>
      </w:pPr>
      <w:r>
        <w:rPr>
          <w:rFonts w:hint="eastAsia" w:ascii="Times New Roman" w:hAnsi="Times New Roman" w:eastAsia="仿宋"/>
          <w:sz w:val="32"/>
          <w:szCs w:val="28"/>
          <w:lang w:val="en-US" w:eastAsia="zh-CN"/>
        </w:rPr>
        <w:t>2.省级专项资金绩效目标：完成全年农产品质量安全检测任务、农药监管、早稻集中育秧，土壤详查等工作任务。</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default" w:ascii="Times New Roman" w:hAnsi="Times New Roman" w:eastAsia="仿宋"/>
          <w:sz w:val="32"/>
          <w:szCs w:val="28"/>
          <w:lang w:val="en-US" w:eastAsia="zh-CN"/>
        </w:rPr>
      </w:pPr>
      <w:r>
        <w:rPr>
          <w:rFonts w:hint="eastAsia" w:ascii="Times New Roman" w:hAnsi="Times New Roman" w:eastAsia="仿宋"/>
          <w:sz w:val="32"/>
          <w:szCs w:val="28"/>
          <w:lang w:val="en-US" w:eastAsia="zh-CN"/>
        </w:rPr>
        <w:t>3.</w:t>
      </w:r>
      <w:r>
        <w:rPr>
          <w:rFonts w:hint="eastAsia" w:ascii="Times New Roman" w:hAnsi="Times New Roman" w:eastAsia="仿宋"/>
          <w:sz w:val="32"/>
          <w:szCs w:val="28"/>
        </w:rPr>
        <w:t>其他项目支出（除省级专项资金以外）绩效目标</w:t>
      </w:r>
      <w:r>
        <w:rPr>
          <w:rFonts w:hint="eastAsia" w:ascii="Times New Roman" w:hAnsi="Times New Roman" w:eastAsia="仿宋"/>
          <w:sz w:val="32"/>
          <w:szCs w:val="28"/>
          <w:lang w:eastAsia="zh-CN"/>
        </w:rPr>
        <w:t>：</w:t>
      </w:r>
      <w:r>
        <w:rPr>
          <w:rFonts w:hint="eastAsia" w:ascii="Times New Roman" w:hAnsi="Times New Roman" w:eastAsia="仿宋"/>
          <w:sz w:val="32"/>
          <w:szCs w:val="28"/>
          <w:lang w:val="en-US" w:eastAsia="zh-CN"/>
        </w:rPr>
        <w:t>维持单位正常运转，保证农产品等抽检工作顺利进行。</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黑体" w:hAnsi="黑体" w:eastAsia="黑体"/>
          <w:sz w:val="32"/>
          <w:szCs w:val="28"/>
        </w:rPr>
      </w:pPr>
      <w:r>
        <w:rPr>
          <w:rFonts w:hint="eastAsia" w:ascii="黑体" w:hAnsi="黑体" w:eastAsia="黑体"/>
          <w:sz w:val="32"/>
          <w:szCs w:val="28"/>
        </w:rPr>
        <w:t>二、一般公共预算支出情况</w:t>
      </w:r>
    </w:p>
    <w:p>
      <w:pPr>
        <w:pStyle w:val="23"/>
        <w:snapToGrid w:val="0"/>
        <w:spacing w:line="570" w:lineRule="atLeast"/>
        <w:ind w:firstLine="643"/>
        <w:rPr>
          <w:rFonts w:ascii="Times New Roman" w:hAnsi="Times New Roman" w:eastAsia="楷体_GB2312" w:cs="Times New Roman"/>
          <w:b/>
          <w:sz w:val="32"/>
          <w:szCs w:val="32"/>
        </w:rPr>
      </w:pPr>
      <w:r>
        <w:rPr>
          <w:rFonts w:ascii="Times New Roman" w:hAnsi="Times New Roman" w:eastAsia="楷体_GB2312" w:cs="Times New Roman"/>
          <w:b/>
          <w:sz w:val="32"/>
          <w:szCs w:val="32"/>
        </w:rPr>
        <w:t>（一）基本支出情况</w:t>
      </w:r>
    </w:p>
    <w:p>
      <w:pPr>
        <w:adjustRightInd w:val="0"/>
        <w:snapToGrid w:val="0"/>
        <w:spacing w:line="360" w:lineRule="auto"/>
        <w:ind w:firstLine="640" w:firstLineChars="200"/>
        <w:rPr>
          <w:rFonts w:ascii="Times New Roman" w:hAnsi="Times New Roman" w:eastAsia="仿宋"/>
          <w:sz w:val="32"/>
          <w:szCs w:val="28"/>
        </w:rPr>
      </w:pPr>
      <w:r>
        <w:rPr>
          <w:rFonts w:hint="eastAsia" w:ascii="Times New Roman" w:hAnsi="Times New Roman" w:eastAsia="仿宋"/>
          <w:sz w:val="32"/>
          <w:szCs w:val="28"/>
        </w:rPr>
        <w:t>基本支出896.21万元，人员经费836.33万元，公用经费59.55万元。</w:t>
      </w:r>
    </w:p>
    <w:p>
      <w:pPr>
        <w:widowControl w:val="0"/>
        <w:adjustRightInd/>
        <w:snapToGrid w:val="0"/>
        <w:spacing w:line="570" w:lineRule="atLeast"/>
        <w:ind w:firstLine="640" w:firstLineChars="200"/>
        <w:jc w:val="both"/>
        <w:rPr>
          <w:rFonts w:ascii="Times New Roman" w:hAnsi="Times New Roman" w:eastAsia="楷体_GB2312" w:cs="Times New Roman"/>
          <w:b/>
          <w:kern w:val="2"/>
          <w:sz w:val="32"/>
          <w:szCs w:val="32"/>
          <w:lang w:val="en-US" w:eastAsia="zh-CN" w:bidi="ar-SA"/>
        </w:rPr>
      </w:pPr>
      <w:r>
        <w:rPr>
          <w:rFonts w:ascii="Times New Roman" w:hAnsi="Times New Roman" w:eastAsia="楷体_GB2312" w:cs="Times New Roman"/>
          <w:b/>
          <w:kern w:val="2"/>
          <w:sz w:val="32"/>
          <w:szCs w:val="32"/>
          <w:lang w:val="en-US" w:eastAsia="zh-CN" w:bidi="ar-SA"/>
        </w:rPr>
        <w:t>（二）项目支出情况</w:t>
      </w:r>
    </w:p>
    <w:p>
      <w:pPr>
        <w:adjustRightInd w:val="0"/>
        <w:snapToGrid w:val="0"/>
        <w:spacing w:line="360" w:lineRule="auto"/>
        <w:ind w:firstLine="640" w:firstLineChars="200"/>
        <w:rPr>
          <w:rFonts w:hint="eastAsia" w:ascii="Times New Roman" w:hAnsi="Times New Roman" w:eastAsia="仿宋"/>
          <w:sz w:val="32"/>
          <w:szCs w:val="28"/>
        </w:rPr>
      </w:pPr>
      <w:r>
        <w:rPr>
          <w:rFonts w:hint="eastAsia" w:ascii="Times New Roman" w:hAnsi="Times New Roman" w:eastAsia="仿宋"/>
          <w:sz w:val="32"/>
          <w:szCs w:val="28"/>
        </w:rPr>
        <w:t>项目支出1032.31万元，其中农业资源保护修复与利用153.33万元，现代农业发展专项817.18万元，其他农业农村支出61.8万元。</w:t>
      </w:r>
    </w:p>
    <w:p>
      <w:pPr>
        <w:adjustRightInd w:val="0"/>
        <w:snapToGrid w:val="0"/>
        <w:spacing w:line="360" w:lineRule="auto"/>
        <w:ind w:firstLine="640" w:firstLineChars="200"/>
        <w:rPr>
          <w:rFonts w:hint="eastAsia" w:ascii="Times New Roman" w:hAnsi="Times New Roman" w:eastAsia="仿宋"/>
          <w:sz w:val="32"/>
          <w:szCs w:val="28"/>
          <w:lang w:val="en-US" w:eastAsia="zh-CN"/>
        </w:rPr>
      </w:pPr>
      <w:r>
        <w:rPr>
          <w:rFonts w:hint="eastAsia" w:ascii="Times New Roman" w:hAnsi="Times New Roman" w:eastAsia="仿宋"/>
          <w:sz w:val="32"/>
          <w:szCs w:val="28"/>
          <w:lang w:val="en-US" w:eastAsia="zh-CN"/>
        </w:rPr>
        <w:t>1.省级专项资金预算974.80万元，支出964.97万元，主要用于农产品质量安全，农药监管，早稻集中育秧，土壤详查等</w:t>
      </w:r>
    </w:p>
    <w:p>
      <w:pPr>
        <w:adjustRightInd w:val="0"/>
        <w:snapToGrid w:val="0"/>
        <w:spacing w:line="360" w:lineRule="auto"/>
        <w:ind w:firstLine="640" w:firstLineChars="200"/>
        <w:rPr>
          <w:rFonts w:hint="default" w:ascii="Times New Roman" w:hAnsi="Times New Roman" w:eastAsia="仿宋"/>
          <w:sz w:val="32"/>
          <w:szCs w:val="28"/>
          <w:lang w:val="en-US" w:eastAsia="zh-CN"/>
        </w:rPr>
      </w:pPr>
      <w:r>
        <w:rPr>
          <w:rFonts w:hint="eastAsia" w:ascii="Times New Roman" w:hAnsi="Times New Roman" w:eastAsia="仿宋"/>
          <w:sz w:val="32"/>
          <w:szCs w:val="28"/>
          <w:lang w:val="en-US" w:eastAsia="zh-CN"/>
        </w:rPr>
        <w:t>2.运行维护经费预算10.10万元，支出4.68万元，主要用于</w:t>
      </w:r>
      <w:bookmarkStart w:id="7" w:name="OLE_LINK38"/>
      <w:r>
        <w:rPr>
          <w:rFonts w:hint="eastAsia" w:ascii="Times New Roman" w:hAnsi="Times New Roman" w:eastAsia="仿宋"/>
          <w:sz w:val="32"/>
          <w:szCs w:val="28"/>
          <w:lang w:val="en-US" w:eastAsia="zh-CN"/>
        </w:rPr>
        <w:t>单位日常运行维护</w:t>
      </w:r>
      <w:bookmarkEnd w:id="7"/>
      <w:r>
        <w:rPr>
          <w:rFonts w:hint="eastAsia" w:ascii="Times New Roman" w:hAnsi="Times New Roman" w:eastAsia="仿宋"/>
          <w:sz w:val="32"/>
          <w:szCs w:val="28"/>
          <w:lang w:val="en-US" w:eastAsia="zh-CN"/>
        </w:rPr>
        <w:t>。</w:t>
      </w:r>
      <w:r>
        <w:rPr>
          <w:rFonts w:hint="eastAsia" w:ascii="Times New Roman" w:hAnsi="Times New Roman" w:eastAsia="仿宋"/>
          <w:sz w:val="32"/>
          <w:szCs w:val="28"/>
          <w:lang w:val="en-US" w:eastAsia="zh-CN"/>
        </w:rPr>
        <w:br w:type="textWrapping"/>
      </w:r>
      <w:r>
        <w:rPr>
          <w:rFonts w:hint="eastAsia" w:ascii="Times New Roman" w:hAnsi="Times New Roman" w:eastAsia="仿宋"/>
          <w:sz w:val="32"/>
          <w:szCs w:val="28"/>
          <w:lang w:val="en-US" w:eastAsia="zh-CN"/>
        </w:rPr>
        <w:t xml:space="preserve">    3.其他事业发展资金预算65.35万元，支出65.65万元，主要用于农产品日常抽样相关支出。</w:t>
      </w:r>
    </w:p>
    <w:p>
      <w:pPr>
        <w:pStyle w:val="23"/>
        <w:numPr>
          <w:ilvl w:val="0"/>
          <w:numId w:val="1"/>
        </w:numPr>
        <w:snapToGrid w:val="0"/>
        <w:spacing w:line="570" w:lineRule="atLeast"/>
        <w:ind w:firstLine="640"/>
        <w:rPr>
          <w:rFonts w:ascii="Times New Roman" w:hAnsi="Times New Roman" w:eastAsia="黑体"/>
          <w:sz w:val="32"/>
          <w:szCs w:val="32"/>
        </w:rPr>
      </w:pPr>
      <w:r>
        <w:rPr>
          <w:rFonts w:ascii="Times New Roman" w:hAnsi="Times New Roman" w:eastAsia="黑体"/>
          <w:sz w:val="32"/>
          <w:szCs w:val="32"/>
        </w:rPr>
        <w:t>政府性基金预算支出情况</w:t>
      </w:r>
    </w:p>
    <w:p>
      <w:pPr>
        <w:pStyle w:val="23"/>
        <w:numPr>
          <w:ilvl w:val="0"/>
          <w:numId w:val="0"/>
        </w:numPr>
        <w:snapToGrid w:val="0"/>
        <w:spacing w:line="570" w:lineRule="atLeast"/>
        <w:rPr>
          <w:rFonts w:hint="default" w:ascii="Times New Roman" w:hAnsi="Times New Roman" w:eastAsia="黑体"/>
          <w:sz w:val="32"/>
          <w:szCs w:val="32"/>
          <w:lang w:val="en-US" w:eastAsia="zh-CN"/>
        </w:rPr>
      </w:pPr>
      <w:r>
        <w:rPr>
          <w:rFonts w:hint="eastAsia" w:ascii="Times New Roman" w:hAnsi="Times New Roman" w:eastAsia="黑体"/>
          <w:sz w:val="32"/>
          <w:szCs w:val="32"/>
          <w:lang w:val="en-US" w:eastAsia="zh-CN"/>
        </w:rPr>
        <w:t xml:space="preserve">    无</w:t>
      </w:r>
    </w:p>
    <w:p>
      <w:pPr>
        <w:pStyle w:val="23"/>
        <w:snapToGrid w:val="0"/>
        <w:spacing w:line="570" w:lineRule="atLeast"/>
        <w:ind w:firstLine="640"/>
        <w:rPr>
          <w:rFonts w:ascii="Times New Roman" w:hAnsi="Times New Roman" w:eastAsia="黑体"/>
          <w:sz w:val="32"/>
          <w:szCs w:val="32"/>
        </w:rPr>
      </w:pPr>
      <w:r>
        <w:rPr>
          <w:rFonts w:ascii="Times New Roman" w:hAnsi="Times New Roman" w:eastAsia="黑体"/>
          <w:sz w:val="32"/>
          <w:szCs w:val="32"/>
        </w:rPr>
        <w:t>四、国有资本经营预算支出情况</w:t>
      </w:r>
    </w:p>
    <w:p>
      <w:pPr>
        <w:pStyle w:val="23"/>
        <w:snapToGrid w:val="0"/>
        <w:spacing w:line="570" w:lineRule="atLeast"/>
        <w:ind w:firstLine="640"/>
        <w:rPr>
          <w:rFonts w:hint="eastAsia" w:ascii="Times New Roman" w:hAnsi="Times New Roman" w:eastAsia="黑体"/>
          <w:sz w:val="32"/>
          <w:szCs w:val="32"/>
          <w:lang w:val="en-US" w:eastAsia="zh-CN"/>
        </w:rPr>
      </w:pPr>
      <w:r>
        <w:rPr>
          <w:rFonts w:hint="eastAsia" w:ascii="Times New Roman" w:hAnsi="Times New Roman" w:eastAsia="黑体"/>
          <w:sz w:val="32"/>
          <w:szCs w:val="32"/>
          <w:lang w:val="en-US" w:eastAsia="zh-CN"/>
        </w:rPr>
        <w:t>无</w:t>
      </w:r>
    </w:p>
    <w:p>
      <w:pPr>
        <w:pStyle w:val="23"/>
        <w:snapToGrid w:val="0"/>
        <w:spacing w:line="570" w:lineRule="atLeast"/>
        <w:ind w:firstLine="640"/>
        <w:rPr>
          <w:rFonts w:ascii="Times New Roman" w:hAnsi="Times New Roman" w:eastAsia="黑体"/>
          <w:sz w:val="32"/>
          <w:szCs w:val="32"/>
        </w:rPr>
      </w:pPr>
      <w:r>
        <w:rPr>
          <w:rFonts w:ascii="Times New Roman" w:hAnsi="Times New Roman" w:eastAsia="黑体"/>
          <w:sz w:val="32"/>
          <w:szCs w:val="32"/>
        </w:rPr>
        <w:t>五、社会保险基金预算支出情况</w:t>
      </w:r>
    </w:p>
    <w:p>
      <w:pPr>
        <w:adjustRightInd w:val="0"/>
        <w:snapToGrid w:val="0"/>
        <w:spacing w:line="360" w:lineRule="auto"/>
        <w:ind w:firstLine="640" w:firstLineChars="200"/>
        <w:rPr>
          <w:rFonts w:hint="default" w:ascii="黑体" w:hAnsi="黑体" w:eastAsia="黑体"/>
          <w:sz w:val="32"/>
          <w:szCs w:val="28"/>
          <w:lang w:val="en-US" w:eastAsia="zh-CN"/>
        </w:rPr>
      </w:pPr>
      <w:r>
        <w:rPr>
          <w:rFonts w:hint="eastAsia" w:ascii="黑体" w:hAnsi="黑体" w:eastAsia="黑体"/>
          <w:sz w:val="32"/>
          <w:szCs w:val="28"/>
          <w:lang w:val="en-US" w:eastAsia="zh-CN"/>
        </w:rPr>
        <w:t>无</w:t>
      </w:r>
    </w:p>
    <w:p>
      <w:pPr>
        <w:adjustRightInd w:val="0"/>
        <w:snapToGrid w:val="0"/>
        <w:spacing w:line="360" w:lineRule="auto"/>
        <w:ind w:firstLine="640" w:firstLineChars="200"/>
        <w:rPr>
          <w:rFonts w:hint="eastAsia" w:ascii="黑体" w:hAnsi="黑体" w:eastAsia="黑体"/>
          <w:sz w:val="32"/>
          <w:szCs w:val="28"/>
        </w:rPr>
      </w:pPr>
      <w:r>
        <w:rPr>
          <w:rFonts w:hint="eastAsia" w:ascii="黑体" w:hAnsi="黑体" w:eastAsia="黑体"/>
          <w:sz w:val="32"/>
          <w:szCs w:val="28"/>
          <w:lang w:val="en-US" w:eastAsia="zh-CN"/>
        </w:rPr>
        <w:t>六</w:t>
      </w:r>
      <w:r>
        <w:rPr>
          <w:rFonts w:hint="eastAsia" w:ascii="黑体" w:hAnsi="黑体" w:eastAsia="黑体"/>
          <w:sz w:val="32"/>
          <w:szCs w:val="28"/>
        </w:rPr>
        <w:t>、部门总体支出绩效情况</w:t>
      </w:r>
    </w:p>
    <w:p>
      <w:pPr>
        <w:adjustRightInd w:val="0"/>
        <w:snapToGrid w:val="0"/>
        <w:spacing w:line="360" w:lineRule="auto"/>
        <w:ind w:firstLine="640" w:firstLineChars="200"/>
        <w:rPr>
          <w:rFonts w:ascii="Times New Roman" w:hAnsi="Times New Roman" w:eastAsia="仿宋"/>
          <w:sz w:val="32"/>
          <w:szCs w:val="28"/>
        </w:rPr>
      </w:pPr>
      <w:r>
        <w:rPr>
          <w:rFonts w:hint="eastAsia" w:ascii="Times New Roman" w:hAnsi="Times New Roman" w:eastAsia="仿宋"/>
          <w:sz w:val="32"/>
          <w:szCs w:val="28"/>
        </w:rPr>
        <w:t>我所聚焦职能职责，严格执行一般公共预算，围绕农药管理和检验检测核心业务，推动了工作有效开展，实现了既定的绩效目标。</w:t>
      </w:r>
    </w:p>
    <w:p>
      <w:pPr>
        <w:adjustRightInd w:val="0"/>
        <w:snapToGrid w:val="0"/>
        <w:spacing w:line="360" w:lineRule="auto"/>
        <w:ind w:firstLine="640" w:firstLineChars="200"/>
        <w:rPr>
          <w:rFonts w:ascii="Times New Roman" w:hAnsi="Times New Roman" w:eastAsia="仿宋"/>
          <w:sz w:val="32"/>
          <w:szCs w:val="28"/>
        </w:rPr>
      </w:pPr>
      <w:r>
        <w:rPr>
          <w:rFonts w:hint="eastAsia" w:ascii="Times New Roman" w:hAnsi="Times New Roman" w:eastAsia="仿宋"/>
          <w:sz w:val="32"/>
          <w:szCs w:val="28"/>
          <w:lang w:val="en-US" w:eastAsia="zh-CN"/>
        </w:rPr>
        <w:t>1.</w:t>
      </w:r>
      <w:r>
        <w:rPr>
          <w:rFonts w:hint="eastAsia" w:ascii="Times New Roman" w:hAnsi="Times New Roman" w:eastAsia="仿宋"/>
          <w:sz w:val="32"/>
          <w:szCs w:val="28"/>
        </w:rPr>
        <w:t>运行成本。统筹工作质量与厉行节约的要求，首先是检测耗材用品等方面的物质采购，从申请采购到审批到验收等环节层层把关，确保物有所值、物尽其用，有效的保证了工作质量。其次是单位日常运转，尤其是“三公”管理，严格按照厉行节约的要求，做到了运转经费的持续减少。</w:t>
      </w:r>
    </w:p>
    <w:p>
      <w:pPr>
        <w:adjustRightInd w:val="0"/>
        <w:snapToGrid w:val="0"/>
        <w:spacing w:line="360" w:lineRule="auto"/>
        <w:ind w:firstLine="640" w:firstLineChars="200"/>
        <w:rPr>
          <w:rFonts w:ascii="Times New Roman" w:hAnsi="Times New Roman" w:eastAsia="仿宋"/>
          <w:sz w:val="32"/>
          <w:szCs w:val="28"/>
        </w:rPr>
      </w:pPr>
      <w:r>
        <w:rPr>
          <w:rFonts w:hint="eastAsia" w:ascii="Times New Roman" w:hAnsi="Times New Roman" w:eastAsia="仿宋"/>
          <w:b w:val="0"/>
          <w:bCs/>
          <w:sz w:val="32"/>
          <w:szCs w:val="28"/>
          <w:lang w:val="en-US" w:eastAsia="zh-CN"/>
        </w:rPr>
        <w:t>2.</w:t>
      </w:r>
      <w:r>
        <w:rPr>
          <w:rFonts w:hint="eastAsia" w:ascii="Times New Roman" w:hAnsi="Times New Roman" w:eastAsia="仿宋"/>
          <w:b w:val="0"/>
          <w:bCs/>
          <w:sz w:val="32"/>
          <w:szCs w:val="28"/>
        </w:rPr>
        <w:t>管理效率。</w:t>
      </w:r>
      <w:r>
        <w:rPr>
          <w:rFonts w:hint="eastAsia" w:ascii="Times New Roman" w:hAnsi="Times New Roman" w:eastAsia="仿宋"/>
          <w:sz w:val="32"/>
          <w:szCs w:val="28"/>
        </w:rPr>
        <w:t>严格按照总的预算，结合业务工作的专业要求，细化了各个专项任务的资金预算，确保做事有钱，有钱做事，同时更好的保证了资金的执行进度，提升了管理效率，提高了资金的有效利用率。</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方正仿宋_GB2312" w:hAnsi="方正仿宋_GB2312" w:eastAsia="方正仿宋_GB2312" w:cs="方正仿宋_GB2312"/>
          <w:color w:val="auto"/>
          <w:sz w:val="32"/>
          <w:u w:val="none"/>
        </w:rPr>
      </w:pPr>
      <w:r>
        <w:rPr>
          <w:rFonts w:hint="eastAsia" w:ascii="Times New Roman" w:hAnsi="Times New Roman" w:eastAsia="仿宋"/>
          <w:sz w:val="32"/>
          <w:szCs w:val="28"/>
          <w:lang w:val="en-US" w:eastAsia="zh-CN"/>
        </w:rPr>
        <w:t>3.</w:t>
      </w:r>
      <w:r>
        <w:rPr>
          <w:rFonts w:hint="eastAsia" w:ascii="Times New Roman" w:hAnsi="Times New Roman" w:eastAsia="仿宋"/>
          <w:sz w:val="32"/>
          <w:szCs w:val="28"/>
        </w:rPr>
        <w:t>履职效能。</w:t>
      </w:r>
      <w:r>
        <w:rPr>
          <w:rFonts w:hint="eastAsia" w:ascii="方正仿宋_GB2312" w:hAnsi="方正仿宋_GB2312" w:eastAsia="方正仿宋_GB2312" w:cs="方正仿宋_GB2312"/>
          <w:b/>
          <w:bCs/>
          <w:color w:val="auto"/>
          <w:sz w:val="32"/>
          <w:lang w:val="en-US" w:eastAsia="zh-CN"/>
        </w:rPr>
        <w:t>一是</w:t>
      </w:r>
      <w:r>
        <w:rPr>
          <w:rFonts w:hint="eastAsia" w:ascii="方正仿宋_GB2312" w:hAnsi="方正仿宋_GB2312" w:eastAsia="方正仿宋_GB2312" w:cs="方正仿宋_GB2312"/>
          <w:b/>
          <w:bCs/>
          <w:color w:val="auto"/>
          <w:sz w:val="32"/>
        </w:rPr>
        <w:t>强</w:t>
      </w:r>
      <w:r>
        <w:rPr>
          <w:rFonts w:hint="eastAsia" w:ascii="方正仿宋_GB2312" w:hAnsi="方正仿宋_GB2312" w:eastAsia="方正仿宋_GB2312" w:cs="方正仿宋_GB2312"/>
          <w:b/>
          <w:bCs/>
          <w:color w:val="auto"/>
          <w:sz w:val="32"/>
          <w:lang w:val="en-US" w:eastAsia="zh-CN"/>
        </w:rPr>
        <w:t>引导促行业不断优化</w:t>
      </w:r>
      <w:r>
        <w:rPr>
          <w:rFonts w:hint="eastAsia" w:ascii="方正仿宋_GB2312" w:hAnsi="方正仿宋_GB2312" w:eastAsia="方正仿宋_GB2312" w:cs="方正仿宋_GB2312"/>
          <w:b/>
          <w:bCs/>
          <w:color w:val="auto"/>
          <w:sz w:val="32"/>
          <w:lang w:eastAsia="zh-CN"/>
        </w:rPr>
        <w:t>。</w:t>
      </w:r>
      <w:r>
        <w:rPr>
          <w:rFonts w:hint="eastAsia" w:ascii="方正仿宋_GB2312" w:hAnsi="方正仿宋_GB2312" w:eastAsia="方正仿宋_GB2312" w:cs="方正仿宋_GB2312"/>
          <w:color w:val="auto"/>
          <w:kern w:val="0"/>
          <w:sz w:val="32"/>
          <w:szCs w:val="32"/>
        </w:rPr>
        <w:t>严把许可关，</w:t>
      </w:r>
      <w:r>
        <w:rPr>
          <w:rFonts w:hint="eastAsia" w:ascii="方正仿宋_GB2312" w:hAnsi="方正仿宋_GB2312" w:eastAsia="方正仿宋_GB2312" w:cs="方正仿宋_GB2312"/>
          <w:color w:val="auto"/>
          <w:kern w:val="0"/>
          <w:sz w:val="32"/>
          <w:szCs w:val="32"/>
          <w:lang w:val="en-US" w:eastAsia="zh-CN"/>
        </w:rPr>
        <w:t>采取预审制、专家负责制等措施，不断提高行政许可效率。</w:t>
      </w:r>
      <w:r>
        <w:rPr>
          <w:rFonts w:hint="eastAsia" w:ascii="方正仿宋_GB2312" w:hAnsi="方正仿宋_GB2312" w:eastAsia="方正仿宋_GB2312" w:cs="方正仿宋_GB2312"/>
          <w:bCs/>
          <w:color w:val="auto"/>
          <w:sz w:val="32"/>
          <w:szCs w:val="32"/>
        </w:rPr>
        <w:t>截至目前，全省共有农药生产企业36家，</w:t>
      </w:r>
      <w:r>
        <w:rPr>
          <w:rFonts w:hint="eastAsia" w:ascii="方正仿宋_GB2312" w:hAnsi="方正仿宋_GB2312" w:eastAsia="方正仿宋_GB2312" w:cs="方正仿宋_GB2312"/>
          <w:color w:val="auto"/>
          <w:sz w:val="32"/>
          <w:szCs w:val="32"/>
        </w:rPr>
        <w:t>入园率80.6%，有效期内的登记产品760个。现有农药经营许可证14103</w:t>
      </w:r>
      <w:r>
        <w:rPr>
          <w:rFonts w:hint="eastAsia" w:ascii="方正仿宋_GB2312" w:hAnsi="方正仿宋_GB2312" w:eastAsia="方正仿宋_GB2312" w:cs="方正仿宋_GB2312"/>
          <w:color w:val="auto"/>
          <w:sz w:val="32"/>
          <w:szCs w:val="32"/>
          <w:lang w:val="en-US" w:eastAsia="zh-CN"/>
        </w:rPr>
        <w:t>张</w:t>
      </w:r>
      <w:r>
        <w:rPr>
          <w:rFonts w:hint="eastAsia" w:ascii="方正仿宋_GB2312" w:hAnsi="方正仿宋_GB2312" w:eastAsia="方正仿宋_GB2312" w:cs="方正仿宋_GB2312"/>
          <w:color w:val="auto"/>
          <w:sz w:val="32"/>
          <w:szCs w:val="32"/>
        </w:rPr>
        <w:t>，其中限用经营许可证832</w:t>
      </w:r>
      <w:r>
        <w:rPr>
          <w:rFonts w:hint="eastAsia" w:ascii="方正仿宋_GB2312" w:hAnsi="方正仿宋_GB2312" w:eastAsia="方正仿宋_GB2312" w:cs="方正仿宋_GB2312"/>
          <w:color w:val="auto"/>
          <w:sz w:val="32"/>
          <w:szCs w:val="32"/>
          <w:lang w:val="en-US" w:eastAsia="zh-CN"/>
        </w:rPr>
        <w:t>个，较2023年减少69个</w:t>
      </w:r>
      <w:r>
        <w:rPr>
          <w:rFonts w:hint="eastAsia" w:ascii="方正仿宋_GB2312" w:hAnsi="方正仿宋_GB2312" w:eastAsia="方正仿宋_GB2312" w:cs="方正仿宋_GB2312"/>
          <w:color w:val="auto"/>
          <w:sz w:val="32"/>
          <w:szCs w:val="32"/>
        </w:rPr>
        <w:t>。大力开展农药标准化门店示范创建，</w:t>
      </w:r>
      <w:r>
        <w:rPr>
          <w:rFonts w:hint="eastAsia" w:ascii="方正仿宋_GB2312" w:hAnsi="方正仿宋_GB2312" w:eastAsia="方正仿宋_GB2312" w:cs="方正仿宋_GB2312"/>
          <w:color w:val="auto"/>
          <w:sz w:val="32"/>
          <w:szCs w:val="32"/>
          <w:lang w:val="en-US" w:eastAsia="zh-CN"/>
        </w:rPr>
        <w:t>推行</w:t>
      </w:r>
      <w:r>
        <w:rPr>
          <w:rFonts w:hint="eastAsia" w:ascii="方正仿宋_GB2312" w:hAnsi="方正仿宋_GB2312" w:eastAsia="方正仿宋_GB2312" w:cs="方正仿宋_GB2312"/>
          <w:color w:val="auto"/>
          <w:sz w:val="32"/>
          <w:szCs w:val="32"/>
        </w:rPr>
        <w:t>农药经营门店标准化管理和开方卖药服务</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rPr>
        <w:t>全省已创建农药标准化经营服务门店680个。</w:t>
      </w:r>
      <w:r>
        <w:rPr>
          <w:rFonts w:hint="eastAsia" w:ascii="方正仿宋_GB2312" w:hAnsi="方正仿宋_GB2312" w:eastAsia="方正仿宋_GB2312" w:cs="方正仿宋_GB2312"/>
          <w:b/>
          <w:bCs/>
          <w:color w:val="auto"/>
          <w:sz w:val="32"/>
          <w:lang w:val="en-US" w:eastAsia="zh-CN"/>
        </w:rPr>
        <w:t>二是</w:t>
      </w:r>
      <w:r>
        <w:rPr>
          <w:rFonts w:hint="eastAsia" w:ascii="方正仿宋_GB2312" w:hAnsi="方正仿宋_GB2312" w:eastAsia="方正仿宋_GB2312" w:cs="方正仿宋_GB2312"/>
          <w:b/>
          <w:bCs/>
          <w:color w:val="auto"/>
          <w:sz w:val="32"/>
          <w:lang w:eastAsia="zh-CN"/>
        </w:rPr>
        <w:t>强监管</w:t>
      </w:r>
      <w:r>
        <w:rPr>
          <w:rFonts w:hint="eastAsia" w:ascii="方正仿宋_GB2312" w:hAnsi="方正仿宋_GB2312" w:eastAsia="方正仿宋_GB2312" w:cs="方正仿宋_GB2312"/>
          <w:b/>
          <w:bCs/>
          <w:color w:val="auto"/>
          <w:sz w:val="32"/>
          <w:lang w:val="en-US" w:eastAsia="zh-CN"/>
        </w:rPr>
        <w:t>促</w:t>
      </w:r>
      <w:r>
        <w:rPr>
          <w:rFonts w:hint="eastAsia" w:ascii="方正仿宋_GB2312" w:hAnsi="方正仿宋_GB2312" w:eastAsia="方正仿宋_GB2312" w:cs="方正仿宋_GB2312"/>
          <w:b/>
          <w:bCs/>
          <w:color w:val="auto"/>
          <w:sz w:val="32"/>
          <w:lang w:eastAsia="zh-CN"/>
        </w:rPr>
        <w:t>市场</w:t>
      </w:r>
      <w:r>
        <w:rPr>
          <w:rFonts w:hint="eastAsia" w:ascii="方正仿宋_GB2312" w:hAnsi="方正仿宋_GB2312" w:eastAsia="方正仿宋_GB2312" w:cs="方正仿宋_GB2312"/>
          <w:b/>
          <w:bCs/>
          <w:color w:val="auto"/>
          <w:sz w:val="32"/>
          <w:lang w:val="en-US" w:eastAsia="zh-CN"/>
        </w:rPr>
        <w:t>不断</w:t>
      </w:r>
      <w:r>
        <w:rPr>
          <w:rFonts w:hint="eastAsia" w:ascii="方正仿宋_GB2312" w:hAnsi="方正仿宋_GB2312" w:eastAsia="方正仿宋_GB2312" w:cs="方正仿宋_GB2312"/>
          <w:b/>
          <w:bCs/>
          <w:color w:val="auto"/>
          <w:sz w:val="32"/>
          <w:lang w:eastAsia="zh-CN"/>
        </w:rPr>
        <w:t>规范。</w:t>
      </w:r>
      <w:r>
        <w:rPr>
          <w:rFonts w:hint="eastAsia" w:ascii="方正仿宋_GB2312" w:hAnsi="方正仿宋_GB2312" w:eastAsia="方正仿宋_GB2312" w:cs="方正仿宋_GB2312"/>
          <w:color w:val="auto"/>
          <w:sz w:val="32"/>
          <w:szCs w:val="32"/>
        </w:rPr>
        <w:t>按照“双随机</w:t>
      </w:r>
      <w:r>
        <w:rPr>
          <w:rFonts w:hint="eastAsia" w:ascii="方正仿宋_GB2312" w:hAnsi="方正仿宋_GB2312" w:eastAsia="方正仿宋_GB2312" w:cs="方正仿宋_GB2312"/>
          <w:color w:val="auto"/>
          <w:sz w:val="32"/>
          <w:szCs w:val="32"/>
          <w:lang w:val="en-US" w:eastAsia="zh-CN"/>
        </w:rPr>
        <w:t xml:space="preserve"> </w:t>
      </w:r>
      <w:r>
        <w:rPr>
          <w:rFonts w:hint="eastAsia" w:ascii="方正仿宋_GB2312" w:hAnsi="方正仿宋_GB2312" w:eastAsia="方正仿宋_GB2312" w:cs="方正仿宋_GB2312"/>
          <w:color w:val="auto"/>
          <w:sz w:val="32"/>
          <w:szCs w:val="32"/>
        </w:rPr>
        <w:t>一公开”要求，2024年完成部抽样品200批次，合格率96.5%，完成省抽样品525批次，合格率97.3%。通过监督抽查，农药市场秩序逐步规范，产品质量相对稳定。加强对农药生产、经营和登记试验单位的监督检查</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lang w:val="en-US" w:eastAsia="zh-CN"/>
        </w:rPr>
        <w:t>联合厅法规处、</w:t>
      </w:r>
      <w:r>
        <w:rPr>
          <w:rFonts w:hint="eastAsia" w:ascii="方正仿宋_GB2312" w:hAnsi="方正仿宋_GB2312" w:eastAsia="方正仿宋_GB2312" w:cs="方正仿宋_GB2312"/>
          <w:color w:val="auto"/>
          <w:sz w:val="32"/>
          <w:szCs w:val="32"/>
        </w:rPr>
        <w:t>各级农业农村部门共检查农药生产企业84家次、农药经营单位18557家次、农药登记试验单位11家次。加大普法宣传力度，发放宣传材料</w:t>
      </w:r>
      <w:r>
        <w:rPr>
          <w:rFonts w:hint="eastAsia" w:ascii="方正仿宋_GB2312" w:hAnsi="方正仿宋_GB2312" w:eastAsia="方正仿宋_GB2312" w:cs="方正仿宋_GB2312"/>
          <w:color w:val="auto"/>
          <w:sz w:val="32"/>
          <w:szCs w:val="32"/>
          <w:lang w:val="en-US" w:eastAsia="zh-CN"/>
        </w:rPr>
        <w:t>26万</w:t>
      </w:r>
      <w:r>
        <w:rPr>
          <w:rFonts w:hint="eastAsia" w:ascii="方正仿宋_GB2312" w:hAnsi="方正仿宋_GB2312" w:eastAsia="方正仿宋_GB2312" w:cs="方正仿宋_GB2312"/>
          <w:color w:val="auto"/>
          <w:sz w:val="32"/>
          <w:szCs w:val="32"/>
        </w:rPr>
        <w:t>份</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rPr>
        <w:t>开展农药监管、农药使用等相关培训477场次，培训对象2</w:t>
      </w:r>
      <w:r>
        <w:rPr>
          <w:rFonts w:hint="eastAsia" w:ascii="方正仿宋_GB2312" w:hAnsi="方正仿宋_GB2312" w:eastAsia="方正仿宋_GB2312" w:cs="方正仿宋_GB2312"/>
          <w:color w:val="auto"/>
          <w:sz w:val="32"/>
          <w:szCs w:val="32"/>
          <w:lang w:val="en-US" w:eastAsia="zh-CN"/>
        </w:rPr>
        <w:t>.</w:t>
      </w:r>
      <w:r>
        <w:rPr>
          <w:rFonts w:hint="eastAsia" w:ascii="方正仿宋_GB2312" w:hAnsi="方正仿宋_GB2312" w:eastAsia="方正仿宋_GB2312" w:cs="方正仿宋_GB2312"/>
          <w:color w:val="auto"/>
          <w:sz w:val="32"/>
          <w:szCs w:val="32"/>
        </w:rPr>
        <w:t>6</w:t>
      </w:r>
      <w:r>
        <w:rPr>
          <w:rFonts w:hint="eastAsia" w:ascii="方正仿宋_GB2312" w:hAnsi="方正仿宋_GB2312" w:eastAsia="方正仿宋_GB2312" w:cs="方正仿宋_GB2312"/>
          <w:color w:val="auto"/>
          <w:sz w:val="32"/>
          <w:szCs w:val="32"/>
          <w:lang w:val="en-US" w:eastAsia="zh-CN"/>
        </w:rPr>
        <w:t>万</w:t>
      </w:r>
      <w:r>
        <w:rPr>
          <w:rFonts w:hint="eastAsia" w:ascii="方正仿宋_GB2312" w:hAnsi="方正仿宋_GB2312" w:eastAsia="方正仿宋_GB2312" w:cs="方正仿宋_GB2312"/>
          <w:color w:val="auto"/>
          <w:sz w:val="32"/>
          <w:szCs w:val="32"/>
        </w:rPr>
        <w:t>人次。</w:t>
      </w:r>
      <w:r>
        <w:rPr>
          <w:rFonts w:hint="eastAsia" w:ascii="方正仿宋_GB2312" w:hAnsi="方正仿宋_GB2312" w:eastAsia="方正仿宋_GB2312" w:cs="方正仿宋_GB2312"/>
          <w:bCs/>
          <w:color w:val="auto"/>
          <w:sz w:val="32"/>
          <w:szCs w:val="32"/>
        </w:rPr>
        <w:t>推进农药监管信息化建设，积极与部所平台对接，实现农药登记试验、生产、经营、使用的全程追溯监管。</w:t>
      </w:r>
      <w:r>
        <w:rPr>
          <w:rFonts w:hint="eastAsia" w:ascii="方正仿宋_GB2312" w:hAnsi="方正仿宋_GB2312" w:eastAsia="方正仿宋_GB2312" w:cs="方正仿宋_GB2312"/>
          <w:b/>
          <w:color w:val="auto"/>
          <w:sz w:val="32"/>
          <w:u w:val="none"/>
        </w:rPr>
        <w:t>三</w:t>
      </w:r>
      <w:r>
        <w:rPr>
          <w:rFonts w:hint="eastAsia" w:ascii="方正仿宋_GB2312" w:hAnsi="方正仿宋_GB2312" w:eastAsia="方正仿宋_GB2312" w:cs="方正仿宋_GB2312"/>
          <w:b/>
          <w:bCs/>
          <w:color w:val="auto"/>
          <w:sz w:val="32"/>
          <w:lang w:val="en-US" w:eastAsia="zh-CN"/>
        </w:rPr>
        <w:t>是强质效促</w:t>
      </w:r>
      <w:r>
        <w:rPr>
          <w:rFonts w:hint="eastAsia" w:ascii="方正仿宋_GB2312" w:hAnsi="方正仿宋_GB2312" w:eastAsia="方正仿宋_GB2312" w:cs="方正仿宋_GB2312"/>
          <w:b/>
          <w:bCs/>
          <w:color w:val="auto"/>
          <w:sz w:val="32"/>
          <w:lang w:eastAsia="zh-CN"/>
        </w:rPr>
        <w:t>安全绿色</w:t>
      </w:r>
      <w:r>
        <w:rPr>
          <w:rFonts w:hint="eastAsia" w:ascii="方正仿宋_GB2312" w:hAnsi="方正仿宋_GB2312" w:eastAsia="方正仿宋_GB2312" w:cs="方正仿宋_GB2312"/>
          <w:b/>
          <w:bCs/>
          <w:color w:val="auto"/>
          <w:sz w:val="32"/>
          <w:lang w:val="en-US" w:eastAsia="zh-CN"/>
        </w:rPr>
        <w:t>发展</w:t>
      </w:r>
      <w:r>
        <w:rPr>
          <w:rFonts w:hint="eastAsia" w:ascii="方正仿宋_GB2312" w:hAnsi="方正仿宋_GB2312" w:eastAsia="方正仿宋_GB2312" w:cs="方正仿宋_GB2312"/>
          <w:b/>
          <w:bCs/>
          <w:color w:val="auto"/>
          <w:sz w:val="32"/>
          <w:lang w:eastAsia="zh-CN"/>
        </w:rPr>
        <w:t>。</w:t>
      </w:r>
      <w:r>
        <w:rPr>
          <w:rFonts w:hint="eastAsia" w:ascii="方正仿宋_GB2312" w:hAnsi="方正仿宋_GB2312" w:eastAsia="方正仿宋_GB2312" w:cs="方正仿宋_GB2312"/>
          <w:bCs/>
          <w:color w:val="auto"/>
          <w:sz w:val="32"/>
          <w:szCs w:val="32"/>
        </w:rPr>
        <w:t>在全省15个晚稻种植区组织开展了农药使用安全风险监测，</w:t>
      </w:r>
      <w:r>
        <w:rPr>
          <w:rFonts w:hint="eastAsia" w:ascii="方正仿宋_GB2312" w:hAnsi="方正仿宋_GB2312" w:eastAsia="方正仿宋_GB2312" w:cs="方正仿宋_GB2312"/>
          <w:bCs/>
          <w:color w:val="auto"/>
          <w:sz w:val="32"/>
          <w:szCs w:val="32"/>
          <w:lang w:val="en-US" w:eastAsia="zh-CN"/>
        </w:rPr>
        <w:t>有效</w:t>
      </w:r>
      <w:r>
        <w:rPr>
          <w:rFonts w:hint="eastAsia" w:ascii="方正仿宋_GB2312" w:hAnsi="方正仿宋_GB2312" w:eastAsia="方正仿宋_GB2312" w:cs="方正仿宋_GB2312"/>
          <w:bCs/>
          <w:color w:val="auto"/>
          <w:sz w:val="32"/>
          <w:szCs w:val="32"/>
        </w:rPr>
        <w:t>保障农产品质量安全和生态环境安全。</w:t>
      </w:r>
      <w:r>
        <w:rPr>
          <w:rFonts w:hint="eastAsia" w:ascii="方正仿宋_GB2312" w:hAnsi="方正仿宋_GB2312" w:eastAsia="方正仿宋_GB2312" w:cs="方正仿宋_GB2312"/>
          <w:color w:val="auto"/>
          <w:sz w:val="32"/>
          <w:szCs w:val="32"/>
        </w:rPr>
        <w:t>建立健全</w:t>
      </w:r>
      <w:r>
        <w:rPr>
          <w:rFonts w:hint="eastAsia" w:ascii="方正仿宋_GB2312" w:hAnsi="方正仿宋_GB2312" w:eastAsia="方正仿宋_GB2312" w:cs="方正仿宋_GB2312"/>
          <w:b w:val="0"/>
          <w:bCs w:val="0"/>
          <w:color w:val="auto"/>
          <w:sz w:val="32"/>
          <w:szCs w:val="32"/>
        </w:rPr>
        <w:t>农药包装废弃物回收处理体系，在双峰县开展农药包装废弃</w:t>
      </w:r>
      <w:r>
        <w:rPr>
          <w:rFonts w:hint="eastAsia" w:ascii="方正仿宋_GB2312" w:hAnsi="方正仿宋_GB2312" w:eastAsia="方正仿宋_GB2312" w:cs="方正仿宋_GB2312"/>
          <w:color w:val="auto"/>
          <w:sz w:val="32"/>
          <w:szCs w:val="32"/>
        </w:rPr>
        <w:t>物回收处理可追溯管理试点，</w:t>
      </w:r>
      <w:r>
        <w:rPr>
          <w:rFonts w:hint="eastAsia" w:ascii="方正仿宋_GB2312" w:hAnsi="方正仿宋_GB2312" w:eastAsia="方正仿宋_GB2312" w:cs="方正仿宋_GB2312"/>
          <w:color w:val="auto"/>
          <w:sz w:val="32"/>
          <w:szCs w:val="32"/>
          <w:lang w:val="en-US" w:eastAsia="zh-CN"/>
        </w:rPr>
        <w:t>达到了预期效果</w:t>
      </w:r>
      <w:r>
        <w:rPr>
          <w:rFonts w:hint="eastAsia" w:ascii="方正仿宋_GB2312" w:hAnsi="方正仿宋_GB2312" w:eastAsia="方正仿宋_GB2312" w:cs="方正仿宋_GB2312"/>
          <w:color w:val="auto"/>
          <w:sz w:val="32"/>
          <w:szCs w:val="32"/>
        </w:rPr>
        <w:t>。全省建设回收站点27</w:t>
      </w:r>
      <w:r>
        <w:rPr>
          <w:rFonts w:hint="eastAsia" w:ascii="方正仿宋_GB2312" w:hAnsi="方正仿宋_GB2312" w:eastAsia="方正仿宋_GB2312" w:cs="方正仿宋_GB2312"/>
          <w:color w:val="auto"/>
          <w:sz w:val="32"/>
          <w:szCs w:val="32"/>
          <w:lang w:val="en-US" w:eastAsia="zh-CN"/>
        </w:rPr>
        <w:t>411</w:t>
      </w:r>
      <w:r>
        <w:rPr>
          <w:rFonts w:hint="eastAsia" w:ascii="方正仿宋_GB2312" w:hAnsi="方正仿宋_GB2312" w:eastAsia="方正仿宋_GB2312" w:cs="方正仿宋_GB2312"/>
          <w:color w:val="auto"/>
          <w:sz w:val="32"/>
          <w:szCs w:val="32"/>
        </w:rPr>
        <w:t>个、归集贮存中心（站）</w:t>
      </w:r>
      <w:r>
        <w:rPr>
          <w:rFonts w:hint="eastAsia" w:ascii="方正仿宋_GB2312" w:hAnsi="方正仿宋_GB2312" w:eastAsia="方正仿宋_GB2312" w:cs="方正仿宋_GB2312"/>
          <w:color w:val="auto"/>
          <w:sz w:val="32"/>
          <w:szCs w:val="32"/>
          <w:lang w:val="en-US" w:eastAsia="zh-CN"/>
        </w:rPr>
        <w:t>366</w:t>
      </w:r>
      <w:r>
        <w:rPr>
          <w:rFonts w:hint="eastAsia" w:ascii="方正仿宋_GB2312" w:hAnsi="方正仿宋_GB2312" w:eastAsia="方正仿宋_GB2312" w:cs="方正仿宋_GB2312"/>
          <w:color w:val="auto"/>
          <w:sz w:val="32"/>
          <w:szCs w:val="32"/>
        </w:rPr>
        <w:t>个，</w:t>
      </w:r>
      <w:r>
        <w:rPr>
          <w:rFonts w:hint="eastAsia" w:ascii="方正仿宋_GB2312" w:hAnsi="方正仿宋_GB2312" w:eastAsia="方正仿宋_GB2312" w:cs="方正仿宋_GB2312"/>
          <w:color w:val="auto"/>
          <w:sz w:val="32"/>
          <w:szCs w:val="32"/>
          <w:lang w:val="en-US" w:eastAsia="zh-CN"/>
        </w:rPr>
        <w:t>截止11月底</w:t>
      </w:r>
      <w:r>
        <w:rPr>
          <w:rFonts w:hint="eastAsia" w:ascii="方正仿宋_GB2312" w:hAnsi="方正仿宋_GB2312" w:eastAsia="方正仿宋_GB2312" w:cs="方正仿宋_GB2312"/>
          <w:color w:val="auto"/>
          <w:sz w:val="32"/>
          <w:szCs w:val="32"/>
        </w:rPr>
        <w:t>回收农药包装废弃物2</w:t>
      </w:r>
      <w:r>
        <w:rPr>
          <w:rFonts w:hint="eastAsia" w:ascii="方正仿宋_GB2312" w:hAnsi="方正仿宋_GB2312" w:eastAsia="方正仿宋_GB2312" w:cs="方正仿宋_GB2312"/>
          <w:color w:val="auto"/>
          <w:sz w:val="32"/>
          <w:szCs w:val="32"/>
          <w:lang w:val="en-US" w:eastAsia="zh-CN"/>
        </w:rPr>
        <w:t>221</w:t>
      </w:r>
      <w:r>
        <w:rPr>
          <w:rFonts w:hint="eastAsia" w:ascii="方正仿宋_GB2312" w:hAnsi="方正仿宋_GB2312" w:eastAsia="方正仿宋_GB2312" w:cs="方正仿宋_GB2312"/>
          <w:color w:val="auto"/>
          <w:sz w:val="32"/>
          <w:szCs w:val="32"/>
        </w:rPr>
        <w:t>吨，全年回收率超过7</w:t>
      </w:r>
      <w:r>
        <w:rPr>
          <w:rFonts w:hint="eastAsia" w:ascii="方正仿宋_GB2312" w:hAnsi="方正仿宋_GB2312" w:eastAsia="方正仿宋_GB2312" w:cs="方正仿宋_GB2312"/>
          <w:color w:val="auto"/>
          <w:sz w:val="32"/>
          <w:szCs w:val="32"/>
          <w:lang w:val="en-US" w:eastAsia="zh-CN"/>
        </w:rPr>
        <w:t>5</w:t>
      </w:r>
      <w:r>
        <w:rPr>
          <w:rFonts w:hint="eastAsia" w:ascii="方正仿宋_GB2312" w:hAnsi="方正仿宋_GB2312" w:eastAsia="方正仿宋_GB2312" w:cs="方正仿宋_GB2312"/>
          <w:color w:val="auto"/>
          <w:sz w:val="32"/>
          <w:szCs w:val="32"/>
        </w:rPr>
        <w:t>%。</w:t>
      </w:r>
      <w:r>
        <w:rPr>
          <w:rFonts w:hint="eastAsia" w:ascii="方正仿宋_GB2312" w:hAnsi="方正仿宋_GB2312" w:eastAsia="方正仿宋_GB2312" w:cs="方正仿宋_GB2312"/>
          <w:b w:val="0"/>
          <w:bCs/>
          <w:color w:val="auto"/>
          <w:sz w:val="32"/>
          <w:u w:val="none"/>
          <w:lang w:val="en-US" w:eastAsia="zh-CN"/>
        </w:rPr>
        <w:t>层层压实责任，加强行业安全监管，</w:t>
      </w:r>
      <w:r>
        <w:rPr>
          <w:rFonts w:hint="eastAsia" w:ascii="方正仿宋_GB2312" w:hAnsi="方正仿宋_GB2312" w:eastAsia="方正仿宋_GB2312" w:cs="方正仿宋_GB2312"/>
          <w:b w:val="0"/>
          <w:bCs/>
          <w:color w:val="auto"/>
          <w:sz w:val="32"/>
          <w:szCs w:val="28"/>
          <w:u w:val="none"/>
        </w:rPr>
        <w:t>6月，在常德津市组织开展</w:t>
      </w:r>
      <w:r>
        <w:rPr>
          <w:rFonts w:hint="eastAsia" w:ascii="方正仿宋_GB2312" w:hAnsi="方正仿宋_GB2312" w:eastAsia="方正仿宋_GB2312" w:cs="方正仿宋_GB2312"/>
          <w:color w:val="auto"/>
          <w:sz w:val="32"/>
          <w:u w:val="none"/>
          <w:shd w:val="clear" w:color="auto" w:fill="FFFFFF"/>
        </w:rPr>
        <w:t>全省农药行业法治和安全生产培训暨消防应急演练活动，有效提升了农药从业人员安全生产意识和技能。</w:t>
      </w:r>
    </w:p>
    <w:p>
      <w:pPr>
        <w:adjustRightInd w:val="0"/>
        <w:snapToGrid w:val="0"/>
        <w:spacing w:line="360" w:lineRule="auto"/>
        <w:ind w:firstLine="640" w:firstLineChars="200"/>
        <w:rPr>
          <w:rFonts w:ascii="Times New Roman" w:hAnsi="Times New Roman" w:eastAsia="仿宋" w:cs="Times New Roman"/>
          <w:sz w:val="32"/>
          <w:szCs w:val="32"/>
        </w:rPr>
      </w:pPr>
      <w:r>
        <w:rPr>
          <w:rFonts w:hint="eastAsia" w:ascii="Times New Roman" w:hAnsi="Times New Roman" w:eastAsia="仿宋"/>
          <w:sz w:val="32"/>
          <w:szCs w:val="28"/>
          <w:lang w:val="en-US" w:eastAsia="zh-CN"/>
        </w:rPr>
        <w:t>4.社会效应。充分利用现有条件，突出抓“三个规范化”：即检测场所规范化、检测流程规范化、报告记录规范化。同时结合检测任务，重点抓“三个能力”提升：即技术上手能力、时效保证能力、问题解决能力。检测服务农药监管、农产品质量安全监管的技术支撑作用不断凸显，全年完成农产品例行监测6600批次，重点农产品监督抽查1000批次</w:t>
      </w:r>
      <w:r>
        <w:rPr>
          <w:rFonts w:hint="eastAsia" w:ascii="Times New Roman" w:hAnsi="Times New Roman" w:eastAsia="仿宋" w:cs="Times New Roman"/>
          <w:sz w:val="32"/>
          <w:szCs w:val="32"/>
        </w:rPr>
        <w:t>，稻谷重金属专项监测1600批次，耕地质量调查1820批次，3种农药在蔬菜水果中残留风险评估等等任务，</w:t>
      </w:r>
      <w:r>
        <w:rPr>
          <w:rFonts w:ascii="Times New Roman" w:hAnsi="Times New Roman" w:eastAsia="仿宋" w:cs="Times New Roman"/>
          <w:sz w:val="32"/>
          <w:szCs w:val="32"/>
        </w:rPr>
        <w:t>为全省粮食安全和农产品质量安全提供了技术支撑和数据保障。</w:t>
      </w:r>
    </w:p>
    <w:p>
      <w:pPr>
        <w:adjustRightInd w:val="0"/>
        <w:snapToGrid w:val="0"/>
        <w:spacing w:line="360" w:lineRule="auto"/>
        <w:ind w:firstLine="640" w:firstLineChars="200"/>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5.可持续发展能力</w:t>
      </w:r>
    </w:p>
    <w:p>
      <w:pPr>
        <w:adjustRightInd w:val="0"/>
        <w:snapToGrid w:val="0"/>
        <w:spacing w:line="360" w:lineRule="auto"/>
        <w:ind w:firstLine="640" w:firstLineChars="200"/>
        <w:rPr>
          <w:rFonts w:hint="eastAsia" w:ascii="方正仿宋_GB2312" w:hAnsi="方正仿宋_GB2312" w:eastAsia="方正仿宋_GB2312" w:cs="方正仿宋_GB2312"/>
          <w:color w:val="auto"/>
          <w:sz w:val="32"/>
          <w:szCs w:val="32"/>
          <w:u w:val="none"/>
          <w:lang w:val="en-US" w:eastAsia="zh-CN"/>
        </w:rPr>
      </w:pPr>
      <w:r>
        <w:rPr>
          <w:rFonts w:hint="eastAsia" w:ascii="Times New Roman" w:hAnsi="Times New Roman" w:eastAsia="仿宋" w:cs="Times New Roman"/>
          <w:sz w:val="32"/>
          <w:szCs w:val="32"/>
          <w:lang w:val="en-US" w:eastAsia="zh-CN"/>
        </w:rPr>
        <w:t>提升能力。顺利通过部级和省级检测机构复评审，通过农业农村部、中国绿色食品发展中</w:t>
      </w:r>
      <w:r>
        <w:rPr>
          <w:rFonts w:hint="eastAsia" w:ascii="方正仿宋_GB2312" w:hAnsi="方正仿宋_GB2312" w:eastAsia="方正仿宋_GB2312" w:cs="方正仿宋_GB2312"/>
          <w:color w:val="auto"/>
          <w:sz w:val="32"/>
          <w:szCs w:val="32"/>
          <w:u w:val="none"/>
          <w:lang w:val="en-US" w:eastAsia="zh-CN"/>
        </w:rPr>
        <w:t>心、省市监局农药残留和重金属能力验证考核，通过厅质监处监测质量评估，考核优秀。</w:t>
      </w:r>
    </w:p>
    <w:p>
      <w:pPr>
        <w:adjustRightInd w:val="0"/>
        <w:snapToGrid w:val="0"/>
        <w:spacing w:line="360" w:lineRule="auto"/>
        <w:ind w:firstLine="640" w:firstLineChars="200"/>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6.</w:t>
      </w:r>
      <w:bookmarkStart w:id="8" w:name="OLE_LINK25"/>
      <w:r>
        <w:rPr>
          <w:rFonts w:hint="eastAsia" w:ascii="Times New Roman" w:hAnsi="Times New Roman" w:eastAsia="仿宋" w:cs="Times New Roman"/>
          <w:sz w:val="32"/>
          <w:szCs w:val="32"/>
          <w:lang w:val="en-US" w:eastAsia="zh-CN"/>
        </w:rPr>
        <w:t>服务对象满意度</w:t>
      </w:r>
      <w:bookmarkEnd w:id="8"/>
    </w:p>
    <w:p>
      <w:pPr>
        <w:adjustRightInd w:val="0"/>
        <w:snapToGrid w:val="0"/>
        <w:spacing w:line="360" w:lineRule="auto"/>
        <w:ind w:firstLine="640" w:firstLineChars="200"/>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服务对象满意度95%。</w:t>
      </w:r>
    </w:p>
    <w:p>
      <w:pPr>
        <w:adjustRightInd w:val="0"/>
        <w:snapToGrid w:val="0"/>
        <w:spacing w:line="360" w:lineRule="auto"/>
        <w:ind w:firstLine="640" w:firstLineChars="200"/>
        <w:rPr>
          <w:rFonts w:hint="eastAsia" w:ascii="黑体" w:hAnsi="黑体" w:eastAsia="黑体"/>
          <w:sz w:val="32"/>
          <w:szCs w:val="28"/>
        </w:rPr>
      </w:pPr>
      <w:r>
        <w:rPr>
          <w:rFonts w:hint="eastAsia" w:ascii="黑体" w:hAnsi="黑体" w:eastAsia="黑体"/>
          <w:sz w:val="32"/>
          <w:szCs w:val="28"/>
          <w:lang w:val="en-US" w:eastAsia="zh-CN"/>
        </w:rPr>
        <w:t>七</w:t>
      </w:r>
      <w:r>
        <w:rPr>
          <w:rFonts w:hint="eastAsia" w:ascii="黑体" w:hAnsi="黑体" w:eastAsia="黑体"/>
          <w:sz w:val="32"/>
          <w:szCs w:val="28"/>
        </w:rPr>
        <w:t>、存在的问题及原因分析</w:t>
      </w:r>
    </w:p>
    <w:p>
      <w:pPr>
        <w:adjustRightInd w:val="0"/>
        <w:snapToGrid w:val="0"/>
        <w:spacing w:line="360" w:lineRule="auto"/>
        <w:ind w:firstLine="640" w:firstLineChars="200"/>
        <w:rPr>
          <w:rFonts w:ascii="Times New Roman" w:hAnsi="Times New Roman" w:eastAsia="仿宋"/>
          <w:sz w:val="32"/>
          <w:szCs w:val="28"/>
        </w:rPr>
      </w:pPr>
      <w:r>
        <w:rPr>
          <w:rFonts w:hint="eastAsia" w:ascii="Times New Roman" w:hAnsi="Times New Roman" w:eastAsia="仿宋"/>
          <w:sz w:val="32"/>
          <w:szCs w:val="28"/>
        </w:rPr>
        <w:t>一是精准预算难度大。虽然我们根据专业结合业务不断细化预算，但在执行过程中或多或少有小的偏差，主要原因还是具体工作在细节上存在无法预见性。</w:t>
      </w:r>
    </w:p>
    <w:p>
      <w:pPr>
        <w:adjustRightInd w:val="0"/>
        <w:snapToGrid w:val="0"/>
        <w:spacing w:line="360" w:lineRule="auto"/>
        <w:ind w:firstLine="640" w:firstLineChars="200"/>
        <w:rPr>
          <w:rFonts w:ascii="Times New Roman" w:hAnsi="Times New Roman" w:eastAsia="仿宋"/>
          <w:sz w:val="32"/>
          <w:szCs w:val="28"/>
        </w:rPr>
      </w:pPr>
      <w:r>
        <w:rPr>
          <w:rFonts w:hint="eastAsia" w:ascii="Times New Roman" w:hAnsi="Times New Roman" w:eastAsia="仿宋"/>
          <w:sz w:val="32"/>
          <w:szCs w:val="28"/>
        </w:rPr>
        <w:t>二是少数绩效目标难以量化。我们承担的职能职责和很多工作任务都是公益性的、服务性的，所以在经济效益、生态效益等方面的绩效目标难以量化。</w:t>
      </w:r>
    </w:p>
    <w:p>
      <w:pPr>
        <w:keepNext w:val="0"/>
        <w:keepLines w:val="0"/>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黑体" w:hAnsi="黑体" w:eastAsia="黑体"/>
          <w:sz w:val="32"/>
          <w:szCs w:val="28"/>
          <w:lang w:val="en-US" w:eastAsia="zh-CN"/>
        </w:rPr>
      </w:pPr>
      <w:r>
        <w:rPr>
          <w:rFonts w:hint="eastAsia" w:ascii="黑体" w:hAnsi="黑体" w:eastAsia="黑体"/>
          <w:sz w:val="32"/>
          <w:szCs w:val="28"/>
          <w:lang w:val="en-US" w:eastAsia="zh-CN"/>
        </w:rPr>
        <w:t>八、下一步改进措施</w:t>
      </w:r>
    </w:p>
    <w:p>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提高预算编制水平，合理地、精准地、科学的编制预算。为加快项目预算执行，单位将加强项目实施的组织管理，做好项目前期各项准备工作，提高项目前期工作质量，明确计划、项目和财务部门的职责，建立健全责任制度和评价机制，加强沟通和协调，按照精细化管理的要求，落实到项目实施的各环节、全过程。切实协调解决项目实施过程中的难点问题，及时掌握预算执行动态，分析、跟踪预算执行情况。</w:t>
      </w:r>
    </w:p>
    <w:p>
      <w:pPr>
        <w:keepNext w:val="0"/>
        <w:keepLines w:val="0"/>
        <w:pageBreakBefore w:val="0"/>
        <w:kinsoku/>
        <w:wordWrap/>
        <w:overflowPunct/>
        <w:topLinePunct w:val="0"/>
        <w:autoSpaceDE/>
        <w:autoSpaceDN/>
        <w:bidi w:val="0"/>
        <w:adjustRightInd w:val="0"/>
        <w:snapToGrid w:val="0"/>
        <w:spacing w:line="360" w:lineRule="auto"/>
        <w:ind w:firstLine="640" w:firstLineChars="200"/>
        <w:textAlignment w:val="auto"/>
        <w:rPr>
          <w:rFonts w:hint="eastAsia" w:ascii="黑体" w:hAnsi="黑体" w:eastAsia="黑体"/>
          <w:sz w:val="32"/>
          <w:szCs w:val="28"/>
          <w:lang w:val="en-US" w:eastAsia="zh-CN"/>
        </w:rPr>
      </w:pPr>
      <w:r>
        <w:rPr>
          <w:rFonts w:hint="eastAsia" w:ascii="黑体" w:hAnsi="黑体" w:eastAsia="黑体"/>
          <w:sz w:val="32"/>
          <w:szCs w:val="28"/>
          <w:lang w:val="en-US" w:eastAsia="zh-CN"/>
        </w:rPr>
        <w:t>九、绩效自评结果拟应用和公开情况</w:t>
      </w:r>
    </w:p>
    <w:p>
      <w:pPr>
        <w:keepNext w:val="0"/>
        <w:keepLines w:val="0"/>
        <w:pageBreakBefore w:val="0"/>
        <w:widowControl/>
        <w:kinsoku/>
        <w:wordWrap/>
        <w:overflowPunct/>
        <w:topLinePunct w:val="0"/>
        <w:autoSpaceDE/>
        <w:autoSpaceDN/>
        <w:bidi w:val="0"/>
        <w:spacing w:line="360" w:lineRule="auto"/>
        <w:ind w:firstLine="645"/>
        <w:jc w:val="left"/>
        <w:textAlignment w:val="auto"/>
        <w:rPr>
          <w:rFonts w:hint="eastAsia" w:eastAsia="仿宋_GB2312"/>
          <w:color w:val="auto"/>
          <w:sz w:val="32"/>
          <w:szCs w:val="32"/>
          <w:lang w:val="en-US" w:eastAsia="zh-CN"/>
        </w:rPr>
      </w:pPr>
      <w:bookmarkStart w:id="9" w:name="OLE_LINK23"/>
      <w:r>
        <w:rPr>
          <w:rFonts w:hint="eastAsia" w:eastAsia="仿宋_GB2312"/>
          <w:color w:val="auto"/>
          <w:sz w:val="32"/>
          <w:szCs w:val="32"/>
          <w:lang w:val="en-US" w:eastAsia="zh-CN"/>
        </w:rPr>
        <w:t>（一）反馈整改。我所加强预算管理意识，严格按照预算编制的相关制度和要求，结合年度收支计划，科学编制预算，遵循预算管理办法。对评价中发现的问题，及时进行督促整改。</w:t>
      </w:r>
    </w:p>
    <w:p>
      <w:pPr>
        <w:keepNext w:val="0"/>
        <w:keepLines w:val="0"/>
        <w:pageBreakBefore w:val="0"/>
        <w:widowControl/>
        <w:kinsoku/>
        <w:wordWrap/>
        <w:overflowPunct/>
        <w:topLinePunct w:val="0"/>
        <w:autoSpaceDE/>
        <w:autoSpaceDN/>
        <w:bidi w:val="0"/>
        <w:spacing w:line="360" w:lineRule="auto"/>
        <w:ind w:firstLine="645"/>
        <w:jc w:val="left"/>
        <w:textAlignment w:val="auto"/>
        <w:rPr>
          <w:rFonts w:ascii="Times New Roman" w:hAnsi="Times New Roman" w:eastAsia="黑体" w:cs="Times New Roman"/>
          <w:color w:val="auto"/>
          <w:sz w:val="32"/>
          <w:szCs w:val="32"/>
        </w:rPr>
      </w:pPr>
      <w:r>
        <w:rPr>
          <w:rFonts w:hint="eastAsia" w:eastAsia="仿宋_GB2312"/>
          <w:color w:val="auto"/>
          <w:sz w:val="32"/>
          <w:szCs w:val="32"/>
          <w:lang w:val="en-US" w:eastAsia="zh-CN"/>
        </w:rPr>
        <w:t>（二）公开结果。除涉密信息外，我所将按要求</w:t>
      </w:r>
      <w:r>
        <w:rPr>
          <w:rFonts w:hint="eastAsia"/>
          <w:color w:val="auto"/>
          <w:sz w:val="32"/>
          <w:szCs w:val="32"/>
          <w:lang w:val="en-US" w:eastAsia="zh-CN"/>
        </w:rPr>
        <w:t>在</w:t>
      </w:r>
      <w:r>
        <w:rPr>
          <w:rFonts w:hint="eastAsia" w:eastAsia="仿宋_GB2312"/>
          <w:color w:val="auto"/>
          <w:sz w:val="32"/>
          <w:szCs w:val="32"/>
          <w:lang w:val="en-US" w:eastAsia="zh-CN"/>
        </w:rPr>
        <w:t>门户网站全面公开2024年度部门支出绩效自评报告，接受社会监督。</w:t>
      </w:r>
    </w:p>
    <w:p>
      <w:pPr>
        <w:adjustRightInd w:val="0"/>
        <w:snapToGrid w:val="0"/>
        <w:spacing w:line="360" w:lineRule="auto"/>
        <w:ind w:firstLine="640" w:firstLineChars="200"/>
        <w:rPr>
          <w:rFonts w:hint="eastAsia" w:ascii="黑体" w:hAnsi="黑体" w:eastAsia="黑体"/>
          <w:sz w:val="32"/>
          <w:szCs w:val="28"/>
          <w:lang w:val="en-US" w:eastAsia="zh-CN"/>
        </w:rPr>
      </w:pPr>
      <w:r>
        <w:rPr>
          <w:rFonts w:hint="eastAsia" w:ascii="黑体" w:hAnsi="黑体" w:eastAsia="黑体"/>
          <w:sz w:val="32"/>
          <w:szCs w:val="28"/>
          <w:lang w:val="en-US" w:eastAsia="zh-CN"/>
        </w:rPr>
        <w:t>其他需要说明的情况</w:t>
      </w:r>
    </w:p>
    <w:p>
      <w:pPr>
        <w:adjustRightInd w:val="0"/>
        <w:snapToGrid w:val="0"/>
        <w:spacing w:line="360" w:lineRule="auto"/>
        <w:ind w:firstLine="640" w:firstLineChars="200"/>
        <w:rPr>
          <w:rFonts w:hint="default" w:ascii="Times New Roman" w:hAnsi="Times New Roman" w:eastAsia="仿宋"/>
          <w:sz w:val="32"/>
          <w:szCs w:val="28"/>
          <w:lang w:val="en-US" w:eastAsia="zh-CN"/>
        </w:rPr>
      </w:pPr>
      <w:r>
        <w:rPr>
          <w:rFonts w:hint="eastAsia" w:ascii="Times New Roman" w:hAnsi="Times New Roman" w:eastAsia="仿宋"/>
          <w:sz w:val="32"/>
          <w:szCs w:val="28"/>
          <w:lang w:val="en-US" w:eastAsia="zh-CN"/>
        </w:rPr>
        <w:t>无</w:t>
      </w:r>
    </w:p>
    <w:p>
      <w:pPr>
        <w:adjustRightInd w:val="0"/>
        <w:snapToGrid w:val="0"/>
        <w:spacing w:line="360" w:lineRule="auto"/>
        <w:ind w:firstLine="640" w:firstLineChars="200"/>
        <w:rPr>
          <w:rFonts w:hint="eastAsia" w:ascii="Times New Roman" w:hAnsi="Times New Roman" w:eastAsia="仿宋"/>
          <w:sz w:val="32"/>
          <w:szCs w:val="28"/>
        </w:rPr>
      </w:pPr>
    </w:p>
    <w:p>
      <w:pPr>
        <w:adjustRightInd w:val="0"/>
        <w:snapToGrid w:val="0"/>
        <w:spacing w:line="360" w:lineRule="auto"/>
        <w:ind w:firstLine="640" w:firstLineChars="200"/>
        <w:rPr>
          <w:rFonts w:hint="eastAsia" w:ascii="Times New Roman" w:hAnsi="Times New Roman" w:eastAsia="仿宋"/>
          <w:sz w:val="32"/>
          <w:szCs w:val="28"/>
        </w:rPr>
      </w:pPr>
      <w:r>
        <w:rPr>
          <w:rFonts w:hint="eastAsia" w:ascii="Times New Roman" w:hAnsi="Times New Roman" w:eastAsia="仿宋"/>
          <w:sz w:val="32"/>
          <w:szCs w:val="28"/>
        </w:rPr>
        <w:t>附件：</w:t>
      </w:r>
    </w:p>
    <w:p>
      <w:pPr>
        <w:adjustRightInd w:val="0"/>
        <w:snapToGrid w:val="0"/>
        <w:spacing w:line="360" w:lineRule="auto"/>
        <w:ind w:firstLine="640" w:firstLineChars="200"/>
        <w:rPr>
          <w:rFonts w:hint="eastAsia" w:ascii="Times New Roman" w:hAnsi="Times New Roman" w:eastAsia="仿宋"/>
          <w:sz w:val="32"/>
          <w:szCs w:val="28"/>
        </w:rPr>
      </w:pPr>
      <w:r>
        <w:rPr>
          <w:rFonts w:hint="eastAsia" w:ascii="Times New Roman" w:hAnsi="Times New Roman" w:eastAsia="仿宋"/>
          <w:sz w:val="32"/>
          <w:szCs w:val="28"/>
        </w:rPr>
        <w:t>1、部门整体支出绩效评价基础数据表</w:t>
      </w:r>
    </w:p>
    <w:p>
      <w:pPr>
        <w:adjustRightInd w:val="0"/>
        <w:snapToGrid w:val="0"/>
        <w:spacing w:line="360" w:lineRule="auto"/>
        <w:ind w:firstLine="640" w:firstLineChars="200"/>
        <w:rPr>
          <w:rFonts w:hint="eastAsia" w:ascii="Times New Roman" w:hAnsi="Times New Roman" w:eastAsia="仿宋"/>
          <w:sz w:val="32"/>
          <w:szCs w:val="28"/>
        </w:rPr>
      </w:pPr>
      <w:r>
        <w:rPr>
          <w:rFonts w:hint="eastAsia" w:ascii="Times New Roman" w:hAnsi="Times New Roman" w:eastAsia="仿宋"/>
          <w:sz w:val="32"/>
          <w:szCs w:val="28"/>
        </w:rPr>
        <w:t>2、部门整体支出绩效自评表</w:t>
      </w:r>
    </w:p>
    <w:p>
      <w:pPr>
        <w:adjustRightInd w:val="0"/>
        <w:snapToGrid w:val="0"/>
        <w:spacing w:line="360" w:lineRule="auto"/>
        <w:ind w:firstLine="640" w:firstLineChars="200"/>
        <w:rPr>
          <w:rFonts w:hint="eastAsia" w:ascii="Times New Roman" w:hAnsi="Times New Roman" w:eastAsia="仿宋"/>
          <w:sz w:val="32"/>
          <w:szCs w:val="28"/>
        </w:rPr>
      </w:pPr>
      <w:bookmarkStart w:id="10" w:name="OLE_LINK27"/>
      <w:r>
        <w:rPr>
          <w:rFonts w:hint="eastAsia" w:ascii="Times New Roman" w:hAnsi="Times New Roman" w:eastAsia="仿宋"/>
          <w:sz w:val="32"/>
          <w:szCs w:val="28"/>
        </w:rPr>
        <w:t>3、项目支出绩效自评表（</w:t>
      </w:r>
      <w:r>
        <w:rPr>
          <w:rFonts w:hint="eastAsia" w:ascii="Times New Roman" w:hAnsi="Times New Roman" w:eastAsia="仿宋"/>
          <w:sz w:val="32"/>
          <w:szCs w:val="28"/>
          <w:lang w:val="en-US" w:eastAsia="zh-CN"/>
        </w:rPr>
        <w:t>其他事业发展资金</w:t>
      </w:r>
      <w:r>
        <w:rPr>
          <w:rFonts w:hint="eastAsia" w:ascii="Times New Roman" w:hAnsi="Times New Roman" w:eastAsia="仿宋"/>
          <w:sz w:val="32"/>
          <w:szCs w:val="28"/>
        </w:rPr>
        <w:t>）</w:t>
      </w:r>
      <w:bookmarkEnd w:id="10"/>
    </w:p>
    <w:p>
      <w:pPr>
        <w:pStyle w:val="9"/>
        <w:ind w:firstLine="640" w:firstLineChars="200"/>
        <w:rPr>
          <w:rFonts w:hint="eastAsia" w:ascii="Times New Roman" w:hAnsi="Times New Roman" w:eastAsia="仿宋"/>
          <w:sz w:val="32"/>
          <w:szCs w:val="28"/>
        </w:rPr>
      </w:pPr>
      <w:r>
        <w:rPr>
          <w:rFonts w:hint="eastAsia" w:ascii="Times New Roman" w:hAnsi="Times New Roman" w:eastAsia="仿宋"/>
          <w:sz w:val="32"/>
          <w:szCs w:val="28"/>
          <w:lang w:val="en-US" w:eastAsia="zh-CN"/>
        </w:rPr>
        <w:t>4</w:t>
      </w:r>
      <w:r>
        <w:rPr>
          <w:rFonts w:hint="eastAsia" w:ascii="Times New Roman" w:hAnsi="Times New Roman" w:eastAsia="仿宋"/>
          <w:sz w:val="32"/>
          <w:szCs w:val="28"/>
        </w:rPr>
        <w:t>、项目支出绩效自评表（</w:t>
      </w:r>
      <w:r>
        <w:rPr>
          <w:rFonts w:hint="eastAsia" w:ascii="Times New Roman" w:hAnsi="Times New Roman" w:eastAsia="仿宋"/>
          <w:sz w:val="32"/>
          <w:szCs w:val="28"/>
          <w:lang w:val="en-US" w:eastAsia="zh-CN"/>
        </w:rPr>
        <w:t>现代农业发展专项</w:t>
      </w:r>
      <w:r>
        <w:rPr>
          <w:rFonts w:hint="eastAsia" w:ascii="Times New Roman" w:hAnsi="Times New Roman" w:eastAsia="仿宋"/>
          <w:sz w:val="32"/>
          <w:szCs w:val="28"/>
        </w:rPr>
        <w:t>）</w:t>
      </w:r>
    </w:p>
    <w:p>
      <w:pPr>
        <w:ind w:firstLine="640" w:firstLineChars="200"/>
        <w:rPr>
          <w:rFonts w:hint="eastAsia"/>
        </w:rPr>
      </w:pPr>
      <w:r>
        <w:rPr>
          <w:rFonts w:hint="eastAsia" w:ascii="Times New Roman" w:hAnsi="Times New Roman" w:eastAsia="仿宋"/>
          <w:sz w:val="32"/>
          <w:szCs w:val="28"/>
          <w:lang w:val="en-US" w:eastAsia="zh-CN"/>
        </w:rPr>
        <w:t>4</w:t>
      </w:r>
      <w:r>
        <w:rPr>
          <w:rFonts w:hint="eastAsia" w:ascii="Times New Roman" w:hAnsi="Times New Roman" w:eastAsia="仿宋"/>
          <w:sz w:val="32"/>
          <w:szCs w:val="28"/>
        </w:rPr>
        <w:t>、项目支出绩效自评表（</w:t>
      </w:r>
      <w:r>
        <w:rPr>
          <w:rFonts w:hint="eastAsia" w:ascii="Times New Roman" w:hAnsi="Times New Roman" w:eastAsia="仿宋"/>
          <w:sz w:val="32"/>
          <w:szCs w:val="28"/>
          <w:lang w:val="en-US" w:eastAsia="zh-CN"/>
        </w:rPr>
        <w:t>运行维护经费</w:t>
      </w:r>
      <w:r>
        <w:rPr>
          <w:rFonts w:hint="eastAsia" w:ascii="Times New Roman" w:hAnsi="Times New Roman" w:eastAsia="仿宋"/>
          <w:sz w:val="32"/>
          <w:szCs w:val="28"/>
        </w:rPr>
        <w:t>）</w:t>
      </w:r>
    </w:p>
    <w:bookmarkEnd w:id="9"/>
    <w:p>
      <w:pPr>
        <w:adjustRightInd w:val="0"/>
        <w:snapToGrid w:val="0"/>
        <w:spacing w:line="579" w:lineRule="atLeast"/>
        <w:outlineLvl w:val="1"/>
        <w:rPr>
          <w:rFonts w:ascii="黑体" w:hAnsi="黑体" w:eastAsia="黑体" w:cs="Times New Roman"/>
          <w:b/>
          <w:bCs/>
          <w:sz w:val="32"/>
          <w:szCs w:val="32"/>
        </w:rPr>
      </w:pPr>
    </w:p>
    <w:p>
      <w:pPr>
        <w:adjustRightInd w:val="0"/>
        <w:snapToGrid w:val="0"/>
        <w:spacing w:line="579" w:lineRule="atLeast"/>
        <w:outlineLvl w:val="1"/>
        <w:rPr>
          <w:rFonts w:ascii="黑体" w:hAnsi="黑体" w:eastAsia="黑体" w:cs="Times New Roman"/>
          <w:b/>
          <w:bCs/>
          <w:sz w:val="32"/>
          <w:szCs w:val="32"/>
        </w:rPr>
      </w:pPr>
    </w:p>
    <w:p>
      <w:pPr>
        <w:adjustRightInd w:val="0"/>
        <w:snapToGrid w:val="0"/>
        <w:spacing w:line="579" w:lineRule="atLeast"/>
        <w:outlineLvl w:val="1"/>
        <w:rPr>
          <w:rFonts w:ascii="黑体" w:hAnsi="黑体" w:eastAsia="黑体" w:cs="Times New Roman"/>
          <w:b/>
          <w:bCs/>
          <w:sz w:val="32"/>
          <w:szCs w:val="32"/>
        </w:rPr>
      </w:pPr>
    </w:p>
    <w:p>
      <w:pPr>
        <w:adjustRightInd w:val="0"/>
        <w:snapToGrid w:val="0"/>
        <w:spacing w:line="579" w:lineRule="atLeast"/>
        <w:outlineLvl w:val="1"/>
        <w:rPr>
          <w:rFonts w:ascii="黑体" w:hAnsi="黑体" w:eastAsia="黑体" w:cs="Times New Roman"/>
          <w:b/>
          <w:bCs/>
          <w:sz w:val="32"/>
          <w:szCs w:val="32"/>
        </w:rPr>
      </w:pPr>
    </w:p>
    <w:p>
      <w:pPr>
        <w:adjustRightInd w:val="0"/>
        <w:snapToGrid w:val="0"/>
        <w:spacing w:line="579" w:lineRule="atLeast"/>
        <w:outlineLvl w:val="1"/>
        <w:rPr>
          <w:rFonts w:ascii="黑体" w:hAnsi="黑体" w:eastAsia="黑体" w:cs="Times New Roman"/>
          <w:b/>
          <w:bCs/>
          <w:sz w:val="32"/>
          <w:szCs w:val="32"/>
        </w:rPr>
      </w:pPr>
    </w:p>
    <w:p>
      <w:pPr>
        <w:adjustRightInd w:val="0"/>
        <w:snapToGrid w:val="0"/>
        <w:spacing w:line="579" w:lineRule="atLeast"/>
        <w:outlineLvl w:val="1"/>
        <w:rPr>
          <w:rFonts w:ascii="Times New Roman" w:hAnsi="Times New Roman" w:eastAsia="黑体" w:cs="Times New Roman"/>
          <w:b/>
          <w:bCs/>
          <w:sz w:val="32"/>
          <w:szCs w:val="32"/>
        </w:rPr>
      </w:pPr>
      <w:r>
        <w:rPr>
          <w:rFonts w:ascii="黑体" w:hAnsi="黑体" w:eastAsia="黑体" w:cs="Times New Roman"/>
          <w:b/>
          <w:bCs/>
          <w:sz w:val="32"/>
          <w:szCs w:val="32"/>
        </w:rPr>
        <w:t>附件</w:t>
      </w:r>
      <w:r>
        <w:rPr>
          <w:rFonts w:ascii="Times New Roman" w:hAnsi="Times New Roman" w:eastAsia="黑体" w:cs="Times New Roman"/>
          <w:b/>
          <w:bCs/>
          <w:sz w:val="32"/>
          <w:szCs w:val="32"/>
        </w:rPr>
        <w:t>1</w:t>
      </w:r>
    </w:p>
    <w:p>
      <w:pPr>
        <w:adjustRightInd w:val="0"/>
        <w:snapToGrid w:val="0"/>
        <w:spacing w:before="78" w:beforeLines="25" w:after="78" w:afterLines="25" w:line="500" w:lineRule="exact"/>
        <w:jc w:val="center"/>
        <w:outlineLvl w:val="0"/>
        <w:rPr>
          <w:rFonts w:ascii="Times New Roman" w:hAnsi="Times New Roman" w:eastAsia="方正小标宋简体" w:cs="Times New Roman"/>
          <w:b/>
          <w:bCs/>
          <w:kern w:val="44"/>
          <w:sz w:val="36"/>
          <w:szCs w:val="36"/>
        </w:rPr>
      </w:pPr>
      <w:r>
        <w:rPr>
          <w:rFonts w:hint="eastAsia" w:ascii="宋体" w:hAnsi="宋体" w:eastAsia="宋体" w:cs="宋体"/>
          <w:b/>
          <w:bCs/>
          <w:kern w:val="44"/>
          <w:sz w:val="36"/>
          <w:szCs w:val="36"/>
        </w:rPr>
        <w:t>部门整体支出绩效评价基础数据</w:t>
      </w:r>
      <w:r>
        <w:rPr>
          <w:rFonts w:ascii="宋体" w:hAnsi="宋体" w:eastAsia="宋体" w:cs="宋体"/>
          <w:b/>
          <w:bCs/>
          <w:kern w:val="44"/>
          <w:sz w:val="36"/>
          <w:szCs w:val="36"/>
        </w:rPr>
        <w:t>表</w:t>
      </w:r>
    </w:p>
    <w:tbl>
      <w:tblPr>
        <w:tblStyle w:val="13"/>
        <w:tblW w:w="96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5"/>
        <w:gridCol w:w="1276"/>
        <w:gridCol w:w="992"/>
        <w:gridCol w:w="1108"/>
        <w:gridCol w:w="1111"/>
        <w:gridCol w:w="969"/>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kern w:val="0"/>
                <w:szCs w:val="21"/>
              </w:rPr>
            </w:pPr>
            <w:r>
              <w:rPr>
                <w:rFonts w:ascii="仿宋_GB2312" w:hAnsi="仿宋_GB2312" w:eastAsia="仿宋_GB2312" w:cs="Times New Roman"/>
                <w:kern w:val="0"/>
                <w:szCs w:val="21"/>
              </w:rPr>
              <w:t>财政供养人员情况</w:t>
            </w:r>
          </w:p>
        </w:tc>
        <w:tc>
          <w:tcPr>
            <w:tcW w:w="2268"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b/>
                <w:bCs/>
                <w:kern w:val="0"/>
                <w:szCs w:val="21"/>
              </w:rPr>
            </w:pPr>
            <w:r>
              <w:rPr>
                <w:rFonts w:ascii="宋体" w:hAnsi="宋体" w:eastAsia="宋体" w:cs="宋体"/>
                <w:b/>
                <w:bCs/>
                <w:kern w:val="0"/>
                <w:szCs w:val="21"/>
              </w:rPr>
              <w:t>编制</w:t>
            </w:r>
            <w:r>
              <w:rPr>
                <w:rFonts w:hint="eastAsia" w:ascii="宋体" w:hAnsi="宋体" w:eastAsia="宋体" w:cs="宋体"/>
                <w:b/>
                <w:bCs/>
                <w:kern w:val="0"/>
                <w:szCs w:val="21"/>
              </w:rPr>
              <w:t>数</w:t>
            </w:r>
          </w:p>
        </w:tc>
        <w:tc>
          <w:tcPr>
            <w:tcW w:w="2219"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b/>
                <w:bCs/>
                <w:kern w:val="0"/>
                <w:szCs w:val="21"/>
              </w:rPr>
            </w:pPr>
            <w:r>
              <w:rPr>
                <w:rFonts w:ascii="Times New Roman" w:hAnsi="Times New Roman" w:eastAsia="仿宋_GB2312" w:cs="Times New Roman"/>
                <w:b/>
                <w:bCs/>
                <w:kern w:val="0"/>
                <w:szCs w:val="21"/>
              </w:rPr>
              <w:t>2024</w:t>
            </w:r>
            <w:r>
              <w:rPr>
                <w:rFonts w:ascii="宋体" w:hAnsi="宋体" w:eastAsia="宋体" w:cs="宋体"/>
                <w:b/>
                <w:bCs/>
                <w:kern w:val="0"/>
                <w:szCs w:val="21"/>
              </w:rPr>
              <w:t>年实际在职人</w:t>
            </w:r>
            <w:r>
              <w:rPr>
                <w:rFonts w:hint="eastAsia" w:ascii="宋体" w:hAnsi="宋体" w:eastAsia="宋体" w:cs="宋体"/>
                <w:b/>
                <w:bCs/>
                <w:kern w:val="0"/>
                <w:szCs w:val="21"/>
              </w:rPr>
              <w:t>数</w:t>
            </w:r>
          </w:p>
        </w:tc>
        <w:tc>
          <w:tcPr>
            <w:tcW w:w="2034"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b/>
                <w:bCs/>
                <w:kern w:val="0"/>
                <w:szCs w:val="21"/>
              </w:rPr>
            </w:pPr>
            <w:r>
              <w:rPr>
                <w:rFonts w:ascii="宋体" w:hAnsi="宋体" w:eastAsia="宋体" w:cs="宋体"/>
                <w:b/>
                <w:bCs/>
                <w:kern w:val="0"/>
                <w:szCs w:val="21"/>
              </w:rPr>
              <w:t>控制</w:t>
            </w:r>
            <w:r>
              <w:rPr>
                <w:rFonts w:hint="eastAsia" w:ascii="宋体" w:hAnsi="宋体" w:eastAsia="宋体" w:cs="宋体"/>
                <w:b/>
                <w:bCs/>
                <w:kern w:val="0"/>
                <w:szCs w:val="21"/>
              </w:rPr>
              <w:t>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1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2268"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　33</w:t>
            </w:r>
          </w:p>
        </w:tc>
        <w:tc>
          <w:tcPr>
            <w:tcW w:w="2219"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　33</w:t>
            </w:r>
          </w:p>
        </w:tc>
        <w:tc>
          <w:tcPr>
            <w:tcW w:w="2034"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100%</w:t>
            </w:r>
            <w:r>
              <w:rPr>
                <w:rFonts w:hint="eastAsia" w:ascii="Times New Roman" w:hAnsi="Times New Roman"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kern w:val="0"/>
                <w:szCs w:val="21"/>
              </w:rPr>
            </w:pPr>
            <w:r>
              <w:rPr>
                <w:rFonts w:ascii="仿宋_GB2312" w:hAnsi="仿宋_GB2312" w:eastAsia="仿宋_GB2312" w:cs="Times New Roman"/>
                <w:kern w:val="0"/>
                <w:szCs w:val="21"/>
              </w:rPr>
              <w:t>经费控制情况</w:t>
            </w:r>
          </w:p>
        </w:tc>
        <w:tc>
          <w:tcPr>
            <w:tcW w:w="2268"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b/>
                <w:bCs/>
                <w:kern w:val="0"/>
                <w:szCs w:val="21"/>
              </w:rPr>
            </w:pPr>
            <w:r>
              <w:rPr>
                <w:rFonts w:ascii="Times New Roman" w:hAnsi="Times New Roman" w:eastAsia="仿宋_GB2312" w:cs="Times New Roman"/>
                <w:b/>
                <w:bCs/>
                <w:kern w:val="0"/>
                <w:szCs w:val="21"/>
              </w:rPr>
              <w:t>2023</w:t>
            </w:r>
            <w:r>
              <w:rPr>
                <w:rFonts w:ascii="宋体" w:hAnsi="宋体" w:eastAsia="宋体" w:cs="宋体"/>
                <w:b/>
                <w:bCs/>
                <w:kern w:val="0"/>
                <w:szCs w:val="21"/>
              </w:rPr>
              <w:t>年决算</w:t>
            </w:r>
            <w:r>
              <w:rPr>
                <w:rFonts w:hint="eastAsia" w:ascii="宋体" w:hAnsi="宋体" w:eastAsia="宋体" w:cs="宋体"/>
                <w:b/>
                <w:bCs/>
                <w:kern w:val="0"/>
                <w:szCs w:val="21"/>
              </w:rPr>
              <w:t>数</w:t>
            </w:r>
          </w:p>
        </w:tc>
        <w:tc>
          <w:tcPr>
            <w:tcW w:w="2219"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b/>
                <w:bCs/>
                <w:kern w:val="0"/>
                <w:szCs w:val="21"/>
              </w:rPr>
            </w:pPr>
            <w:r>
              <w:rPr>
                <w:rFonts w:ascii="Times New Roman" w:hAnsi="Times New Roman" w:eastAsia="仿宋_GB2312" w:cs="Times New Roman"/>
                <w:b/>
                <w:bCs/>
                <w:kern w:val="0"/>
                <w:szCs w:val="21"/>
              </w:rPr>
              <w:t>2024</w:t>
            </w:r>
            <w:r>
              <w:rPr>
                <w:rFonts w:ascii="宋体" w:hAnsi="宋体" w:eastAsia="宋体" w:cs="宋体"/>
                <w:b/>
                <w:bCs/>
                <w:kern w:val="0"/>
                <w:szCs w:val="21"/>
              </w:rPr>
              <w:t>年预算</w:t>
            </w:r>
            <w:r>
              <w:rPr>
                <w:rFonts w:hint="eastAsia" w:ascii="宋体" w:hAnsi="宋体" w:eastAsia="宋体" w:cs="宋体"/>
                <w:b/>
                <w:bCs/>
                <w:kern w:val="0"/>
                <w:szCs w:val="21"/>
              </w:rPr>
              <w:t>数</w:t>
            </w:r>
          </w:p>
        </w:tc>
        <w:tc>
          <w:tcPr>
            <w:tcW w:w="2034"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b/>
                <w:bCs/>
                <w:kern w:val="0"/>
                <w:szCs w:val="21"/>
              </w:rPr>
            </w:pPr>
            <w:r>
              <w:rPr>
                <w:rFonts w:ascii="Times New Roman" w:hAnsi="Times New Roman" w:eastAsia="仿宋_GB2312" w:cs="Times New Roman"/>
                <w:b/>
                <w:bCs/>
                <w:kern w:val="0"/>
                <w:szCs w:val="21"/>
              </w:rPr>
              <w:t>2024</w:t>
            </w:r>
            <w:r>
              <w:rPr>
                <w:rFonts w:ascii="宋体" w:hAnsi="宋体" w:eastAsia="宋体" w:cs="宋体"/>
                <w:b/>
                <w:bCs/>
                <w:kern w:val="0"/>
                <w:szCs w:val="21"/>
              </w:rPr>
              <w:t>年决算</w:t>
            </w:r>
            <w:r>
              <w:rPr>
                <w:rFonts w:hint="eastAsia" w:ascii="宋体" w:hAnsi="宋体" w:eastAsia="宋体" w:cs="宋体"/>
                <w:b/>
                <w:bCs/>
                <w:kern w:val="0"/>
                <w:szCs w:val="21"/>
              </w:rPr>
              <w:t>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kern w:val="0"/>
                <w:szCs w:val="21"/>
              </w:rPr>
            </w:pPr>
            <w:r>
              <w:rPr>
                <w:rFonts w:ascii="仿宋_GB2312" w:hAnsi="仿宋_GB2312" w:eastAsia="仿宋_GB2312" w:cs="Times New Roman"/>
                <w:kern w:val="0"/>
                <w:szCs w:val="21"/>
              </w:rPr>
              <w:t>三公经费</w:t>
            </w:r>
          </w:p>
        </w:tc>
        <w:tc>
          <w:tcPr>
            <w:tcW w:w="2268"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43.33</w:t>
            </w:r>
          </w:p>
        </w:tc>
        <w:tc>
          <w:tcPr>
            <w:tcW w:w="2219"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26　</w:t>
            </w:r>
          </w:p>
        </w:tc>
        <w:tc>
          <w:tcPr>
            <w:tcW w:w="2034"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　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1</w:t>
            </w:r>
            <w:r>
              <w:rPr>
                <w:rFonts w:ascii="仿宋_GB2312" w:hAnsi="仿宋_GB2312" w:eastAsia="仿宋_GB2312" w:cs="Times New Roman"/>
                <w:kern w:val="0"/>
                <w:szCs w:val="21"/>
              </w:rPr>
              <w:t>、公务用车购置和维护经费</w:t>
            </w:r>
          </w:p>
        </w:tc>
        <w:tc>
          <w:tcPr>
            <w:tcW w:w="2268"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42.95</w:t>
            </w:r>
          </w:p>
        </w:tc>
        <w:tc>
          <w:tcPr>
            <w:tcW w:w="2219"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18　</w:t>
            </w:r>
          </w:p>
        </w:tc>
        <w:tc>
          <w:tcPr>
            <w:tcW w:w="2034"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18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w:t>
            </w:r>
            <w:r>
              <w:rPr>
                <w:rFonts w:ascii="仿宋_GB2312" w:hAnsi="仿宋_GB2312" w:eastAsia="仿宋_GB2312" w:cs="Times New Roman"/>
                <w:kern w:val="0"/>
                <w:szCs w:val="21"/>
              </w:rPr>
              <w:t>其中：公车购置</w:t>
            </w:r>
          </w:p>
        </w:tc>
        <w:tc>
          <w:tcPr>
            <w:tcW w:w="2268"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24.95　</w:t>
            </w:r>
          </w:p>
        </w:tc>
        <w:tc>
          <w:tcPr>
            <w:tcW w:w="2219"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　</w:t>
            </w:r>
          </w:p>
        </w:tc>
        <w:tc>
          <w:tcPr>
            <w:tcW w:w="2034"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w:t>
            </w:r>
            <w:r>
              <w:rPr>
                <w:rFonts w:ascii="仿宋_GB2312" w:hAnsi="仿宋_GB2312" w:eastAsia="仿宋_GB2312" w:cs="Times New Roman"/>
                <w:kern w:val="0"/>
                <w:szCs w:val="21"/>
              </w:rPr>
              <w:t>公车运行维护</w:t>
            </w:r>
          </w:p>
        </w:tc>
        <w:tc>
          <w:tcPr>
            <w:tcW w:w="2268"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18　</w:t>
            </w:r>
          </w:p>
        </w:tc>
        <w:tc>
          <w:tcPr>
            <w:tcW w:w="2219"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18　</w:t>
            </w:r>
          </w:p>
        </w:tc>
        <w:tc>
          <w:tcPr>
            <w:tcW w:w="2034"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18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2</w:t>
            </w:r>
            <w:r>
              <w:rPr>
                <w:rFonts w:ascii="仿宋_GB2312" w:hAnsi="仿宋_GB2312" w:eastAsia="仿宋_GB2312" w:cs="Times New Roman"/>
                <w:kern w:val="0"/>
                <w:szCs w:val="21"/>
              </w:rPr>
              <w:t>、出国经费</w:t>
            </w:r>
          </w:p>
        </w:tc>
        <w:tc>
          <w:tcPr>
            <w:tcW w:w="2268"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　</w:t>
            </w:r>
          </w:p>
        </w:tc>
        <w:tc>
          <w:tcPr>
            <w:tcW w:w="2219"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　5</w:t>
            </w:r>
          </w:p>
        </w:tc>
        <w:tc>
          <w:tcPr>
            <w:tcW w:w="2034"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3</w:t>
            </w:r>
            <w:r>
              <w:rPr>
                <w:rFonts w:ascii="仿宋_GB2312" w:hAnsi="仿宋_GB2312" w:eastAsia="仿宋_GB2312" w:cs="Times New Roman"/>
                <w:kern w:val="0"/>
                <w:szCs w:val="21"/>
              </w:rPr>
              <w:t>、公务接待</w:t>
            </w:r>
          </w:p>
        </w:tc>
        <w:tc>
          <w:tcPr>
            <w:tcW w:w="2268"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　0.38</w:t>
            </w:r>
          </w:p>
        </w:tc>
        <w:tc>
          <w:tcPr>
            <w:tcW w:w="2219"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　3</w:t>
            </w:r>
          </w:p>
        </w:tc>
        <w:tc>
          <w:tcPr>
            <w:tcW w:w="2034"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　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kern w:val="0"/>
                <w:szCs w:val="21"/>
              </w:rPr>
            </w:pPr>
            <w:r>
              <w:rPr>
                <w:rFonts w:ascii="仿宋_GB2312" w:hAnsi="仿宋_GB2312" w:eastAsia="仿宋_GB2312" w:cs="Times New Roman"/>
                <w:kern w:val="0"/>
                <w:szCs w:val="21"/>
              </w:rPr>
              <w:t>项目支出：</w:t>
            </w:r>
          </w:p>
        </w:tc>
        <w:tc>
          <w:tcPr>
            <w:tcW w:w="2268"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1639.21　</w:t>
            </w:r>
          </w:p>
        </w:tc>
        <w:tc>
          <w:tcPr>
            <w:tcW w:w="2219"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color w:val="auto"/>
                <w:kern w:val="0"/>
                <w:szCs w:val="21"/>
              </w:rPr>
            </w:pPr>
            <w:r>
              <w:rPr>
                <w:rFonts w:hint="eastAsia" w:ascii="Times New Roman" w:hAnsi="Times New Roman" w:eastAsia="仿宋_GB2312" w:cs="Times New Roman"/>
                <w:color w:val="auto"/>
                <w:kern w:val="0"/>
                <w:szCs w:val="21"/>
                <w:lang w:val="en-US" w:eastAsia="zh-CN"/>
              </w:rPr>
              <w:t>1050.25</w:t>
            </w:r>
            <w:r>
              <w:rPr>
                <w:rFonts w:hint="eastAsia" w:ascii="Times New Roman" w:hAnsi="Times New Roman" w:eastAsia="仿宋_GB2312" w:cs="Times New Roman"/>
                <w:color w:val="auto"/>
                <w:kern w:val="0"/>
                <w:szCs w:val="21"/>
              </w:rPr>
              <w:t>　</w:t>
            </w:r>
          </w:p>
        </w:tc>
        <w:tc>
          <w:tcPr>
            <w:tcW w:w="2034"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default" w:ascii="Times New Roman" w:hAnsi="Times New Roman" w:eastAsia="仿宋_GB2312" w:cs="Times New Roman"/>
                <w:color w:val="auto"/>
                <w:kern w:val="0"/>
                <w:szCs w:val="21"/>
                <w:lang w:val="en-US" w:eastAsia="zh-CN"/>
              </w:rPr>
            </w:pPr>
            <w:r>
              <w:rPr>
                <w:rFonts w:hint="eastAsia" w:ascii="Times New Roman" w:hAnsi="Times New Roman" w:eastAsia="仿宋_GB2312" w:cs="Times New Roman"/>
                <w:color w:val="auto"/>
                <w:kern w:val="0"/>
                <w:szCs w:val="21"/>
                <w:lang w:val="en-US" w:eastAsia="zh-CN"/>
              </w:rPr>
              <w:t>1032.31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1</w:t>
            </w:r>
            <w:r>
              <w:rPr>
                <w:rFonts w:ascii="仿宋_GB2312" w:hAnsi="仿宋_GB2312" w:eastAsia="仿宋_GB2312" w:cs="Times New Roman"/>
                <w:kern w:val="0"/>
                <w:szCs w:val="21"/>
              </w:rPr>
              <w:t>、业务工作经费</w:t>
            </w:r>
          </w:p>
        </w:tc>
        <w:tc>
          <w:tcPr>
            <w:tcW w:w="2268"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　</w:t>
            </w:r>
          </w:p>
        </w:tc>
        <w:tc>
          <w:tcPr>
            <w:tcW w:w="2219"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color w:val="auto"/>
                <w:kern w:val="0"/>
                <w:szCs w:val="21"/>
              </w:rPr>
            </w:pPr>
          </w:p>
        </w:tc>
        <w:tc>
          <w:tcPr>
            <w:tcW w:w="2034"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color w:val="auto"/>
                <w:kern w:val="0"/>
                <w:szCs w:val="21"/>
              </w:rPr>
            </w:pPr>
            <w:r>
              <w:rPr>
                <w:rFonts w:hint="eastAsia" w:ascii="Times New Roman" w:hAnsi="Times New Roman" w:eastAsia="仿宋_GB2312" w:cs="Times New Roman"/>
                <w:color w:val="auto"/>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2</w:t>
            </w:r>
            <w:r>
              <w:rPr>
                <w:rFonts w:ascii="仿宋_GB2312" w:hAnsi="仿宋_GB2312" w:eastAsia="仿宋_GB2312" w:cs="Times New Roman"/>
                <w:kern w:val="0"/>
                <w:szCs w:val="21"/>
              </w:rPr>
              <w:t>、运行维护经费</w:t>
            </w:r>
          </w:p>
        </w:tc>
        <w:tc>
          <w:tcPr>
            <w:tcW w:w="2268"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　</w:t>
            </w:r>
          </w:p>
        </w:tc>
        <w:tc>
          <w:tcPr>
            <w:tcW w:w="2219"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default" w:ascii="Times New Roman" w:hAnsi="Times New Roman" w:eastAsia="仿宋_GB2312" w:cs="Times New Roman"/>
                <w:color w:val="auto"/>
                <w:kern w:val="0"/>
                <w:szCs w:val="21"/>
                <w:lang w:val="en-US" w:eastAsia="zh-CN"/>
              </w:rPr>
            </w:pPr>
            <w:r>
              <w:rPr>
                <w:rFonts w:hint="eastAsia" w:ascii="Times New Roman" w:hAnsi="Times New Roman" w:eastAsia="仿宋_GB2312" w:cs="Times New Roman"/>
                <w:color w:val="auto"/>
                <w:kern w:val="0"/>
                <w:szCs w:val="21"/>
                <w:lang w:val="en-US" w:eastAsia="zh-CN"/>
              </w:rPr>
              <w:t>10.10</w:t>
            </w:r>
          </w:p>
        </w:tc>
        <w:tc>
          <w:tcPr>
            <w:tcW w:w="2034"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color w:val="auto"/>
                <w:kern w:val="0"/>
                <w:szCs w:val="21"/>
              </w:rPr>
            </w:pPr>
            <w:r>
              <w:rPr>
                <w:rFonts w:hint="eastAsia" w:ascii="Times New Roman" w:hAnsi="Times New Roman" w:eastAsia="仿宋_GB2312" w:cs="Times New Roman"/>
                <w:color w:val="auto"/>
                <w:kern w:val="0"/>
                <w:szCs w:val="21"/>
              </w:rPr>
              <w:t>　4.68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80" w:lineRule="exact"/>
              <w:ind w:firstLine="420" w:firstLineChars="20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3</w:t>
            </w:r>
            <w:r>
              <w:rPr>
                <w:rFonts w:ascii="仿宋_GB2312" w:hAnsi="仿宋_GB2312" w:eastAsia="仿宋_GB2312" w:cs="Times New Roman"/>
                <w:kern w:val="0"/>
                <w:szCs w:val="21"/>
              </w:rPr>
              <w:t>、省级专项资金</w:t>
            </w:r>
          </w:p>
          <w:p>
            <w:pPr>
              <w:widowControl/>
              <w:adjustRightInd w:val="0"/>
              <w:snapToGrid w:val="0"/>
              <w:spacing w:line="280" w:lineRule="exact"/>
              <w:ind w:firstLine="630" w:firstLineChars="300"/>
              <w:jc w:val="left"/>
              <w:rPr>
                <w:rFonts w:ascii="Times New Roman" w:hAnsi="Times New Roman" w:eastAsia="仿宋_GB2312" w:cs="Times New Roman"/>
                <w:kern w:val="0"/>
                <w:szCs w:val="21"/>
              </w:rPr>
            </w:pPr>
          </w:p>
        </w:tc>
        <w:tc>
          <w:tcPr>
            <w:tcW w:w="2268"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kern w:val="0"/>
                <w:szCs w:val="21"/>
              </w:rPr>
            </w:pPr>
          </w:p>
        </w:tc>
        <w:tc>
          <w:tcPr>
            <w:tcW w:w="2219"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color w:val="auto"/>
                <w:kern w:val="0"/>
                <w:szCs w:val="21"/>
              </w:rPr>
            </w:pPr>
            <w:r>
              <w:rPr>
                <w:rFonts w:hint="eastAsia" w:ascii="Times New Roman" w:hAnsi="Times New Roman" w:eastAsia="仿宋_GB2312" w:cs="Times New Roman"/>
                <w:color w:val="auto"/>
                <w:kern w:val="0"/>
                <w:szCs w:val="21"/>
              </w:rPr>
              <w:t>　</w:t>
            </w:r>
            <w:r>
              <w:rPr>
                <w:rFonts w:hint="eastAsia" w:ascii="Times New Roman" w:hAnsi="Times New Roman" w:eastAsia="仿宋_GB2312" w:cs="Times New Roman"/>
                <w:color w:val="auto"/>
                <w:kern w:val="0"/>
                <w:szCs w:val="21"/>
                <w:lang w:val="en-US" w:eastAsia="zh-CN"/>
              </w:rPr>
              <w:t>974.80</w:t>
            </w:r>
          </w:p>
        </w:tc>
        <w:tc>
          <w:tcPr>
            <w:tcW w:w="2034"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color w:val="auto"/>
                <w:kern w:val="0"/>
                <w:szCs w:val="21"/>
              </w:rPr>
            </w:pPr>
            <w:r>
              <w:rPr>
                <w:rFonts w:hint="eastAsia" w:ascii="Times New Roman" w:hAnsi="Times New Roman" w:eastAsia="仿宋_GB2312" w:cs="Times New Roman"/>
                <w:color w:val="auto"/>
                <w:kern w:val="0"/>
                <w:szCs w:val="21"/>
                <w:lang w:val="en-US" w:eastAsia="zh-CN"/>
              </w:rPr>
              <w:t>964.97</w:t>
            </w:r>
            <w:r>
              <w:rPr>
                <w:rFonts w:hint="eastAsia" w:ascii="Times New Roman" w:hAnsi="Times New Roman" w:eastAsia="仿宋_GB2312" w:cs="Times New Roman"/>
                <w:color w:val="auto"/>
                <w:kern w:val="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kern w:val="0"/>
                <w:szCs w:val="21"/>
              </w:rPr>
            </w:pPr>
            <w:bookmarkStart w:id="11" w:name="OLE_LINK13" w:colFirst="2" w:colLast="3"/>
            <w:r>
              <w:rPr>
                <w:rFonts w:hint="eastAsia" w:ascii="Times New Roman" w:hAnsi="Times New Roman" w:eastAsia="仿宋_GB2312" w:cs="Times New Roman"/>
                <w:kern w:val="0"/>
                <w:szCs w:val="21"/>
              </w:rPr>
              <w:t>现代农业发展专项</w:t>
            </w:r>
          </w:p>
        </w:tc>
        <w:tc>
          <w:tcPr>
            <w:tcW w:w="2268"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color w:val="FF0000"/>
                <w:kern w:val="0"/>
                <w:szCs w:val="21"/>
              </w:rPr>
            </w:pPr>
            <w:r>
              <w:rPr>
                <w:rFonts w:hint="eastAsia" w:ascii="Times New Roman" w:hAnsi="Times New Roman" w:eastAsia="仿宋_GB2312" w:cs="Times New Roman"/>
                <w:color w:val="auto"/>
                <w:kern w:val="0"/>
                <w:szCs w:val="21"/>
              </w:rPr>
              <w:t>782.2</w:t>
            </w:r>
            <w:r>
              <w:rPr>
                <w:rFonts w:hint="eastAsia" w:ascii="Times New Roman" w:hAnsi="Times New Roman" w:eastAsia="仿宋_GB2312" w:cs="Times New Roman"/>
                <w:color w:val="FF0000"/>
                <w:kern w:val="0"/>
                <w:szCs w:val="21"/>
              </w:rPr>
              <w:t>　</w:t>
            </w:r>
          </w:p>
        </w:tc>
        <w:tc>
          <w:tcPr>
            <w:tcW w:w="2219"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default" w:ascii="Times New Roman" w:hAnsi="Times New Roman" w:eastAsia="仿宋_GB2312" w:cs="Times New Roman"/>
                <w:color w:val="auto"/>
                <w:kern w:val="0"/>
                <w:szCs w:val="21"/>
                <w:lang w:val="en-US" w:eastAsia="zh-CN"/>
              </w:rPr>
            </w:pPr>
            <w:r>
              <w:rPr>
                <w:rFonts w:hint="eastAsia" w:ascii="Times New Roman" w:hAnsi="Times New Roman" w:eastAsia="仿宋_GB2312" w:cs="Times New Roman"/>
                <w:color w:val="auto"/>
                <w:kern w:val="0"/>
                <w:szCs w:val="21"/>
              </w:rPr>
              <w:t>　</w:t>
            </w:r>
            <w:r>
              <w:rPr>
                <w:rFonts w:hint="eastAsia" w:ascii="Times New Roman" w:hAnsi="Times New Roman" w:eastAsia="仿宋_GB2312" w:cs="Times New Roman"/>
                <w:color w:val="auto"/>
                <w:kern w:val="0"/>
                <w:szCs w:val="21"/>
                <w:lang w:val="en-US" w:eastAsia="zh-CN"/>
              </w:rPr>
              <w:t>974.80</w:t>
            </w:r>
          </w:p>
        </w:tc>
        <w:tc>
          <w:tcPr>
            <w:tcW w:w="2034"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color w:val="auto"/>
                <w:kern w:val="0"/>
                <w:szCs w:val="21"/>
              </w:rPr>
            </w:pPr>
            <w:r>
              <w:rPr>
                <w:rFonts w:hint="eastAsia" w:ascii="Times New Roman" w:hAnsi="Times New Roman" w:eastAsia="仿宋_GB2312" w:cs="Times New Roman"/>
                <w:color w:val="auto"/>
                <w:kern w:val="0"/>
                <w:szCs w:val="21"/>
                <w:lang w:val="en-US" w:eastAsia="zh-CN"/>
              </w:rPr>
              <w:t>964.97</w:t>
            </w:r>
            <w:r>
              <w:rPr>
                <w:rFonts w:hint="eastAsia" w:ascii="Times New Roman" w:hAnsi="Times New Roman" w:eastAsia="仿宋_GB2312" w:cs="Times New Roman"/>
                <w:color w:val="auto"/>
                <w:kern w:val="0"/>
                <w:szCs w:val="21"/>
              </w:rPr>
              <w:t xml:space="preserve">                                                                                                                                                                                                                                                                                                                                                                                                                                                                                                                                                                                                                                                                                                                                                                                                                                                                                                                                                                                                                                                                                                                                                                                                                                                                                                                                                                                                                                                                                                                                                                                                                                                                                                                                                                                                                                                                                                                                                                                                                                                                                                                                                                                                                                                                                                                                                                                                                                                                                                                                                                                                                                                                                                                                                                                                                                                                                                                                                                                                                                                                                                                                                                                                                                                                                                                                                                                                                                                                                                                                                                                                                                                                                                                                                                                                                                                                                                                                                                                                                　</w:t>
            </w:r>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80" w:lineRule="exact"/>
              <w:ind w:firstLine="420" w:firstLineChars="200"/>
              <w:rPr>
                <w:rFonts w:ascii="Times New Roman" w:hAnsi="Times New Roman" w:eastAsia="仿宋_GB2312" w:cs="Times New Roman"/>
                <w:kern w:val="0"/>
                <w:szCs w:val="21"/>
              </w:rPr>
            </w:pPr>
            <w:bookmarkStart w:id="12" w:name="OLE_LINK4"/>
            <w:r>
              <w:rPr>
                <w:rFonts w:hint="eastAsia" w:ascii="Times New Roman" w:hAnsi="Times New Roman" w:eastAsia="仿宋_GB2312" w:cs="Times New Roman"/>
                <w:kern w:val="0"/>
                <w:szCs w:val="21"/>
              </w:rPr>
              <w:t>4、其他事业发展资金</w:t>
            </w:r>
            <w:bookmarkEnd w:id="12"/>
          </w:p>
        </w:tc>
        <w:tc>
          <w:tcPr>
            <w:tcW w:w="2268"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kern w:val="0"/>
                <w:szCs w:val="21"/>
              </w:rPr>
            </w:pPr>
          </w:p>
        </w:tc>
        <w:tc>
          <w:tcPr>
            <w:tcW w:w="2219"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default" w:ascii="Times New Roman" w:hAnsi="Times New Roman" w:eastAsia="仿宋_GB2312" w:cs="Times New Roman"/>
                <w:color w:val="auto"/>
                <w:kern w:val="0"/>
                <w:szCs w:val="21"/>
                <w:lang w:val="en-US" w:eastAsia="zh-CN"/>
              </w:rPr>
            </w:pPr>
            <w:r>
              <w:rPr>
                <w:rFonts w:hint="eastAsia" w:ascii="Times New Roman" w:hAnsi="Times New Roman" w:eastAsia="仿宋_GB2312" w:cs="Times New Roman"/>
                <w:color w:val="auto"/>
                <w:kern w:val="0"/>
                <w:szCs w:val="21"/>
                <w:lang w:val="en-US" w:eastAsia="zh-CN"/>
              </w:rPr>
              <w:t>65.35</w:t>
            </w:r>
          </w:p>
        </w:tc>
        <w:tc>
          <w:tcPr>
            <w:tcW w:w="2034"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default" w:ascii="Times New Roman" w:hAnsi="Times New Roman" w:eastAsia="仿宋_GB2312" w:cs="Times New Roman"/>
                <w:color w:val="auto"/>
                <w:kern w:val="0"/>
                <w:szCs w:val="21"/>
                <w:lang w:val="en-US" w:eastAsia="zh-CN"/>
              </w:rPr>
            </w:pPr>
            <w:r>
              <w:rPr>
                <w:rFonts w:hint="eastAsia" w:ascii="Times New Roman" w:hAnsi="Times New Roman" w:eastAsia="仿宋_GB2312" w:cs="Times New Roman"/>
                <w:color w:val="auto"/>
                <w:kern w:val="0"/>
                <w:szCs w:val="21"/>
                <w:lang w:val="en-US" w:eastAsia="zh-CN"/>
              </w:rPr>
              <w:t>62.65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kern w:val="0"/>
                <w:szCs w:val="21"/>
              </w:rPr>
            </w:pPr>
            <w:r>
              <w:rPr>
                <w:rFonts w:ascii="仿宋_GB2312" w:hAnsi="仿宋_GB2312" w:eastAsia="仿宋_GB2312" w:cs="Times New Roman"/>
                <w:kern w:val="0"/>
                <w:szCs w:val="21"/>
              </w:rPr>
              <w:t>公用经费</w:t>
            </w:r>
          </w:p>
        </w:tc>
        <w:tc>
          <w:tcPr>
            <w:tcW w:w="2268"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kern w:val="0"/>
                <w:szCs w:val="21"/>
              </w:rPr>
            </w:pPr>
            <w:r>
              <w:rPr>
                <w:rFonts w:hint="eastAsia" w:ascii="Times New Roman" w:hAnsi="Times New Roman" w:eastAsia="仿宋_GB2312" w:cs="Times New Roman"/>
                <w:kern w:val="0"/>
                <w:szCs w:val="21"/>
              </w:rPr>
              <w:t>69.47　</w:t>
            </w:r>
          </w:p>
        </w:tc>
        <w:tc>
          <w:tcPr>
            <w:tcW w:w="2219"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color w:val="auto"/>
                <w:kern w:val="0"/>
                <w:szCs w:val="21"/>
              </w:rPr>
            </w:pPr>
            <w:r>
              <w:rPr>
                <w:rFonts w:hint="eastAsia" w:ascii="Times New Roman" w:hAnsi="Times New Roman" w:eastAsia="仿宋_GB2312" w:cs="Times New Roman"/>
                <w:color w:val="auto"/>
                <w:kern w:val="0"/>
                <w:szCs w:val="21"/>
                <w:lang w:val="en-US" w:eastAsia="zh-CN"/>
              </w:rPr>
              <w:t>66.89</w:t>
            </w:r>
            <w:r>
              <w:rPr>
                <w:rFonts w:hint="eastAsia" w:ascii="Times New Roman" w:hAnsi="Times New Roman" w:eastAsia="仿宋_GB2312" w:cs="Times New Roman"/>
                <w:color w:val="auto"/>
                <w:kern w:val="0"/>
                <w:szCs w:val="21"/>
              </w:rPr>
              <w:t>　</w:t>
            </w:r>
          </w:p>
        </w:tc>
        <w:tc>
          <w:tcPr>
            <w:tcW w:w="2034"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color w:val="auto"/>
                <w:kern w:val="0"/>
                <w:szCs w:val="21"/>
              </w:rPr>
            </w:pPr>
            <w:r>
              <w:rPr>
                <w:rFonts w:hint="eastAsia" w:ascii="Times New Roman" w:hAnsi="Times New Roman" w:eastAsia="仿宋_GB2312" w:cs="Times New Roman"/>
                <w:color w:val="auto"/>
                <w:kern w:val="0"/>
                <w:szCs w:val="21"/>
              </w:rPr>
              <w:t>　59.55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w:t>
            </w:r>
            <w:r>
              <w:rPr>
                <w:rFonts w:ascii="仿宋_GB2312" w:hAnsi="仿宋_GB2312" w:eastAsia="仿宋_GB2312" w:cs="Times New Roman"/>
                <w:kern w:val="0"/>
                <w:szCs w:val="21"/>
              </w:rPr>
              <w:t>其中：办公费</w:t>
            </w:r>
          </w:p>
        </w:tc>
        <w:tc>
          <w:tcPr>
            <w:tcW w:w="2268"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FF0000"/>
                <w:kern w:val="0"/>
                <w:szCs w:val="21"/>
              </w:rPr>
            </w:pPr>
            <w:r>
              <w:rPr>
                <w:rFonts w:ascii="仿宋_GB2312" w:hAnsi="仿宋_GB2312" w:eastAsia="仿宋_GB2312" w:cs="Times New Roman"/>
                <w:color w:val="FF0000"/>
                <w:kern w:val="0"/>
                <w:szCs w:val="21"/>
              </w:rPr>
              <w:t>　</w:t>
            </w:r>
          </w:p>
        </w:tc>
        <w:tc>
          <w:tcPr>
            <w:tcW w:w="2219"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FF0000"/>
                <w:kern w:val="0"/>
                <w:szCs w:val="21"/>
              </w:rPr>
            </w:pPr>
            <w:r>
              <w:rPr>
                <w:rFonts w:ascii="仿宋_GB2312" w:hAnsi="仿宋_GB2312" w:eastAsia="仿宋_GB2312" w:cs="Times New Roman"/>
                <w:color w:val="FF0000"/>
                <w:kern w:val="0"/>
                <w:szCs w:val="21"/>
              </w:rPr>
              <w:t>　</w:t>
            </w:r>
          </w:p>
        </w:tc>
        <w:tc>
          <w:tcPr>
            <w:tcW w:w="2034"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FF0000"/>
                <w:kern w:val="0"/>
                <w:szCs w:val="21"/>
              </w:rPr>
            </w:pPr>
            <w:r>
              <w:rPr>
                <w:rFonts w:ascii="仿宋_GB2312" w:hAnsi="仿宋_GB2312" w:eastAsia="仿宋_GB2312" w:cs="Times New Roman"/>
                <w:color w:val="FF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w:t>
            </w:r>
            <w:r>
              <w:rPr>
                <w:rFonts w:ascii="仿宋_GB2312" w:hAnsi="仿宋_GB2312" w:eastAsia="仿宋_GB2312" w:cs="Times New Roman"/>
                <w:kern w:val="0"/>
                <w:szCs w:val="21"/>
              </w:rPr>
              <w:t>水费、电费、差旅费</w:t>
            </w:r>
          </w:p>
        </w:tc>
        <w:tc>
          <w:tcPr>
            <w:tcW w:w="2268"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FF0000"/>
                <w:kern w:val="0"/>
                <w:szCs w:val="21"/>
              </w:rPr>
            </w:pPr>
            <w:r>
              <w:rPr>
                <w:rFonts w:ascii="仿宋_GB2312" w:hAnsi="仿宋_GB2312" w:eastAsia="仿宋_GB2312" w:cs="Times New Roman"/>
                <w:color w:val="FF0000"/>
                <w:kern w:val="0"/>
                <w:szCs w:val="21"/>
              </w:rPr>
              <w:t>　</w:t>
            </w:r>
          </w:p>
        </w:tc>
        <w:tc>
          <w:tcPr>
            <w:tcW w:w="2219"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FF0000"/>
                <w:kern w:val="0"/>
                <w:szCs w:val="21"/>
              </w:rPr>
            </w:pPr>
            <w:r>
              <w:rPr>
                <w:rFonts w:ascii="仿宋_GB2312" w:hAnsi="仿宋_GB2312" w:eastAsia="仿宋_GB2312" w:cs="Times New Roman"/>
                <w:color w:val="FF0000"/>
                <w:kern w:val="0"/>
                <w:szCs w:val="21"/>
              </w:rPr>
              <w:t>　</w:t>
            </w:r>
          </w:p>
        </w:tc>
        <w:tc>
          <w:tcPr>
            <w:tcW w:w="2034"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FF0000"/>
                <w:kern w:val="0"/>
                <w:szCs w:val="21"/>
              </w:rPr>
            </w:pPr>
            <w:r>
              <w:rPr>
                <w:rFonts w:ascii="仿宋_GB2312" w:hAnsi="仿宋_GB2312" w:eastAsia="仿宋_GB2312" w:cs="Times New Roman"/>
                <w:color w:val="FF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xml:space="preserve">          </w:t>
            </w:r>
            <w:r>
              <w:rPr>
                <w:rFonts w:ascii="仿宋_GB2312" w:hAnsi="仿宋_GB2312" w:eastAsia="仿宋_GB2312" w:cs="Times New Roman"/>
                <w:kern w:val="0"/>
                <w:szCs w:val="21"/>
              </w:rPr>
              <w:t>会议费、培训费</w:t>
            </w:r>
          </w:p>
        </w:tc>
        <w:tc>
          <w:tcPr>
            <w:tcW w:w="2268"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FF0000"/>
                <w:kern w:val="0"/>
                <w:szCs w:val="21"/>
              </w:rPr>
            </w:pPr>
            <w:r>
              <w:rPr>
                <w:rFonts w:ascii="仿宋_GB2312" w:hAnsi="仿宋_GB2312" w:eastAsia="仿宋_GB2312" w:cs="Times New Roman"/>
                <w:color w:val="FF0000"/>
                <w:kern w:val="0"/>
                <w:szCs w:val="21"/>
              </w:rPr>
              <w:t>　</w:t>
            </w:r>
          </w:p>
        </w:tc>
        <w:tc>
          <w:tcPr>
            <w:tcW w:w="2219"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FF0000"/>
                <w:kern w:val="0"/>
                <w:szCs w:val="21"/>
              </w:rPr>
            </w:pPr>
            <w:r>
              <w:rPr>
                <w:rFonts w:ascii="仿宋_GB2312" w:hAnsi="仿宋_GB2312" w:eastAsia="仿宋_GB2312" w:cs="Times New Roman"/>
                <w:color w:val="FF0000"/>
                <w:kern w:val="0"/>
                <w:szCs w:val="21"/>
              </w:rPr>
              <w:t>　</w:t>
            </w:r>
          </w:p>
        </w:tc>
        <w:tc>
          <w:tcPr>
            <w:tcW w:w="2034"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FF0000"/>
                <w:kern w:val="0"/>
                <w:szCs w:val="21"/>
              </w:rPr>
            </w:pPr>
            <w:r>
              <w:rPr>
                <w:rFonts w:ascii="仿宋_GB2312" w:hAnsi="仿宋_GB2312" w:eastAsia="仿宋_GB2312" w:cs="Times New Roman"/>
                <w:color w:val="FF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kern w:val="0"/>
                <w:szCs w:val="21"/>
              </w:rPr>
            </w:pPr>
            <w:r>
              <w:rPr>
                <w:rFonts w:ascii="仿宋_GB2312" w:hAnsi="仿宋_GB2312" w:eastAsia="仿宋_GB2312" w:cs="Times New Roman"/>
                <w:kern w:val="0"/>
                <w:szCs w:val="21"/>
              </w:rPr>
              <w:t>政府采购金额</w:t>
            </w:r>
          </w:p>
        </w:tc>
        <w:tc>
          <w:tcPr>
            <w:tcW w:w="2268"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w:t>
            </w:r>
          </w:p>
        </w:tc>
        <w:tc>
          <w:tcPr>
            <w:tcW w:w="2219"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kern w:val="0"/>
                <w:szCs w:val="21"/>
              </w:rPr>
            </w:pPr>
            <w:r>
              <w:rPr>
                <w:rFonts w:ascii="仿宋_GB2312" w:hAnsi="仿宋_GB2312" w:eastAsia="仿宋_GB2312" w:cs="Times New Roman"/>
                <w:kern w:val="0"/>
                <w:szCs w:val="21"/>
              </w:rPr>
              <w:t>　</w:t>
            </w:r>
          </w:p>
        </w:tc>
        <w:tc>
          <w:tcPr>
            <w:tcW w:w="2034"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kern w:val="0"/>
                <w:szCs w:val="21"/>
              </w:rPr>
            </w:pPr>
            <w:r>
              <w:rPr>
                <w:rFonts w:hint="eastAsia" w:ascii="仿宋_GB2312" w:hAnsi="仿宋_GB2312" w:eastAsia="仿宋_GB2312" w:cs="Times New Roman"/>
                <w:kern w:val="0"/>
                <w:szCs w:val="21"/>
                <w:lang w:val="en-US" w:eastAsia="zh-CN"/>
              </w:rPr>
              <w:t>426.03</w:t>
            </w:r>
            <w:r>
              <w:rPr>
                <w:rFonts w:ascii="仿宋_GB2312" w:hAnsi="仿宋_GB2312"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kern w:val="0"/>
                <w:szCs w:val="21"/>
              </w:rPr>
            </w:pPr>
            <w:r>
              <w:rPr>
                <w:rFonts w:ascii="仿宋_GB2312" w:hAnsi="仿宋_GB2312" w:eastAsia="仿宋_GB2312" w:cs="Times New Roman"/>
                <w:kern w:val="0"/>
                <w:szCs w:val="21"/>
              </w:rPr>
              <w:t>部门基本支出预算调整</w:t>
            </w:r>
            <w:r>
              <w:rPr>
                <w:rFonts w:ascii="Times New Roman" w:hAnsi="Times New Roman" w:eastAsia="仿宋_GB2312" w:cs="Times New Roman"/>
                <w:kern w:val="0"/>
                <w:szCs w:val="21"/>
              </w:rPr>
              <w:t xml:space="preserve"> </w:t>
            </w:r>
          </w:p>
        </w:tc>
        <w:tc>
          <w:tcPr>
            <w:tcW w:w="2268"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w:t>
            </w:r>
          </w:p>
        </w:tc>
        <w:tc>
          <w:tcPr>
            <w:tcW w:w="2219"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kern w:val="0"/>
                <w:szCs w:val="21"/>
              </w:rPr>
            </w:pPr>
            <w:r>
              <w:rPr>
                <w:rFonts w:ascii="仿宋_GB2312" w:hAnsi="仿宋_GB2312" w:eastAsia="仿宋_GB2312" w:cs="Times New Roman"/>
                <w:kern w:val="0"/>
                <w:szCs w:val="21"/>
              </w:rPr>
              <w:t>　</w:t>
            </w:r>
          </w:p>
        </w:tc>
        <w:tc>
          <w:tcPr>
            <w:tcW w:w="2034"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kern w:val="0"/>
                <w:szCs w:val="21"/>
              </w:rPr>
            </w:pPr>
            <w:r>
              <w:rPr>
                <w:rFonts w:ascii="仿宋_GB2312" w:hAnsi="仿宋_GB2312"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vMerge w:val="restart"/>
            <w:tcBorders>
              <w:top w:val="nil"/>
              <w:left w:val="single" w:color="auto" w:sz="4" w:space="0"/>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kern w:val="0"/>
                <w:szCs w:val="21"/>
              </w:rPr>
            </w:pPr>
            <w:r>
              <w:rPr>
                <w:rFonts w:ascii="仿宋_GB2312" w:hAnsi="仿宋_GB2312" w:eastAsia="仿宋_GB2312" w:cs="Times New Roman"/>
                <w:kern w:val="0"/>
                <w:szCs w:val="21"/>
              </w:rPr>
              <w:t>楼堂馆所控制情况</w:t>
            </w:r>
            <w:r>
              <w:rPr>
                <w:rFonts w:ascii="Times New Roman" w:hAnsi="Times New Roman" w:eastAsia="仿宋_GB2312" w:cs="Times New Roman"/>
                <w:kern w:val="0"/>
                <w:szCs w:val="21"/>
              </w:rPr>
              <w:br w:type="textWrapping"/>
            </w:r>
            <w:r>
              <w:rPr>
                <w:rFonts w:ascii="仿宋_GB2312" w:hAnsi="仿宋_GB2312" w:eastAsia="仿宋_GB2312" w:cs="Times New Roman"/>
                <w:kern w:val="0"/>
                <w:szCs w:val="21"/>
              </w:rPr>
              <w:t>（</w:t>
            </w:r>
            <w:r>
              <w:rPr>
                <w:rFonts w:ascii="Times New Roman" w:hAnsi="Times New Roman" w:eastAsia="仿宋_GB2312" w:cs="Times New Roman"/>
                <w:kern w:val="0"/>
                <w:szCs w:val="21"/>
              </w:rPr>
              <w:t>2024</w:t>
            </w:r>
            <w:r>
              <w:rPr>
                <w:rFonts w:ascii="仿宋_GB2312" w:hAnsi="仿宋_GB2312" w:eastAsia="仿宋_GB2312" w:cs="Times New Roman"/>
                <w:kern w:val="0"/>
                <w:szCs w:val="21"/>
              </w:rPr>
              <w:t>年完工项目）</w:t>
            </w: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bCs/>
                <w:kern w:val="0"/>
                <w:szCs w:val="21"/>
              </w:rPr>
            </w:pPr>
            <w:r>
              <w:rPr>
                <w:rFonts w:ascii="仿宋_GB2312" w:hAnsi="仿宋_GB2312" w:eastAsia="仿宋_GB2312" w:cs="Times New Roman"/>
                <w:bCs/>
                <w:kern w:val="0"/>
                <w:szCs w:val="21"/>
              </w:rPr>
              <w:t>批复规模</w:t>
            </w:r>
            <w:r>
              <w:rPr>
                <w:rFonts w:ascii="Times New Roman" w:hAnsi="Times New Roman" w:eastAsia="仿宋_GB2312" w:cs="Times New Roman"/>
                <w:bCs/>
                <w:kern w:val="0"/>
                <w:szCs w:val="21"/>
              </w:rPr>
              <w:br w:type="textWrapping"/>
            </w:r>
            <w:r>
              <w:rPr>
                <w:rFonts w:ascii="仿宋_GB2312" w:hAnsi="仿宋_GB2312" w:eastAsia="仿宋_GB2312" w:cs="Times New Roman"/>
                <w:bCs/>
                <w:kern w:val="0"/>
                <w:szCs w:val="21"/>
              </w:rPr>
              <w:t>（</w:t>
            </w:r>
            <w:r>
              <w:rPr>
                <w:rFonts w:ascii="Batang" w:hAnsi="Batang" w:eastAsia="Batang" w:cs="Times New Roman"/>
                <w:bCs/>
                <w:kern w:val="0"/>
                <w:szCs w:val="21"/>
              </w:rPr>
              <w:t>㎡</w:t>
            </w:r>
            <w:r>
              <w:rPr>
                <w:rFonts w:ascii="仿宋_GB2312" w:hAnsi="仿宋_GB2312" w:eastAsia="仿宋_GB2312" w:cs="Times New Roman"/>
                <w:bCs/>
                <w:kern w:val="0"/>
                <w:szCs w:val="21"/>
              </w:rPr>
              <w:t>）</w:t>
            </w:r>
          </w:p>
        </w:tc>
        <w:tc>
          <w:tcPr>
            <w:tcW w:w="992"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bCs/>
                <w:kern w:val="0"/>
                <w:szCs w:val="21"/>
              </w:rPr>
            </w:pPr>
            <w:r>
              <w:rPr>
                <w:rFonts w:ascii="仿宋_GB2312" w:hAnsi="仿宋_GB2312" w:eastAsia="仿宋_GB2312" w:cs="Times New Roman"/>
                <w:bCs/>
                <w:kern w:val="0"/>
                <w:szCs w:val="21"/>
              </w:rPr>
              <w:t>实际</w:t>
            </w:r>
          </w:p>
          <w:p>
            <w:pPr>
              <w:widowControl/>
              <w:adjustRightInd w:val="0"/>
              <w:snapToGrid w:val="0"/>
              <w:spacing w:line="280" w:lineRule="exact"/>
              <w:jc w:val="center"/>
              <w:rPr>
                <w:rFonts w:ascii="Times New Roman" w:hAnsi="Times New Roman" w:eastAsia="仿宋_GB2312" w:cs="Times New Roman"/>
                <w:bCs/>
                <w:kern w:val="0"/>
                <w:szCs w:val="21"/>
              </w:rPr>
            </w:pPr>
            <w:r>
              <w:rPr>
                <w:rFonts w:ascii="仿宋_GB2312" w:hAnsi="仿宋_GB2312" w:eastAsia="仿宋_GB2312" w:cs="Times New Roman"/>
                <w:bCs/>
                <w:kern w:val="0"/>
                <w:szCs w:val="21"/>
              </w:rPr>
              <w:t>规模</w:t>
            </w:r>
          </w:p>
          <w:p>
            <w:pPr>
              <w:widowControl/>
              <w:adjustRightInd w:val="0"/>
              <w:snapToGrid w:val="0"/>
              <w:spacing w:line="280" w:lineRule="exact"/>
              <w:jc w:val="center"/>
              <w:rPr>
                <w:rFonts w:ascii="Times New Roman" w:hAnsi="Times New Roman" w:eastAsia="仿宋_GB2312" w:cs="Times New Roman"/>
                <w:bCs/>
                <w:kern w:val="0"/>
                <w:szCs w:val="21"/>
              </w:rPr>
            </w:pPr>
            <w:r>
              <w:rPr>
                <w:rFonts w:ascii="仿宋_GB2312" w:hAnsi="仿宋_GB2312" w:eastAsia="仿宋_GB2312" w:cs="Times New Roman"/>
                <w:bCs/>
                <w:kern w:val="0"/>
                <w:szCs w:val="21"/>
              </w:rPr>
              <w:t>（</w:t>
            </w:r>
            <w:r>
              <w:rPr>
                <w:rFonts w:ascii="Batang" w:hAnsi="Batang" w:eastAsia="Batang" w:cs="Times New Roman"/>
                <w:bCs/>
                <w:kern w:val="0"/>
                <w:szCs w:val="21"/>
              </w:rPr>
              <w:t>㎡</w:t>
            </w:r>
            <w:r>
              <w:rPr>
                <w:rFonts w:ascii="仿宋_GB2312" w:hAnsi="仿宋_GB2312" w:eastAsia="仿宋_GB2312" w:cs="Times New Roman"/>
                <w:bCs/>
                <w:kern w:val="0"/>
                <w:szCs w:val="21"/>
              </w:rPr>
              <w:t>）</w:t>
            </w:r>
          </w:p>
        </w:tc>
        <w:tc>
          <w:tcPr>
            <w:tcW w:w="110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bCs/>
                <w:kern w:val="0"/>
                <w:szCs w:val="21"/>
              </w:rPr>
            </w:pPr>
            <w:r>
              <w:rPr>
                <w:rFonts w:ascii="仿宋_GB2312" w:hAnsi="仿宋_GB2312" w:eastAsia="仿宋_GB2312" w:cs="Times New Roman"/>
                <w:bCs/>
                <w:kern w:val="0"/>
                <w:szCs w:val="21"/>
              </w:rPr>
              <w:t>规模</w:t>
            </w:r>
          </w:p>
          <w:p>
            <w:pPr>
              <w:widowControl/>
              <w:adjustRightInd w:val="0"/>
              <w:snapToGrid w:val="0"/>
              <w:spacing w:line="280" w:lineRule="exact"/>
              <w:jc w:val="center"/>
              <w:rPr>
                <w:rFonts w:ascii="Times New Roman" w:hAnsi="Times New Roman" w:eastAsia="仿宋_GB2312" w:cs="Times New Roman"/>
                <w:bCs/>
                <w:kern w:val="0"/>
                <w:szCs w:val="21"/>
              </w:rPr>
            </w:pPr>
            <w:r>
              <w:rPr>
                <w:rFonts w:ascii="仿宋_GB2312" w:hAnsi="仿宋_GB2312" w:eastAsia="仿宋_GB2312" w:cs="Times New Roman"/>
                <w:bCs/>
                <w:kern w:val="0"/>
                <w:szCs w:val="21"/>
              </w:rPr>
              <w:t>控制率</w:t>
            </w:r>
          </w:p>
        </w:tc>
        <w:tc>
          <w:tcPr>
            <w:tcW w:w="1111"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bCs/>
                <w:kern w:val="0"/>
                <w:szCs w:val="21"/>
              </w:rPr>
            </w:pPr>
            <w:r>
              <w:rPr>
                <w:rFonts w:ascii="仿宋_GB2312" w:hAnsi="仿宋_GB2312" w:eastAsia="仿宋_GB2312" w:cs="Times New Roman"/>
                <w:bCs/>
                <w:kern w:val="0"/>
                <w:szCs w:val="21"/>
              </w:rPr>
              <w:t>预算投资（万元）</w:t>
            </w:r>
          </w:p>
        </w:tc>
        <w:tc>
          <w:tcPr>
            <w:tcW w:w="96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bCs/>
                <w:kern w:val="0"/>
                <w:szCs w:val="21"/>
              </w:rPr>
            </w:pPr>
            <w:r>
              <w:rPr>
                <w:rFonts w:ascii="仿宋_GB2312" w:hAnsi="仿宋_GB2312" w:eastAsia="仿宋_GB2312" w:cs="Times New Roman"/>
                <w:bCs/>
                <w:kern w:val="0"/>
                <w:szCs w:val="21"/>
              </w:rPr>
              <w:t>实际</w:t>
            </w:r>
          </w:p>
          <w:p>
            <w:pPr>
              <w:widowControl/>
              <w:adjustRightInd w:val="0"/>
              <w:snapToGrid w:val="0"/>
              <w:spacing w:line="280" w:lineRule="exact"/>
              <w:jc w:val="center"/>
              <w:rPr>
                <w:rFonts w:ascii="Times New Roman" w:hAnsi="Times New Roman" w:eastAsia="仿宋_GB2312" w:cs="Times New Roman"/>
                <w:bCs/>
                <w:kern w:val="0"/>
                <w:szCs w:val="21"/>
              </w:rPr>
            </w:pPr>
            <w:r>
              <w:rPr>
                <w:rFonts w:ascii="仿宋_GB2312" w:hAnsi="仿宋_GB2312" w:eastAsia="仿宋_GB2312" w:cs="Times New Roman"/>
                <w:bCs/>
                <w:kern w:val="0"/>
                <w:szCs w:val="21"/>
              </w:rPr>
              <w:t>投资</w:t>
            </w:r>
          </w:p>
          <w:p>
            <w:pPr>
              <w:widowControl/>
              <w:adjustRightInd w:val="0"/>
              <w:snapToGrid w:val="0"/>
              <w:spacing w:line="280" w:lineRule="exact"/>
              <w:jc w:val="center"/>
              <w:rPr>
                <w:rFonts w:ascii="Times New Roman" w:hAnsi="Times New Roman" w:eastAsia="仿宋_GB2312" w:cs="Times New Roman"/>
                <w:bCs/>
                <w:kern w:val="0"/>
                <w:szCs w:val="21"/>
              </w:rPr>
            </w:pPr>
            <w:r>
              <w:rPr>
                <w:rFonts w:ascii="仿宋_GB2312" w:hAnsi="仿宋_GB2312" w:eastAsia="仿宋_GB2312" w:cs="Times New Roman"/>
                <w:bCs/>
                <w:kern w:val="0"/>
                <w:szCs w:val="21"/>
              </w:rPr>
              <w:t>（万元）</w:t>
            </w:r>
          </w:p>
        </w:tc>
        <w:tc>
          <w:tcPr>
            <w:tcW w:w="1065"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bCs/>
                <w:kern w:val="0"/>
                <w:szCs w:val="21"/>
              </w:rPr>
            </w:pPr>
            <w:r>
              <w:rPr>
                <w:rFonts w:ascii="仿宋_GB2312" w:hAnsi="仿宋_GB2312" w:eastAsia="仿宋_GB2312" w:cs="Times New Roman"/>
                <w:bCs/>
                <w:kern w:val="0"/>
                <w:szCs w:val="21"/>
              </w:rPr>
              <w:t>投资</w:t>
            </w:r>
          </w:p>
          <w:p>
            <w:pPr>
              <w:widowControl/>
              <w:adjustRightInd w:val="0"/>
              <w:snapToGrid w:val="0"/>
              <w:spacing w:line="280" w:lineRule="exact"/>
              <w:jc w:val="center"/>
              <w:rPr>
                <w:rFonts w:ascii="Times New Roman" w:hAnsi="Times New Roman" w:eastAsia="仿宋_GB2312" w:cs="Times New Roman"/>
                <w:bCs/>
                <w:kern w:val="0"/>
                <w:szCs w:val="21"/>
              </w:rPr>
            </w:pPr>
            <w:r>
              <w:rPr>
                <w:rFonts w:ascii="仿宋_GB2312" w:hAnsi="仿宋_GB2312" w:eastAsia="仿宋_GB2312" w:cs="Times New Roman"/>
                <w:bCs/>
                <w:kern w:val="0"/>
                <w:szCs w:val="21"/>
              </w:rPr>
              <w:t>概算</w:t>
            </w:r>
          </w:p>
          <w:p>
            <w:pPr>
              <w:widowControl/>
              <w:adjustRightInd w:val="0"/>
              <w:snapToGrid w:val="0"/>
              <w:spacing w:line="280" w:lineRule="exact"/>
              <w:jc w:val="center"/>
              <w:rPr>
                <w:rFonts w:ascii="Times New Roman" w:hAnsi="Times New Roman" w:eastAsia="仿宋_GB2312" w:cs="Times New Roman"/>
                <w:bCs/>
                <w:kern w:val="0"/>
                <w:szCs w:val="21"/>
              </w:rPr>
            </w:pPr>
            <w:r>
              <w:rPr>
                <w:rFonts w:ascii="仿宋_GB2312" w:hAnsi="仿宋_GB2312" w:eastAsia="仿宋_GB2312" w:cs="Times New Roman"/>
                <w:bCs/>
                <w:kern w:val="0"/>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kern w:val="0"/>
                <w:szCs w:val="21"/>
              </w:rPr>
            </w:pPr>
            <w:r>
              <w:rPr>
                <w:rFonts w:ascii="仿宋_GB2312" w:hAnsi="仿宋_GB2312" w:eastAsia="仿宋_GB2312" w:cs="Times New Roman"/>
                <w:kern w:val="0"/>
                <w:szCs w:val="21"/>
              </w:rPr>
              <w:t>　</w:t>
            </w:r>
          </w:p>
        </w:tc>
        <w:tc>
          <w:tcPr>
            <w:tcW w:w="992"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kern w:val="0"/>
                <w:szCs w:val="21"/>
              </w:rPr>
            </w:pPr>
            <w:r>
              <w:rPr>
                <w:rFonts w:ascii="仿宋_GB2312" w:hAnsi="仿宋_GB2312" w:eastAsia="仿宋_GB2312" w:cs="Times New Roman"/>
                <w:kern w:val="0"/>
                <w:szCs w:val="21"/>
              </w:rPr>
              <w:t>　</w:t>
            </w:r>
          </w:p>
        </w:tc>
        <w:tc>
          <w:tcPr>
            <w:tcW w:w="110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kern w:val="0"/>
                <w:szCs w:val="21"/>
              </w:rPr>
            </w:pPr>
            <w:r>
              <w:rPr>
                <w:rFonts w:ascii="仿宋_GB2312" w:hAnsi="仿宋_GB2312" w:eastAsia="仿宋_GB2312" w:cs="Times New Roman"/>
                <w:kern w:val="0"/>
                <w:szCs w:val="21"/>
              </w:rPr>
              <w:t>　</w:t>
            </w:r>
          </w:p>
        </w:tc>
        <w:tc>
          <w:tcPr>
            <w:tcW w:w="1111"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kern w:val="0"/>
                <w:szCs w:val="21"/>
              </w:rPr>
            </w:pPr>
            <w:r>
              <w:rPr>
                <w:rFonts w:ascii="仿宋_GB2312" w:hAnsi="仿宋_GB2312" w:eastAsia="仿宋_GB2312" w:cs="Times New Roman"/>
                <w:kern w:val="0"/>
                <w:szCs w:val="21"/>
              </w:rPr>
              <w:t>　</w:t>
            </w:r>
          </w:p>
        </w:tc>
        <w:tc>
          <w:tcPr>
            <w:tcW w:w="96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kern w:val="0"/>
                <w:szCs w:val="21"/>
              </w:rPr>
            </w:pPr>
            <w:r>
              <w:rPr>
                <w:rFonts w:ascii="仿宋_GB2312" w:hAnsi="仿宋_GB2312" w:eastAsia="仿宋_GB2312" w:cs="Times New Roman"/>
                <w:kern w:val="0"/>
                <w:szCs w:val="21"/>
              </w:rPr>
              <w:t>　</w:t>
            </w:r>
          </w:p>
        </w:tc>
        <w:tc>
          <w:tcPr>
            <w:tcW w:w="1065"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kern w:val="0"/>
                <w:szCs w:val="21"/>
              </w:rPr>
            </w:pPr>
            <w:r>
              <w:rPr>
                <w:rFonts w:ascii="仿宋_GB2312" w:hAnsi="仿宋_GB2312"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kern w:val="0"/>
                <w:szCs w:val="21"/>
              </w:rPr>
            </w:pPr>
            <w:r>
              <w:rPr>
                <w:rFonts w:ascii="仿宋_GB2312" w:hAnsi="仿宋_GB2312" w:eastAsia="仿宋_GB2312" w:cs="Times New Roman"/>
                <w:kern w:val="0"/>
                <w:szCs w:val="21"/>
              </w:rPr>
              <w:t>厉行节约保障措施</w:t>
            </w:r>
          </w:p>
        </w:tc>
        <w:tc>
          <w:tcPr>
            <w:tcW w:w="6521" w:type="dxa"/>
            <w:gridSpan w:val="6"/>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kern w:val="0"/>
                <w:szCs w:val="21"/>
              </w:rPr>
            </w:pPr>
            <w:r>
              <w:rPr>
                <w:rFonts w:ascii="仿宋_GB2312" w:hAnsi="仿宋_GB2312" w:eastAsia="仿宋_GB2312" w:cs="Times New Roman"/>
                <w:kern w:val="0"/>
                <w:szCs w:val="21"/>
              </w:rPr>
              <w:t>　</w:t>
            </w:r>
          </w:p>
        </w:tc>
      </w:tr>
    </w:tbl>
    <w:p>
      <w:pPr>
        <w:adjustRightInd w:val="0"/>
        <w:snapToGrid w:val="0"/>
        <w:spacing w:line="360" w:lineRule="exact"/>
        <w:rPr>
          <w:rFonts w:ascii="Times New Roman" w:hAnsi="Times New Roman" w:eastAsia="仿宋_GB2312" w:cs="Times New Roman"/>
          <w:kern w:val="0"/>
          <w:sz w:val="22"/>
        </w:rPr>
      </w:pPr>
      <w:r>
        <w:rPr>
          <w:rFonts w:hint="eastAsia" w:ascii="宋体" w:hAnsi="宋体" w:eastAsia="宋体" w:cs="宋体"/>
          <w:kern w:val="0"/>
          <w:sz w:val="22"/>
        </w:rPr>
        <w:t>说明：</w:t>
      </w:r>
      <w:r>
        <w:rPr>
          <w:rFonts w:ascii="Times New Roman" w:hAnsi="Times New Roman" w:eastAsia="仿宋_GB2312" w:cs="Times New Roman"/>
          <w:kern w:val="0"/>
          <w:sz w:val="22"/>
        </w:rPr>
        <w:t>“</w:t>
      </w:r>
      <w:r>
        <w:rPr>
          <w:rFonts w:hint="eastAsia" w:ascii="宋体" w:hAnsi="宋体" w:eastAsia="宋体" w:cs="宋体"/>
          <w:kern w:val="0"/>
          <w:sz w:val="22"/>
        </w:rPr>
        <w:t>项目支出</w:t>
      </w:r>
      <w:r>
        <w:rPr>
          <w:rFonts w:ascii="Times New Roman" w:hAnsi="Times New Roman" w:eastAsia="仿宋_GB2312" w:cs="Times New Roman"/>
          <w:kern w:val="0"/>
          <w:sz w:val="22"/>
        </w:rPr>
        <w:t>”</w:t>
      </w:r>
      <w:r>
        <w:rPr>
          <w:rFonts w:hint="eastAsia" w:ascii="宋体" w:hAnsi="宋体" w:eastAsia="宋体" w:cs="宋体"/>
          <w:kern w:val="0"/>
          <w:sz w:val="22"/>
        </w:rPr>
        <w:t>需要填报基本支出以外的所有项目支出情况，</w:t>
      </w:r>
      <w:r>
        <w:rPr>
          <w:rFonts w:ascii="Times New Roman" w:hAnsi="Times New Roman" w:eastAsia="仿宋_GB2312" w:cs="Times New Roman"/>
          <w:kern w:val="0"/>
          <w:sz w:val="22"/>
        </w:rPr>
        <w:t>“</w:t>
      </w:r>
      <w:r>
        <w:rPr>
          <w:rFonts w:hint="eastAsia" w:ascii="宋体" w:hAnsi="宋体" w:eastAsia="宋体" w:cs="宋体"/>
          <w:kern w:val="0"/>
          <w:sz w:val="22"/>
        </w:rPr>
        <w:t>公用经费</w:t>
      </w:r>
      <w:r>
        <w:rPr>
          <w:rFonts w:ascii="Times New Roman" w:hAnsi="Times New Roman" w:eastAsia="仿宋_GB2312" w:cs="Times New Roman"/>
          <w:kern w:val="0"/>
          <w:sz w:val="22"/>
        </w:rPr>
        <w:t>”</w:t>
      </w:r>
      <w:r>
        <w:rPr>
          <w:rFonts w:hint="eastAsia" w:ascii="宋体" w:hAnsi="宋体" w:eastAsia="宋体" w:cs="宋体"/>
          <w:kern w:val="0"/>
          <w:sz w:val="22"/>
        </w:rPr>
        <w:t>填报基本支出中的一般商品和服务支出。</w:t>
      </w:r>
    </w:p>
    <w:p>
      <w:pPr>
        <w:adjustRightInd w:val="0"/>
        <w:snapToGrid w:val="0"/>
        <w:spacing w:line="579" w:lineRule="atLeast"/>
        <w:outlineLvl w:val="1"/>
        <w:rPr>
          <w:rFonts w:ascii="Times New Roman" w:hAnsi="Times New Roman" w:eastAsia="黑体" w:cs="Times New Roman"/>
          <w:b/>
          <w:bCs/>
          <w:sz w:val="32"/>
          <w:szCs w:val="32"/>
        </w:rPr>
      </w:pPr>
      <w:r>
        <w:rPr>
          <w:rFonts w:ascii="Times New Roman" w:hAnsi="Times New Roman" w:eastAsia="黑体" w:cs="Times New Roman"/>
          <w:b/>
          <w:bCs/>
          <w:kern w:val="0"/>
          <w:sz w:val="22"/>
        </w:rPr>
        <w:br w:type="page"/>
      </w:r>
      <w:r>
        <w:rPr>
          <w:rFonts w:ascii="黑体" w:hAnsi="黑体" w:eastAsia="黑体" w:cs="Times New Roman"/>
          <w:b/>
          <w:bCs/>
          <w:sz w:val="32"/>
          <w:szCs w:val="32"/>
        </w:rPr>
        <w:t>附件</w:t>
      </w:r>
      <w:r>
        <w:rPr>
          <w:rFonts w:ascii="Times New Roman" w:hAnsi="Times New Roman" w:eastAsia="黑体" w:cs="Times New Roman"/>
          <w:b/>
          <w:bCs/>
          <w:sz w:val="32"/>
          <w:szCs w:val="32"/>
        </w:rPr>
        <w:t>2</w:t>
      </w:r>
    </w:p>
    <w:p>
      <w:pPr>
        <w:adjustRightInd w:val="0"/>
        <w:snapToGrid w:val="0"/>
        <w:spacing w:before="78" w:beforeLines="25" w:line="500" w:lineRule="exact"/>
        <w:jc w:val="center"/>
        <w:outlineLvl w:val="0"/>
        <w:rPr>
          <w:rFonts w:ascii="Times New Roman" w:hAnsi="Times New Roman" w:eastAsia="方正小标宋简体" w:cs="Times New Roman"/>
          <w:b/>
          <w:bCs/>
          <w:kern w:val="44"/>
          <w:sz w:val="36"/>
          <w:szCs w:val="36"/>
        </w:rPr>
      </w:pPr>
      <w:r>
        <w:rPr>
          <w:rFonts w:hint="eastAsia" w:ascii="宋体" w:hAnsi="宋体" w:eastAsia="宋体" w:cs="宋体"/>
          <w:b/>
          <w:bCs/>
          <w:kern w:val="44"/>
          <w:sz w:val="36"/>
          <w:szCs w:val="36"/>
        </w:rPr>
        <w:t>部门整体支出绩效自评</w:t>
      </w:r>
      <w:r>
        <w:rPr>
          <w:rFonts w:ascii="宋体" w:hAnsi="宋体" w:eastAsia="宋体" w:cs="宋体"/>
          <w:b/>
          <w:bCs/>
          <w:kern w:val="44"/>
          <w:sz w:val="36"/>
          <w:szCs w:val="36"/>
        </w:rPr>
        <w:t>表</w:t>
      </w:r>
    </w:p>
    <w:p>
      <w:pPr>
        <w:widowControl/>
        <w:adjustRightInd w:val="0"/>
        <w:snapToGrid w:val="0"/>
        <w:spacing w:line="579" w:lineRule="atLeas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w:t>
      </w:r>
      <w:r>
        <w:rPr>
          <w:rFonts w:ascii="Times New Roman" w:hAnsi="Times New Roman" w:eastAsia="仿宋_GB2312" w:cs="Times New Roman"/>
          <w:color w:val="000000"/>
          <w:kern w:val="0"/>
          <w:szCs w:val="21"/>
        </w:rPr>
        <w:t xml:space="preserve">  </w:t>
      </w:r>
      <w:r>
        <w:rPr>
          <w:rFonts w:hint="eastAsia" w:ascii="Times New Roman" w:hAnsi="Times New Roman" w:cs="Times New Roman"/>
          <w:color w:val="000000"/>
          <w:kern w:val="0"/>
          <w:szCs w:val="21"/>
        </w:rPr>
        <w:t>2024</w:t>
      </w:r>
      <w:r>
        <w:rPr>
          <w:rFonts w:ascii="Times New Roman" w:hAnsi="Times New Roman" w:eastAsia="仿宋_GB2312" w:cs="Times New Roman"/>
          <w:color w:val="000000"/>
          <w:kern w:val="0"/>
          <w:szCs w:val="21"/>
        </w:rPr>
        <w:t xml:space="preserve"> </w:t>
      </w:r>
      <w:r>
        <w:rPr>
          <w:rFonts w:ascii="仿宋_GB2312" w:hAnsi="仿宋_GB2312" w:eastAsia="仿宋_GB2312" w:cs="Times New Roman"/>
          <w:color w:val="000000"/>
          <w:kern w:val="0"/>
          <w:szCs w:val="21"/>
        </w:rPr>
        <w:t>年度）</w:t>
      </w:r>
    </w:p>
    <w:tbl>
      <w:tblPr>
        <w:tblStyle w:val="13"/>
        <w:tblW w:w="103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395"/>
        <w:gridCol w:w="1252"/>
        <w:gridCol w:w="1114"/>
        <w:gridCol w:w="95"/>
        <w:gridCol w:w="1200"/>
        <w:gridCol w:w="1134"/>
        <w:gridCol w:w="709"/>
        <w:gridCol w:w="898"/>
        <w:gridCol w:w="1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省级预算部门名称</w:t>
            </w:r>
          </w:p>
        </w:tc>
        <w:tc>
          <w:tcPr>
            <w:tcW w:w="9243" w:type="dxa"/>
            <w:gridSpan w:val="9"/>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hint="eastAsia" w:ascii="仿宋_GB2312" w:hAnsi="仿宋_GB2312" w:cs="Times New Roman"/>
                <w:color w:val="000000"/>
                <w:kern w:val="0"/>
                <w:szCs w:val="21"/>
              </w:rPr>
              <w:t>湖南省农药检定所</w:t>
            </w:r>
            <w:r>
              <w:rPr>
                <w:rFonts w:ascii="仿宋_GB2312" w:hAnsi="仿宋_GB2312"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年度预</w:t>
            </w:r>
          </w:p>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算申请</w:t>
            </w:r>
            <w:r>
              <w:rPr>
                <w:rFonts w:ascii="Times New Roman" w:hAnsi="Times New Roman" w:eastAsia="仿宋_GB2312" w:cs="Times New Roman"/>
                <w:color w:val="000000"/>
                <w:kern w:val="0"/>
                <w:szCs w:val="21"/>
              </w:rPr>
              <w:br w:type="textWrapping"/>
            </w:r>
            <w:r>
              <w:rPr>
                <w:rFonts w:ascii="仿宋_GB2312" w:hAnsi="仿宋_GB2312" w:eastAsia="仿宋_GB2312" w:cs="Times New Roman"/>
                <w:color w:val="000000"/>
                <w:kern w:val="0"/>
                <w:szCs w:val="21"/>
              </w:rPr>
              <w:t>（万元）</w:t>
            </w:r>
          </w:p>
        </w:tc>
        <w:tc>
          <w:tcPr>
            <w:tcW w:w="2647" w:type="dxa"/>
            <w:gridSpan w:val="2"/>
            <w:tcBorders>
              <w:top w:val="single" w:color="auto" w:sz="4" w:space="0"/>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eastAsia="仿宋_GB2312" w:cs="Times New Roman"/>
                <w:szCs w:val="21"/>
              </w:rPr>
            </w:pPr>
          </w:p>
        </w:tc>
        <w:tc>
          <w:tcPr>
            <w:tcW w:w="1114" w:type="dxa"/>
            <w:tcBorders>
              <w:top w:val="single" w:color="auto" w:sz="4" w:space="0"/>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eastAsia="仿宋_GB2312" w:cs="Times New Roman"/>
                <w:szCs w:val="21"/>
              </w:rPr>
            </w:pPr>
            <w:r>
              <w:rPr>
                <w:rFonts w:ascii="仿宋_GB2312" w:hAnsi="仿宋_GB2312" w:eastAsia="仿宋_GB2312" w:cs="Times New Roman"/>
                <w:szCs w:val="21"/>
              </w:rPr>
              <w:t>年初</w:t>
            </w:r>
          </w:p>
          <w:p>
            <w:pPr>
              <w:adjustRightInd w:val="0"/>
              <w:snapToGrid w:val="0"/>
              <w:spacing w:line="280" w:lineRule="exact"/>
              <w:jc w:val="center"/>
              <w:rPr>
                <w:rFonts w:ascii="Times New Roman" w:hAnsi="Times New Roman" w:eastAsia="仿宋_GB2312" w:cs="Times New Roman"/>
                <w:szCs w:val="21"/>
              </w:rPr>
            </w:pPr>
            <w:r>
              <w:rPr>
                <w:rFonts w:ascii="仿宋_GB2312" w:hAnsi="仿宋_GB2312" w:eastAsia="仿宋_GB2312" w:cs="Times New Roman"/>
                <w:szCs w:val="21"/>
              </w:rPr>
              <w:t>预算数</w:t>
            </w:r>
          </w:p>
        </w:tc>
        <w:tc>
          <w:tcPr>
            <w:tcW w:w="1295" w:type="dxa"/>
            <w:gridSpan w:val="2"/>
            <w:tcBorders>
              <w:top w:val="single" w:color="auto" w:sz="4" w:space="0"/>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eastAsia="仿宋_GB2312" w:cs="Times New Roman"/>
                <w:szCs w:val="21"/>
              </w:rPr>
            </w:pPr>
            <w:r>
              <w:rPr>
                <w:rFonts w:ascii="仿宋_GB2312" w:hAnsi="仿宋_GB2312" w:eastAsia="仿宋_GB2312" w:cs="Times New Roman"/>
                <w:szCs w:val="21"/>
              </w:rPr>
              <w:t>全年预算数</w:t>
            </w:r>
          </w:p>
        </w:tc>
        <w:tc>
          <w:tcPr>
            <w:tcW w:w="1134" w:type="dxa"/>
            <w:tcBorders>
              <w:top w:val="single" w:color="auto" w:sz="4" w:space="0"/>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eastAsia="仿宋_GB2312" w:cs="Times New Roman"/>
                <w:szCs w:val="21"/>
              </w:rPr>
            </w:pPr>
            <w:r>
              <w:rPr>
                <w:rFonts w:ascii="仿宋_GB2312" w:hAnsi="仿宋_GB2312" w:eastAsia="仿宋_GB2312" w:cs="Times New Roman"/>
                <w:szCs w:val="21"/>
              </w:rPr>
              <w:t>全年</w:t>
            </w:r>
          </w:p>
          <w:p>
            <w:pPr>
              <w:adjustRightInd w:val="0"/>
              <w:snapToGrid w:val="0"/>
              <w:spacing w:line="280" w:lineRule="exact"/>
              <w:jc w:val="center"/>
              <w:rPr>
                <w:rFonts w:ascii="Times New Roman" w:hAnsi="Times New Roman" w:eastAsia="仿宋_GB2312" w:cs="Times New Roman"/>
                <w:szCs w:val="21"/>
              </w:rPr>
            </w:pPr>
            <w:r>
              <w:rPr>
                <w:rFonts w:ascii="仿宋_GB2312" w:hAnsi="仿宋_GB2312" w:eastAsia="仿宋_GB2312" w:cs="Times New Roman"/>
                <w:szCs w:val="21"/>
              </w:rPr>
              <w:t>执行数</w:t>
            </w:r>
          </w:p>
        </w:tc>
        <w:tc>
          <w:tcPr>
            <w:tcW w:w="709" w:type="dxa"/>
            <w:tcBorders>
              <w:top w:val="single" w:color="auto" w:sz="4" w:space="0"/>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eastAsia="仿宋_GB2312" w:cs="Times New Roman"/>
                <w:szCs w:val="21"/>
              </w:rPr>
            </w:pPr>
            <w:r>
              <w:rPr>
                <w:rFonts w:ascii="仿宋_GB2312" w:hAnsi="仿宋_GB2312" w:eastAsia="仿宋_GB2312" w:cs="Times New Roman"/>
                <w:szCs w:val="21"/>
              </w:rPr>
              <w:t>分值</w:t>
            </w:r>
          </w:p>
        </w:tc>
        <w:tc>
          <w:tcPr>
            <w:tcW w:w="898" w:type="dxa"/>
            <w:tcBorders>
              <w:top w:val="single" w:color="auto" w:sz="4" w:space="0"/>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eastAsia="仿宋_GB2312" w:cs="Times New Roman"/>
                <w:szCs w:val="21"/>
              </w:rPr>
            </w:pPr>
            <w:r>
              <w:rPr>
                <w:rFonts w:ascii="仿宋_GB2312" w:hAnsi="仿宋_GB2312" w:eastAsia="仿宋_GB2312" w:cs="Times New Roman"/>
                <w:szCs w:val="21"/>
              </w:rPr>
              <w:t>执行率</w:t>
            </w:r>
          </w:p>
        </w:tc>
        <w:tc>
          <w:tcPr>
            <w:tcW w:w="1446" w:type="dxa"/>
            <w:tcBorders>
              <w:top w:val="single" w:color="auto" w:sz="4" w:space="0"/>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eastAsia="仿宋_GB2312" w:cs="Times New Roman"/>
                <w:szCs w:val="21"/>
              </w:rPr>
            </w:pPr>
            <w:r>
              <w:rPr>
                <w:rFonts w:ascii="仿宋_GB2312" w:hAnsi="仿宋_GB2312" w:eastAsia="仿宋_GB2312" w:cs="Times New Roman"/>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2647" w:type="dxa"/>
            <w:gridSpan w:val="2"/>
            <w:tcBorders>
              <w:top w:val="single" w:color="auto" w:sz="4" w:space="0"/>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eastAsia="仿宋_GB2312" w:cs="Times New Roman"/>
                <w:szCs w:val="21"/>
              </w:rPr>
            </w:pPr>
            <w:r>
              <w:rPr>
                <w:rFonts w:ascii="仿宋_GB2312" w:hAnsi="仿宋_GB2312" w:eastAsia="仿宋_GB2312" w:cs="Times New Roman"/>
                <w:color w:val="000000"/>
                <w:kern w:val="0"/>
                <w:szCs w:val="21"/>
              </w:rPr>
              <w:t>年度资金总额</w:t>
            </w:r>
          </w:p>
        </w:tc>
        <w:tc>
          <w:tcPr>
            <w:tcW w:w="1114" w:type="dxa"/>
            <w:tcBorders>
              <w:top w:val="single" w:color="auto" w:sz="4" w:space="0"/>
              <w:left w:val="nil"/>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仿宋_GB2312" w:cs="Times New Roman"/>
                <w:szCs w:val="21"/>
                <w:highlight w:val="none"/>
                <w:lang w:val="en-US" w:eastAsia="zh-CN"/>
              </w:rPr>
            </w:pPr>
            <w:r>
              <w:rPr>
                <w:rFonts w:hint="eastAsia" w:ascii="Times New Roman" w:hAnsi="Times New Roman" w:eastAsia="仿宋_GB2312" w:cs="Times New Roman"/>
                <w:szCs w:val="21"/>
                <w:highlight w:val="none"/>
                <w:lang w:val="en-US" w:eastAsia="zh-CN"/>
              </w:rPr>
              <w:t>1880.49</w:t>
            </w:r>
          </w:p>
        </w:tc>
        <w:tc>
          <w:tcPr>
            <w:tcW w:w="1295" w:type="dxa"/>
            <w:gridSpan w:val="2"/>
            <w:tcBorders>
              <w:top w:val="single" w:color="auto" w:sz="4" w:space="0"/>
              <w:left w:val="nil"/>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仿宋_GB2312" w:cs="Times New Roman"/>
                <w:szCs w:val="21"/>
                <w:highlight w:val="none"/>
                <w:lang w:val="en-US" w:eastAsia="zh-CN"/>
              </w:rPr>
            </w:pPr>
            <w:r>
              <w:rPr>
                <w:rFonts w:hint="eastAsia" w:ascii="Times New Roman" w:hAnsi="Times New Roman" w:eastAsia="仿宋_GB2312" w:cs="Times New Roman"/>
                <w:szCs w:val="21"/>
                <w:highlight w:val="none"/>
                <w:lang w:val="en-US" w:eastAsia="zh-CN"/>
              </w:rPr>
              <w:t>1962.69</w:t>
            </w:r>
          </w:p>
        </w:tc>
        <w:tc>
          <w:tcPr>
            <w:tcW w:w="1134" w:type="dxa"/>
            <w:tcBorders>
              <w:top w:val="single" w:color="auto" w:sz="4" w:space="0"/>
              <w:left w:val="nil"/>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仿宋_GB2312" w:cs="Times New Roman"/>
                <w:szCs w:val="21"/>
                <w:highlight w:val="none"/>
                <w:lang w:val="en-US" w:eastAsia="zh-CN"/>
              </w:rPr>
            </w:pPr>
            <w:r>
              <w:rPr>
                <w:rFonts w:hint="eastAsia" w:ascii="Times New Roman" w:hAnsi="Times New Roman" w:eastAsia="仿宋_GB2312" w:cs="Times New Roman"/>
                <w:szCs w:val="21"/>
                <w:highlight w:val="none"/>
                <w:lang w:val="en-US" w:eastAsia="zh-CN"/>
              </w:rPr>
              <w:t>1928.52</w:t>
            </w:r>
          </w:p>
        </w:tc>
        <w:tc>
          <w:tcPr>
            <w:tcW w:w="709" w:type="dxa"/>
            <w:tcBorders>
              <w:top w:val="single" w:color="auto" w:sz="4" w:space="0"/>
              <w:left w:val="nil"/>
              <w:bottom w:val="single" w:color="auto" w:sz="4" w:space="0"/>
              <w:right w:val="single" w:color="auto" w:sz="4" w:space="0"/>
            </w:tcBorders>
            <w:vAlign w:val="center"/>
          </w:tcPr>
          <w:p>
            <w:pPr>
              <w:adjustRightInd w:val="0"/>
              <w:snapToGrid w:val="0"/>
              <w:spacing w:line="280" w:lineRule="exact"/>
              <w:jc w:val="center"/>
              <w:rPr>
                <w:rFonts w:ascii="Times New Roman" w:hAnsi="Times New Roman" w:eastAsia="仿宋_GB2312" w:cs="Times New Roman"/>
                <w:szCs w:val="21"/>
              </w:rPr>
            </w:pPr>
            <w:r>
              <w:rPr>
                <w:rFonts w:ascii="Times New Roman" w:hAnsi="Times New Roman" w:eastAsia="仿宋_GB2312" w:cs="Times New Roman"/>
                <w:szCs w:val="21"/>
              </w:rPr>
              <w:t>10</w:t>
            </w:r>
          </w:p>
        </w:tc>
        <w:tc>
          <w:tcPr>
            <w:tcW w:w="898" w:type="dxa"/>
            <w:tcBorders>
              <w:top w:val="single" w:color="auto" w:sz="4" w:space="0"/>
              <w:left w:val="nil"/>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仿宋_GB2312" w:cs="Times New Roman"/>
                <w:szCs w:val="21"/>
                <w:lang w:val="en-US" w:eastAsia="zh-CN"/>
              </w:rPr>
            </w:pPr>
            <w:r>
              <w:rPr>
                <w:rFonts w:hint="eastAsia" w:ascii="Times New Roman" w:hAnsi="Times New Roman" w:eastAsia="仿宋_GB2312" w:cs="Times New Roman"/>
                <w:szCs w:val="21"/>
                <w:lang w:val="en-US" w:eastAsia="zh-CN"/>
              </w:rPr>
              <w:t>98.29</w:t>
            </w:r>
          </w:p>
        </w:tc>
        <w:tc>
          <w:tcPr>
            <w:tcW w:w="1446" w:type="dxa"/>
            <w:tcBorders>
              <w:top w:val="single" w:color="auto" w:sz="4" w:space="0"/>
              <w:left w:val="nil"/>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9.83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5056" w:type="dxa"/>
            <w:gridSpan w:val="5"/>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按收入性质分：</w:t>
            </w:r>
            <w:r>
              <w:rPr>
                <w:rFonts w:hint="eastAsia" w:ascii="仿宋_GB2312" w:hAnsi="仿宋_GB2312" w:eastAsia="仿宋_GB2312" w:cs="Times New Roman"/>
                <w:color w:val="000000"/>
                <w:kern w:val="0"/>
                <w:szCs w:val="21"/>
              </w:rPr>
              <w:t>1844.80</w:t>
            </w:r>
          </w:p>
        </w:tc>
        <w:tc>
          <w:tcPr>
            <w:tcW w:w="4187" w:type="dxa"/>
            <w:gridSpan w:val="4"/>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5056" w:type="dxa"/>
            <w:gridSpan w:val="5"/>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hint="default" w:ascii="Times New Roman" w:hAnsi="Times New Roman" w:eastAsia="仿宋_GB2312" w:cs="Times New Roman"/>
                <w:color w:val="000000"/>
                <w:kern w:val="0"/>
                <w:szCs w:val="21"/>
                <w:lang w:val="en-US" w:eastAsia="zh-CN"/>
              </w:rPr>
            </w:pPr>
            <w:r>
              <w:rPr>
                <w:rFonts w:ascii="Times New Roman" w:hAnsi="Times New Roman" w:eastAsia="仿宋_GB2312" w:cs="Times New Roman"/>
                <w:color w:val="000000"/>
                <w:kern w:val="0"/>
                <w:szCs w:val="21"/>
              </w:rPr>
              <w:t xml:space="preserve">  </w:t>
            </w:r>
            <w:r>
              <w:rPr>
                <w:rFonts w:ascii="仿宋_GB2312" w:hAnsi="仿宋_GB2312" w:eastAsia="仿宋_GB2312" w:cs="Times New Roman"/>
                <w:color w:val="000000"/>
                <w:kern w:val="0"/>
                <w:szCs w:val="21"/>
              </w:rPr>
              <w:t>其中：</w:t>
            </w:r>
            <w:r>
              <w:rPr>
                <w:rFonts w:ascii="Times New Roman" w:hAnsi="Times New Roman" w:eastAsia="仿宋_GB2312" w:cs="Times New Roman"/>
                <w:color w:val="000000"/>
                <w:kern w:val="0"/>
                <w:szCs w:val="21"/>
              </w:rPr>
              <w:t xml:space="preserve">  </w:t>
            </w:r>
            <w:r>
              <w:rPr>
                <w:rFonts w:ascii="仿宋_GB2312" w:hAnsi="仿宋_GB2312" w:eastAsia="仿宋_GB2312" w:cs="Times New Roman"/>
                <w:color w:val="000000"/>
                <w:kern w:val="0"/>
                <w:szCs w:val="21"/>
              </w:rPr>
              <w:t>一般公共预算：</w:t>
            </w:r>
            <w:r>
              <w:rPr>
                <w:rFonts w:hint="eastAsia" w:ascii="仿宋_GB2312" w:hAnsi="仿宋_GB2312" w:eastAsia="仿宋_GB2312" w:cs="Times New Roman"/>
                <w:color w:val="000000"/>
                <w:kern w:val="0"/>
                <w:szCs w:val="21"/>
                <w:lang w:val="en-US" w:eastAsia="zh-CN"/>
              </w:rPr>
              <w:t>1962.69</w:t>
            </w:r>
          </w:p>
        </w:tc>
        <w:tc>
          <w:tcPr>
            <w:tcW w:w="4187" w:type="dxa"/>
            <w:gridSpan w:val="4"/>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其中：基本支出：</w:t>
            </w:r>
            <w:r>
              <w:rPr>
                <w:rFonts w:hint="eastAsia" w:ascii="仿宋_GB2312" w:hAnsi="仿宋_GB2312" w:eastAsia="仿宋_GB2312" w:cs="Times New Roman"/>
                <w:color w:val="000000"/>
                <w:kern w:val="0"/>
                <w:szCs w:val="21"/>
              </w:rPr>
              <w:t>896.21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5056" w:type="dxa"/>
            <w:gridSpan w:val="5"/>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ind w:firstLine="840" w:firstLineChars="400"/>
              <w:jc w:val="left"/>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政府性基金拨款：</w:t>
            </w:r>
          </w:p>
        </w:tc>
        <w:tc>
          <w:tcPr>
            <w:tcW w:w="4187" w:type="dxa"/>
            <w:gridSpan w:val="4"/>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ind w:firstLine="630" w:firstLineChars="300"/>
              <w:jc w:val="left"/>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项目支出：</w:t>
            </w:r>
            <w:r>
              <w:rPr>
                <w:rFonts w:hint="eastAsia" w:ascii="仿宋_GB2312" w:hAnsi="仿宋_GB2312" w:eastAsia="仿宋_GB2312" w:cs="Times New Roman"/>
                <w:color w:val="000000"/>
                <w:kern w:val="0"/>
                <w:szCs w:val="21"/>
              </w:rPr>
              <w:t>1032.31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5056" w:type="dxa"/>
            <w:gridSpan w:val="5"/>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纳入专户管理的非税收入拨款：</w:t>
            </w:r>
          </w:p>
        </w:tc>
        <w:tc>
          <w:tcPr>
            <w:tcW w:w="4187" w:type="dxa"/>
            <w:gridSpan w:val="4"/>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5056" w:type="dxa"/>
            <w:gridSpan w:val="5"/>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ind w:firstLine="1470" w:firstLineChars="700"/>
              <w:jc w:val="left"/>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其他资金：</w:t>
            </w:r>
          </w:p>
        </w:tc>
        <w:tc>
          <w:tcPr>
            <w:tcW w:w="4187" w:type="dxa"/>
            <w:gridSpan w:val="4"/>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年度总体目标</w:t>
            </w:r>
          </w:p>
        </w:tc>
        <w:tc>
          <w:tcPr>
            <w:tcW w:w="5056" w:type="dxa"/>
            <w:gridSpan w:val="5"/>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预期目标</w:t>
            </w:r>
          </w:p>
        </w:tc>
        <w:tc>
          <w:tcPr>
            <w:tcW w:w="4187" w:type="dxa"/>
            <w:gridSpan w:val="4"/>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5056" w:type="dxa"/>
            <w:gridSpan w:val="5"/>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hint="eastAsia" w:ascii="宋体" w:hAnsi="宋体" w:eastAsia="宋体" w:cs="宋体"/>
                <w:color w:val="000000"/>
                <w:sz w:val="12"/>
                <w:szCs w:val="12"/>
              </w:rPr>
            </w:pPr>
            <w:bookmarkStart w:id="13" w:name="OLE_LINK24"/>
            <w:r>
              <w:rPr>
                <w:rFonts w:hint="eastAsia" w:ascii="Times New Roman" w:hAnsi="Times New Roman" w:eastAsia="仿宋_GB2312"/>
                <w:color w:val="000000"/>
                <w:sz w:val="20"/>
                <w:szCs w:val="20"/>
              </w:rPr>
              <w:t>农药质量抽检合格率≥92%，农药标签抽查合格率≥83%；完成蔬菜、水果、茶叶、稻谷等</w:t>
            </w:r>
            <w:bookmarkStart w:id="14" w:name="OLE_LINK37"/>
            <w:r>
              <w:rPr>
                <w:rFonts w:hint="eastAsia" w:ascii="Times New Roman" w:hAnsi="Times New Roman" w:eastAsia="仿宋_GB2312"/>
                <w:color w:val="000000"/>
                <w:sz w:val="20"/>
                <w:szCs w:val="20"/>
              </w:rPr>
              <w:t>8240批次样品质量安全例行监测、监督抽查、风险评估与能力验</w:t>
            </w:r>
            <w:bookmarkEnd w:id="14"/>
            <w:r>
              <w:rPr>
                <w:rFonts w:hint="eastAsia" w:ascii="Times New Roman" w:hAnsi="Times New Roman" w:eastAsia="仿宋_GB2312"/>
                <w:color w:val="000000"/>
                <w:sz w:val="20"/>
                <w:szCs w:val="20"/>
              </w:rPr>
              <w:t>证工作。加强农药管理、检验检测等技术培训，确保基层单位参加培训率达90%以上；加强条例及配套规章宣贯、监督指导、考察学习、经验交流等日常工作开展；加强行业自律，规范评审、生产、经营、使用及证后监管等工作；加强重点课题研究及成果出版；全面提升农药监管能力与农产品质量安全检验检测水平。</w:t>
            </w:r>
            <w:bookmarkEnd w:id="13"/>
          </w:p>
        </w:tc>
        <w:tc>
          <w:tcPr>
            <w:tcW w:w="4187" w:type="dxa"/>
            <w:gridSpan w:val="4"/>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eastAsia="仿宋_GB2312"/>
                <w:color w:val="000000"/>
                <w:sz w:val="20"/>
                <w:szCs w:val="20"/>
              </w:rPr>
            </w:pPr>
            <w:r>
              <w:rPr>
                <w:rFonts w:ascii="仿宋_GB2312" w:hAnsi="仿宋_GB2312" w:eastAsia="仿宋_GB2312" w:cs="Times New Roman"/>
                <w:color w:val="000000"/>
                <w:kern w:val="0"/>
                <w:szCs w:val="21"/>
              </w:rPr>
              <w:t>　</w:t>
            </w:r>
            <w:r>
              <w:rPr>
                <w:rFonts w:ascii="Times New Roman" w:hAnsi="Times New Roman" w:eastAsia="仿宋_GB2312"/>
                <w:color w:val="000000"/>
                <w:sz w:val="20"/>
                <w:szCs w:val="20"/>
              </w:rPr>
              <w:t>一、</w:t>
            </w:r>
            <w:bookmarkStart w:id="15" w:name="OLE_LINK28"/>
            <w:r>
              <w:rPr>
                <w:rFonts w:ascii="Times New Roman" w:hAnsi="Times New Roman" w:eastAsia="仿宋_GB2312"/>
                <w:color w:val="000000"/>
                <w:sz w:val="20"/>
                <w:szCs w:val="20"/>
              </w:rPr>
              <w:t>严格行政许可审批，</w:t>
            </w:r>
            <w:r>
              <w:rPr>
                <w:rFonts w:hint="eastAsia" w:ascii="Times New Roman" w:hAnsi="Times New Roman" w:eastAsia="仿宋_GB2312"/>
                <w:color w:val="000000"/>
                <w:sz w:val="20"/>
                <w:szCs w:val="20"/>
              </w:rPr>
              <w:t>截至目前，全省共有农药生产企业36家，入园率80.6%，有效期内的登记产品760个。现有农药经营许可证14103张，其中限用经营许可证832个，较2023年减少69个。大力开展农药标准化门店示范创建，推行农药经营门店标准化管理和开方卖药服务，全省已创建农药标准化经营服务门店680个。</w:t>
            </w:r>
          </w:p>
          <w:p>
            <w:pPr>
              <w:widowControl/>
              <w:spacing w:line="240" w:lineRule="exact"/>
              <w:rPr>
                <w:rFonts w:ascii="Times New Roman" w:hAnsi="Times New Roman" w:eastAsia="仿宋_GB2312"/>
                <w:color w:val="000000"/>
                <w:sz w:val="20"/>
                <w:szCs w:val="20"/>
              </w:rPr>
            </w:pPr>
            <w:r>
              <w:rPr>
                <w:rFonts w:ascii="Times New Roman" w:hAnsi="Times New Roman" w:eastAsia="仿宋_GB2312"/>
                <w:color w:val="000000"/>
                <w:sz w:val="20"/>
                <w:szCs w:val="20"/>
              </w:rPr>
              <w:t>　二、强化农药日常监管。</w:t>
            </w:r>
            <w:r>
              <w:rPr>
                <w:rFonts w:hint="eastAsia" w:ascii="Times New Roman" w:hAnsi="Times New Roman" w:eastAsia="仿宋_GB2312"/>
                <w:color w:val="000000"/>
                <w:sz w:val="20"/>
                <w:szCs w:val="20"/>
              </w:rPr>
              <w:t>2024年完成</w:t>
            </w:r>
            <w:bookmarkStart w:id="16" w:name="OLE_LINK32"/>
            <w:r>
              <w:rPr>
                <w:rFonts w:hint="eastAsia" w:ascii="Times New Roman" w:hAnsi="Times New Roman" w:eastAsia="仿宋_GB2312"/>
                <w:color w:val="000000"/>
                <w:sz w:val="20"/>
                <w:szCs w:val="20"/>
              </w:rPr>
              <w:t>部抽样品</w:t>
            </w:r>
            <w:bookmarkEnd w:id="16"/>
            <w:r>
              <w:rPr>
                <w:rFonts w:hint="eastAsia" w:ascii="Times New Roman" w:hAnsi="Times New Roman" w:eastAsia="仿宋_GB2312"/>
                <w:color w:val="000000"/>
                <w:sz w:val="20"/>
                <w:szCs w:val="20"/>
              </w:rPr>
              <w:t>200批次，合格率96.5%，完成</w:t>
            </w:r>
            <w:bookmarkStart w:id="17" w:name="OLE_LINK26"/>
            <w:r>
              <w:rPr>
                <w:rFonts w:hint="eastAsia" w:ascii="Times New Roman" w:hAnsi="Times New Roman" w:eastAsia="仿宋_GB2312"/>
                <w:color w:val="000000"/>
                <w:sz w:val="20"/>
                <w:szCs w:val="20"/>
              </w:rPr>
              <w:t>省抽样品</w:t>
            </w:r>
            <w:bookmarkEnd w:id="17"/>
            <w:r>
              <w:rPr>
                <w:rFonts w:hint="eastAsia" w:ascii="Times New Roman" w:hAnsi="Times New Roman" w:eastAsia="仿宋_GB2312"/>
                <w:color w:val="000000"/>
                <w:sz w:val="20"/>
                <w:szCs w:val="20"/>
              </w:rPr>
              <w:t>525批次，合格率97.3%。加强对农药生产、经营和登记试验单位的监督检查，联合厅法规处、各级农业农村部门共检查农药生产企业84家次、农药经营单位18557家次、农药登记试验单位11家次。加大普法宣传力度，发放宣传材料26万份，</w:t>
            </w:r>
            <w:bookmarkStart w:id="18" w:name="OLE_LINK33"/>
            <w:r>
              <w:rPr>
                <w:rFonts w:hint="eastAsia" w:ascii="Times New Roman" w:hAnsi="Times New Roman" w:eastAsia="仿宋_GB2312"/>
                <w:color w:val="000000"/>
                <w:sz w:val="20"/>
                <w:szCs w:val="20"/>
              </w:rPr>
              <w:t>开展农药监管、农药使用等相关培训</w:t>
            </w:r>
            <w:bookmarkEnd w:id="18"/>
            <w:r>
              <w:rPr>
                <w:rFonts w:hint="eastAsia" w:ascii="Times New Roman" w:hAnsi="Times New Roman" w:eastAsia="仿宋_GB2312"/>
                <w:color w:val="000000"/>
                <w:sz w:val="20"/>
                <w:szCs w:val="20"/>
              </w:rPr>
              <w:t>477场次，培训对象2.6万人次。推进农药监管信息化建设，积极与部所平台对接，</w:t>
            </w:r>
            <w:bookmarkStart w:id="19" w:name="OLE_LINK34"/>
            <w:r>
              <w:rPr>
                <w:rFonts w:hint="eastAsia" w:ascii="Times New Roman" w:hAnsi="Times New Roman" w:eastAsia="仿宋_GB2312"/>
                <w:color w:val="000000"/>
                <w:sz w:val="20"/>
                <w:szCs w:val="20"/>
              </w:rPr>
              <w:t>实现农药登记试验、生产、经营、使用的全程追溯监管</w:t>
            </w:r>
            <w:bookmarkEnd w:id="19"/>
            <w:r>
              <w:rPr>
                <w:rFonts w:hint="eastAsia" w:ascii="Times New Roman" w:hAnsi="Times New Roman" w:eastAsia="仿宋_GB2312"/>
                <w:color w:val="000000"/>
                <w:sz w:val="20"/>
                <w:szCs w:val="20"/>
              </w:rPr>
              <w:t>。在全省15个晚稻种植区组织开展了农药使用安全风险监测，有效保障农产品质量安全和生态环境安全。建立健全农药包装废弃物回收处理体系，在双峰县开展农药包装废弃物回收处理可追溯管理试点，全省建设回收站点27411个、归集贮存中心（站）366个，回收</w:t>
            </w:r>
            <w:bookmarkStart w:id="20" w:name="OLE_LINK30"/>
            <w:r>
              <w:rPr>
                <w:rFonts w:hint="eastAsia" w:ascii="Times New Roman" w:hAnsi="Times New Roman" w:eastAsia="仿宋_GB2312"/>
                <w:color w:val="000000"/>
                <w:sz w:val="20"/>
                <w:szCs w:val="20"/>
              </w:rPr>
              <w:t>农药包装废弃物</w:t>
            </w:r>
            <w:bookmarkEnd w:id="20"/>
            <w:r>
              <w:rPr>
                <w:rFonts w:hint="eastAsia" w:ascii="Times New Roman" w:hAnsi="Times New Roman" w:eastAsia="仿宋_GB2312"/>
                <w:color w:val="000000"/>
                <w:sz w:val="20"/>
                <w:szCs w:val="20"/>
              </w:rPr>
              <w:t>2221吨，全年回收率超过75%。加强行业安全监管，在常德津市组织开展全省农药行业法治和安全生产培训暨消防应急演练活动，有效提升了农药从业人员安全生产意识和技能。</w:t>
            </w:r>
          </w:p>
          <w:p>
            <w:pPr>
              <w:widowControl/>
              <w:spacing w:line="240" w:lineRule="exact"/>
              <w:ind w:firstLine="200" w:firstLineChars="100"/>
              <w:rPr>
                <w:rFonts w:ascii="Times New Roman" w:hAnsi="Times New Roman" w:eastAsia="仿宋_GB2312"/>
                <w:color w:val="000000"/>
                <w:sz w:val="20"/>
                <w:szCs w:val="20"/>
              </w:rPr>
            </w:pPr>
            <w:r>
              <w:rPr>
                <w:rFonts w:hint="eastAsia" w:ascii="Times New Roman" w:hAnsi="Times New Roman" w:eastAsia="仿宋_GB2312"/>
                <w:color w:val="000000"/>
                <w:sz w:val="20"/>
                <w:szCs w:val="20"/>
              </w:rPr>
              <w:t>三、完成全省农产品质量安全各项监测任务，全年完成</w:t>
            </w:r>
            <w:bookmarkStart w:id="21" w:name="OLE_LINK29"/>
            <w:r>
              <w:rPr>
                <w:rFonts w:hint="eastAsia" w:ascii="Times New Roman" w:hAnsi="Times New Roman" w:eastAsia="仿宋_GB2312"/>
                <w:color w:val="000000"/>
                <w:sz w:val="20"/>
                <w:szCs w:val="20"/>
              </w:rPr>
              <w:t>农产品例行监测</w:t>
            </w:r>
            <w:bookmarkEnd w:id="21"/>
            <w:r>
              <w:rPr>
                <w:rFonts w:hint="eastAsia" w:ascii="Times New Roman" w:hAnsi="Times New Roman" w:eastAsia="仿宋_GB2312"/>
                <w:color w:val="000000"/>
                <w:sz w:val="20"/>
                <w:szCs w:val="20"/>
              </w:rPr>
              <w:t>6600批次，重点农产品监督抽查1000批次，稻谷重金属专项监测1600批次，耕地质量调查1820批次，3种农药在蔬菜水果中残留风险评估等等任务。</w:t>
            </w:r>
          </w:p>
          <w:p>
            <w:pPr>
              <w:widowControl/>
              <w:spacing w:line="240" w:lineRule="exact"/>
              <w:ind w:firstLine="200" w:firstLineChars="100"/>
              <w:rPr>
                <w:rFonts w:ascii="Times New Roman" w:hAnsi="Times New Roman" w:eastAsia="仿宋_GB2312"/>
                <w:color w:val="000000"/>
                <w:sz w:val="20"/>
                <w:szCs w:val="20"/>
              </w:rPr>
            </w:pPr>
            <w:r>
              <w:rPr>
                <w:rFonts w:hint="eastAsia" w:ascii="Times New Roman" w:hAnsi="Times New Roman" w:eastAsia="仿宋_GB2312"/>
                <w:color w:val="000000"/>
                <w:sz w:val="20"/>
                <w:szCs w:val="20"/>
              </w:rPr>
              <w:t>四、对全省通过双认证的167家农产品检测机构开展了农药残留和重金属检测技术能力验证。</w:t>
            </w:r>
            <w:bookmarkEnd w:id="1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绩</w:t>
            </w:r>
          </w:p>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效</w:t>
            </w:r>
          </w:p>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指</w:t>
            </w:r>
          </w:p>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标</w:t>
            </w:r>
          </w:p>
        </w:tc>
        <w:tc>
          <w:tcPr>
            <w:tcW w:w="1395"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一级指标</w:t>
            </w:r>
          </w:p>
        </w:tc>
        <w:tc>
          <w:tcPr>
            <w:tcW w:w="1252"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二级指标</w:t>
            </w:r>
          </w:p>
        </w:tc>
        <w:tc>
          <w:tcPr>
            <w:tcW w:w="1209"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三级指标</w:t>
            </w:r>
          </w:p>
        </w:tc>
        <w:tc>
          <w:tcPr>
            <w:tcW w:w="1200"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年度</w:t>
            </w:r>
          </w:p>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指标值</w:t>
            </w:r>
          </w:p>
        </w:tc>
        <w:tc>
          <w:tcPr>
            <w:tcW w:w="1134"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实际</w:t>
            </w:r>
          </w:p>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完成值</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分值</w:t>
            </w:r>
          </w:p>
        </w:tc>
        <w:tc>
          <w:tcPr>
            <w:tcW w:w="89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得分</w:t>
            </w:r>
          </w:p>
        </w:tc>
        <w:tc>
          <w:tcPr>
            <w:tcW w:w="1446" w:type="dxa"/>
            <w:tcBorders>
              <w:top w:val="single" w:color="auto" w:sz="4" w:space="0"/>
              <w:left w:val="nil"/>
              <w:bottom w:val="single" w:color="auto" w:sz="4" w:space="0"/>
              <w:right w:val="single" w:color="auto" w:sz="4" w:space="0"/>
            </w:tcBorders>
          </w:tcPr>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偏差原因</w:t>
            </w:r>
          </w:p>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分析及</w:t>
            </w:r>
          </w:p>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395" w:type="dxa"/>
            <w:vMerge w:val="restart"/>
            <w:tcBorders>
              <w:top w:val="nil"/>
              <w:left w:val="nil"/>
              <w:right w:val="single" w:color="auto" w:sz="4" w:space="0"/>
            </w:tcBorders>
            <w:vAlign w:val="center"/>
          </w:tcPr>
          <w:p>
            <w:pPr>
              <w:widowControl/>
              <w:adjustRightInd w:val="0"/>
              <w:snapToGrid w:val="0"/>
              <w:spacing w:line="280" w:lineRule="exact"/>
              <w:jc w:val="center"/>
              <w:rPr>
                <w:rFonts w:hint="eastAsia" w:ascii="仿宋_GB2312" w:hAnsi="仿宋_GB2312" w:eastAsia="仿宋_GB2312" w:cs="Times New Roman"/>
                <w:color w:val="000000"/>
                <w:kern w:val="0"/>
                <w:szCs w:val="21"/>
              </w:rPr>
            </w:pPr>
          </w:p>
        </w:tc>
        <w:tc>
          <w:tcPr>
            <w:tcW w:w="1252" w:type="dxa"/>
            <w:vMerge w:val="restart"/>
            <w:tcBorders>
              <w:top w:val="nil"/>
              <w:left w:val="nil"/>
              <w:right w:val="single" w:color="auto" w:sz="4" w:space="0"/>
            </w:tcBorders>
            <w:vAlign w:val="center"/>
          </w:tcPr>
          <w:p>
            <w:pPr>
              <w:widowControl/>
              <w:adjustRightInd w:val="0"/>
              <w:snapToGrid w:val="0"/>
              <w:spacing w:line="280" w:lineRule="exact"/>
              <w:jc w:val="center"/>
              <w:rPr>
                <w:rFonts w:hint="eastAsia" w:ascii="仿宋_GB2312" w:hAnsi="仿宋_GB2312" w:eastAsia="仿宋_GB2312" w:cs="Times New Roman"/>
                <w:color w:val="000000"/>
                <w:kern w:val="0"/>
                <w:szCs w:val="21"/>
              </w:rPr>
            </w:pP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hint="eastAsia" w:ascii="Times New Roman" w:hAnsi="Times New Roman" w:eastAsia="仿宋_GB2312"/>
                <w:color w:val="000000"/>
                <w:sz w:val="18"/>
                <w:szCs w:val="18"/>
                <w:highlight w:val="none"/>
              </w:rPr>
            </w:pPr>
            <w:r>
              <w:rPr>
                <w:rFonts w:hint="eastAsia" w:ascii="Times New Roman" w:hAnsi="Times New Roman" w:eastAsia="仿宋_GB2312"/>
                <w:color w:val="000000"/>
                <w:sz w:val="20"/>
                <w:szCs w:val="20"/>
              </w:rPr>
              <w:t>农产品例行监测</w:t>
            </w:r>
            <w:r>
              <w:rPr>
                <w:rFonts w:hint="eastAsia" w:ascii="Times New Roman" w:hAnsi="Times New Roman" w:eastAsia="仿宋_GB2312"/>
                <w:color w:val="000000"/>
                <w:sz w:val="18"/>
                <w:szCs w:val="18"/>
                <w:highlight w:val="none"/>
              </w:rPr>
              <w:t>）</w:t>
            </w:r>
          </w:p>
        </w:tc>
        <w:tc>
          <w:tcPr>
            <w:tcW w:w="1200" w:type="dxa"/>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Times New Roman" w:hAnsi="Times New Roman" w:eastAsia="仿宋_GB2312"/>
                <w:color w:val="000000"/>
                <w:sz w:val="18"/>
                <w:szCs w:val="18"/>
                <w:highlight w:val="none"/>
                <w:lang w:val="en-US" w:eastAsia="zh-CN"/>
              </w:rPr>
            </w:pPr>
            <w:r>
              <w:rPr>
                <w:rFonts w:hint="default" w:ascii="Times New Roman" w:hAnsi="Times New Roman" w:eastAsia="仿宋_GB2312"/>
                <w:color w:val="000000"/>
                <w:sz w:val="18"/>
                <w:szCs w:val="18"/>
                <w:highlight w:val="none"/>
              </w:rPr>
              <w:t>≥</w:t>
            </w:r>
            <w:r>
              <w:rPr>
                <w:rFonts w:hint="eastAsia" w:ascii="Times New Roman" w:hAnsi="Times New Roman" w:eastAsia="仿宋_GB2312"/>
                <w:color w:val="000000"/>
                <w:sz w:val="18"/>
                <w:szCs w:val="18"/>
                <w:highlight w:val="none"/>
                <w:lang w:val="en-US" w:eastAsia="zh-CN"/>
              </w:rPr>
              <w:t>6000次</w:t>
            </w:r>
          </w:p>
        </w:tc>
        <w:tc>
          <w:tcPr>
            <w:tcW w:w="1134"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hint="default" w:ascii="仿宋_GB2312" w:hAnsi="仿宋_GB2312" w:eastAsia="仿宋_GB2312" w:cs="Times New Roman"/>
                <w:color w:val="000000"/>
                <w:kern w:val="0"/>
                <w:sz w:val="18"/>
                <w:szCs w:val="18"/>
                <w:lang w:val="en-US" w:eastAsia="zh-CN"/>
              </w:rPr>
            </w:pPr>
            <w:r>
              <w:rPr>
                <w:rFonts w:hint="eastAsia" w:ascii="仿宋_GB2312" w:hAnsi="仿宋_GB2312" w:eastAsia="仿宋_GB2312" w:cs="Times New Roman"/>
                <w:color w:val="000000"/>
                <w:kern w:val="0"/>
                <w:sz w:val="18"/>
                <w:szCs w:val="18"/>
                <w:lang w:val="en-US" w:eastAsia="zh-CN"/>
              </w:rPr>
              <w:t>6600批次</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仿宋_GB2312" w:hAnsi="仿宋_GB2312" w:eastAsia="仿宋_GB2312" w:cs="Times New Roman"/>
                <w:color w:val="000000"/>
                <w:kern w:val="0"/>
                <w:sz w:val="18"/>
                <w:szCs w:val="18"/>
              </w:rPr>
            </w:pPr>
            <w:r>
              <w:rPr>
                <w:rFonts w:hint="eastAsia" w:ascii="仿宋_GB2312" w:hAnsi="仿宋_GB2312" w:eastAsia="仿宋_GB2312" w:cs="Times New Roman"/>
                <w:color w:val="000000"/>
                <w:kern w:val="0"/>
                <w:sz w:val="18"/>
                <w:szCs w:val="18"/>
                <w:lang w:val="en-US" w:eastAsia="zh-CN"/>
              </w:rPr>
              <w:t>5</w:t>
            </w:r>
          </w:p>
        </w:tc>
        <w:tc>
          <w:tcPr>
            <w:tcW w:w="89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仿宋_GB2312" w:hAnsi="仿宋_GB2312" w:eastAsia="仿宋_GB2312" w:cs="Times New Roman"/>
                <w:color w:val="000000"/>
                <w:kern w:val="0"/>
                <w:sz w:val="18"/>
                <w:szCs w:val="18"/>
              </w:rPr>
            </w:pPr>
            <w:r>
              <w:rPr>
                <w:rFonts w:hint="eastAsia" w:ascii="仿宋_GB2312" w:hAnsi="仿宋_GB2312" w:eastAsia="仿宋_GB2312" w:cs="Times New Roman"/>
                <w:color w:val="000000"/>
                <w:kern w:val="0"/>
                <w:sz w:val="18"/>
                <w:szCs w:val="18"/>
                <w:lang w:val="en-US" w:eastAsia="zh-CN"/>
              </w:rPr>
              <w:t>5</w:t>
            </w:r>
          </w:p>
        </w:tc>
        <w:tc>
          <w:tcPr>
            <w:tcW w:w="1446"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hint="eastAsia" w:ascii="仿宋_GB2312" w:hAnsi="仿宋_GB2312" w:eastAsia="仿宋_GB2312" w:cs="Times New Roman"/>
                <w:color w:val="000000"/>
                <w:kern w:val="0"/>
                <w:sz w:val="18"/>
                <w:szCs w:val="18"/>
              </w:rPr>
            </w:pPr>
            <w:r>
              <w:rPr>
                <w:rFonts w:ascii="Times New Roman" w:hAnsi="Times New Roman"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395" w:type="dxa"/>
            <w:vMerge w:val="continue"/>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hint="eastAsia" w:ascii="仿宋_GB2312" w:hAnsi="仿宋_GB2312" w:eastAsia="仿宋_GB2312" w:cs="Times New Roman"/>
                <w:color w:val="000000"/>
                <w:kern w:val="0"/>
                <w:szCs w:val="21"/>
              </w:rPr>
            </w:pPr>
          </w:p>
        </w:tc>
        <w:tc>
          <w:tcPr>
            <w:tcW w:w="1252" w:type="dxa"/>
            <w:vMerge w:val="continue"/>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hint="eastAsia" w:ascii="仿宋_GB2312" w:hAnsi="仿宋_GB2312" w:eastAsia="仿宋_GB2312" w:cs="Times New Roman"/>
                <w:color w:val="000000"/>
                <w:kern w:val="0"/>
                <w:szCs w:val="21"/>
              </w:rPr>
            </w:pP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hint="eastAsia" w:ascii="Times New Roman" w:hAnsi="Times New Roman" w:eastAsia="仿宋_GB2312"/>
                <w:color w:val="000000"/>
                <w:sz w:val="18"/>
                <w:szCs w:val="18"/>
                <w:highlight w:val="none"/>
              </w:rPr>
            </w:pPr>
            <w:r>
              <w:rPr>
                <w:rFonts w:hint="eastAsia" w:ascii="Times New Roman" w:hAnsi="Times New Roman" w:eastAsia="仿宋_GB2312"/>
                <w:color w:val="000000"/>
                <w:sz w:val="20"/>
                <w:szCs w:val="20"/>
              </w:rPr>
              <w:t>开展农药监管、农药使用等相关培训</w:t>
            </w:r>
          </w:p>
        </w:tc>
        <w:tc>
          <w:tcPr>
            <w:tcW w:w="1200" w:type="dxa"/>
            <w:tcBorders>
              <w:top w:val="single" w:color="auto" w:sz="4" w:space="0"/>
              <w:left w:val="nil"/>
              <w:bottom w:val="single" w:color="auto" w:sz="4" w:space="0"/>
              <w:right w:val="single" w:color="auto" w:sz="4" w:space="0"/>
            </w:tcBorders>
            <w:vAlign w:val="center"/>
          </w:tcPr>
          <w:p>
            <w:pPr>
              <w:widowControl/>
              <w:jc w:val="left"/>
              <w:textAlignment w:val="center"/>
              <w:rPr>
                <w:rFonts w:hint="default" w:ascii="Times New Roman" w:hAnsi="Times New Roman" w:eastAsia="仿宋_GB2312"/>
                <w:color w:val="000000"/>
                <w:sz w:val="18"/>
                <w:szCs w:val="18"/>
                <w:highlight w:val="none"/>
                <w:lang w:val="en-US" w:eastAsia="zh-CN"/>
              </w:rPr>
            </w:pPr>
            <w:r>
              <w:rPr>
                <w:rFonts w:hint="default" w:ascii="Times New Roman" w:hAnsi="Times New Roman" w:eastAsia="仿宋_GB2312"/>
                <w:color w:val="000000"/>
                <w:sz w:val="18"/>
                <w:szCs w:val="18"/>
                <w:highlight w:val="none"/>
              </w:rPr>
              <w:t>≥</w:t>
            </w:r>
            <w:r>
              <w:rPr>
                <w:rFonts w:hint="eastAsia" w:ascii="Times New Roman" w:hAnsi="Times New Roman" w:eastAsia="仿宋_GB2312"/>
                <w:color w:val="000000"/>
                <w:sz w:val="18"/>
                <w:szCs w:val="18"/>
                <w:highlight w:val="none"/>
                <w:lang w:val="en-US" w:eastAsia="zh-CN"/>
              </w:rPr>
              <w:t>400场次</w:t>
            </w:r>
          </w:p>
        </w:tc>
        <w:tc>
          <w:tcPr>
            <w:tcW w:w="1134"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hint="default" w:ascii="仿宋_GB2312" w:hAnsi="仿宋_GB2312" w:eastAsia="仿宋_GB2312" w:cs="Times New Roman"/>
                <w:color w:val="000000"/>
                <w:kern w:val="0"/>
                <w:sz w:val="18"/>
                <w:szCs w:val="18"/>
                <w:lang w:val="en-US" w:eastAsia="zh-CN"/>
              </w:rPr>
            </w:pPr>
            <w:r>
              <w:rPr>
                <w:rFonts w:hint="eastAsia" w:ascii="仿宋_GB2312" w:hAnsi="仿宋_GB2312" w:eastAsia="仿宋_GB2312" w:cs="Times New Roman"/>
                <w:color w:val="000000"/>
                <w:kern w:val="0"/>
                <w:sz w:val="18"/>
                <w:szCs w:val="18"/>
                <w:lang w:val="en-US" w:eastAsia="zh-CN"/>
              </w:rPr>
              <w:t>477场次</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仿宋_GB2312" w:hAnsi="仿宋_GB2312" w:eastAsia="仿宋_GB2312" w:cs="Times New Roman"/>
                <w:color w:val="000000"/>
                <w:kern w:val="0"/>
                <w:sz w:val="18"/>
                <w:szCs w:val="18"/>
              </w:rPr>
            </w:pPr>
            <w:r>
              <w:rPr>
                <w:rFonts w:hint="eastAsia" w:ascii="仿宋_GB2312" w:hAnsi="仿宋_GB2312" w:eastAsia="仿宋_GB2312" w:cs="Times New Roman"/>
                <w:color w:val="000000"/>
                <w:kern w:val="0"/>
                <w:sz w:val="18"/>
                <w:szCs w:val="18"/>
                <w:lang w:val="en-US" w:eastAsia="zh-CN"/>
              </w:rPr>
              <w:t>5</w:t>
            </w:r>
          </w:p>
        </w:tc>
        <w:tc>
          <w:tcPr>
            <w:tcW w:w="89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仿宋_GB2312" w:hAnsi="仿宋_GB2312" w:eastAsia="仿宋_GB2312" w:cs="Times New Roman"/>
                <w:color w:val="000000"/>
                <w:kern w:val="0"/>
                <w:sz w:val="18"/>
                <w:szCs w:val="18"/>
              </w:rPr>
            </w:pPr>
            <w:r>
              <w:rPr>
                <w:rFonts w:hint="eastAsia" w:ascii="仿宋_GB2312" w:hAnsi="仿宋_GB2312" w:eastAsia="仿宋_GB2312" w:cs="Times New Roman"/>
                <w:color w:val="000000"/>
                <w:kern w:val="0"/>
                <w:sz w:val="18"/>
                <w:szCs w:val="18"/>
                <w:lang w:val="en-US" w:eastAsia="zh-CN"/>
              </w:rPr>
              <w:t>5</w:t>
            </w:r>
          </w:p>
        </w:tc>
        <w:tc>
          <w:tcPr>
            <w:tcW w:w="1446"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hint="eastAsia" w:ascii="仿宋_GB2312" w:hAnsi="仿宋_GB2312" w:eastAsia="仿宋_GB2312" w:cs="Times New Roman"/>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395" w:type="dxa"/>
            <w:vMerge w:val="continue"/>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hint="eastAsia" w:ascii="仿宋_GB2312" w:hAnsi="仿宋_GB2312" w:eastAsia="仿宋_GB2312" w:cs="Times New Roman"/>
                <w:color w:val="000000"/>
                <w:kern w:val="0"/>
                <w:szCs w:val="21"/>
              </w:rPr>
            </w:pPr>
          </w:p>
        </w:tc>
        <w:tc>
          <w:tcPr>
            <w:tcW w:w="1252" w:type="dxa"/>
            <w:vMerge w:val="continue"/>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hint="eastAsia" w:ascii="仿宋_GB2312" w:hAnsi="仿宋_GB2312" w:eastAsia="仿宋_GB2312" w:cs="Times New Roman"/>
                <w:color w:val="000000"/>
                <w:kern w:val="0"/>
                <w:szCs w:val="21"/>
              </w:rPr>
            </w:pP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hint="eastAsia" w:ascii="Times New Roman" w:hAnsi="Times New Roman" w:eastAsia="仿宋_GB2312"/>
                <w:color w:val="000000"/>
                <w:sz w:val="18"/>
                <w:szCs w:val="18"/>
                <w:highlight w:val="none"/>
              </w:rPr>
            </w:pPr>
            <w:r>
              <w:rPr>
                <w:rFonts w:hint="eastAsia" w:ascii="Times New Roman" w:hAnsi="Times New Roman" w:eastAsia="仿宋_GB2312"/>
                <w:color w:val="000000"/>
                <w:sz w:val="18"/>
                <w:szCs w:val="18"/>
                <w:highlight w:val="none"/>
              </w:rPr>
              <w:t>农产品质量安全例行监测</w:t>
            </w:r>
          </w:p>
        </w:tc>
        <w:tc>
          <w:tcPr>
            <w:tcW w:w="1200" w:type="dxa"/>
            <w:tcBorders>
              <w:top w:val="single" w:color="auto" w:sz="4" w:space="0"/>
              <w:left w:val="nil"/>
              <w:bottom w:val="single" w:color="auto" w:sz="4" w:space="0"/>
              <w:right w:val="single" w:color="auto" w:sz="4" w:space="0"/>
            </w:tcBorders>
            <w:vAlign w:val="center"/>
          </w:tcPr>
          <w:p>
            <w:pPr>
              <w:widowControl/>
              <w:jc w:val="left"/>
              <w:textAlignment w:val="center"/>
              <w:rPr>
                <w:rFonts w:hint="default" w:ascii="Times New Roman" w:hAnsi="Times New Roman" w:eastAsia="仿宋_GB2312"/>
                <w:color w:val="000000"/>
                <w:sz w:val="18"/>
                <w:szCs w:val="18"/>
                <w:highlight w:val="none"/>
                <w:lang w:val="en-US" w:eastAsia="zh-CN"/>
              </w:rPr>
            </w:pPr>
            <w:r>
              <w:rPr>
                <w:rFonts w:hint="default" w:ascii="Times New Roman" w:hAnsi="Times New Roman" w:eastAsia="仿宋_GB2312"/>
                <w:color w:val="000000"/>
                <w:sz w:val="18"/>
                <w:szCs w:val="18"/>
                <w:highlight w:val="none"/>
              </w:rPr>
              <w:t>≥</w:t>
            </w:r>
            <w:bookmarkStart w:id="22" w:name="OLE_LINK35"/>
            <w:r>
              <w:rPr>
                <w:rFonts w:hint="eastAsia" w:ascii="Times New Roman" w:hAnsi="Times New Roman" w:eastAsia="仿宋_GB2312"/>
                <w:color w:val="000000"/>
                <w:sz w:val="18"/>
                <w:szCs w:val="18"/>
                <w:highlight w:val="none"/>
                <w:lang w:val="en-US" w:eastAsia="zh-CN"/>
              </w:rPr>
              <w:t>4次</w:t>
            </w:r>
            <w:bookmarkEnd w:id="22"/>
          </w:p>
        </w:tc>
        <w:tc>
          <w:tcPr>
            <w:tcW w:w="1134"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hint="eastAsia" w:ascii="仿宋_GB2312" w:hAnsi="仿宋_GB2312" w:eastAsia="仿宋_GB2312" w:cs="Times New Roman"/>
                <w:color w:val="000000"/>
                <w:kern w:val="0"/>
                <w:sz w:val="18"/>
                <w:szCs w:val="18"/>
                <w:lang w:val="en-US" w:eastAsia="zh-CN"/>
              </w:rPr>
            </w:pPr>
            <w:r>
              <w:rPr>
                <w:rFonts w:hint="eastAsia" w:ascii="Times New Roman" w:hAnsi="Times New Roman" w:eastAsia="仿宋_GB2312"/>
                <w:color w:val="000000"/>
                <w:sz w:val="18"/>
                <w:szCs w:val="18"/>
                <w:highlight w:val="none"/>
                <w:lang w:val="en-US" w:eastAsia="zh-CN"/>
              </w:rPr>
              <w:t>4次</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仿宋_GB2312" w:hAnsi="仿宋_GB2312" w:eastAsia="仿宋_GB2312" w:cs="Times New Roman"/>
                <w:color w:val="000000"/>
                <w:kern w:val="0"/>
                <w:sz w:val="18"/>
                <w:szCs w:val="18"/>
              </w:rPr>
            </w:pPr>
            <w:r>
              <w:rPr>
                <w:rFonts w:hint="eastAsia" w:ascii="仿宋_GB2312" w:hAnsi="仿宋_GB2312" w:eastAsia="仿宋_GB2312" w:cs="Times New Roman"/>
                <w:color w:val="000000"/>
                <w:kern w:val="0"/>
                <w:sz w:val="18"/>
                <w:szCs w:val="18"/>
                <w:lang w:val="en-US" w:eastAsia="zh-CN"/>
              </w:rPr>
              <w:t>5</w:t>
            </w:r>
          </w:p>
        </w:tc>
        <w:tc>
          <w:tcPr>
            <w:tcW w:w="89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仿宋_GB2312" w:hAnsi="仿宋_GB2312" w:eastAsia="仿宋_GB2312" w:cs="Times New Roman"/>
                <w:color w:val="000000"/>
                <w:kern w:val="0"/>
                <w:sz w:val="18"/>
                <w:szCs w:val="18"/>
              </w:rPr>
            </w:pPr>
            <w:r>
              <w:rPr>
                <w:rFonts w:hint="eastAsia" w:ascii="仿宋_GB2312" w:hAnsi="仿宋_GB2312" w:eastAsia="仿宋_GB2312" w:cs="Times New Roman"/>
                <w:color w:val="000000"/>
                <w:kern w:val="0"/>
                <w:sz w:val="18"/>
                <w:szCs w:val="18"/>
                <w:lang w:val="en-US" w:eastAsia="zh-CN"/>
              </w:rPr>
              <w:t>5</w:t>
            </w:r>
          </w:p>
        </w:tc>
        <w:tc>
          <w:tcPr>
            <w:tcW w:w="1446"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hint="eastAsia" w:ascii="仿宋_GB2312" w:hAnsi="仿宋_GB2312" w:eastAsia="仿宋_GB2312" w:cs="Times New Roman"/>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395" w:type="dxa"/>
            <w:vMerge w:val="continue"/>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hint="eastAsia" w:ascii="仿宋_GB2312" w:hAnsi="仿宋_GB2312" w:eastAsia="仿宋_GB2312" w:cs="Times New Roman"/>
                <w:color w:val="000000"/>
                <w:kern w:val="0"/>
                <w:szCs w:val="21"/>
              </w:rPr>
            </w:pPr>
          </w:p>
        </w:tc>
        <w:tc>
          <w:tcPr>
            <w:tcW w:w="1252" w:type="dxa"/>
            <w:vMerge w:val="continue"/>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hint="eastAsia" w:ascii="仿宋_GB2312" w:hAnsi="仿宋_GB2312" w:eastAsia="仿宋_GB2312" w:cs="Times New Roman"/>
                <w:color w:val="000000"/>
                <w:kern w:val="0"/>
                <w:szCs w:val="21"/>
              </w:rPr>
            </w:pP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hint="eastAsia" w:ascii="Times New Roman" w:hAnsi="Times New Roman" w:eastAsia="仿宋_GB2312"/>
                <w:color w:val="000000"/>
                <w:sz w:val="18"/>
                <w:szCs w:val="18"/>
                <w:highlight w:val="none"/>
              </w:rPr>
            </w:pPr>
            <w:r>
              <w:rPr>
                <w:rFonts w:hint="eastAsia" w:ascii="Times New Roman" w:hAnsi="Times New Roman" w:eastAsia="仿宋_GB2312"/>
                <w:color w:val="000000"/>
                <w:sz w:val="18"/>
                <w:szCs w:val="18"/>
                <w:highlight w:val="none"/>
              </w:rPr>
              <w:t>农产品监督抽查</w:t>
            </w:r>
          </w:p>
        </w:tc>
        <w:tc>
          <w:tcPr>
            <w:tcW w:w="1200" w:type="dxa"/>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Times New Roman" w:hAnsi="Times New Roman" w:eastAsia="仿宋_GB2312"/>
                <w:color w:val="000000"/>
                <w:sz w:val="18"/>
                <w:szCs w:val="18"/>
                <w:highlight w:val="none"/>
              </w:rPr>
            </w:pPr>
            <w:bookmarkStart w:id="23" w:name="OLE_LINK3"/>
            <w:r>
              <w:rPr>
                <w:rFonts w:hint="default" w:ascii="Times New Roman" w:hAnsi="Times New Roman" w:eastAsia="仿宋_GB2312"/>
                <w:color w:val="000000"/>
                <w:sz w:val="18"/>
                <w:szCs w:val="18"/>
                <w:highlight w:val="none"/>
              </w:rPr>
              <w:t>≥</w:t>
            </w:r>
            <w:bookmarkStart w:id="24" w:name="OLE_LINK36"/>
            <w:r>
              <w:rPr>
                <w:rFonts w:hint="eastAsia" w:ascii="Times New Roman" w:hAnsi="Times New Roman" w:eastAsia="仿宋_GB2312"/>
                <w:color w:val="000000"/>
                <w:sz w:val="18"/>
                <w:szCs w:val="18"/>
                <w:highlight w:val="none"/>
                <w:lang w:val="en-US" w:eastAsia="zh-CN"/>
              </w:rPr>
              <w:t>1次</w:t>
            </w:r>
            <w:bookmarkEnd w:id="23"/>
            <w:bookmarkEnd w:id="24"/>
          </w:p>
        </w:tc>
        <w:tc>
          <w:tcPr>
            <w:tcW w:w="1134"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hint="eastAsia" w:ascii="Times New Roman" w:hAnsi="Times New Roman" w:eastAsia="仿宋_GB2312"/>
                <w:color w:val="000000"/>
                <w:sz w:val="18"/>
                <w:szCs w:val="18"/>
                <w:lang w:val="en-US" w:eastAsia="zh-CN"/>
              </w:rPr>
            </w:pPr>
            <w:r>
              <w:rPr>
                <w:rFonts w:hint="eastAsia" w:ascii="Times New Roman" w:hAnsi="Times New Roman" w:eastAsia="仿宋_GB2312"/>
                <w:color w:val="000000"/>
                <w:sz w:val="18"/>
                <w:szCs w:val="18"/>
                <w:highlight w:val="none"/>
                <w:lang w:val="en-US" w:eastAsia="zh-CN"/>
              </w:rPr>
              <w:t>1次</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olor w:val="000000"/>
                <w:sz w:val="18"/>
                <w:szCs w:val="18"/>
              </w:rPr>
            </w:pPr>
            <w:r>
              <w:rPr>
                <w:rFonts w:hint="eastAsia" w:ascii="Times New Roman" w:hAnsi="Times New Roman" w:eastAsia="仿宋_GB2312"/>
                <w:color w:val="000000"/>
                <w:sz w:val="18"/>
                <w:szCs w:val="18"/>
                <w:lang w:val="en-US" w:eastAsia="zh-CN"/>
              </w:rPr>
              <w:t>5</w:t>
            </w:r>
          </w:p>
        </w:tc>
        <w:tc>
          <w:tcPr>
            <w:tcW w:w="89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olor w:val="000000"/>
                <w:sz w:val="18"/>
                <w:szCs w:val="18"/>
              </w:rPr>
            </w:pPr>
            <w:r>
              <w:rPr>
                <w:rFonts w:hint="eastAsia" w:ascii="Times New Roman" w:hAnsi="Times New Roman" w:eastAsia="仿宋_GB2312"/>
                <w:color w:val="000000"/>
                <w:sz w:val="18"/>
                <w:szCs w:val="18"/>
                <w:lang w:val="en-US" w:eastAsia="zh-CN"/>
              </w:rPr>
              <w:t>5</w:t>
            </w:r>
          </w:p>
        </w:tc>
        <w:tc>
          <w:tcPr>
            <w:tcW w:w="1446"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hint="eastAsia" w:ascii="仿宋_GB2312" w:hAnsi="仿宋_GB2312" w:eastAsia="仿宋_GB2312" w:cs="Times New Roman"/>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395" w:type="dxa"/>
            <w:vMerge w:val="continue"/>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hint="eastAsia" w:ascii="仿宋_GB2312" w:hAnsi="仿宋_GB2312" w:eastAsia="仿宋_GB2312" w:cs="Times New Roman"/>
                <w:color w:val="000000"/>
                <w:kern w:val="0"/>
                <w:szCs w:val="21"/>
              </w:rPr>
            </w:pPr>
          </w:p>
        </w:tc>
        <w:tc>
          <w:tcPr>
            <w:tcW w:w="1252" w:type="dxa"/>
            <w:vMerge w:val="continue"/>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hint="eastAsia" w:ascii="仿宋_GB2312" w:hAnsi="仿宋_GB2312" w:eastAsia="仿宋_GB2312" w:cs="Times New Roman"/>
                <w:color w:val="000000"/>
                <w:kern w:val="0"/>
                <w:szCs w:val="21"/>
              </w:rPr>
            </w:pP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hint="default" w:ascii="Times New Roman" w:hAnsi="Times New Roman" w:eastAsia="仿宋_GB2312"/>
                <w:color w:val="000000"/>
                <w:sz w:val="18"/>
                <w:szCs w:val="18"/>
                <w:highlight w:val="none"/>
                <w:lang w:val="en-US" w:eastAsia="zh-CN"/>
              </w:rPr>
            </w:pPr>
            <w:r>
              <w:rPr>
                <w:rFonts w:hint="eastAsia" w:ascii="Times New Roman" w:hAnsi="Times New Roman" w:eastAsia="仿宋_GB2312"/>
                <w:color w:val="000000"/>
                <w:sz w:val="18"/>
                <w:szCs w:val="18"/>
                <w:highlight w:val="none"/>
                <w:lang w:val="en-US" w:eastAsia="zh-CN"/>
              </w:rPr>
              <w:t>抽查样品</w:t>
            </w:r>
          </w:p>
        </w:tc>
        <w:tc>
          <w:tcPr>
            <w:tcW w:w="1200" w:type="dxa"/>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Times New Roman" w:hAnsi="Times New Roman" w:eastAsia="仿宋_GB2312"/>
                <w:color w:val="000000"/>
                <w:sz w:val="18"/>
                <w:szCs w:val="18"/>
                <w:highlight w:val="none"/>
              </w:rPr>
            </w:pPr>
            <w:r>
              <w:rPr>
                <w:rFonts w:hint="default" w:ascii="Times New Roman" w:hAnsi="Times New Roman" w:eastAsia="仿宋_GB2312"/>
                <w:color w:val="000000"/>
                <w:sz w:val="18"/>
                <w:szCs w:val="18"/>
                <w:highlight w:val="none"/>
              </w:rPr>
              <w:t>≥</w:t>
            </w:r>
            <w:r>
              <w:rPr>
                <w:rFonts w:hint="eastAsia" w:ascii="Times New Roman" w:hAnsi="Times New Roman" w:eastAsia="仿宋_GB2312"/>
                <w:color w:val="000000"/>
                <w:sz w:val="20"/>
                <w:szCs w:val="20"/>
              </w:rPr>
              <w:t>8240批次样</w:t>
            </w:r>
          </w:p>
        </w:tc>
        <w:tc>
          <w:tcPr>
            <w:tcW w:w="1134"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hint="default" w:ascii="仿宋_GB2312" w:hAnsi="仿宋_GB2312" w:eastAsia="仿宋_GB2312" w:cs="Times New Roman"/>
                <w:color w:val="000000"/>
                <w:kern w:val="0"/>
                <w:sz w:val="18"/>
                <w:szCs w:val="18"/>
                <w:lang w:val="en-US" w:eastAsia="zh-CN"/>
              </w:rPr>
            </w:pPr>
            <w:r>
              <w:rPr>
                <w:rFonts w:hint="eastAsia" w:ascii="仿宋_GB2312" w:hAnsi="仿宋_GB2312" w:eastAsia="仿宋_GB2312" w:cs="Times New Roman"/>
                <w:color w:val="000000"/>
                <w:kern w:val="0"/>
                <w:sz w:val="18"/>
                <w:szCs w:val="18"/>
                <w:lang w:val="en-US" w:eastAsia="zh-CN"/>
              </w:rPr>
              <w:t>10000批次以上</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仿宋_GB2312" w:hAnsi="仿宋_GB2312" w:eastAsia="仿宋_GB2312" w:cs="Times New Roman"/>
                <w:color w:val="000000"/>
                <w:kern w:val="0"/>
                <w:sz w:val="18"/>
                <w:szCs w:val="18"/>
              </w:rPr>
            </w:pPr>
            <w:r>
              <w:rPr>
                <w:rFonts w:hint="eastAsia" w:ascii="仿宋_GB2312" w:hAnsi="仿宋_GB2312" w:eastAsia="仿宋_GB2312" w:cs="Times New Roman"/>
                <w:color w:val="000000"/>
                <w:kern w:val="0"/>
                <w:sz w:val="18"/>
                <w:szCs w:val="18"/>
                <w:lang w:val="en-US" w:eastAsia="zh-CN"/>
              </w:rPr>
              <w:t>6</w:t>
            </w:r>
          </w:p>
        </w:tc>
        <w:tc>
          <w:tcPr>
            <w:tcW w:w="89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仿宋_GB2312" w:hAnsi="仿宋_GB2312" w:eastAsia="仿宋_GB2312" w:cs="Times New Roman"/>
                <w:color w:val="000000"/>
                <w:kern w:val="0"/>
                <w:sz w:val="18"/>
                <w:szCs w:val="18"/>
              </w:rPr>
            </w:pPr>
            <w:r>
              <w:rPr>
                <w:rFonts w:hint="eastAsia" w:ascii="仿宋_GB2312" w:hAnsi="仿宋_GB2312" w:eastAsia="仿宋_GB2312" w:cs="Times New Roman"/>
                <w:color w:val="000000"/>
                <w:kern w:val="0"/>
                <w:sz w:val="18"/>
                <w:szCs w:val="18"/>
                <w:lang w:val="en-US" w:eastAsia="zh-CN"/>
              </w:rPr>
              <w:t>6</w:t>
            </w:r>
          </w:p>
        </w:tc>
        <w:tc>
          <w:tcPr>
            <w:tcW w:w="1446"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hint="eastAsia" w:ascii="仿宋_GB2312" w:hAnsi="仿宋_GB2312" w:eastAsia="仿宋_GB2312" w:cs="Times New Roman"/>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395"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252" w:type="dxa"/>
            <w:vMerge w:val="restart"/>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质量</w:t>
            </w:r>
          </w:p>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指标</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hint="eastAsia" w:ascii="仿宋_GB2312" w:hAnsi="等线" w:eastAsia="仿宋_GB2312" w:cs="仿宋_GB2312"/>
                <w:color w:val="000000"/>
                <w:sz w:val="18"/>
                <w:szCs w:val="18"/>
              </w:rPr>
            </w:pPr>
            <w:r>
              <w:rPr>
                <w:rFonts w:hint="eastAsia" w:ascii="Times New Roman" w:hAnsi="Times New Roman" w:eastAsia="仿宋_GB2312"/>
                <w:color w:val="000000"/>
                <w:sz w:val="18"/>
                <w:szCs w:val="18"/>
              </w:rPr>
              <w:t>农药质量抽检合格率</w:t>
            </w:r>
          </w:p>
        </w:tc>
        <w:tc>
          <w:tcPr>
            <w:tcW w:w="1200"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color w:val="000000"/>
                <w:kern w:val="0"/>
                <w:sz w:val="18"/>
                <w:szCs w:val="18"/>
              </w:rPr>
            </w:pPr>
            <w:r>
              <w:rPr>
                <w:rFonts w:hint="eastAsia"/>
              </w:rPr>
              <w:t>≥92%</w:t>
            </w:r>
          </w:p>
        </w:tc>
        <w:tc>
          <w:tcPr>
            <w:tcW w:w="1134"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hint="default" w:ascii="Times New Roman" w:hAnsi="Times New Roman" w:eastAsia="仿宋_GB2312" w:cs="Times New Roman"/>
                <w:color w:val="000000"/>
                <w:kern w:val="0"/>
                <w:sz w:val="18"/>
                <w:szCs w:val="18"/>
                <w:lang w:val="en-US" w:eastAsia="zh-CN"/>
              </w:rPr>
            </w:pPr>
            <w:r>
              <w:rPr>
                <w:rFonts w:hint="eastAsia" w:ascii="Times New Roman" w:hAnsi="Times New Roman" w:eastAsia="仿宋_GB2312" w:cs="Times New Roman"/>
                <w:color w:val="000000"/>
                <w:kern w:val="0"/>
                <w:sz w:val="18"/>
                <w:szCs w:val="18"/>
                <w:lang w:val="en-US" w:eastAsia="zh-CN"/>
              </w:rPr>
              <w:t>97.3%</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 w:val="18"/>
                <w:szCs w:val="18"/>
              </w:rPr>
            </w:pPr>
            <w:r>
              <w:rPr>
                <w:rFonts w:hint="eastAsia" w:ascii="Times New Roman" w:hAnsi="Times New Roman" w:eastAsia="仿宋_GB2312" w:cs="Times New Roman"/>
                <w:color w:val="000000"/>
                <w:kern w:val="0"/>
                <w:sz w:val="18"/>
                <w:szCs w:val="18"/>
                <w:lang w:val="en-US" w:eastAsia="zh-CN"/>
              </w:rPr>
              <w:t>4</w:t>
            </w:r>
          </w:p>
        </w:tc>
        <w:tc>
          <w:tcPr>
            <w:tcW w:w="89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 w:val="18"/>
                <w:szCs w:val="18"/>
              </w:rPr>
            </w:pPr>
            <w:r>
              <w:rPr>
                <w:rFonts w:hint="eastAsia" w:ascii="Times New Roman" w:hAnsi="Times New Roman" w:eastAsia="仿宋_GB2312" w:cs="Times New Roman"/>
                <w:color w:val="000000"/>
                <w:kern w:val="0"/>
                <w:sz w:val="18"/>
                <w:szCs w:val="18"/>
                <w:lang w:val="en-US" w:eastAsia="zh-CN"/>
              </w:rPr>
              <w:t>4</w:t>
            </w:r>
          </w:p>
        </w:tc>
        <w:tc>
          <w:tcPr>
            <w:tcW w:w="1446"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color w:val="000000"/>
                <w:kern w:val="0"/>
                <w:szCs w:val="21"/>
              </w:rPr>
            </w:pPr>
            <w:r>
              <w:rPr>
                <w:rFonts w:ascii="Times New Roman" w:hAnsi="Times New Roman" w:eastAsia="仿宋_GB2312"/>
                <w:color w:val="00000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395"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25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209"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hint="default" w:ascii="仿宋_GB2312" w:eastAsia="仿宋_GB2312"/>
                <w:color w:val="000000"/>
                <w:sz w:val="18"/>
                <w:szCs w:val="18"/>
                <w:lang w:val="en-US" w:eastAsia="zh-CN"/>
              </w:rPr>
            </w:pPr>
            <w:r>
              <w:rPr>
                <w:rFonts w:hint="eastAsia" w:ascii="Times New Roman" w:hAnsi="Times New Roman" w:eastAsia="仿宋_GB2312"/>
                <w:color w:val="000000"/>
                <w:sz w:val="20"/>
                <w:szCs w:val="20"/>
              </w:rPr>
              <w:t>农药包装废弃物</w:t>
            </w:r>
            <w:r>
              <w:rPr>
                <w:rFonts w:hint="eastAsia" w:ascii="Times New Roman" w:hAnsi="Times New Roman" w:eastAsia="仿宋_GB2312"/>
                <w:color w:val="000000"/>
                <w:sz w:val="20"/>
                <w:szCs w:val="20"/>
                <w:lang w:val="en-US" w:eastAsia="zh-CN"/>
              </w:rPr>
              <w:t>回收率</w:t>
            </w:r>
          </w:p>
        </w:tc>
        <w:tc>
          <w:tcPr>
            <w:tcW w:w="1200"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hint="eastAsia" w:ascii="仿宋_GB2312" w:eastAsia="仿宋_GB2312"/>
                <w:color w:val="000000"/>
                <w:sz w:val="18"/>
                <w:szCs w:val="18"/>
              </w:rPr>
            </w:pPr>
            <w:bookmarkStart w:id="25" w:name="OLE_LINK6"/>
            <w:r>
              <w:rPr>
                <w:rFonts w:hint="eastAsia" w:ascii="仿宋_GB2312" w:eastAsia="仿宋_GB2312"/>
                <w:color w:val="000000"/>
                <w:sz w:val="18"/>
                <w:szCs w:val="18"/>
              </w:rPr>
              <w:t>≥</w:t>
            </w:r>
            <w:bookmarkStart w:id="26" w:name="OLE_LINK31"/>
            <w:r>
              <w:rPr>
                <w:rFonts w:hint="eastAsia" w:ascii="仿宋_GB2312" w:eastAsia="仿宋_GB2312"/>
                <w:color w:val="000000"/>
                <w:sz w:val="18"/>
                <w:szCs w:val="18"/>
                <w:lang w:val="en-US" w:eastAsia="zh-CN"/>
              </w:rPr>
              <w:t>75%</w:t>
            </w:r>
            <w:bookmarkEnd w:id="25"/>
            <w:bookmarkEnd w:id="26"/>
          </w:p>
        </w:tc>
        <w:tc>
          <w:tcPr>
            <w:tcW w:w="1134"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hint="eastAsia" w:ascii="Times New Roman" w:hAnsi="Times New Roman" w:eastAsia="仿宋_GB2312" w:cs="Times New Roman"/>
                <w:color w:val="000000"/>
                <w:kern w:val="0"/>
                <w:sz w:val="18"/>
                <w:szCs w:val="18"/>
                <w:lang w:val="en-US" w:eastAsia="zh-CN"/>
              </w:rPr>
            </w:pPr>
            <w:r>
              <w:rPr>
                <w:rFonts w:hint="eastAsia" w:ascii="仿宋_GB2312" w:eastAsia="仿宋_GB2312"/>
                <w:color w:val="000000"/>
                <w:sz w:val="18"/>
                <w:szCs w:val="18"/>
                <w:lang w:val="en-US" w:eastAsia="zh-CN"/>
              </w:rPr>
              <w:t>75%</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 w:val="18"/>
                <w:szCs w:val="18"/>
              </w:rPr>
            </w:pPr>
            <w:r>
              <w:rPr>
                <w:rFonts w:hint="eastAsia" w:ascii="Times New Roman" w:hAnsi="Times New Roman" w:eastAsia="仿宋_GB2312" w:cs="Times New Roman"/>
                <w:color w:val="000000"/>
                <w:kern w:val="0"/>
                <w:sz w:val="18"/>
                <w:szCs w:val="18"/>
                <w:lang w:val="en-US" w:eastAsia="zh-CN"/>
              </w:rPr>
              <w:t>4</w:t>
            </w:r>
          </w:p>
        </w:tc>
        <w:tc>
          <w:tcPr>
            <w:tcW w:w="89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 w:val="18"/>
                <w:szCs w:val="18"/>
              </w:rPr>
            </w:pPr>
            <w:r>
              <w:rPr>
                <w:rFonts w:hint="eastAsia" w:ascii="Times New Roman" w:hAnsi="Times New Roman" w:eastAsia="仿宋_GB2312" w:cs="Times New Roman"/>
                <w:color w:val="000000"/>
                <w:kern w:val="0"/>
                <w:sz w:val="18"/>
                <w:szCs w:val="18"/>
                <w:lang w:val="en-US" w:eastAsia="zh-CN"/>
              </w:rPr>
              <w:t>4</w:t>
            </w:r>
          </w:p>
        </w:tc>
        <w:tc>
          <w:tcPr>
            <w:tcW w:w="1446"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bookmarkStart w:id="27" w:name="OLE_LINK5" w:colFirst="3" w:colLast="4"/>
          </w:p>
        </w:tc>
        <w:tc>
          <w:tcPr>
            <w:tcW w:w="1395"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25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209"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color w:val="000000"/>
                <w:kern w:val="0"/>
                <w:sz w:val="18"/>
                <w:szCs w:val="18"/>
              </w:rPr>
            </w:pPr>
            <w:r>
              <w:rPr>
                <w:rFonts w:hint="eastAsia" w:ascii="仿宋_GB2312" w:eastAsia="仿宋_GB2312"/>
                <w:color w:val="000000"/>
                <w:sz w:val="18"/>
                <w:szCs w:val="18"/>
              </w:rPr>
              <w:t>农产品质量安全例行监测与监督抽查结果准确率</w:t>
            </w:r>
          </w:p>
        </w:tc>
        <w:tc>
          <w:tcPr>
            <w:tcW w:w="1200"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hint="default" w:ascii="Times New Roman" w:hAnsi="Times New Roman" w:eastAsia="仿宋_GB2312" w:cs="Times New Roman"/>
                <w:color w:val="000000"/>
                <w:kern w:val="0"/>
                <w:sz w:val="18"/>
                <w:szCs w:val="18"/>
                <w:lang w:val="en-US" w:eastAsia="zh-CN"/>
              </w:rPr>
            </w:pPr>
            <w:r>
              <w:rPr>
                <w:rFonts w:hint="eastAsia" w:ascii="仿宋_GB2312" w:eastAsia="仿宋_GB2312"/>
                <w:color w:val="000000"/>
                <w:sz w:val="18"/>
                <w:szCs w:val="18"/>
                <w:lang w:val="en-US" w:eastAsia="zh-CN"/>
              </w:rPr>
              <w:t>=100%</w:t>
            </w:r>
          </w:p>
        </w:tc>
        <w:tc>
          <w:tcPr>
            <w:tcW w:w="1134"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hint="eastAsia" w:ascii="Times New Roman" w:hAnsi="Times New Roman" w:eastAsia="仿宋_GB2312" w:cs="Times New Roman"/>
                <w:color w:val="000000"/>
                <w:kern w:val="0"/>
                <w:sz w:val="18"/>
                <w:szCs w:val="18"/>
                <w:lang w:val="en-US" w:eastAsia="zh-CN"/>
              </w:rPr>
            </w:pPr>
            <w:r>
              <w:rPr>
                <w:rFonts w:hint="eastAsia" w:ascii="仿宋_GB2312" w:eastAsia="仿宋_GB2312"/>
                <w:color w:val="000000"/>
                <w:sz w:val="18"/>
                <w:szCs w:val="18"/>
                <w:lang w:val="en-US" w:eastAsia="zh-CN"/>
              </w:rPr>
              <w:t>75%</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 w:val="18"/>
                <w:szCs w:val="18"/>
              </w:rPr>
            </w:pPr>
            <w:r>
              <w:rPr>
                <w:rFonts w:hint="eastAsia" w:ascii="Times New Roman" w:hAnsi="Times New Roman" w:eastAsia="仿宋_GB2312" w:cs="Times New Roman"/>
                <w:color w:val="000000"/>
                <w:kern w:val="0"/>
                <w:sz w:val="18"/>
                <w:szCs w:val="18"/>
                <w:lang w:val="en-US" w:eastAsia="zh-CN"/>
              </w:rPr>
              <w:t>4</w:t>
            </w:r>
          </w:p>
        </w:tc>
        <w:tc>
          <w:tcPr>
            <w:tcW w:w="89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 w:val="18"/>
                <w:szCs w:val="18"/>
              </w:rPr>
            </w:pPr>
            <w:r>
              <w:rPr>
                <w:rFonts w:hint="eastAsia" w:ascii="Times New Roman" w:hAnsi="Times New Roman" w:eastAsia="仿宋_GB2312" w:cs="Times New Roman"/>
                <w:color w:val="000000"/>
                <w:kern w:val="0"/>
                <w:sz w:val="18"/>
                <w:szCs w:val="18"/>
                <w:lang w:val="en-US" w:eastAsia="zh-CN"/>
              </w:rPr>
              <w:t>4</w:t>
            </w:r>
          </w:p>
        </w:tc>
        <w:tc>
          <w:tcPr>
            <w:tcW w:w="1446"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color w:val="000000"/>
                <w:kern w:val="0"/>
                <w:szCs w:val="21"/>
              </w:rPr>
            </w:pPr>
            <w:r>
              <w:rPr>
                <w:rFonts w:ascii="Times New Roman" w:hAnsi="Times New Roman" w:eastAsia="仿宋_GB2312"/>
                <w:color w:val="000000"/>
                <w:sz w:val="20"/>
                <w:szCs w:val="20"/>
              </w:rPr>
              <w:t>　</w:t>
            </w:r>
          </w:p>
        </w:tc>
      </w:tr>
      <w:bookmarkEnd w:id="2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395"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252" w:type="dxa"/>
            <w:vMerge w:val="restart"/>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时效</w:t>
            </w:r>
          </w:p>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指标</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hint="eastAsia" w:ascii="仿宋_GB2312" w:hAnsi="等线" w:eastAsia="仿宋_GB2312" w:cs="仿宋_GB2312"/>
                <w:color w:val="000000"/>
                <w:sz w:val="18"/>
                <w:szCs w:val="18"/>
              </w:rPr>
            </w:pPr>
            <w:r>
              <w:rPr>
                <w:rFonts w:hint="eastAsia" w:ascii="仿宋_GB2312" w:eastAsia="仿宋_GB2312"/>
                <w:color w:val="000000"/>
                <w:sz w:val="18"/>
                <w:szCs w:val="18"/>
              </w:rPr>
              <w:t>例行监测</w:t>
            </w:r>
          </w:p>
        </w:tc>
        <w:tc>
          <w:tcPr>
            <w:tcW w:w="1200"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hint="default" w:ascii="Times New Roman" w:hAnsi="Times New Roman" w:eastAsia="仿宋_GB2312" w:cs="Times New Roman"/>
                <w:color w:val="000000"/>
                <w:kern w:val="0"/>
                <w:sz w:val="18"/>
                <w:szCs w:val="18"/>
                <w:lang w:val="en-US" w:eastAsia="zh-CN"/>
              </w:rPr>
            </w:pPr>
            <w:bookmarkStart w:id="28" w:name="OLE_LINK8"/>
            <w:r>
              <w:rPr>
                <w:rFonts w:hint="eastAsia" w:ascii="仿宋_GB2312" w:eastAsia="仿宋_GB2312"/>
                <w:color w:val="000000"/>
                <w:sz w:val="18"/>
                <w:szCs w:val="18"/>
              </w:rPr>
              <w:t>每季度</w:t>
            </w:r>
            <w:r>
              <w:rPr>
                <w:rFonts w:hint="eastAsia" w:ascii="仿宋_GB2312" w:eastAsia="仿宋_GB2312"/>
                <w:color w:val="000000"/>
                <w:sz w:val="18"/>
                <w:szCs w:val="18"/>
                <w:lang w:val="en-US" w:eastAsia="zh-CN"/>
              </w:rPr>
              <w:t>按时完成</w:t>
            </w:r>
            <w:bookmarkEnd w:id="28"/>
          </w:p>
        </w:tc>
        <w:tc>
          <w:tcPr>
            <w:tcW w:w="1134"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color w:val="000000"/>
                <w:kern w:val="0"/>
                <w:sz w:val="18"/>
                <w:szCs w:val="18"/>
              </w:rPr>
            </w:pPr>
            <w:r>
              <w:rPr>
                <w:rFonts w:hint="eastAsia" w:ascii="仿宋_GB2312" w:eastAsia="仿宋_GB2312"/>
                <w:color w:val="000000"/>
                <w:sz w:val="18"/>
                <w:szCs w:val="18"/>
              </w:rPr>
              <w:t>每季度</w:t>
            </w:r>
            <w:r>
              <w:rPr>
                <w:rFonts w:hint="eastAsia" w:ascii="仿宋_GB2312" w:eastAsia="仿宋_GB2312"/>
                <w:color w:val="000000"/>
                <w:sz w:val="18"/>
                <w:szCs w:val="18"/>
                <w:lang w:val="en-US" w:eastAsia="zh-CN"/>
              </w:rPr>
              <w:t>按时完成</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color w:val="000000"/>
                <w:kern w:val="0"/>
                <w:sz w:val="18"/>
                <w:szCs w:val="18"/>
                <w:lang w:val="en-US" w:eastAsia="zh-CN"/>
              </w:rPr>
            </w:pPr>
            <w:r>
              <w:rPr>
                <w:rFonts w:hint="eastAsia" w:ascii="Times New Roman" w:hAnsi="Times New Roman" w:eastAsia="仿宋_GB2312" w:cs="Times New Roman"/>
                <w:color w:val="000000"/>
                <w:kern w:val="0"/>
                <w:sz w:val="18"/>
                <w:szCs w:val="18"/>
                <w:lang w:val="en-US" w:eastAsia="zh-CN"/>
              </w:rPr>
              <w:t>4</w:t>
            </w:r>
          </w:p>
        </w:tc>
        <w:tc>
          <w:tcPr>
            <w:tcW w:w="89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 w:val="18"/>
                <w:szCs w:val="18"/>
              </w:rPr>
            </w:pPr>
            <w:r>
              <w:rPr>
                <w:rFonts w:hint="eastAsia" w:ascii="Times New Roman" w:hAnsi="Times New Roman" w:eastAsia="仿宋_GB2312" w:cs="Times New Roman"/>
                <w:color w:val="000000"/>
                <w:kern w:val="0"/>
                <w:sz w:val="18"/>
                <w:szCs w:val="18"/>
                <w:lang w:val="en-US" w:eastAsia="zh-CN"/>
              </w:rPr>
              <w:t>4</w:t>
            </w:r>
          </w:p>
        </w:tc>
        <w:tc>
          <w:tcPr>
            <w:tcW w:w="1446"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395"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25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209"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hint="default" w:ascii="Times New Roman" w:hAnsi="Times New Roman" w:eastAsia="仿宋_GB2312" w:cs="Times New Roman"/>
                <w:color w:val="000000"/>
                <w:kern w:val="0"/>
                <w:sz w:val="18"/>
                <w:szCs w:val="18"/>
                <w:lang w:val="en-US" w:eastAsia="zh-CN"/>
              </w:rPr>
            </w:pPr>
            <w:r>
              <w:rPr>
                <w:rFonts w:hint="eastAsia" w:ascii="仿宋_GB2312" w:eastAsia="仿宋_GB2312"/>
                <w:color w:val="000000"/>
                <w:sz w:val="18"/>
                <w:szCs w:val="18"/>
                <w:lang w:val="en-US" w:eastAsia="zh-CN"/>
              </w:rPr>
              <w:t>各项工作完成时限</w:t>
            </w:r>
          </w:p>
        </w:tc>
        <w:tc>
          <w:tcPr>
            <w:tcW w:w="1200"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hint="default" w:ascii="Times New Roman" w:hAnsi="Times New Roman" w:eastAsia="仿宋_GB2312" w:cs="Times New Roman"/>
                <w:color w:val="000000"/>
                <w:kern w:val="0"/>
                <w:sz w:val="18"/>
                <w:szCs w:val="18"/>
                <w:lang w:val="en-US" w:eastAsia="zh-CN"/>
              </w:rPr>
            </w:pPr>
            <w:bookmarkStart w:id="29" w:name="OLE_LINK9"/>
            <w:r>
              <w:rPr>
                <w:rFonts w:hint="eastAsia" w:ascii="仿宋_GB2312" w:eastAsia="仿宋_GB2312"/>
                <w:color w:val="000000"/>
                <w:sz w:val="18"/>
                <w:szCs w:val="18"/>
                <w:lang w:val="en-US" w:eastAsia="zh-CN"/>
              </w:rPr>
              <w:t>2024年12月31日前</w:t>
            </w:r>
            <w:bookmarkEnd w:id="29"/>
          </w:p>
        </w:tc>
        <w:tc>
          <w:tcPr>
            <w:tcW w:w="1134"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color w:val="000000"/>
                <w:kern w:val="0"/>
                <w:sz w:val="18"/>
                <w:szCs w:val="18"/>
              </w:rPr>
            </w:pPr>
            <w:r>
              <w:rPr>
                <w:rFonts w:hint="eastAsia" w:ascii="仿宋_GB2312" w:eastAsia="仿宋_GB2312"/>
                <w:color w:val="000000"/>
                <w:sz w:val="18"/>
                <w:szCs w:val="18"/>
                <w:lang w:val="en-US" w:eastAsia="zh-CN"/>
              </w:rPr>
              <w:t>2024年12月31日前</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color w:val="000000"/>
                <w:kern w:val="0"/>
                <w:sz w:val="18"/>
                <w:szCs w:val="18"/>
                <w:lang w:eastAsia="zh-CN"/>
              </w:rPr>
            </w:pPr>
            <w:r>
              <w:rPr>
                <w:rFonts w:hint="eastAsia" w:ascii="Times New Roman" w:hAnsi="Times New Roman" w:eastAsia="仿宋_GB2312"/>
                <w:color w:val="000000"/>
                <w:sz w:val="18"/>
                <w:szCs w:val="18"/>
                <w:lang w:val="en-US" w:eastAsia="zh-CN"/>
              </w:rPr>
              <w:t>4</w:t>
            </w:r>
          </w:p>
        </w:tc>
        <w:tc>
          <w:tcPr>
            <w:tcW w:w="89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 w:val="18"/>
                <w:szCs w:val="18"/>
              </w:rPr>
            </w:pPr>
            <w:r>
              <w:rPr>
                <w:rFonts w:hint="eastAsia" w:ascii="Times New Roman" w:hAnsi="Times New Roman" w:eastAsia="仿宋_GB2312"/>
                <w:color w:val="000000"/>
                <w:sz w:val="18"/>
                <w:szCs w:val="18"/>
                <w:lang w:val="en-US" w:eastAsia="zh-CN"/>
              </w:rPr>
              <w:t>4</w:t>
            </w:r>
          </w:p>
        </w:tc>
        <w:tc>
          <w:tcPr>
            <w:tcW w:w="1446"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395"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25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成本</w:t>
            </w:r>
          </w:p>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指标</w:t>
            </w:r>
          </w:p>
        </w:tc>
        <w:tc>
          <w:tcPr>
            <w:tcW w:w="1209"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hint="default" w:ascii="Times New Roman" w:hAnsi="Times New Roman" w:eastAsia="仿宋_GB2312" w:cs="Times New Roman"/>
                <w:color w:val="000000"/>
                <w:kern w:val="0"/>
                <w:sz w:val="18"/>
                <w:szCs w:val="18"/>
                <w:lang w:val="en-US" w:eastAsia="zh-CN"/>
              </w:rPr>
            </w:pPr>
            <w:r>
              <w:rPr>
                <w:rFonts w:hint="eastAsia" w:ascii="Times New Roman" w:hAnsi="Times New Roman" w:eastAsia="仿宋_GB2312"/>
                <w:color w:val="000000"/>
                <w:sz w:val="18"/>
                <w:szCs w:val="18"/>
                <w:lang w:val="en-US" w:eastAsia="zh-CN"/>
              </w:rPr>
              <w:t>各项支出</w:t>
            </w:r>
          </w:p>
        </w:tc>
        <w:tc>
          <w:tcPr>
            <w:tcW w:w="1200"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hint="default" w:ascii="Times New Roman" w:hAnsi="Times New Roman" w:eastAsia="仿宋_GB2312" w:cs="Times New Roman"/>
                <w:color w:val="000000"/>
                <w:kern w:val="0"/>
                <w:sz w:val="18"/>
                <w:szCs w:val="18"/>
                <w:lang w:val="en-US" w:eastAsia="zh-CN"/>
              </w:rPr>
            </w:pPr>
            <w:bookmarkStart w:id="30" w:name="OLE_LINK7"/>
            <w:r>
              <w:rPr>
                <w:rFonts w:hint="eastAsia" w:ascii="Times New Roman" w:hAnsi="Times New Roman" w:eastAsia="仿宋_GB2312"/>
                <w:color w:val="000000"/>
                <w:sz w:val="18"/>
                <w:szCs w:val="18"/>
                <w:lang w:val="en-US" w:eastAsia="zh-CN"/>
              </w:rPr>
              <w:t>控制在预算范围内</w:t>
            </w:r>
            <w:bookmarkEnd w:id="30"/>
          </w:p>
        </w:tc>
        <w:tc>
          <w:tcPr>
            <w:tcW w:w="1134"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color w:val="000000"/>
                <w:kern w:val="0"/>
                <w:sz w:val="18"/>
                <w:szCs w:val="18"/>
              </w:rPr>
            </w:pPr>
            <w:r>
              <w:rPr>
                <w:rFonts w:ascii="Times New Roman" w:hAnsi="Times New Roman" w:eastAsia="仿宋_GB2312"/>
                <w:color w:val="000000"/>
                <w:sz w:val="18"/>
                <w:szCs w:val="18"/>
              </w:rPr>
              <w:t>　</w:t>
            </w:r>
            <w:r>
              <w:rPr>
                <w:rFonts w:hint="eastAsia" w:ascii="Times New Roman" w:hAnsi="Times New Roman" w:eastAsia="仿宋_GB2312"/>
                <w:color w:val="000000"/>
                <w:sz w:val="18"/>
                <w:szCs w:val="18"/>
                <w:lang w:val="en-US" w:eastAsia="zh-CN"/>
              </w:rPr>
              <w:t>控制在预算范围内</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color w:val="000000"/>
                <w:kern w:val="0"/>
                <w:sz w:val="18"/>
                <w:szCs w:val="18"/>
                <w:lang w:eastAsia="zh-CN"/>
              </w:rPr>
            </w:pPr>
            <w:r>
              <w:rPr>
                <w:rFonts w:hint="eastAsia" w:ascii="Times New Roman" w:hAnsi="Times New Roman" w:eastAsia="仿宋_GB2312"/>
                <w:color w:val="000000"/>
                <w:sz w:val="18"/>
                <w:szCs w:val="18"/>
                <w:lang w:val="en-US" w:eastAsia="zh-CN"/>
              </w:rPr>
              <w:t>4</w:t>
            </w:r>
          </w:p>
        </w:tc>
        <w:tc>
          <w:tcPr>
            <w:tcW w:w="89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 w:val="18"/>
                <w:szCs w:val="18"/>
              </w:rPr>
            </w:pPr>
            <w:r>
              <w:rPr>
                <w:rFonts w:hint="eastAsia" w:ascii="Times New Roman" w:hAnsi="Times New Roman" w:eastAsia="仿宋_GB2312"/>
                <w:color w:val="000000"/>
                <w:sz w:val="18"/>
                <w:szCs w:val="18"/>
                <w:lang w:val="en-US" w:eastAsia="zh-CN"/>
              </w:rPr>
              <w:t>4</w:t>
            </w:r>
          </w:p>
        </w:tc>
        <w:tc>
          <w:tcPr>
            <w:tcW w:w="1446"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395" w:type="dxa"/>
            <w:vMerge w:val="restart"/>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效益指标</w:t>
            </w:r>
          </w:p>
          <w:p>
            <w:pPr>
              <w:widowControl/>
              <w:adjustRightInd w:val="0"/>
              <w:snapToGrid w:val="0"/>
              <w:spacing w:line="280" w:lineRule="exact"/>
              <w:ind w:firstLine="210" w:firstLineChars="100"/>
              <w:jc w:val="left"/>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w:t>
            </w:r>
            <w:r>
              <w:rPr>
                <w:rFonts w:ascii="Times New Roman" w:hAnsi="Times New Roman" w:eastAsia="仿宋_GB2312" w:cs="Times New Roman"/>
                <w:color w:val="000000"/>
                <w:kern w:val="0"/>
                <w:szCs w:val="21"/>
              </w:rPr>
              <w:t>30</w:t>
            </w:r>
            <w:r>
              <w:rPr>
                <w:rFonts w:ascii="仿宋_GB2312" w:hAnsi="仿宋_GB2312" w:eastAsia="仿宋_GB2312" w:cs="Times New Roman"/>
                <w:color w:val="000000"/>
                <w:kern w:val="0"/>
                <w:szCs w:val="21"/>
              </w:rPr>
              <w:t>分）　</w:t>
            </w:r>
          </w:p>
        </w:tc>
        <w:tc>
          <w:tcPr>
            <w:tcW w:w="1252" w:type="dxa"/>
            <w:vMerge w:val="restart"/>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经济效</w:t>
            </w:r>
          </w:p>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益指标</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hint="eastAsia" w:ascii="仿宋_GB2312" w:hAnsi="等线" w:eastAsia="仿宋_GB2312" w:cs="仿宋_GB2312"/>
                <w:color w:val="000000"/>
                <w:sz w:val="10"/>
                <w:szCs w:val="10"/>
              </w:rPr>
            </w:pPr>
            <w:r>
              <w:rPr>
                <w:rFonts w:ascii="仿宋_GB2312" w:hAnsi="等线" w:eastAsia="仿宋_GB2312" w:cs="仿宋_GB2312"/>
                <w:color w:val="000000"/>
                <w:kern w:val="0"/>
                <w:sz w:val="10"/>
                <w:szCs w:val="10"/>
                <w:lang w:bidi="ar"/>
              </w:rPr>
              <w:t>"</w:t>
            </w:r>
            <w:r>
              <w:rPr>
                <w:rFonts w:hint="eastAsia" w:ascii="Times New Roman" w:hAnsi="Times New Roman" w:eastAsia="仿宋_GB2312"/>
                <w:color w:val="000000"/>
                <w:sz w:val="18"/>
                <w:szCs w:val="18"/>
              </w:rPr>
              <w:t xml:space="preserve"> 农药产品质量和品牌建设</w:t>
            </w:r>
          </w:p>
        </w:tc>
        <w:tc>
          <w:tcPr>
            <w:tcW w:w="1200"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r>
              <w:rPr>
                <w:rFonts w:hint="eastAsia" w:ascii="Times New Roman" w:hAnsi="Times New Roman" w:eastAsia="仿宋_GB2312"/>
                <w:color w:val="000000"/>
                <w:sz w:val="18"/>
                <w:szCs w:val="18"/>
              </w:rPr>
              <w:t>成效明显</w:t>
            </w:r>
          </w:p>
        </w:tc>
        <w:tc>
          <w:tcPr>
            <w:tcW w:w="1134"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r>
              <w:rPr>
                <w:rFonts w:hint="eastAsia" w:ascii="Times New Roman" w:hAnsi="Times New Roman" w:eastAsia="仿宋_GB2312"/>
                <w:color w:val="000000"/>
                <w:sz w:val="18"/>
                <w:szCs w:val="18"/>
              </w:rPr>
              <w:t>成效明显</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color w:val="000000"/>
                <w:kern w:val="0"/>
                <w:szCs w:val="21"/>
                <w:lang w:val="en-US" w:eastAsia="zh-CN"/>
              </w:rPr>
            </w:pPr>
            <w:r>
              <w:rPr>
                <w:rFonts w:hint="eastAsia" w:ascii="仿宋_GB2312" w:hAnsi="仿宋_GB2312" w:eastAsia="仿宋_GB2312" w:cs="Times New Roman"/>
                <w:color w:val="000000"/>
                <w:kern w:val="0"/>
                <w:szCs w:val="21"/>
                <w:lang w:val="en-US" w:eastAsia="zh-CN"/>
              </w:rPr>
              <w:t>5</w:t>
            </w:r>
          </w:p>
        </w:tc>
        <w:tc>
          <w:tcPr>
            <w:tcW w:w="89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hint="eastAsia" w:ascii="仿宋_GB2312" w:hAnsi="仿宋_GB2312" w:eastAsia="仿宋_GB2312" w:cs="Times New Roman"/>
                <w:color w:val="000000"/>
                <w:kern w:val="0"/>
                <w:szCs w:val="21"/>
                <w:lang w:val="en-US" w:eastAsia="zh-CN"/>
              </w:rPr>
              <w:t>5</w:t>
            </w:r>
          </w:p>
        </w:tc>
        <w:tc>
          <w:tcPr>
            <w:tcW w:w="1446"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395"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25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209" w:type="dxa"/>
            <w:gridSpan w:val="2"/>
            <w:tcBorders>
              <w:top w:val="single" w:color="auto" w:sz="4" w:space="0"/>
              <w:left w:val="nil"/>
              <w:bottom w:val="single" w:color="auto" w:sz="4" w:space="0"/>
              <w:right w:val="single" w:color="auto" w:sz="4" w:space="0"/>
            </w:tcBorders>
            <w:vAlign w:val="center"/>
          </w:tcPr>
          <w:p>
            <w:pPr>
              <w:widowControl/>
              <w:jc w:val="left"/>
              <w:textAlignment w:val="center"/>
              <w:rPr>
                <w:rFonts w:ascii="仿宋_GB2312" w:hAnsi="等线" w:eastAsia="仿宋_GB2312" w:cs="仿宋_GB2312"/>
                <w:color w:val="000000"/>
                <w:kern w:val="0"/>
                <w:sz w:val="18"/>
                <w:szCs w:val="18"/>
                <w:lang w:bidi="ar"/>
              </w:rPr>
            </w:pPr>
            <w:r>
              <w:rPr>
                <w:rFonts w:hint="eastAsia" w:ascii="仿宋_GB2312" w:hAnsi="等线" w:eastAsia="仿宋_GB2312" w:cs="仿宋_GB2312"/>
                <w:color w:val="000000"/>
                <w:kern w:val="0"/>
                <w:sz w:val="18"/>
                <w:szCs w:val="18"/>
                <w:lang w:bidi="ar"/>
              </w:rPr>
              <w:t>生产经营使用者收入和示范门店效益</w:t>
            </w:r>
          </w:p>
        </w:tc>
        <w:tc>
          <w:tcPr>
            <w:tcW w:w="1200" w:type="dxa"/>
            <w:tcBorders>
              <w:top w:val="single" w:color="auto" w:sz="4" w:space="0"/>
              <w:left w:val="nil"/>
              <w:bottom w:val="single" w:color="auto" w:sz="4" w:space="0"/>
              <w:right w:val="single" w:color="auto" w:sz="4" w:space="0"/>
            </w:tcBorders>
            <w:vAlign w:val="center"/>
          </w:tcPr>
          <w:p>
            <w:pPr>
              <w:widowControl/>
              <w:jc w:val="left"/>
              <w:textAlignment w:val="center"/>
              <w:rPr>
                <w:rFonts w:ascii="仿宋_GB2312" w:hAnsi="等线" w:eastAsia="仿宋_GB2312" w:cs="仿宋_GB2312"/>
                <w:color w:val="000000"/>
                <w:kern w:val="0"/>
                <w:sz w:val="18"/>
                <w:szCs w:val="18"/>
                <w:lang w:bidi="ar"/>
              </w:rPr>
            </w:pPr>
            <w:r>
              <w:rPr>
                <w:rFonts w:hint="eastAsia" w:ascii="仿宋_GB2312" w:hAnsi="等线" w:eastAsia="仿宋_GB2312" w:cs="仿宋_GB2312"/>
                <w:color w:val="000000"/>
                <w:kern w:val="0"/>
                <w:sz w:val="18"/>
                <w:szCs w:val="18"/>
                <w:lang w:bidi="ar"/>
              </w:rPr>
              <w:t>有所增加</w:t>
            </w:r>
          </w:p>
        </w:tc>
        <w:tc>
          <w:tcPr>
            <w:tcW w:w="1134" w:type="dxa"/>
            <w:tcBorders>
              <w:top w:val="single" w:color="auto" w:sz="4" w:space="0"/>
              <w:left w:val="nil"/>
              <w:bottom w:val="single" w:color="auto" w:sz="4" w:space="0"/>
              <w:right w:val="single" w:color="auto" w:sz="4" w:space="0"/>
            </w:tcBorders>
            <w:vAlign w:val="center"/>
          </w:tcPr>
          <w:p>
            <w:pPr>
              <w:widowControl/>
              <w:jc w:val="left"/>
              <w:textAlignment w:val="center"/>
              <w:rPr>
                <w:rFonts w:ascii="仿宋_GB2312" w:hAnsi="等线" w:eastAsia="仿宋_GB2312" w:cs="仿宋_GB2312"/>
                <w:color w:val="000000"/>
                <w:kern w:val="0"/>
                <w:sz w:val="18"/>
                <w:szCs w:val="18"/>
                <w:lang w:bidi="ar"/>
              </w:rPr>
            </w:pPr>
            <w:r>
              <w:rPr>
                <w:rFonts w:hint="eastAsia" w:ascii="仿宋_GB2312" w:hAnsi="等线" w:eastAsia="仿宋_GB2312" w:cs="仿宋_GB2312"/>
                <w:color w:val="000000"/>
                <w:kern w:val="0"/>
                <w:sz w:val="18"/>
                <w:szCs w:val="18"/>
                <w:lang w:bidi="ar"/>
              </w:rPr>
              <w:t>有所增加</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hint="eastAsia" w:ascii="仿宋_GB2312" w:hAnsi="仿宋_GB2312" w:eastAsia="仿宋_GB2312" w:cs="Times New Roman"/>
                <w:color w:val="000000"/>
                <w:kern w:val="0"/>
                <w:szCs w:val="21"/>
                <w:lang w:val="en-US" w:eastAsia="zh-CN"/>
              </w:rPr>
              <w:t>5</w:t>
            </w:r>
          </w:p>
        </w:tc>
        <w:tc>
          <w:tcPr>
            <w:tcW w:w="89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hint="eastAsia" w:ascii="仿宋_GB2312" w:hAnsi="仿宋_GB2312" w:eastAsia="仿宋_GB2312" w:cs="Times New Roman"/>
                <w:color w:val="000000"/>
                <w:kern w:val="0"/>
                <w:szCs w:val="21"/>
                <w:lang w:val="en-US" w:eastAsia="zh-CN"/>
              </w:rPr>
              <w:t>5</w:t>
            </w:r>
          </w:p>
        </w:tc>
        <w:tc>
          <w:tcPr>
            <w:tcW w:w="1446"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bookmarkStart w:id="31" w:name="OLE_LINK12" w:colFirst="6" w:colLast="7"/>
          </w:p>
        </w:tc>
        <w:tc>
          <w:tcPr>
            <w:tcW w:w="1395"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252"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社会效</w:t>
            </w:r>
          </w:p>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益指标</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hint="eastAsia" w:ascii="仿宋_GB2312" w:hAnsi="等线" w:eastAsia="仿宋_GB2312" w:cs="仿宋_GB2312"/>
                <w:color w:val="000000"/>
                <w:kern w:val="0"/>
                <w:sz w:val="18"/>
                <w:szCs w:val="18"/>
                <w:lang w:bidi="ar"/>
              </w:rPr>
            </w:pPr>
            <w:r>
              <w:rPr>
                <w:rFonts w:hint="eastAsia" w:ascii="仿宋_GB2312" w:hAnsi="等线" w:eastAsia="仿宋_GB2312" w:cs="仿宋_GB2312"/>
                <w:color w:val="000000"/>
                <w:kern w:val="0"/>
                <w:sz w:val="18"/>
                <w:szCs w:val="18"/>
                <w:lang w:bidi="ar"/>
              </w:rPr>
              <w:t>区域性农药质量安全事件</w:t>
            </w:r>
          </w:p>
        </w:tc>
        <w:tc>
          <w:tcPr>
            <w:tcW w:w="1200" w:type="dxa"/>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仿宋_GB2312" w:hAnsi="等线" w:eastAsia="仿宋_GB2312" w:cs="仿宋_GB2312"/>
                <w:color w:val="000000"/>
                <w:kern w:val="0"/>
                <w:sz w:val="18"/>
                <w:szCs w:val="18"/>
                <w:lang w:eastAsia="zh-CN" w:bidi="ar"/>
              </w:rPr>
            </w:pPr>
            <w:r>
              <w:rPr>
                <w:rFonts w:ascii="仿宋_GB2312" w:hAnsi="等线" w:eastAsia="仿宋_GB2312" w:cs="仿宋_GB2312"/>
                <w:color w:val="000000"/>
                <w:kern w:val="0"/>
                <w:sz w:val="18"/>
                <w:szCs w:val="18"/>
                <w:lang w:bidi="ar"/>
              </w:rPr>
              <w:t>　</w:t>
            </w:r>
            <w:r>
              <w:rPr>
                <w:rFonts w:hint="eastAsia" w:ascii="仿宋_GB2312" w:hAnsi="等线" w:eastAsia="仿宋_GB2312" w:cs="仿宋_GB2312"/>
                <w:color w:val="000000"/>
                <w:kern w:val="0"/>
                <w:sz w:val="18"/>
                <w:szCs w:val="18"/>
                <w:lang w:val="en-US" w:eastAsia="zh-CN" w:bidi="ar"/>
              </w:rPr>
              <w:t>0</w:t>
            </w:r>
          </w:p>
        </w:tc>
        <w:tc>
          <w:tcPr>
            <w:tcW w:w="1134" w:type="dxa"/>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仿宋_GB2312" w:hAnsi="等线" w:eastAsia="仿宋_GB2312" w:cs="仿宋_GB2312"/>
                <w:color w:val="000000"/>
                <w:kern w:val="0"/>
                <w:sz w:val="18"/>
                <w:szCs w:val="18"/>
                <w:lang w:eastAsia="zh-CN" w:bidi="ar"/>
              </w:rPr>
            </w:pPr>
            <w:r>
              <w:rPr>
                <w:rFonts w:ascii="仿宋_GB2312" w:hAnsi="等线" w:eastAsia="仿宋_GB2312" w:cs="仿宋_GB2312"/>
                <w:color w:val="000000"/>
                <w:kern w:val="0"/>
                <w:sz w:val="18"/>
                <w:szCs w:val="18"/>
                <w:lang w:bidi="ar"/>
              </w:rPr>
              <w:t>　</w:t>
            </w:r>
            <w:r>
              <w:rPr>
                <w:rFonts w:hint="eastAsia" w:ascii="仿宋_GB2312" w:hAnsi="等线" w:eastAsia="仿宋_GB2312" w:cs="仿宋_GB2312"/>
                <w:color w:val="000000"/>
                <w:kern w:val="0"/>
                <w:sz w:val="18"/>
                <w:szCs w:val="18"/>
                <w:lang w:val="en-US" w:eastAsia="zh-CN" w:bidi="ar"/>
              </w:rPr>
              <w:t>0</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color w:val="000000"/>
                <w:kern w:val="0"/>
                <w:sz w:val="18"/>
                <w:szCs w:val="18"/>
                <w:lang w:eastAsia="zh-CN"/>
              </w:rPr>
            </w:pPr>
            <w:r>
              <w:rPr>
                <w:rFonts w:hint="eastAsia" w:ascii="Times New Roman" w:hAnsi="Times New Roman" w:eastAsia="仿宋_GB2312"/>
                <w:color w:val="000000"/>
                <w:sz w:val="18"/>
                <w:szCs w:val="18"/>
                <w:lang w:val="en-US" w:eastAsia="zh-CN"/>
              </w:rPr>
              <w:t>5</w:t>
            </w:r>
          </w:p>
        </w:tc>
        <w:tc>
          <w:tcPr>
            <w:tcW w:w="89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 w:val="18"/>
                <w:szCs w:val="18"/>
              </w:rPr>
            </w:pPr>
            <w:r>
              <w:rPr>
                <w:rFonts w:hint="eastAsia" w:ascii="Times New Roman" w:hAnsi="Times New Roman" w:eastAsia="仿宋_GB2312"/>
                <w:color w:val="000000"/>
                <w:sz w:val="18"/>
                <w:szCs w:val="18"/>
                <w:lang w:val="en-US" w:eastAsia="zh-CN"/>
              </w:rPr>
              <w:t>5</w:t>
            </w:r>
          </w:p>
        </w:tc>
        <w:tc>
          <w:tcPr>
            <w:tcW w:w="1446"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395"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252" w:type="dxa"/>
            <w:tcBorders>
              <w:top w:val="nil"/>
              <w:left w:val="nil"/>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生态效益指标</w:t>
            </w:r>
          </w:p>
        </w:tc>
        <w:tc>
          <w:tcPr>
            <w:tcW w:w="1209" w:type="dxa"/>
            <w:gridSpan w:val="2"/>
            <w:tcBorders>
              <w:top w:val="single" w:color="auto" w:sz="4" w:space="0"/>
              <w:left w:val="nil"/>
              <w:bottom w:val="single" w:color="auto" w:sz="4" w:space="0"/>
              <w:right w:val="single" w:color="auto" w:sz="4" w:space="0"/>
            </w:tcBorders>
            <w:vAlign w:val="center"/>
          </w:tcPr>
          <w:p>
            <w:pPr>
              <w:widowControl/>
              <w:jc w:val="left"/>
              <w:textAlignment w:val="center"/>
              <w:rPr>
                <w:rFonts w:ascii="仿宋_GB2312" w:hAnsi="等线" w:eastAsia="仿宋_GB2312" w:cs="仿宋_GB2312"/>
                <w:color w:val="000000"/>
                <w:kern w:val="0"/>
                <w:sz w:val="18"/>
                <w:szCs w:val="18"/>
                <w:lang w:bidi="ar"/>
              </w:rPr>
            </w:pPr>
            <w:r>
              <w:rPr>
                <w:rFonts w:hint="eastAsia" w:ascii="仿宋_GB2312" w:hAnsi="等线" w:eastAsia="仿宋_GB2312" w:cs="仿宋_GB2312"/>
                <w:color w:val="000000"/>
                <w:kern w:val="0"/>
                <w:sz w:val="18"/>
                <w:szCs w:val="18"/>
                <w:lang w:bidi="ar"/>
              </w:rPr>
              <w:t>农药减量，绿色生产、质量兴农意识</w:t>
            </w:r>
          </w:p>
        </w:tc>
        <w:tc>
          <w:tcPr>
            <w:tcW w:w="1200" w:type="dxa"/>
            <w:tcBorders>
              <w:top w:val="single" w:color="auto" w:sz="4" w:space="0"/>
              <w:left w:val="nil"/>
              <w:bottom w:val="single" w:color="auto" w:sz="4" w:space="0"/>
              <w:right w:val="single" w:color="auto" w:sz="4" w:space="0"/>
            </w:tcBorders>
            <w:vAlign w:val="center"/>
          </w:tcPr>
          <w:p>
            <w:pPr>
              <w:widowControl/>
              <w:jc w:val="left"/>
              <w:textAlignment w:val="center"/>
              <w:rPr>
                <w:rFonts w:ascii="仿宋_GB2312" w:hAnsi="等线" w:eastAsia="仿宋_GB2312" w:cs="仿宋_GB2312"/>
                <w:color w:val="000000"/>
                <w:kern w:val="0"/>
                <w:sz w:val="18"/>
                <w:szCs w:val="18"/>
                <w:lang w:bidi="ar"/>
              </w:rPr>
            </w:pPr>
            <w:r>
              <w:rPr>
                <w:rFonts w:hint="eastAsia" w:ascii="仿宋_GB2312" w:hAnsi="等线" w:eastAsia="仿宋_GB2312" w:cs="仿宋_GB2312"/>
                <w:color w:val="000000"/>
                <w:kern w:val="0"/>
                <w:sz w:val="18"/>
                <w:szCs w:val="18"/>
                <w:lang w:bidi="ar"/>
              </w:rPr>
              <w:t>明显增强</w:t>
            </w:r>
          </w:p>
        </w:tc>
        <w:tc>
          <w:tcPr>
            <w:tcW w:w="1134" w:type="dxa"/>
            <w:tcBorders>
              <w:top w:val="single" w:color="auto" w:sz="4" w:space="0"/>
              <w:left w:val="nil"/>
              <w:bottom w:val="single" w:color="auto" w:sz="4" w:space="0"/>
              <w:right w:val="single" w:color="auto" w:sz="4" w:space="0"/>
            </w:tcBorders>
            <w:vAlign w:val="center"/>
          </w:tcPr>
          <w:p>
            <w:pPr>
              <w:widowControl/>
              <w:jc w:val="left"/>
              <w:textAlignment w:val="center"/>
              <w:rPr>
                <w:rFonts w:ascii="仿宋_GB2312" w:hAnsi="等线" w:eastAsia="仿宋_GB2312" w:cs="仿宋_GB2312"/>
                <w:color w:val="000000"/>
                <w:kern w:val="0"/>
                <w:sz w:val="18"/>
                <w:szCs w:val="18"/>
                <w:lang w:bidi="ar"/>
              </w:rPr>
            </w:pPr>
            <w:r>
              <w:rPr>
                <w:rFonts w:hint="eastAsia" w:ascii="仿宋_GB2312" w:hAnsi="等线" w:eastAsia="仿宋_GB2312" w:cs="仿宋_GB2312"/>
                <w:color w:val="000000"/>
                <w:kern w:val="0"/>
                <w:sz w:val="18"/>
                <w:szCs w:val="18"/>
                <w:lang w:bidi="ar"/>
              </w:rPr>
              <w:t>明显增强</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color w:val="000000"/>
                <w:kern w:val="0"/>
                <w:szCs w:val="21"/>
                <w:lang w:val="en-US" w:eastAsia="zh-CN"/>
              </w:rPr>
            </w:pPr>
            <w:r>
              <w:rPr>
                <w:rFonts w:hint="eastAsia" w:ascii="仿宋_GB2312" w:hAnsi="仿宋_GB2312" w:eastAsia="仿宋_GB2312" w:cs="Times New Roman"/>
                <w:color w:val="000000"/>
                <w:kern w:val="0"/>
                <w:szCs w:val="21"/>
                <w:lang w:val="en-US" w:eastAsia="zh-CN"/>
              </w:rPr>
              <w:t>5</w:t>
            </w:r>
          </w:p>
        </w:tc>
        <w:tc>
          <w:tcPr>
            <w:tcW w:w="89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hint="eastAsia" w:ascii="仿宋_GB2312" w:hAnsi="仿宋_GB2312" w:eastAsia="仿宋_GB2312" w:cs="Times New Roman"/>
                <w:color w:val="000000"/>
                <w:kern w:val="0"/>
                <w:szCs w:val="21"/>
                <w:lang w:val="en-US" w:eastAsia="zh-CN"/>
              </w:rPr>
              <w:t>5</w:t>
            </w:r>
          </w:p>
        </w:tc>
        <w:tc>
          <w:tcPr>
            <w:tcW w:w="1446"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p>
        </w:tc>
      </w:tr>
      <w:bookmarkEnd w:id="3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395"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252" w:type="dxa"/>
            <w:vMerge w:val="restart"/>
            <w:tcBorders>
              <w:top w:val="nil"/>
              <w:left w:val="nil"/>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可持续影响指标</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hint="eastAsia" w:ascii="仿宋_GB2312" w:hAnsi="等线" w:eastAsia="仿宋_GB2312" w:cs="仿宋_GB2312"/>
                <w:color w:val="000000"/>
                <w:kern w:val="0"/>
                <w:sz w:val="18"/>
                <w:szCs w:val="18"/>
                <w:lang w:bidi="ar"/>
              </w:rPr>
            </w:pPr>
            <w:r>
              <w:rPr>
                <w:rFonts w:hint="eastAsia" w:ascii="仿宋_GB2312" w:hAnsi="等线" w:eastAsia="仿宋_GB2312" w:cs="仿宋_GB2312"/>
                <w:color w:val="000000"/>
                <w:kern w:val="0"/>
                <w:sz w:val="18"/>
                <w:szCs w:val="18"/>
                <w:lang w:bidi="ar"/>
              </w:rPr>
              <w:t>农药安全、科学使用水平</w:t>
            </w:r>
          </w:p>
        </w:tc>
        <w:tc>
          <w:tcPr>
            <w:tcW w:w="1200" w:type="dxa"/>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仿宋_GB2312" w:hAnsi="等线" w:eastAsia="仿宋_GB2312" w:cs="仿宋_GB2312"/>
                <w:color w:val="000000"/>
                <w:kern w:val="0"/>
                <w:sz w:val="18"/>
                <w:szCs w:val="18"/>
                <w:lang w:bidi="ar"/>
              </w:rPr>
            </w:pPr>
            <w:r>
              <w:rPr>
                <w:rFonts w:hint="eastAsia" w:ascii="仿宋_GB2312" w:hAnsi="等线" w:eastAsia="仿宋_GB2312" w:cs="仿宋_GB2312"/>
                <w:color w:val="000000"/>
                <w:kern w:val="0"/>
                <w:sz w:val="18"/>
                <w:szCs w:val="18"/>
                <w:lang w:bidi="ar"/>
              </w:rPr>
              <w:t>不断提高</w:t>
            </w:r>
          </w:p>
        </w:tc>
        <w:tc>
          <w:tcPr>
            <w:tcW w:w="1134" w:type="dxa"/>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仿宋_GB2312" w:hAnsi="等线" w:eastAsia="仿宋_GB2312" w:cs="仿宋_GB2312"/>
                <w:color w:val="000000"/>
                <w:kern w:val="0"/>
                <w:sz w:val="18"/>
                <w:szCs w:val="18"/>
                <w:lang w:bidi="ar"/>
              </w:rPr>
            </w:pPr>
            <w:r>
              <w:rPr>
                <w:rFonts w:hint="eastAsia" w:ascii="仿宋_GB2312" w:hAnsi="等线" w:eastAsia="仿宋_GB2312" w:cs="仿宋_GB2312"/>
                <w:color w:val="000000"/>
                <w:kern w:val="0"/>
                <w:sz w:val="18"/>
                <w:szCs w:val="18"/>
                <w:lang w:bidi="ar"/>
              </w:rPr>
              <w:t>不断提高</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default" w:ascii="Times New Roman" w:hAnsi="Times New Roman" w:eastAsia="仿宋_GB2312"/>
                <w:color w:val="000000"/>
                <w:sz w:val="18"/>
                <w:szCs w:val="18"/>
                <w:highlight w:val="none"/>
                <w:lang w:val="en-US" w:eastAsia="zh-CN"/>
              </w:rPr>
            </w:pPr>
            <w:r>
              <w:rPr>
                <w:rFonts w:hint="eastAsia" w:ascii="Times New Roman" w:hAnsi="Times New Roman" w:eastAsia="仿宋_GB2312"/>
                <w:color w:val="000000"/>
                <w:sz w:val="18"/>
                <w:szCs w:val="18"/>
                <w:highlight w:val="none"/>
                <w:lang w:val="en-US" w:eastAsia="zh-CN"/>
              </w:rPr>
              <w:t>4</w:t>
            </w:r>
          </w:p>
        </w:tc>
        <w:tc>
          <w:tcPr>
            <w:tcW w:w="89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olor w:val="000000"/>
                <w:sz w:val="18"/>
                <w:szCs w:val="18"/>
                <w:highlight w:val="none"/>
              </w:rPr>
            </w:pPr>
            <w:r>
              <w:rPr>
                <w:rFonts w:hint="eastAsia" w:ascii="Times New Roman" w:hAnsi="Times New Roman" w:eastAsia="仿宋_GB2312"/>
                <w:color w:val="000000"/>
                <w:sz w:val="18"/>
                <w:szCs w:val="18"/>
                <w:highlight w:val="none"/>
                <w:lang w:val="en-US" w:eastAsia="zh-CN"/>
              </w:rPr>
              <w:t>4</w:t>
            </w:r>
          </w:p>
        </w:tc>
        <w:tc>
          <w:tcPr>
            <w:tcW w:w="1446"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395"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252" w:type="dxa"/>
            <w:vMerge w:val="continue"/>
            <w:tcBorders>
              <w:left w:val="nil"/>
              <w:right w:val="single" w:color="auto" w:sz="4" w:space="0"/>
            </w:tcBorders>
            <w:vAlign w:val="center"/>
          </w:tcPr>
          <w:p>
            <w:pPr>
              <w:widowControl/>
              <w:adjustRightInd w:val="0"/>
              <w:snapToGrid w:val="0"/>
              <w:spacing w:line="280" w:lineRule="exact"/>
              <w:jc w:val="center"/>
              <w:rPr>
                <w:rFonts w:ascii="仿宋_GB2312" w:hAnsi="仿宋_GB2312" w:eastAsia="仿宋_GB2312" w:cs="Times New Roman"/>
                <w:color w:val="000000"/>
                <w:kern w:val="0"/>
                <w:szCs w:val="21"/>
              </w:rPr>
            </w:pP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hint="eastAsia" w:ascii="仿宋_GB2312" w:hAnsi="等线" w:eastAsia="仿宋_GB2312" w:cs="仿宋_GB2312"/>
                <w:color w:val="000000"/>
                <w:kern w:val="0"/>
                <w:sz w:val="18"/>
                <w:szCs w:val="18"/>
                <w:lang w:bidi="ar"/>
              </w:rPr>
            </w:pPr>
            <w:r>
              <w:rPr>
                <w:rFonts w:hint="eastAsia" w:ascii="仿宋_GB2312" w:hAnsi="等线" w:eastAsia="仿宋_GB2312" w:cs="仿宋_GB2312"/>
                <w:color w:val="000000"/>
                <w:kern w:val="0"/>
                <w:sz w:val="18"/>
                <w:szCs w:val="18"/>
                <w:lang w:bidi="ar"/>
              </w:rPr>
              <w:t>农产品质量安全检验检测就技术能力</w:t>
            </w:r>
          </w:p>
        </w:tc>
        <w:tc>
          <w:tcPr>
            <w:tcW w:w="1200" w:type="dxa"/>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仿宋_GB2312" w:hAnsi="等线" w:eastAsia="仿宋_GB2312" w:cs="仿宋_GB2312"/>
                <w:color w:val="000000"/>
                <w:kern w:val="0"/>
                <w:sz w:val="18"/>
                <w:szCs w:val="18"/>
                <w:lang w:bidi="ar"/>
              </w:rPr>
            </w:pPr>
            <w:r>
              <w:rPr>
                <w:rFonts w:hint="eastAsia" w:ascii="仿宋_GB2312" w:hAnsi="等线" w:eastAsia="仿宋_GB2312" w:cs="仿宋_GB2312"/>
                <w:color w:val="000000"/>
                <w:kern w:val="0"/>
                <w:sz w:val="18"/>
                <w:szCs w:val="18"/>
                <w:lang w:bidi="ar"/>
              </w:rPr>
              <w:t>持续提升</w:t>
            </w:r>
          </w:p>
        </w:tc>
        <w:tc>
          <w:tcPr>
            <w:tcW w:w="1134" w:type="dxa"/>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仿宋_GB2312" w:hAnsi="等线" w:eastAsia="仿宋_GB2312" w:cs="仿宋_GB2312"/>
                <w:color w:val="000000"/>
                <w:kern w:val="0"/>
                <w:sz w:val="18"/>
                <w:szCs w:val="18"/>
                <w:lang w:bidi="ar"/>
              </w:rPr>
            </w:pPr>
            <w:r>
              <w:rPr>
                <w:rFonts w:hint="eastAsia" w:ascii="仿宋_GB2312" w:hAnsi="等线" w:eastAsia="仿宋_GB2312" w:cs="仿宋_GB2312"/>
                <w:color w:val="000000"/>
                <w:kern w:val="0"/>
                <w:sz w:val="18"/>
                <w:szCs w:val="18"/>
                <w:lang w:bidi="ar"/>
              </w:rPr>
              <w:t>持续提升</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olor w:val="000000"/>
                <w:sz w:val="18"/>
                <w:szCs w:val="18"/>
                <w:highlight w:val="none"/>
                <w:lang w:val="en-US" w:eastAsia="zh-CN"/>
              </w:rPr>
            </w:pPr>
            <w:r>
              <w:rPr>
                <w:rFonts w:hint="eastAsia" w:ascii="Times New Roman" w:hAnsi="Times New Roman" w:eastAsia="仿宋_GB2312"/>
                <w:color w:val="000000"/>
                <w:sz w:val="18"/>
                <w:szCs w:val="18"/>
                <w:highlight w:val="none"/>
                <w:lang w:val="en-US" w:eastAsia="zh-CN"/>
              </w:rPr>
              <w:t>3</w:t>
            </w:r>
          </w:p>
        </w:tc>
        <w:tc>
          <w:tcPr>
            <w:tcW w:w="89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olor w:val="000000"/>
                <w:sz w:val="18"/>
                <w:szCs w:val="18"/>
                <w:highlight w:val="none"/>
              </w:rPr>
            </w:pPr>
            <w:r>
              <w:rPr>
                <w:rFonts w:hint="eastAsia" w:ascii="Times New Roman" w:hAnsi="Times New Roman" w:eastAsia="仿宋_GB2312"/>
                <w:color w:val="000000"/>
                <w:sz w:val="18"/>
                <w:szCs w:val="18"/>
                <w:highlight w:val="none"/>
                <w:lang w:val="en-US" w:eastAsia="zh-CN"/>
              </w:rPr>
              <w:t>3</w:t>
            </w:r>
          </w:p>
        </w:tc>
        <w:tc>
          <w:tcPr>
            <w:tcW w:w="1446"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olor w:val="00000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395"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252" w:type="dxa"/>
            <w:vMerge w:val="continue"/>
            <w:tcBorders>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Cs w:val="21"/>
              </w:rPr>
            </w:pP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hint="eastAsia" w:ascii="仿宋_GB2312" w:hAnsi="等线" w:eastAsia="仿宋_GB2312" w:cs="仿宋_GB2312"/>
                <w:color w:val="000000"/>
                <w:kern w:val="0"/>
                <w:sz w:val="18"/>
                <w:szCs w:val="18"/>
                <w:lang w:bidi="ar"/>
              </w:rPr>
            </w:pPr>
            <w:r>
              <w:rPr>
                <w:rFonts w:hint="eastAsia" w:ascii="仿宋_GB2312" w:hAnsi="等线" w:eastAsia="仿宋_GB2312" w:cs="仿宋_GB2312"/>
                <w:color w:val="000000"/>
                <w:kern w:val="0"/>
                <w:sz w:val="18"/>
                <w:szCs w:val="18"/>
                <w:lang w:bidi="ar"/>
              </w:rPr>
              <w:t>农药安全监管制度和长效机制</w:t>
            </w:r>
          </w:p>
        </w:tc>
        <w:tc>
          <w:tcPr>
            <w:tcW w:w="1200" w:type="dxa"/>
            <w:tcBorders>
              <w:top w:val="single" w:color="auto" w:sz="4" w:space="0"/>
              <w:left w:val="nil"/>
              <w:bottom w:val="single" w:color="auto" w:sz="4" w:space="0"/>
              <w:right w:val="single" w:color="auto" w:sz="4" w:space="0"/>
            </w:tcBorders>
            <w:vAlign w:val="center"/>
          </w:tcPr>
          <w:p>
            <w:pPr>
              <w:widowControl/>
              <w:jc w:val="left"/>
              <w:textAlignment w:val="center"/>
              <w:rPr>
                <w:rFonts w:ascii="仿宋_GB2312" w:hAnsi="等线" w:eastAsia="仿宋_GB2312" w:cs="仿宋_GB2312"/>
                <w:color w:val="000000"/>
                <w:kern w:val="0"/>
                <w:sz w:val="18"/>
                <w:szCs w:val="18"/>
                <w:lang w:bidi="ar"/>
              </w:rPr>
            </w:pPr>
            <w:r>
              <w:rPr>
                <w:rFonts w:hint="eastAsia" w:ascii="仿宋_GB2312" w:hAnsi="等线" w:eastAsia="仿宋_GB2312" w:cs="仿宋_GB2312"/>
                <w:color w:val="000000"/>
                <w:kern w:val="0"/>
                <w:sz w:val="18"/>
                <w:szCs w:val="18"/>
                <w:lang w:bidi="ar"/>
              </w:rPr>
              <w:t>不断完善</w:t>
            </w:r>
          </w:p>
        </w:tc>
        <w:tc>
          <w:tcPr>
            <w:tcW w:w="1134" w:type="dxa"/>
            <w:tcBorders>
              <w:top w:val="single" w:color="auto" w:sz="4" w:space="0"/>
              <w:left w:val="nil"/>
              <w:bottom w:val="single" w:color="auto" w:sz="4" w:space="0"/>
              <w:right w:val="single" w:color="auto" w:sz="4" w:space="0"/>
            </w:tcBorders>
            <w:vAlign w:val="center"/>
          </w:tcPr>
          <w:p>
            <w:pPr>
              <w:widowControl/>
              <w:jc w:val="left"/>
              <w:textAlignment w:val="center"/>
              <w:rPr>
                <w:rFonts w:ascii="仿宋_GB2312" w:hAnsi="等线" w:eastAsia="仿宋_GB2312" w:cs="仿宋_GB2312"/>
                <w:color w:val="000000"/>
                <w:kern w:val="0"/>
                <w:sz w:val="18"/>
                <w:szCs w:val="18"/>
                <w:lang w:bidi="ar"/>
              </w:rPr>
            </w:pPr>
            <w:r>
              <w:rPr>
                <w:rFonts w:hint="eastAsia" w:ascii="仿宋_GB2312" w:hAnsi="等线" w:eastAsia="仿宋_GB2312" w:cs="仿宋_GB2312"/>
                <w:color w:val="000000"/>
                <w:kern w:val="0"/>
                <w:sz w:val="18"/>
                <w:szCs w:val="18"/>
                <w:lang w:bidi="ar"/>
              </w:rPr>
              <w:t>不断完善</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hint="eastAsia" w:ascii="Times New Roman" w:hAnsi="Times New Roman" w:eastAsia="仿宋_GB2312" w:cs="Times New Roman"/>
                <w:color w:val="000000"/>
                <w:kern w:val="0"/>
                <w:sz w:val="18"/>
                <w:szCs w:val="18"/>
                <w:highlight w:val="none"/>
                <w:lang w:eastAsia="zh-CN"/>
              </w:rPr>
            </w:pPr>
            <w:r>
              <w:rPr>
                <w:rFonts w:hint="eastAsia" w:ascii="Times New Roman" w:hAnsi="Times New Roman" w:eastAsia="仿宋_GB2312"/>
                <w:color w:val="000000"/>
                <w:sz w:val="18"/>
                <w:szCs w:val="18"/>
                <w:highlight w:val="none"/>
                <w:lang w:val="en-US" w:eastAsia="zh-CN"/>
              </w:rPr>
              <w:t>3</w:t>
            </w:r>
          </w:p>
        </w:tc>
        <w:tc>
          <w:tcPr>
            <w:tcW w:w="89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 w:val="18"/>
                <w:szCs w:val="18"/>
                <w:highlight w:val="none"/>
              </w:rPr>
            </w:pPr>
            <w:r>
              <w:rPr>
                <w:rFonts w:hint="eastAsia" w:ascii="Times New Roman" w:hAnsi="Times New Roman" w:eastAsia="仿宋_GB2312"/>
                <w:color w:val="000000"/>
                <w:sz w:val="18"/>
                <w:szCs w:val="18"/>
                <w:highlight w:val="none"/>
                <w:lang w:val="en-US" w:eastAsia="zh-CN"/>
              </w:rPr>
              <w:t>3</w:t>
            </w:r>
          </w:p>
        </w:tc>
        <w:tc>
          <w:tcPr>
            <w:tcW w:w="1446"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color w:val="000000"/>
                <w:kern w:val="0"/>
                <w:szCs w:val="21"/>
                <w:highlight w:val="none"/>
              </w:rPr>
            </w:pPr>
            <w:r>
              <w:rPr>
                <w:rFonts w:ascii="Times New Roman" w:hAnsi="Times New Roman" w:eastAsia="仿宋_GB2312"/>
                <w:color w:val="00000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395" w:type="dxa"/>
            <w:vMerge w:val="restart"/>
            <w:tcBorders>
              <w:top w:val="nil"/>
              <w:left w:val="nil"/>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满意度</w:t>
            </w:r>
          </w:p>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指标</w:t>
            </w:r>
          </w:p>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w:t>
            </w:r>
            <w:r>
              <w:rPr>
                <w:rFonts w:ascii="Times New Roman" w:hAnsi="Times New Roman" w:eastAsia="仿宋_GB2312" w:cs="Times New Roman"/>
                <w:color w:val="000000"/>
                <w:kern w:val="0"/>
                <w:szCs w:val="21"/>
              </w:rPr>
              <w:t>10</w:t>
            </w:r>
            <w:r>
              <w:rPr>
                <w:rFonts w:ascii="仿宋_GB2312" w:hAnsi="仿宋_GB2312" w:eastAsia="仿宋_GB2312" w:cs="Times New Roman"/>
                <w:color w:val="000000"/>
                <w:kern w:val="0"/>
                <w:szCs w:val="21"/>
              </w:rPr>
              <w:t>分）</w:t>
            </w:r>
          </w:p>
        </w:tc>
        <w:tc>
          <w:tcPr>
            <w:tcW w:w="1252" w:type="dxa"/>
            <w:vMerge w:val="restart"/>
            <w:tcBorders>
              <w:top w:val="nil"/>
              <w:left w:val="nil"/>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服务对象满意度指标</w:t>
            </w: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hint="default" w:ascii="仿宋_GB2312" w:hAnsi="等线" w:eastAsia="仿宋_GB2312" w:cs="仿宋_GB2312"/>
                <w:color w:val="000000"/>
                <w:kern w:val="0"/>
                <w:sz w:val="18"/>
                <w:szCs w:val="18"/>
                <w:lang w:val="en-US" w:eastAsia="zh-CN" w:bidi="ar"/>
              </w:rPr>
            </w:pPr>
            <w:r>
              <w:rPr>
                <w:rFonts w:hint="eastAsia" w:ascii="仿宋_GB2312" w:hAnsi="等线" w:eastAsia="仿宋_GB2312" w:cs="仿宋_GB2312"/>
                <w:color w:val="000000"/>
                <w:kern w:val="0"/>
                <w:sz w:val="18"/>
                <w:szCs w:val="18"/>
                <w:lang w:bidi="ar"/>
              </w:rPr>
              <w:t>农药生产企业</w:t>
            </w:r>
            <w:r>
              <w:rPr>
                <w:rFonts w:hint="eastAsia" w:ascii="仿宋_GB2312" w:hAnsi="等线" w:eastAsia="仿宋_GB2312" w:cs="仿宋_GB2312"/>
                <w:color w:val="000000"/>
                <w:kern w:val="0"/>
                <w:sz w:val="18"/>
                <w:szCs w:val="18"/>
                <w:lang w:val="en-US" w:eastAsia="zh-CN" w:bidi="ar"/>
              </w:rPr>
              <w:t>满意度</w:t>
            </w:r>
          </w:p>
        </w:tc>
        <w:tc>
          <w:tcPr>
            <w:tcW w:w="1200" w:type="dxa"/>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仿宋_GB2312" w:hAnsi="等线" w:eastAsia="仿宋_GB2312" w:cs="仿宋_GB2312"/>
                <w:color w:val="000000"/>
                <w:kern w:val="0"/>
                <w:sz w:val="18"/>
                <w:szCs w:val="18"/>
                <w:lang w:bidi="ar"/>
              </w:rPr>
            </w:pPr>
            <w:r>
              <w:rPr>
                <w:rFonts w:hint="eastAsia" w:ascii="仿宋_GB2312" w:hAnsi="等线" w:eastAsia="仿宋_GB2312" w:cs="仿宋_GB2312"/>
                <w:color w:val="000000"/>
                <w:kern w:val="0"/>
                <w:sz w:val="18"/>
                <w:szCs w:val="18"/>
                <w:lang w:bidi="ar"/>
              </w:rPr>
              <w:t>≥90%</w:t>
            </w:r>
          </w:p>
        </w:tc>
        <w:tc>
          <w:tcPr>
            <w:tcW w:w="1134" w:type="dxa"/>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仿宋_GB2312" w:hAnsi="等线" w:eastAsia="仿宋_GB2312" w:cs="仿宋_GB2312"/>
                <w:color w:val="000000"/>
                <w:kern w:val="0"/>
                <w:sz w:val="18"/>
                <w:szCs w:val="18"/>
                <w:lang w:bidi="ar"/>
              </w:rPr>
            </w:pPr>
            <w:r>
              <w:rPr>
                <w:rFonts w:hint="eastAsia" w:ascii="仿宋_GB2312" w:hAnsi="等线" w:eastAsia="仿宋_GB2312" w:cs="仿宋_GB2312"/>
                <w:color w:val="000000"/>
                <w:kern w:val="0"/>
                <w:sz w:val="18"/>
                <w:szCs w:val="18"/>
                <w:lang w:bidi="ar"/>
              </w:rPr>
              <w:t>90%</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olor w:val="000000"/>
                <w:sz w:val="18"/>
                <w:szCs w:val="18"/>
              </w:rPr>
            </w:pPr>
            <w:r>
              <w:rPr>
                <w:rFonts w:hint="eastAsia" w:ascii="Times New Roman" w:hAnsi="Times New Roman" w:eastAsia="仿宋_GB2312"/>
                <w:color w:val="000000"/>
                <w:sz w:val="18"/>
                <w:szCs w:val="18"/>
                <w:lang w:val="en-US" w:eastAsia="zh-CN"/>
              </w:rPr>
              <w:t>5</w:t>
            </w:r>
          </w:p>
        </w:tc>
        <w:tc>
          <w:tcPr>
            <w:tcW w:w="89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olor w:val="000000"/>
                <w:sz w:val="18"/>
                <w:szCs w:val="18"/>
              </w:rPr>
            </w:pPr>
            <w:r>
              <w:rPr>
                <w:rFonts w:hint="eastAsia" w:ascii="Times New Roman" w:hAnsi="Times New Roman" w:eastAsia="仿宋_GB2312"/>
                <w:color w:val="000000"/>
                <w:sz w:val="18"/>
                <w:szCs w:val="18"/>
                <w:lang w:val="en-US" w:eastAsia="zh-CN"/>
              </w:rPr>
              <w:t>5</w:t>
            </w:r>
          </w:p>
        </w:tc>
        <w:tc>
          <w:tcPr>
            <w:tcW w:w="1446"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仿宋_GB2312" w:hAnsi="仿宋_GB2312" w:eastAsia="仿宋_GB2312" w:cs="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bookmarkStart w:id="32" w:name="OLE_LINK11" w:colFirst="4" w:colLast="5"/>
          </w:p>
        </w:tc>
        <w:tc>
          <w:tcPr>
            <w:tcW w:w="1395" w:type="dxa"/>
            <w:vMerge w:val="continue"/>
            <w:tcBorders>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Cs w:val="21"/>
              </w:rPr>
            </w:pPr>
          </w:p>
        </w:tc>
        <w:tc>
          <w:tcPr>
            <w:tcW w:w="1252" w:type="dxa"/>
            <w:vMerge w:val="continue"/>
            <w:tcBorders>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Cs w:val="21"/>
              </w:rPr>
            </w:pPr>
          </w:p>
        </w:tc>
        <w:tc>
          <w:tcPr>
            <w:tcW w:w="12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hint="eastAsia" w:ascii="仿宋_GB2312" w:hAnsi="等线" w:eastAsia="仿宋_GB2312" w:cs="仿宋_GB2312"/>
                <w:color w:val="000000"/>
                <w:kern w:val="0"/>
                <w:sz w:val="18"/>
                <w:szCs w:val="18"/>
                <w:lang w:bidi="ar"/>
              </w:rPr>
            </w:pPr>
            <w:r>
              <w:rPr>
                <w:rFonts w:hint="eastAsia" w:ascii="仿宋_GB2312" w:hAnsi="等线" w:eastAsia="仿宋_GB2312" w:cs="仿宋_GB2312"/>
                <w:color w:val="000000"/>
                <w:kern w:val="0"/>
                <w:sz w:val="18"/>
                <w:szCs w:val="18"/>
                <w:lang w:bidi="ar"/>
              </w:rPr>
              <w:t>群众对农药质量、农药标签合格率，农产品质量安全例行监测工作的满意度</w:t>
            </w:r>
          </w:p>
        </w:tc>
        <w:tc>
          <w:tcPr>
            <w:tcW w:w="1200" w:type="dxa"/>
            <w:tcBorders>
              <w:top w:val="single" w:color="auto" w:sz="4" w:space="0"/>
              <w:left w:val="nil"/>
              <w:bottom w:val="single" w:color="auto" w:sz="4" w:space="0"/>
              <w:right w:val="single" w:color="auto" w:sz="4" w:space="0"/>
            </w:tcBorders>
            <w:vAlign w:val="center"/>
          </w:tcPr>
          <w:p>
            <w:pPr>
              <w:widowControl/>
              <w:jc w:val="left"/>
              <w:textAlignment w:val="center"/>
              <w:rPr>
                <w:rFonts w:ascii="仿宋_GB2312" w:hAnsi="等线" w:eastAsia="仿宋_GB2312" w:cs="仿宋_GB2312"/>
                <w:color w:val="000000"/>
                <w:kern w:val="0"/>
                <w:sz w:val="18"/>
                <w:szCs w:val="18"/>
                <w:lang w:bidi="ar"/>
              </w:rPr>
            </w:pPr>
            <w:r>
              <w:rPr>
                <w:rFonts w:hint="eastAsia" w:ascii="仿宋_GB2312" w:hAnsi="等线" w:eastAsia="仿宋_GB2312" w:cs="仿宋_GB2312"/>
                <w:color w:val="000000"/>
                <w:kern w:val="0"/>
                <w:sz w:val="18"/>
                <w:szCs w:val="18"/>
                <w:lang w:bidi="ar"/>
              </w:rPr>
              <w:t>≥</w:t>
            </w:r>
            <w:bookmarkStart w:id="33" w:name="OLE_LINK10"/>
            <w:r>
              <w:rPr>
                <w:rFonts w:hint="eastAsia" w:ascii="仿宋_GB2312" w:hAnsi="等线" w:eastAsia="仿宋_GB2312" w:cs="仿宋_GB2312"/>
                <w:color w:val="000000"/>
                <w:kern w:val="0"/>
                <w:sz w:val="18"/>
                <w:szCs w:val="18"/>
                <w:lang w:bidi="ar"/>
              </w:rPr>
              <w:t>90%</w:t>
            </w:r>
            <w:bookmarkEnd w:id="33"/>
          </w:p>
        </w:tc>
        <w:tc>
          <w:tcPr>
            <w:tcW w:w="1134" w:type="dxa"/>
            <w:tcBorders>
              <w:top w:val="single" w:color="auto" w:sz="4" w:space="0"/>
              <w:left w:val="nil"/>
              <w:bottom w:val="single" w:color="auto" w:sz="4" w:space="0"/>
              <w:right w:val="single" w:color="auto" w:sz="4" w:space="0"/>
            </w:tcBorders>
            <w:vAlign w:val="center"/>
          </w:tcPr>
          <w:p>
            <w:pPr>
              <w:widowControl/>
              <w:jc w:val="left"/>
              <w:textAlignment w:val="center"/>
              <w:rPr>
                <w:rFonts w:ascii="仿宋_GB2312" w:hAnsi="等线" w:eastAsia="仿宋_GB2312" w:cs="仿宋_GB2312"/>
                <w:color w:val="000000"/>
                <w:kern w:val="0"/>
                <w:sz w:val="18"/>
                <w:szCs w:val="18"/>
                <w:lang w:bidi="ar"/>
              </w:rPr>
            </w:pPr>
            <w:r>
              <w:rPr>
                <w:rFonts w:hint="eastAsia" w:ascii="仿宋_GB2312" w:hAnsi="等线" w:eastAsia="仿宋_GB2312" w:cs="仿宋_GB2312"/>
                <w:color w:val="000000"/>
                <w:kern w:val="0"/>
                <w:sz w:val="18"/>
                <w:szCs w:val="18"/>
                <w:lang w:bidi="ar"/>
              </w:rPr>
              <w:t>9</w:t>
            </w:r>
            <w:r>
              <w:rPr>
                <w:rFonts w:hint="eastAsia" w:ascii="仿宋_GB2312" w:hAnsi="等线" w:eastAsia="仿宋_GB2312" w:cs="仿宋_GB2312"/>
                <w:color w:val="000000"/>
                <w:kern w:val="0"/>
                <w:sz w:val="18"/>
                <w:szCs w:val="18"/>
                <w:lang w:val="en-US" w:eastAsia="zh-CN" w:bidi="ar"/>
              </w:rPr>
              <w:t>5</w:t>
            </w:r>
            <w:r>
              <w:rPr>
                <w:rFonts w:hint="eastAsia" w:ascii="仿宋_GB2312" w:hAnsi="等线" w:eastAsia="仿宋_GB2312" w:cs="仿宋_GB2312"/>
                <w:color w:val="000000"/>
                <w:kern w:val="0"/>
                <w:sz w:val="18"/>
                <w:szCs w:val="18"/>
                <w:lang w:bidi="ar"/>
              </w:rPr>
              <w:t>%</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 w:val="18"/>
                <w:szCs w:val="18"/>
              </w:rPr>
            </w:pPr>
            <w:r>
              <w:rPr>
                <w:rFonts w:hint="eastAsia" w:ascii="仿宋_GB2312" w:hAnsi="仿宋_GB2312" w:eastAsia="仿宋_GB2312" w:cs="Times New Roman"/>
                <w:color w:val="000000"/>
                <w:kern w:val="0"/>
                <w:szCs w:val="21"/>
                <w:lang w:val="en-US" w:eastAsia="zh-CN"/>
              </w:rPr>
              <w:t>5</w:t>
            </w:r>
          </w:p>
        </w:tc>
        <w:tc>
          <w:tcPr>
            <w:tcW w:w="89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 w:val="18"/>
                <w:szCs w:val="18"/>
              </w:rPr>
            </w:pPr>
            <w:r>
              <w:rPr>
                <w:rFonts w:hint="eastAsia" w:ascii="仿宋_GB2312" w:hAnsi="仿宋_GB2312" w:eastAsia="仿宋_GB2312" w:cs="Times New Roman"/>
                <w:color w:val="000000"/>
                <w:kern w:val="0"/>
                <w:szCs w:val="21"/>
                <w:lang w:val="en-US" w:eastAsia="zh-CN"/>
              </w:rPr>
              <w:t>5</w:t>
            </w:r>
          </w:p>
        </w:tc>
        <w:tc>
          <w:tcPr>
            <w:tcW w:w="1446"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p>
        </w:tc>
      </w:tr>
      <w:bookmarkEnd w:id="3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7270" w:type="dxa"/>
            <w:gridSpan w:val="7"/>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总分</w:t>
            </w:r>
          </w:p>
        </w:tc>
        <w:tc>
          <w:tcPr>
            <w:tcW w:w="70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100</w:t>
            </w:r>
          </w:p>
        </w:tc>
        <w:tc>
          <w:tcPr>
            <w:tcW w:w="89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hint="default" w:ascii="Times New Roman" w:hAnsi="Times New Roman" w:eastAsia="仿宋_GB2312" w:cs="Times New Roman"/>
                <w:color w:val="000000"/>
                <w:kern w:val="0"/>
                <w:szCs w:val="21"/>
                <w:lang w:val="en-US" w:eastAsia="zh-CN"/>
              </w:rPr>
            </w:pPr>
            <w:r>
              <w:rPr>
                <w:rFonts w:hint="eastAsia" w:ascii="仿宋_GB2312" w:hAnsi="仿宋_GB2312" w:eastAsia="仿宋_GB2312" w:cs="Times New Roman"/>
                <w:color w:val="000000"/>
                <w:kern w:val="0"/>
                <w:szCs w:val="21"/>
                <w:lang w:val="en-US" w:eastAsia="zh-CN"/>
              </w:rPr>
              <w:t>99.83</w:t>
            </w:r>
          </w:p>
        </w:tc>
        <w:tc>
          <w:tcPr>
            <w:tcW w:w="1446"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p>
        </w:tc>
      </w:tr>
    </w:tbl>
    <w:p>
      <w:pPr>
        <w:adjustRightInd w:val="0"/>
        <w:snapToGrid w:val="0"/>
        <w:spacing w:line="579" w:lineRule="atLeast"/>
        <w:outlineLvl w:val="1"/>
        <w:rPr>
          <w:rFonts w:ascii="黑体" w:hAnsi="黑体" w:eastAsia="黑体" w:cs="Times New Roman"/>
          <w:b/>
          <w:bCs/>
          <w:sz w:val="32"/>
          <w:szCs w:val="32"/>
        </w:rPr>
      </w:pPr>
    </w:p>
    <w:p>
      <w:pPr>
        <w:adjustRightInd w:val="0"/>
        <w:snapToGrid w:val="0"/>
        <w:spacing w:line="579" w:lineRule="atLeast"/>
        <w:outlineLvl w:val="1"/>
        <w:rPr>
          <w:rFonts w:ascii="黑体" w:hAnsi="黑体" w:eastAsia="黑体" w:cs="Times New Roman"/>
          <w:b/>
          <w:bCs/>
          <w:sz w:val="32"/>
          <w:szCs w:val="32"/>
        </w:rPr>
      </w:pPr>
    </w:p>
    <w:p>
      <w:pPr>
        <w:adjustRightInd w:val="0"/>
        <w:snapToGrid w:val="0"/>
        <w:spacing w:line="579" w:lineRule="atLeast"/>
        <w:outlineLvl w:val="1"/>
        <w:rPr>
          <w:rFonts w:ascii="黑体" w:hAnsi="黑体" w:eastAsia="黑体" w:cs="Times New Roman"/>
          <w:b/>
          <w:bCs/>
          <w:sz w:val="32"/>
          <w:szCs w:val="32"/>
        </w:rPr>
      </w:pPr>
    </w:p>
    <w:p>
      <w:pPr>
        <w:adjustRightInd w:val="0"/>
        <w:snapToGrid w:val="0"/>
        <w:spacing w:line="579" w:lineRule="atLeast"/>
        <w:outlineLvl w:val="1"/>
        <w:rPr>
          <w:rFonts w:ascii="黑体" w:hAnsi="黑体" w:eastAsia="黑体" w:cs="Times New Roman"/>
          <w:b/>
          <w:bCs/>
          <w:sz w:val="32"/>
          <w:szCs w:val="32"/>
        </w:rPr>
      </w:pPr>
    </w:p>
    <w:p>
      <w:pPr>
        <w:adjustRightInd w:val="0"/>
        <w:snapToGrid w:val="0"/>
        <w:spacing w:line="579" w:lineRule="atLeast"/>
        <w:outlineLvl w:val="1"/>
        <w:rPr>
          <w:rFonts w:ascii="黑体" w:hAnsi="黑体" w:eastAsia="黑体" w:cs="Times New Roman"/>
          <w:b/>
          <w:bCs/>
          <w:sz w:val="32"/>
          <w:szCs w:val="32"/>
        </w:rPr>
      </w:pPr>
    </w:p>
    <w:p>
      <w:pPr>
        <w:adjustRightInd w:val="0"/>
        <w:snapToGrid w:val="0"/>
        <w:spacing w:line="579" w:lineRule="atLeast"/>
        <w:outlineLvl w:val="1"/>
        <w:rPr>
          <w:rFonts w:ascii="黑体" w:hAnsi="黑体" w:eastAsia="黑体" w:cs="Times New Roman"/>
          <w:b/>
          <w:bCs/>
          <w:sz w:val="32"/>
          <w:szCs w:val="32"/>
        </w:rPr>
      </w:pPr>
    </w:p>
    <w:p>
      <w:pPr>
        <w:adjustRightInd w:val="0"/>
        <w:snapToGrid w:val="0"/>
        <w:spacing w:line="579" w:lineRule="atLeast"/>
        <w:outlineLvl w:val="1"/>
        <w:rPr>
          <w:rFonts w:ascii="黑体" w:hAnsi="黑体" w:eastAsia="黑体" w:cs="Times New Roman"/>
          <w:b/>
          <w:bCs/>
          <w:sz w:val="32"/>
          <w:szCs w:val="32"/>
        </w:rPr>
      </w:pPr>
    </w:p>
    <w:p>
      <w:pPr>
        <w:adjustRightInd w:val="0"/>
        <w:snapToGrid w:val="0"/>
        <w:spacing w:line="579" w:lineRule="atLeast"/>
        <w:outlineLvl w:val="1"/>
        <w:rPr>
          <w:rFonts w:ascii="黑体" w:hAnsi="黑体" w:eastAsia="黑体" w:cs="Times New Roman"/>
          <w:b/>
          <w:bCs/>
          <w:sz w:val="32"/>
          <w:szCs w:val="32"/>
        </w:rPr>
      </w:pPr>
    </w:p>
    <w:p>
      <w:pPr>
        <w:adjustRightInd w:val="0"/>
        <w:snapToGrid w:val="0"/>
        <w:spacing w:line="579" w:lineRule="atLeast"/>
        <w:outlineLvl w:val="1"/>
        <w:rPr>
          <w:rFonts w:ascii="黑体" w:hAnsi="黑体" w:eastAsia="黑体" w:cs="Times New Roman"/>
          <w:b/>
          <w:bCs/>
          <w:sz w:val="32"/>
          <w:szCs w:val="32"/>
        </w:rPr>
      </w:pPr>
    </w:p>
    <w:p>
      <w:pPr>
        <w:adjustRightInd w:val="0"/>
        <w:snapToGrid w:val="0"/>
        <w:spacing w:line="579" w:lineRule="atLeast"/>
        <w:outlineLvl w:val="1"/>
        <w:rPr>
          <w:rFonts w:ascii="黑体" w:hAnsi="黑体" w:eastAsia="黑体" w:cs="Times New Roman"/>
          <w:b/>
          <w:bCs/>
          <w:sz w:val="32"/>
          <w:szCs w:val="32"/>
        </w:rPr>
      </w:pPr>
    </w:p>
    <w:p>
      <w:pPr>
        <w:adjustRightInd w:val="0"/>
        <w:snapToGrid w:val="0"/>
        <w:spacing w:line="579" w:lineRule="atLeast"/>
        <w:outlineLvl w:val="1"/>
        <w:rPr>
          <w:rFonts w:ascii="黑体" w:hAnsi="黑体" w:eastAsia="黑体" w:cs="Times New Roman"/>
          <w:b/>
          <w:bCs/>
          <w:sz w:val="32"/>
          <w:szCs w:val="32"/>
        </w:rPr>
      </w:pPr>
    </w:p>
    <w:p>
      <w:pPr>
        <w:adjustRightInd w:val="0"/>
        <w:snapToGrid w:val="0"/>
        <w:spacing w:line="579" w:lineRule="atLeast"/>
        <w:outlineLvl w:val="1"/>
        <w:rPr>
          <w:rFonts w:ascii="黑体" w:hAnsi="黑体" w:eastAsia="黑体" w:cs="Times New Roman"/>
          <w:b/>
          <w:bCs/>
          <w:sz w:val="32"/>
          <w:szCs w:val="32"/>
        </w:rPr>
      </w:pPr>
    </w:p>
    <w:p>
      <w:pPr>
        <w:adjustRightInd w:val="0"/>
        <w:snapToGrid w:val="0"/>
        <w:spacing w:line="579" w:lineRule="atLeast"/>
        <w:outlineLvl w:val="1"/>
        <w:rPr>
          <w:rFonts w:ascii="黑体" w:hAnsi="黑体" w:eastAsia="黑体" w:cs="Times New Roman"/>
          <w:b/>
          <w:bCs/>
          <w:sz w:val="32"/>
          <w:szCs w:val="32"/>
        </w:rPr>
      </w:pPr>
    </w:p>
    <w:p>
      <w:pPr>
        <w:adjustRightInd w:val="0"/>
        <w:snapToGrid w:val="0"/>
        <w:spacing w:line="579" w:lineRule="atLeast"/>
        <w:outlineLvl w:val="1"/>
        <w:rPr>
          <w:rFonts w:ascii="Times New Roman" w:hAnsi="Times New Roman" w:eastAsia="黑体" w:cs="Times New Roman"/>
          <w:b/>
          <w:bCs/>
          <w:sz w:val="32"/>
          <w:szCs w:val="32"/>
        </w:rPr>
      </w:pPr>
      <w:r>
        <w:rPr>
          <w:rFonts w:ascii="黑体" w:hAnsi="黑体" w:eastAsia="黑体" w:cs="Times New Roman"/>
          <w:b/>
          <w:bCs/>
          <w:sz w:val="32"/>
          <w:szCs w:val="32"/>
        </w:rPr>
        <w:t>附件</w:t>
      </w:r>
      <w:r>
        <w:rPr>
          <w:rFonts w:ascii="Times New Roman" w:hAnsi="Times New Roman" w:eastAsia="黑体" w:cs="Times New Roman"/>
          <w:b/>
          <w:bCs/>
          <w:sz w:val="32"/>
          <w:szCs w:val="32"/>
        </w:rPr>
        <w:t>3</w:t>
      </w:r>
    </w:p>
    <w:p>
      <w:pPr>
        <w:adjustRightInd w:val="0"/>
        <w:snapToGrid w:val="0"/>
        <w:spacing w:before="78" w:beforeLines="25" w:line="500" w:lineRule="exact"/>
        <w:jc w:val="center"/>
        <w:outlineLvl w:val="0"/>
        <w:rPr>
          <w:rFonts w:ascii="Times New Roman" w:hAnsi="Times New Roman" w:eastAsia="方正小标宋简体" w:cs="Times New Roman"/>
          <w:b/>
          <w:bCs/>
          <w:kern w:val="44"/>
          <w:sz w:val="36"/>
          <w:szCs w:val="36"/>
        </w:rPr>
      </w:pPr>
      <w:r>
        <w:rPr>
          <w:rFonts w:hint="eastAsia" w:ascii="宋体" w:hAnsi="宋体" w:eastAsia="宋体" w:cs="宋体"/>
          <w:b/>
          <w:bCs/>
          <w:kern w:val="44"/>
          <w:sz w:val="36"/>
          <w:szCs w:val="36"/>
        </w:rPr>
        <w:t>项目支出绩效自评</w:t>
      </w:r>
      <w:r>
        <w:rPr>
          <w:rFonts w:ascii="宋体" w:hAnsi="宋体" w:eastAsia="宋体" w:cs="宋体"/>
          <w:b/>
          <w:bCs/>
          <w:kern w:val="44"/>
          <w:sz w:val="36"/>
          <w:szCs w:val="36"/>
        </w:rPr>
        <w:t>表</w:t>
      </w:r>
    </w:p>
    <w:p>
      <w:pPr>
        <w:widowControl/>
        <w:adjustRightInd w:val="0"/>
        <w:snapToGrid w:val="0"/>
        <w:spacing w:line="579" w:lineRule="atLeast"/>
        <w:jc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w:t>
      </w:r>
      <w:r>
        <w:rPr>
          <w:rFonts w:ascii="Times New Roman" w:hAnsi="Times New Roman" w:eastAsia="仿宋_GB2312" w:cs="Times New Roman"/>
          <w:color w:val="000000"/>
          <w:kern w:val="0"/>
          <w:szCs w:val="21"/>
        </w:rPr>
        <w:t xml:space="preserve">  </w:t>
      </w:r>
      <w:r>
        <w:rPr>
          <w:rFonts w:hint="eastAsia" w:ascii="Times New Roman" w:hAnsi="Times New Roman" w:cs="Times New Roman"/>
          <w:color w:val="000000"/>
          <w:kern w:val="0"/>
          <w:szCs w:val="21"/>
        </w:rPr>
        <w:t>2024</w:t>
      </w:r>
      <w:r>
        <w:rPr>
          <w:rFonts w:ascii="Times New Roman" w:hAnsi="Times New Roman" w:eastAsia="仿宋_GB2312" w:cs="Times New Roman"/>
          <w:color w:val="000000"/>
          <w:kern w:val="0"/>
          <w:szCs w:val="21"/>
        </w:rPr>
        <w:t xml:space="preserve"> </w:t>
      </w:r>
      <w:r>
        <w:rPr>
          <w:rFonts w:ascii="仿宋_GB2312" w:hAnsi="仿宋_GB2312" w:eastAsia="仿宋_GB2312" w:cs="Times New Roman"/>
          <w:color w:val="000000"/>
          <w:kern w:val="0"/>
          <w:szCs w:val="21"/>
        </w:rPr>
        <w:t>年度）</w:t>
      </w:r>
    </w:p>
    <w:tbl>
      <w:tblPr>
        <w:tblStyle w:val="13"/>
        <w:tblW w:w="98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1209"/>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80" w:lineRule="exact"/>
              <w:jc w:val="center"/>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项目支</w:t>
            </w:r>
          </w:p>
          <w:p>
            <w:pPr>
              <w:widowControl/>
              <w:adjustRightInd w:val="0"/>
              <w:snapToGrid w:val="0"/>
              <w:spacing w:line="280" w:lineRule="exact"/>
              <w:jc w:val="center"/>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出名称</w:t>
            </w:r>
          </w:p>
        </w:tc>
        <w:tc>
          <w:tcPr>
            <w:tcW w:w="8771" w:type="dxa"/>
            <w:gridSpan w:val="8"/>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textAlignment w:val="center"/>
              <w:rPr>
                <w:rFonts w:hint="eastAsia" w:ascii="Times New Roman" w:hAnsi="Times New Roman" w:eastAsia="仿宋_GB2312" w:cs="Times New Roman"/>
                <w:color w:val="000000"/>
                <w:kern w:val="0"/>
                <w:szCs w:val="21"/>
                <w:lang w:val="en-US" w:eastAsia="zh-CN"/>
              </w:rPr>
            </w:pPr>
            <w:r>
              <w:rPr>
                <w:rFonts w:hint="eastAsia" w:ascii="仿宋_GB2312" w:hAnsi="仿宋_GB2312" w:eastAsia="仿宋_GB2312" w:cs="Times New Roman"/>
                <w:color w:val="000000"/>
                <w:kern w:val="0"/>
                <w:szCs w:val="21"/>
              </w:rPr>
              <w:t>其他事业发展</w:t>
            </w:r>
            <w:r>
              <w:rPr>
                <w:rFonts w:hint="eastAsia" w:ascii="仿宋_GB2312" w:hAnsi="仿宋_GB2312" w:eastAsia="仿宋_GB2312" w:cs="Times New Roman"/>
                <w:color w:val="000000"/>
                <w:kern w:val="0"/>
                <w:szCs w:val="21"/>
                <w:lang w:val="en-US" w:eastAsia="zh-CN"/>
              </w:rPr>
              <w:t>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80" w:lineRule="exact"/>
              <w:jc w:val="left"/>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主管部门</w:t>
            </w:r>
          </w:p>
        </w:tc>
        <w:tc>
          <w:tcPr>
            <w:tcW w:w="4518" w:type="dxa"/>
            <w:gridSpan w:val="4"/>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r>
              <w:rPr>
                <w:rFonts w:hint="eastAsia" w:ascii="仿宋_GB2312" w:hAnsi="仿宋_GB2312" w:eastAsia="仿宋_GB2312" w:cs="Times New Roman"/>
                <w:color w:val="000000"/>
                <w:kern w:val="0"/>
                <w:szCs w:val="21"/>
              </w:rPr>
              <w:t>湖南省农业农村厅</w:t>
            </w:r>
          </w:p>
        </w:tc>
        <w:tc>
          <w:tcPr>
            <w:tcW w:w="1134"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实施单位</w:t>
            </w:r>
          </w:p>
        </w:tc>
        <w:tc>
          <w:tcPr>
            <w:tcW w:w="3119" w:type="dxa"/>
            <w:gridSpan w:val="3"/>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r>
              <w:rPr>
                <w:rFonts w:hint="eastAsia" w:ascii="仿宋_GB2312" w:hAnsi="仿宋_GB2312" w:eastAsia="仿宋_GB2312" w:cs="Times New Roman"/>
                <w:color w:val="000000"/>
                <w:kern w:val="0"/>
                <w:szCs w:val="21"/>
              </w:rPr>
              <w:t>湖南省农药检定所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adjustRightInd w:val="0"/>
              <w:snapToGrid w:val="0"/>
              <w:spacing w:line="280" w:lineRule="exact"/>
              <w:jc w:val="center"/>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项目资金</w:t>
            </w:r>
            <w:r>
              <w:rPr>
                <w:rFonts w:ascii="Times New Roman" w:hAnsi="Times New Roman" w:eastAsia="仿宋_GB2312" w:cs="Times New Roman"/>
                <w:color w:val="000000"/>
                <w:kern w:val="0"/>
                <w:szCs w:val="21"/>
              </w:rPr>
              <w:br w:type="textWrapping"/>
            </w:r>
            <w:r>
              <w:rPr>
                <w:rFonts w:ascii="仿宋_GB2312" w:hAnsi="仿宋_GB2312" w:eastAsia="仿宋_GB2312" w:cs="Times New Roman"/>
                <w:color w:val="000000"/>
                <w:kern w:val="0"/>
                <w:szCs w:val="21"/>
              </w:rPr>
              <w:t>（万元）</w:t>
            </w:r>
          </w:p>
        </w:tc>
        <w:tc>
          <w:tcPr>
            <w:tcW w:w="2160"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p>
        </w:tc>
        <w:tc>
          <w:tcPr>
            <w:tcW w:w="114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年初</w:t>
            </w:r>
          </w:p>
          <w:p>
            <w:pPr>
              <w:widowControl/>
              <w:adjustRightInd w:val="0"/>
              <w:snapToGrid w:val="0"/>
              <w:spacing w:line="280" w:lineRule="exact"/>
              <w:jc w:val="center"/>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预算数</w:t>
            </w:r>
          </w:p>
        </w:tc>
        <w:tc>
          <w:tcPr>
            <w:tcW w:w="120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全年</w:t>
            </w:r>
          </w:p>
          <w:p>
            <w:pPr>
              <w:widowControl/>
              <w:adjustRightInd w:val="0"/>
              <w:snapToGrid w:val="0"/>
              <w:spacing w:line="280" w:lineRule="exact"/>
              <w:jc w:val="center"/>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预算数</w:t>
            </w:r>
          </w:p>
        </w:tc>
        <w:tc>
          <w:tcPr>
            <w:tcW w:w="1134" w:type="dxa"/>
            <w:tcBorders>
              <w:top w:val="single" w:color="auto" w:sz="4" w:space="0"/>
              <w:left w:val="nil"/>
              <w:bottom w:val="single" w:color="auto" w:sz="4" w:space="0"/>
              <w:right w:val="single" w:color="auto" w:sz="4" w:space="0"/>
            </w:tcBorders>
            <w:vAlign w:val="center"/>
          </w:tcPr>
          <w:p>
            <w:pPr>
              <w:adjustRightInd w:val="0"/>
              <w:snapToGrid w:val="0"/>
              <w:spacing w:line="280" w:lineRule="exact"/>
              <w:jc w:val="center"/>
              <w:textAlignment w:val="center"/>
              <w:rPr>
                <w:rFonts w:ascii="Times New Roman" w:hAnsi="Times New Roman" w:eastAsia="仿宋_GB2312" w:cs="Times New Roman"/>
                <w:szCs w:val="21"/>
              </w:rPr>
            </w:pPr>
            <w:r>
              <w:rPr>
                <w:rFonts w:ascii="仿宋_GB2312" w:hAnsi="仿宋_GB2312" w:eastAsia="仿宋_GB2312" w:cs="Times New Roman"/>
                <w:szCs w:val="21"/>
              </w:rPr>
              <w:t>全年</w:t>
            </w:r>
          </w:p>
          <w:p>
            <w:pPr>
              <w:adjustRightInd w:val="0"/>
              <w:snapToGrid w:val="0"/>
              <w:spacing w:line="280" w:lineRule="exact"/>
              <w:jc w:val="center"/>
              <w:textAlignment w:val="center"/>
              <w:rPr>
                <w:rFonts w:ascii="Times New Roman" w:hAnsi="Times New Roman" w:eastAsia="仿宋_GB2312" w:cs="Times New Roman"/>
                <w:szCs w:val="21"/>
              </w:rPr>
            </w:pPr>
            <w:r>
              <w:rPr>
                <w:rFonts w:ascii="仿宋_GB2312" w:hAnsi="仿宋_GB2312" w:eastAsia="仿宋_GB2312" w:cs="Times New Roman"/>
                <w:szCs w:val="21"/>
              </w:rPr>
              <w:t>执行数</w:t>
            </w:r>
          </w:p>
        </w:tc>
        <w:tc>
          <w:tcPr>
            <w:tcW w:w="828" w:type="dxa"/>
            <w:tcBorders>
              <w:top w:val="single" w:color="auto" w:sz="4" w:space="0"/>
              <w:left w:val="nil"/>
              <w:bottom w:val="single" w:color="auto" w:sz="4" w:space="0"/>
              <w:right w:val="single" w:color="auto" w:sz="4" w:space="0"/>
            </w:tcBorders>
            <w:vAlign w:val="center"/>
          </w:tcPr>
          <w:p>
            <w:pPr>
              <w:adjustRightInd w:val="0"/>
              <w:snapToGrid w:val="0"/>
              <w:spacing w:line="280" w:lineRule="exact"/>
              <w:jc w:val="center"/>
              <w:textAlignment w:val="center"/>
              <w:rPr>
                <w:rFonts w:ascii="Times New Roman" w:hAnsi="Times New Roman" w:eastAsia="仿宋_GB2312" w:cs="Times New Roman"/>
                <w:szCs w:val="21"/>
              </w:rPr>
            </w:pPr>
            <w:r>
              <w:rPr>
                <w:rFonts w:ascii="仿宋_GB2312" w:hAnsi="仿宋_GB2312" w:eastAsia="仿宋_GB2312" w:cs="Times New Roman"/>
                <w:szCs w:val="21"/>
              </w:rPr>
              <w:t>分值</w:t>
            </w:r>
          </w:p>
        </w:tc>
        <w:tc>
          <w:tcPr>
            <w:tcW w:w="873" w:type="dxa"/>
            <w:tcBorders>
              <w:top w:val="single" w:color="auto" w:sz="4" w:space="0"/>
              <w:left w:val="nil"/>
              <w:bottom w:val="single" w:color="auto" w:sz="4" w:space="0"/>
              <w:right w:val="single" w:color="auto" w:sz="4" w:space="0"/>
            </w:tcBorders>
            <w:vAlign w:val="center"/>
          </w:tcPr>
          <w:p>
            <w:pPr>
              <w:adjustRightInd w:val="0"/>
              <w:snapToGrid w:val="0"/>
              <w:spacing w:line="280" w:lineRule="exact"/>
              <w:jc w:val="center"/>
              <w:textAlignment w:val="center"/>
              <w:rPr>
                <w:rFonts w:ascii="Times New Roman" w:hAnsi="Times New Roman" w:eastAsia="仿宋_GB2312" w:cs="Times New Roman"/>
                <w:szCs w:val="21"/>
              </w:rPr>
            </w:pPr>
            <w:r>
              <w:rPr>
                <w:rFonts w:ascii="仿宋_GB2312" w:hAnsi="仿宋_GB2312" w:eastAsia="仿宋_GB2312" w:cs="Times New Roman"/>
                <w:szCs w:val="21"/>
              </w:rPr>
              <w:t>执行率</w:t>
            </w:r>
          </w:p>
        </w:tc>
        <w:tc>
          <w:tcPr>
            <w:tcW w:w="1418" w:type="dxa"/>
            <w:tcBorders>
              <w:top w:val="single" w:color="auto" w:sz="4" w:space="0"/>
              <w:left w:val="nil"/>
              <w:bottom w:val="single" w:color="auto" w:sz="4" w:space="0"/>
              <w:right w:val="single" w:color="auto" w:sz="4" w:space="0"/>
            </w:tcBorders>
            <w:vAlign w:val="center"/>
          </w:tcPr>
          <w:p>
            <w:pPr>
              <w:adjustRightInd w:val="0"/>
              <w:snapToGrid w:val="0"/>
              <w:spacing w:line="280" w:lineRule="exact"/>
              <w:jc w:val="center"/>
              <w:textAlignment w:val="center"/>
              <w:rPr>
                <w:rFonts w:ascii="Times New Roman" w:hAnsi="Times New Roman" w:eastAsia="仿宋_GB2312" w:cs="Times New Roman"/>
                <w:szCs w:val="21"/>
              </w:rPr>
            </w:pPr>
            <w:r>
              <w:rPr>
                <w:rFonts w:ascii="仿宋_GB2312" w:hAnsi="仿宋_GB2312" w:eastAsia="仿宋_GB2312" w:cs="Times New Roman"/>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2160"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年度资金总额　</w:t>
            </w:r>
          </w:p>
        </w:tc>
        <w:tc>
          <w:tcPr>
            <w:tcW w:w="114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hint="default" w:ascii="Times New Roman" w:hAnsi="Times New Roman" w:eastAsia="仿宋_GB2312" w:cs="Times New Roman"/>
                <w:color w:val="000000"/>
                <w:kern w:val="0"/>
                <w:szCs w:val="21"/>
                <w:lang w:val="en-US" w:eastAsia="zh-CN"/>
              </w:rPr>
            </w:pPr>
            <w:r>
              <w:rPr>
                <w:rFonts w:ascii="仿宋_GB2312" w:hAnsi="仿宋_GB2312" w:eastAsia="仿宋_GB2312" w:cs="Times New Roman"/>
                <w:color w:val="000000"/>
                <w:kern w:val="0"/>
                <w:szCs w:val="21"/>
              </w:rPr>
              <w:t>　</w:t>
            </w:r>
            <w:r>
              <w:rPr>
                <w:rFonts w:hint="eastAsia" w:ascii="仿宋_GB2312" w:hAnsi="仿宋_GB2312" w:eastAsia="仿宋_GB2312" w:cs="Times New Roman"/>
                <w:color w:val="000000"/>
                <w:kern w:val="0"/>
                <w:szCs w:val="21"/>
              </w:rPr>
              <w:t>6</w:t>
            </w:r>
            <w:r>
              <w:rPr>
                <w:rFonts w:hint="eastAsia" w:ascii="仿宋_GB2312" w:hAnsi="仿宋_GB2312" w:eastAsia="仿宋_GB2312" w:cs="Times New Roman"/>
                <w:color w:val="000000"/>
                <w:kern w:val="0"/>
                <w:szCs w:val="21"/>
                <w:lang w:val="en-US" w:eastAsia="zh-CN"/>
              </w:rPr>
              <w:t>5.35</w:t>
            </w:r>
          </w:p>
        </w:tc>
        <w:tc>
          <w:tcPr>
            <w:tcW w:w="120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hint="default" w:ascii="Times New Roman" w:hAnsi="Times New Roman" w:eastAsia="仿宋_GB2312" w:cs="Times New Roman"/>
                <w:color w:val="000000"/>
                <w:kern w:val="0"/>
                <w:szCs w:val="21"/>
                <w:lang w:val="en-US" w:eastAsia="zh-CN"/>
              </w:rPr>
            </w:pPr>
            <w:r>
              <w:rPr>
                <w:rFonts w:ascii="仿宋_GB2312" w:hAnsi="仿宋_GB2312" w:eastAsia="仿宋_GB2312" w:cs="Times New Roman"/>
                <w:color w:val="000000"/>
                <w:kern w:val="0"/>
                <w:szCs w:val="21"/>
              </w:rPr>
              <w:t>　</w:t>
            </w:r>
            <w:r>
              <w:rPr>
                <w:rFonts w:hint="eastAsia" w:ascii="仿宋_GB2312" w:hAnsi="仿宋_GB2312" w:eastAsia="仿宋_GB2312" w:cs="Times New Roman"/>
                <w:color w:val="000000"/>
                <w:kern w:val="0"/>
                <w:szCs w:val="21"/>
              </w:rPr>
              <w:t>6</w:t>
            </w:r>
            <w:r>
              <w:rPr>
                <w:rFonts w:hint="eastAsia" w:ascii="仿宋_GB2312" w:hAnsi="仿宋_GB2312" w:eastAsia="仿宋_GB2312" w:cs="Times New Roman"/>
                <w:color w:val="000000"/>
                <w:kern w:val="0"/>
                <w:szCs w:val="21"/>
                <w:lang w:val="en-US" w:eastAsia="zh-CN"/>
              </w:rPr>
              <w:t>5.35</w:t>
            </w:r>
          </w:p>
        </w:tc>
        <w:tc>
          <w:tcPr>
            <w:tcW w:w="1134"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hint="default" w:ascii="Times New Roman" w:hAnsi="Times New Roman" w:eastAsia="仿宋_GB2312" w:cs="Times New Roman"/>
                <w:color w:val="000000"/>
                <w:kern w:val="0"/>
                <w:szCs w:val="21"/>
                <w:lang w:val="en-US" w:eastAsia="zh-CN"/>
              </w:rPr>
            </w:pPr>
            <w:r>
              <w:rPr>
                <w:rFonts w:ascii="仿宋_GB2312" w:hAnsi="仿宋_GB2312" w:eastAsia="仿宋_GB2312" w:cs="Times New Roman"/>
                <w:color w:val="000000"/>
                <w:kern w:val="0"/>
                <w:szCs w:val="21"/>
              </w:rPr>
              <w:t>　</w:t>
            </w:r>
            <w:r>
              <w:rPr>
                <w:rFonts w:hint="eastAsia" w:ascii="仿宋_GB2312" w:hAnsi="仿宋_GB2312" w:eastAsia="仿宋_GB2312" w:cs="Times New Roman"/>
                <w:color w:val="000000"/>
                <w:kern w:val="0"/>
                <w:szCs w:val="21"/>
                <w:lang w:val="en-US" w:eastAsia="zh-CN"/>
              </w:rPr>
              <w:t>62.65</w:t>
            </w:r>
          </w:p>
        </w:tc>
        <w:tc>
          <w:tcPr>
            <w:tcW w:w="82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hint="default" w:ascii="Times New Roman" w:hAnsi="Times New Roman" w:eastAsia="仿宋_GB2312" w:cs="Times New Roman"/>
                <w:color w:val="000000"/>
                <w:kern w:val="0"/>
                <w:szCs w:val="21"/>
                <w:lang w:val="en-US" w:eastAsia="zh-CN"/>
              </w:rPr>
            </w:pPr>
            <w:r>
              <w:rPr>
                <w:rFonts w:ascii="仿宋_GB2312" w:hAnsi="仿宋_GB2312" w:eastAsia="仿宋_GB2312" w:cs="Times New Roman"/>
                <w:color w:val="000000"/>
                <w:kern w:val="0"/>
                <w:szCs w:val="21"/>
              </w:rPr>
              <w:t>　</w:t>
            </w:r>
            <w:r>
              <w:rPr>
                <w:rFonts w:hint="eastAsia" w:ascii="Times New Roman" w:hAnsi="Times New Roman" w:eastAsia="仿宋_GB2312" w:cs="Times New Roman"/>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hint="default" w:ascii="Times New Roman" w:hAnsi="Times New Roman" w:eastAsia="仿宋_GB2312" w:cs="Times New Roman"/>
                <w:color w:val="000000"/>
                <w:kern w:val="0"/>
                <w:szCs w:val="21"/>
                <w:lang w:val="en-US" w:eastAsia="zh-CN"/>
              </w:rPr>
            </w:pPr>
            <w:r>
              <w:rPr>
                <w:rFonts w:hint="eastAsia" w:ascii="仿宋_GB2312" w:hAnsi="仿宋_GB2312" w:eastAsia="仿宋_GB2312" w:cs="Times New Roman"/>
                <w:color w:val="000000"/>
                <w:kern w:val="0"/>
                <w:szCs w:val="21"/>
                <w:lang w:val="en-US" w:eastAsia="zh-CN"/>
              </w:rPr>
              <w:t>95.87%</w:t>
            </w:r>
          </w:p>
        </w:tc>
        <w:tc>
          <w:tcPr>
            <w:tcW w:w="141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hint="default" w:ascii="Times New Roman" w:hAnsi="Times New Roman" w:eastAsia="仿宋_GB2312" w:cs="Times New Roman"/>
                <w:color w:val="000000"/>
                <w:kern w:val="0"/>
                <w:szCs w:val="21"/>
                <w:lang w:val="en-US" w:eastAsia="zh-CN"/>
              </w:rPr>
            </w:pPr>
            <w:r>
              <w:rPr>
                <w:rFonts w:ascii="仿宋_GB2312" w:hAnsi="仿宋_GB2312" w:eastAsia="仿宋_GB2312" w:cs="Times New Roman"/>
                <w:color w:val="000000"/>
                <w:kern w:val="0"/>
                <w:szCs w:val="21"/>
              </w:rPr>
              <w:t>　</w:t>
            </w:r>
            <w:r>
              <w:rPr>
                <w:rFonts w:hint="eastAsia" w:ascii="仿宋_GB2312" w:hAnsi="仿宋_GB2312" w:eastAsia="仿宋_GB2312" w:cs="Times New Roman"/>
                <w:color w:val="000000"/>
                <w:kern w:val="0"/>
                <w:szCs w:val="21"/>
              </w:rPr>
              <w:t>9</w:t>
            </w:r>
            <w:r>
              <w:rPr>
                <w:rFonts w:hint="eastAsia" w:ascii="仿宋_GB2312" w:hAnsi="仿宋_GB2312" w:eastAsia="仿宋_GB2312" w:cs="Times New Roman"/>
                <w:color w:val="000000"/>
                <w:kern w:val="0"/>
                <w:szCs w:val="21"/>
                <w:lang w:val="en-US" w:eastAsia="zh-CN"/>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2160"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其中：当年财政拨款　</w:t>
            </w:r>
          </w:p>
        </w:tc>
        <w:tc>
          <w:tcPr>
            <w:tcW w:w="114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p>
        </w:tc>
        <w:tc>
          <w:tcPr>
            <w:tcW w:w="120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p>
        </w:tc>
        <w:tc>
          <w:tcPr>
            <w:tcW w:w="1134"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p>
        </w:tc>
        <w:tc>
          <w:tcPr>
            <w:tcW w:w="82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p>
        </w:tc>
        <w:tc>
          <w:tcPr>
            <w:tcW w:w="873"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p>
        </w:tc>
        <w:tc>
          <w:tcPr>
            <w:tcW w:w="141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2160"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ind w:firstLine="630" w:firstLineChars="300"/>
              <w:jc w:val="left"/>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上年结转资金　</w:t>
            </w:r>
          </w:p>
        </w:tc>
        <w:tc>
          <w:tcPr>
            <w:tcW w:w="114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p>
        </w:tc>
        <w:tc>
          <w:tcPr>
            <w:tcW w:w="120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p>
        </w:tc>
        <w:tc>
          <w:tcPr>
            <w:tcW w:w="1134"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p>
        </w:tc>
        <w:tc>
          <w:tcPr>
            <w:tcW w:w="82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p>
        </w:tc>
        <w:tc>
          <w:tcPr>
            <w:tcW w:w="873"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p>
        </w:tc>
        <w:tc>
          <w:tcPr>
            <w:tcW w:w="141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2160" w:type="dxa"/>
            <w:gridSpan w:val="2"/>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ind w:firstLine="630" w:firstLineChars="300"/>
              <w:jc w:val="left"/>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其他资金</w:t>
            </w:r>
          </w:p>
        </w:tc>
        <w:tc>
          <w:tcPr>
            <w:tcW w:w="114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p>
        </w:tc>
        <w:tc>
          <w:tcPr>
            <w:tcW w:w="120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p>
        </w:tc>
        <w:tc>
          <w:tcPr>
            <w:tcW w:w="1134"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p>
        </w:tc>
        <w:tc>
          <w:tcPr>
            <w:tcW w:w="82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p>
        </w:tc>
        <w:tc>
          <w:tcPr>
            <w:tcW w:w="873"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p>
        </w:tc>
        <w:tc>
          <w:tcPr>
            <w:tcW w:w="141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adjustRightInd w:val="0"/>
              <w:snapToGrid w:val="0"/>
              <w:spacing w:line="280" w:lineRule="exact"/>
              <w:jc w:val="center"/>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年度总体目标</w:t>
            </w:r>
          </w:p>
        </w:tc>
        <w:tc>
          <w:tcPr>
            <w:tcW w:w="4518" w:type="dxa"/>
            <w:gridSpan w:val="4"/>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预期目标</w:t>
            </w:r>
          </w:p>
        </w:tc>
        <w:tc>
          <w:tcPr>
            <w:tcW w:w="4253" w:type="dxa"/>
            <w:gridSpan w:val="4"/>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4518"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维护单位日常运转开支</w:t>
            </w:r>
          </w:p>
        </w:tc>
        <w:tc>
          <w:tcPr>
            <w:tcW w:w="4253" w:type="dxa"/>
            <w:gridSpan w:val="4"/>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lang w:bidi="ar"/>
              </w:rPr>
              <w:t>维护单位日常运转开支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adjustRightInd w:val="0"/>
              <w:snapToGrid w:val="0"/>
              <w:spacing w:line="280" w:lineRule="exact"/>
              <w:jc w:val="center"/>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绩</w:t>
            </w:r>
          </w:p>
          <w:p>
            <w:pPr>
              <w:widowControl/>
              <w:adjustRightInd w:val="0"/>
              <w:snapToGrid w:val="0"/>
              <w:spacing w:line="280" w:lineRule="exact"/>
              <w:jc w:val="center"/>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效</w:t>
            </w:r>
          </w:p>
          <w:p>
            <w:pPr>
              <w:widowControl/>
              <w:adjustRightInd w:val="0"/>
              <w:snapToGrid w:val="0"/>
              <w:spacing w:line="280" w:lineRule="exact"/>
              <w:jc w:val="center"/>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指</w:t>
            </w:r>
          </w:p>
          <w:p>
            <w:pPr>
              <w:widowControl/>
              <w:adjustRightInd w:val="0"/>
              <w:snapToGrid w:val="0"/>
              <w:spacing w:line="280" w:lineRule="exact"/>
              <w:jc w:val="center"/>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标</w:t>
            </w:r>
          </w:p>
        </w:tc>
        <w:tc>
          <w:tcPr>
            <w:tcW w:w="1080"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一级指标</w:t>
            </w:r>
          </w:p>
        </w:tc>
        <w:tc>
          <w:tcPr>
            <w:tcW w:w="1080"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二级指标</w:t>
            </w:r>
          </w:p>
        </w:tc>
        <w:tc>
          <w:tcPr>
            <w:tcW w:w="114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三级指标</w:t>
            </w:r>
          </w:p>
        </w:tc>
        <w:tc>
          <w:tcPr>
            <w:tcW w:w="120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年度</w:t>
            </w:r>
          </w:p>
          <w:p>
            <w:pPr>
              <w:widowControl/>
              <w:adjustRightInd w:val="0"/>
              <w:snapToGrid w:val="0"/>
              <w:spacing w:line="280" w:lineRule="exact"/>
              <w:jc w:val="center"/>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指标值</w:t>
            </w:r>
          </w:p>
        </w:tc>
        <w:tc>
          <w:tcPr>
            <w:tcW w:w="1134"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实际</w:t>
            </w:r>
          </w:p>
          <w:p>
            <w:pPr>
              <w:widowControl/>
              <w:adjustRightInd w:val="0"/>
              <w:snapToGrid w:val="0"/>
              <w:spacing w:line="280" w:lineRule="exact"/>
              <w:jc w:val="center"/>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完成值</w:t>
            </w:r>
          </w:p>
        </w:tc>
        <w:tc>
          <w:tcPr>
            <w:tcW w:w="82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分值</w:t>
            </w:r>
          </w:p>
        </w:tc>
        <w:tc>
          <w:tcPr>
            <w:tcW w:w="873"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得分</w:t>
            </w:r>
          </w:p>
        </w:tc>
        <w:tc>
          <w:tcPr>
            <w:tcW w:w="141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偏差原因</w:t>
            </w:r>
          </w:p>
          <w:p>
            <w:pPr>
              <w:widowControl/>
              <w:adjustRightInd w:val="0"/>
              <w:snapToGrid w:val="0"/>
              <w:spacing w:line="280" w:lineRule="exact"/>
              <w:jc w:val="center"/>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分析及</w:t>
            </w:r>
          </w:p>
          <w:p>
            <w:pPr>
              <w:widowControl/>
              <w:adjustRightInd w:val="0"/>
              <w:snapToGrid w:val="0"/>
              <w:spacing w:line="280" w:lineRule="exact"/>
              <w:jc w:val="center"/>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080" w:type="dxa"/>
            <w:vMerge w:val="restart"/>
            <w:tcBorders>
              <w:top w:val="nil"/>
              <w:left w:val="nil"/>
              <w:bottom w:val="single" w:color="auto" w:sz="4" w:space="0"/>
              <w:right w:val="single" w:color="auto" w:sz="4" w:space="0"/>
            </w:tcBorders>
            <w:vAlign w:val="center"/>
          </w:tcPr>
          <w:p>
            <w:pPr>
              <w:widowControl/>
              <w:adjustRightInd w:val="0"/>
              <w:snapToGrid w:val="0"/>
              <w:spacing w:line="280" w:lineRule="exact"/>
              <w:jc w:val="center"/>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产出指标</w:t>
            </w:r>
          </w:p>
          <w:p>
            <w:pPr>
              <w:widowControl/>
              <w:adjustRightInd w:val="0"/>
              <w:snapToGrid w:val="0"/>
              <w:spacing w:line="280" w:lineRule="exact"/>
              <w:jc w:val="center"/>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(50分)</w:t>
            </w:r>
          </w:p>
        </w:tc>
        <w:tc>
          <w:tcPr>
            <w:tcW w:w="1080"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数量指标</w:t>
            </w:r>
          </w:p>
        </w:tc>
        <w:tc>
          <w:tcPr>
            <w:tcW w:w="1149" w:type="dxa"/>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val="en-US" w:eastAsia="zh-CN" w:bidi="ar"/>
              </w:rPr>
              <w:t>日常</w:t>
            </w:r>
            <w:r>
              <w:rPr>
                <w:rFonts w:hint="eastAsia" w:ascii="仿宋_GB2312" w:hAnsi="仿宋_GB2312" w:eastAsia="仿宋_GB2312" w:cs="仿宋_GB2312"/>
                <w:color w:val="000000"/>
                <w:kern w:val="0"/>
                <w:sz w:val="18"/>
                <w:szCs w:val="18"/>
                <w:lang w:bidi="ar"/>
              </w:rPr>
              <w:t>维护检测抽样车辆</w:t>
            </w:r>
          </w:p>
        </w:tc>
        <w:tc>
          <w:tcPr>
            <w:tcW w:w="120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rPr>
              <w:t>　</w:t>
            </w:r>
            <w:r>
              <w:rPr>
                <w:rFonts w:hint="eastAsia" w:ascii="仿宋_GB2312" w:hAnsi="仿宋_GB2312" w:eastAsia="仿宋_GB2312" w:cs="仿宋_GB2312"/>
                <w:color w:val="000000"/>
                <w:kern w:val="0"/>
                <w:sz w:val="18"/>
                <w:szCs w:val="18"/>
                <w:lang w:val="en-US" w:eastAsia="zh-CN"/>
              </w:rPr>
              <w:t>2台</w:t>
            </w:r>
          </w:p>
        </w:tc>
        <w:tc>
          <w:tcPr>
            <w:tcW w:w="1134"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hint="default" w:ascii="仿宋_GB2312" w:hAnsi="仿宋_GB2312" w:eastAsia="仿宋_GB2312" w:cs="仿宋_GB2312"/>
                <w:color w:val="000000"/>
                <w:kern w:val="0"/>
                <w:sz w:val="18"/>
                <w:szCs w:val="18"/>
                <w:lang w:val="en-US" w:eastAsia="zh-CN"/>
              </w:rPr>
            </w:pPr>
            <w:r>
              <w:rPr>
                <w:rFonts w:hint="eastAsia" w:ascii="仿宋_GB2312" w:hAnsi="仿宋_GB2312" w:eastAsia="仿宋_GB2312" w:cs="仿宋_GB2312"/>
                <w:color w:val="000000"/>
                <w:kern w:val="0"/>
                <w:sz w:val="18"/>
                <w:szCs w:val="18"/>
              </w:rPr>
              <w:t>　</w:t>
            </w:r>
            <w:r>
              <w:rPr>
                <w:rFonts w:hint="eastAsia" w:ascii="仿宋_GB2312" w:hAnsi="仿宋_GB2312" w:eastAsia="仿宋_GB2312" w:cs="仿宋_GB2312"/>
                <w:color w:val="000000"/>
                <w:kern w:val="0"/>
                <w:sz w:val="18"/>
                <w:szCs w:val="18"/>
                <w:lang w:val="en-US" w:eastAsia="zh-CN"/>
              </w:rPr>
              <w:t>2台</w:t>
            </w:r>
          </w:p>
        </w:tc>
        <w:tc>
          <w:tcPr>
            <w:tcW w:w="82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　10</w:t>
            </w:r>
          </w:p>
        </w:tc>
        <w:tc>
          <w:tcPr>
            <w:tcW w:w="873"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　10</w:t>
            </w:r>
          </w:p>
        </w:tc>
        <w:tc>
          <w:tcPr>
            <w:tcW w:w="141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080" w:type="dxa"/>
            <w:vMerge w:val="continue"/>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000000"/>
                <w:kern w:val="0"/>
                <w:sz w:val="18"/>
                <w:szCs w:val="18"/>
              </w:rPr>
            </w:pPr>
          </w:p>
        </w:tc>
        <w:tc>
          <w:tcPr>
            <w:tcW w:w="1080"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质量指标</w:t>
            </w:r>
          </w:p>
        </w:tc>
        <w:tc>
          <w:tcPr>
            <w:tcW w:w="1149" w:type="dxa"/>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kern w:val="0"/>
                <w:sz w:val="18"/>
                <w:szCs w:val="18"/>
                <w:lang w:bidi="ar"/>
              </w:rPr>
              <w:t>工作</w:t>
            </w:r>
            <w:r>
              <w:rPr>
                <w:rFonts w:hint="eastAsia" w:ascii="仿宋_GB2312" w:hAnsi="仿宋_GB2312" w:eastAsia="仿宋_GB2312" w:cs="仿宋_GB2312"/>
                <w:color w:val="000000"/>
                <w:kern w:val="0"/>
                <w:sz w:val="18"/>
                <w:szCs w:val="18"/>
                <w:lang w:val="en-US" w:eastAsia="zh-CN" w:bidi="ar"/>
              </w:rPr>
              <w:t>任务完成质量</w:t>
            </w:r>
          </w:p>
        </w:tc>
        <w:tc>
          <w:tcPr>
            <w:tcW w:w="120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　各项任务完成质量高</w:t>
            </w:r>
          </w:p>
        </w:tc>
        <w:tc>
          <w:tcPr>
            <w:tcW w:w="1134"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　各项任务完成质量高</w:t>
            </w:r>
          </w:p>
        </w:tc>
        <w:tc>
          <w:tcPr>
            <w:tcW w:w="82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　10</w:t>
            </w:r>
          </w:p>
        </w:tc>
        <w:tc>
          <w:tcPr>
            <w:tcW w:w="873"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　10</w:t>
            </w:r>
          </w:p>
        </w:tc>
        <w:tc>
          <w:tcPr>
            <w:tcW w:w="141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080" w:type="dxa"/>
            <w:vMerge w:val="continue"/>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000000"/>
                <w:kern w:val="0"/>
                <w:sz w:val="18"/>
                <w:szCs w:val="18"/>
              </w:rPr>
            </w:pPr>
          </w:p>
        </w:tc>
        <w:tc>
          <w:tcPr>
            <w:tcW w:w="1080"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时效指标</w:t>
            </w:r>
          </w:p>
        </w:tc>
        <w:tc>
          <w:tcPr>
            <w:tcW w:w="1149" w:type="dxa"/>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项目任务</w:t>
            </w:r>
          </w:p>
        </w:tc>
        <w:tc>
          <w:tcPr>
            <w:tcW w:w="120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按</w:t>
            </w:r>
            <w:r>
              <w:rPr>
                <w:rFonts w:hint="eastAsia" w:ascii="仿宋_GB2312" w:hAnsi="仿宋_GB2312" w:eastAsia="仿宋_GB2312" w:cs="仿宋_GB2312"/>
                <w:color w:val="000000"/>
                <w:kern w:val="0"/>
                <w:sz w:val="18"/>
                <w:szCs w:val="18"/>
                <w:lang w:val="en-US" w:eastAsia="zh-CN"/>
              </w:rPr>
              <w:t>规定时间</w:t>
            </w:r>
            <w:r>
              <w:rPr>
                <w:rFonts w:hint="eastAsia" w:ascii="仿宋_GB2312" w:hAnsi="仿宋_GB2312" w:eastAsia="仿宋_GB2312" w:cs="仿宋_GB2312"/>
                <w:color w:val="000000"/>
                <w:kern w:val="0"/>
                <w:sz w:val="18"/>
                <w:szCs w:val="18"/>
              </w:rPr>
              <w:t>完成</w:t>
            </w:r>
          </w:p>
        </w:tc>
        <w:tc>
          <w:tcPr>
            <w:tcW w:w="1134"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　按时完成</w:t>
            </w:r>
          </w:p>
        </w:tc>
        <w:tc>
          <w:tcPr>
            <w:tcW w:w="82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　10</w:t>
            </w:r>
          </w:p>
        </w:tc>
        <w:tc>
          <w:tcPr>
            <w:tcW w:w="873"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　10</w:t>
            </w:r>
          </w:p>
        </w:tc>
        <w:tc>
          <w:tcPr>
            <w:tcW w:w="141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080" w:type="dxa"/>
            <w:vMerge w:val="continue"/>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000000"/>
                <w:kern w:val="0"/>
                <w:sz w:val="18"/>
                <w:szCs w:val="18"/>
              </w:rPr>
            </w:pPr>
          </w:p>
        </w:tc>
        <w:tc>
          <w:tcPr>
            <w:tcW w:w="1080"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成本指标</w:t>
            </w:r>
          </w:p>
        </w:tc>
        <w:tc>
          <w:tcPr>
            <w:tcW w:w="1149" w:type="dxa"/>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项目成本</w:t>
            </w:r>
          </w:p>
        </w:tc>
        <w:tc>
          <w:tcPr>
            <w:tcW w:w="120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lang w:bidi="ar"/>
              </w:rPr>
              <w:t>控制在预算范围内</w:t>
            </w:r>
          </w:p>
        </w:tc>
        <w:tc>
          <w:tcPr>
            <w:tcW w:w="1134"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lang w:bidi="ar"/>
              </w:rPr>
              <w:t>控制在预算范围内</w:t>
            </w:r>
          </w:p>
        </w:tc>
        <w:tc>
          <w:tcPr>
            <w:tcW w:w="82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　20</w:t>
            </w:r>
          </w:p>
        </w:tc>
        <w:tc>
          <w:tcPr>
            <w:tcW w:w="873"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　20</w:t>
            </w:r>
          </w:p>
        </w:tc>
        <w:tc>
          <w:tcPr>
            <w:tcW w:w="141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080" w:type="dxa"/>
            <w:tcBorders>
              <w:top w:val="nil"/>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效益指标</w:t>
            </w:r>
          </w:p>
          <w:p>
            <w:pPr>
              <w:widowControl/>
              <w:adjustRightInd w:val="0"/>
              <w:snapToGrid w:val="0"/>
              <w:spacing w:line="280" w:lineRule="exact"/>
              <w:jc w:val="left"/>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（30分）</w:t>
            </w:r>
          </w:p>
        </w:tc>
        <w:tc>
          <w:tcPr>
            <w:tcW w:w="1080"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社会效</w:t>
            </w:r>
          </w:p>
          <w:p>
            <w:pPr>
              <w:widowControl/>
              <w:adjustRightInd w:val="0"/>
              <w:snapToGrid w:val="0"/>
              <w:spacing w:line="280" w:lineRule="exact"/>
              <w:jc w:val="center"/>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益指标</w:t>
            </w:r>
          </w:p>
        </w:tc>
        <w:tc>
          <w:tcPr>
            <w:tcW w:w="1149" w:type="dxa"/>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lang w:bidi="ar"/>
              </w:rPr>
              <w:t>工作成效得到提升</w:t>
            </w:r>
          </w:p>
        </w:tc>
        <w:tc>
          <w:tcPr>
            <w:tcW w:w="1209"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工作效果良好</w:t>
            </w:r>
          </w:p>
        </w:tc>
        <w:tc>
          <w:tcPr>
            <w:tcW w:w="1134"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工作效果良好</w:t>
            </w:r>
          </w:p>
        </w:tc>
        <w:tc>
          <w:tcPr>
            <w:tcW w:w="82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　30</w:t>
            </w:r>
          </w:p>
        </w:tc>
        <w:tc>
          <w:tcPr>
            <w:tcW w:w="873"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　30</w:t>
            </w:r>
          </w:p>
        </w:tc>
        <w:tc>
          <w:tcPr>
            <w:tcW w:w="141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hint="eastAsia"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color w:val="000000"/>
                <w:kern w:val="0"/>
                <w:szCs w:val="21"/>
              </w:rPr>
            </w:pPr>
          </w:p>
        </w:tc>
        <w:tc>
          <w:tcPr>
            <w:tcW w:w="1080"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满意度</w:t>
            </w:r>
          </w:p>
          <w:p>
            <w:pPr>
              <w:widowControl/>
              <w:adjustRightInd w:val="0"/>
              <w:snapToGrid w:val="0"/>
              <w:spacing w:line="280" w:lineRule="exact"/>
              <w:jc w:val="center"/>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指标</w:t>
            </w:r>
          </w:p>
          <w:p>
            <w:pPr>
              <w:widowControl/>
              <w:adjustRightInd w:val="0"/>
              <w:snapToGrid w:val="0"/>
              <w:spacing w:line="280" w:lineRule="exact"/>
              <w:jc w:val="center"/>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w:t>
            </w:r>
            <w:r>
              <w:rPr>
                <w:rFonts w:ascii="Times New Roman" w:hAnsi="Times New Roman" w:eastAsia="仿宋_GB2312" w:cs="Times New Roman"/>
                <w:color w:val="000000"/>
                <w:kern w:val="0"/>
                <w:szCs w:val="21"/>
              </w:rPr>
              <w:t>10</w:t>
            </w:r>
            <w:r>
              <w:rPr>
                <w:rFonts w:ascii="仿宋_GB2312" w:hAnsi="仿宋_GB2312" w:eastAsia="仿宋_GB2312" w:cs="Times New Roman"/>
                <w:color w:val="000000"/>
                <w:kern w:val="0"/>
                <w:szCs w:val="21"/>
              </w:rPr>
              <w:t>分）</w:t>
            </w:r>
          </w:p>
        </w:tc>
        <w:tc>
          <w:tcPr>
            <w:tcW w:w="1080" w:type="dxa"/>
            <w:tcBorders>
              <w:top w:val="nil"/>
              <w:left w:val="nil"/>
              <w:bottom w:val="single" w:color="auto" w:sz="4" w:space="0"/>
              <w:right w:val="single" w:color="auto" w:sz="4" w:space="0"/>
            </w:tcBorders>
            <w:vAlign w:val="center"/>
          </w:tcPr>
          <w:p>
            <w:pPr>
              <w:widowControl/>
              <w:adjustRightInd w:val="0"/>
              <w:snapToGrid w:val="0"/>
              <w:spacing w:line="280" w:lineRule="exact"/>
              <w:jc w:val="center"/>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服务对象满意度指标</w:t>
            </w:r>
          </w:p>
        </w:tc>
        <w:tc>
          <w:tcPr>
            <w:tcW w:w="1149" w:type="dxa"/>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hint="eastAsia" w:ascii="仿宋_GB2312" w:hAnsi="等线" w:eastAsia="仿宋_GB2312" w:cs="仿宋_GB2312"/>
                <w:color w:val="000000"/>
                <w:sz w:val="10"/>
                <w:szCs w:val="10"/>
              </w:rPr>
            </w:pPr>
            <w:r>
              <w:rPr>
                <w:rFonts w:hint="eastAsia" w:ascii="仿宋_GB2312" w:hAnsi="仿宋_GB2312" w:eastAsia="仿宋_GB2312" w:cs="仿宋_GB2312"/>
                <w:color w:val="000000"/>
                <w:kern w:val="0"/>
                <w:sz w:val="18"/>
                <w:szCs w:val="18"/>
                <w:lang w:bidi="ar"/>
              </w:rPr>
              <w:t>服务对象满意度</w:t>
            </w:r>
          </w:p>
        </w:tc>
        <w:tc>
          <w:tcPr>
            <w:tcW w:w="1209" w:type="dxa"/>
            <w:tcBorders>
              <w:top w:val="single" w:color="auto" w:sz="4" w:space="0"/>
              <w:left w:val="nil"/>
              <w:bottom w:val="single" w:color="auto" w:sz="4" w:space="0"/>
              <w:right w:val="single" w:color="auto" w:sz="4" w:space="0"/>
            </w:tcBorders>
            <w:vAlign w:val="center"/>
          </w:tcPr>
          <w:p>
            <w:pPr>
              <w:widowControl/>
              <w:adjustRightInd w:val="0"/>
              <w:snapToGrid w:val="0"/>
              <w:spacing w:line="360" w:lineRule="auto"/>
              <w:jc w:val="left"/>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r>
              <w:rPr>
                <w:rFonts w:hint="default" w:ascii="Arial" w:hAnsi="Arial" w:eastAsia="仿宋_GB2312" w:cs="Arial"/>
                <w:color w:val="000000"/>
                <w:kern w:val="0"/>
                <w:szCs w:val="21"/>
              </w:rPr>
              <w:t>≥</w:t>
            </w:r>
            <w:r>
              <w:rPr>
                <w:rFonts w:hint="eastAsia" w:ascii="仿宋_GB2312" w:hAnsi="仿宋_GB2312" w:eastAsia="仿宋_GB2312" w:cs="Times New Roman"/>
                <w:color w:val="000000"/>
                <w:kern w:val="0"/>
                <w:szCs w:val="21"/>
                <w:lang w:val="en-US" w:eastAsia="zh-CN"/>
              </w:rPr>
              <w:t>90</w:t>
            </w:r>
            <w:r>
              <w:rPr>
                <w:rFonts w:hint="eastAsia" w:ascii="仿宋_GB2312" w:hAnsi="仿宋_GB2312" w:eastAsia="仿宋_GB2312" w:cs="Times New Roman"/>
                <w:color w:val="000000"/>
                <w:kern w:val="0"/>
                <w:szCs w:val="21"/>
              </w:rPr>
              <w:t>%</w:t>
            </w:r>
          </w:p>
        </w:tc>
        <w:tc>
          <w:tcPr>
            <w:tcW w:w="1134"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ascii="Times New Roman" w:hAnsi="Times New Roman" w:eastAsia="仿宋_GB2312" w:cs="Times New Roman"/>
                <w:color w:val="000000"/>
                <w:kern w:val="0"/>
                <w:szCs w:val="21"/>
              </w:rPr>
            </w:pPr>
            <w:r>
              <w:rPr>
                <w:rFonts w:hint="eastAsia" w:ascii="仿宋_GB2312" w:hAnsi="仿宋_GB2312" w:eastAsia="仿宋_GB2312" w:cs="Times New Roman"/>
                <w:color w:val="000000"/>
                <w:kern w:val="0"/>
                <w:szCs w:val="21"/>
                <w:lang w:val="en-US" w:eastAsia="zh-CN"/>
              </w:rPr>
              <w:t>90</w:t>
            </w:r>
            <w:r>
              <w:rPr>
                <w:rFonts w:hint="eastAsia" w:ascii="仿宋_GB2312" w:hAnsi="仿宋_GB2312" w:eastAsia="仿宋_GB2312" w:cs="Times New Roman"/>
                <w:color w:val="000000"/>
                <w:kern w:val="0"/>
                <w:szCs w:val="21"/>
              </w:rPr>
              <w:t>%</w:t>
            </w:r>
          </w:p>
        </w:tc>
        <w:tc>
          <w:tcPr>
            <w:tcW w:w="82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r>
              <w:rPr>
                <w:rFonts w:hint="eastAsia" w:ascii="仿宋_GB2312" w:hAnsi="仿宋_GB2312" w:eastAsia="仿宋_GB2312" w:cs="Times New Roman"/>
                <w:color w:val="000000"/>
                <w:kern w:val="0"/>
                <w:szCs w:val="21"/>
              </w:rPr>
              <w:t>10</w:t>
            </w:r>
          </w:p>
        </w:tc>
        <w:tc>
          <w:tcPr>
            <w:tcW w:w="873"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r>
              <w:rPr>
                <w:rFonts w:hint="eastAsia" w:ascii="仿宋_GB2312" w:hAnsi="仿宋_GB2312" w:eastAsia="仿宋_GB2312" w:cs="Times New Roman"/>
                <w:color w:val="000000"/>
                <w:kern w:val="0"/>
                <w:szCs w:val="21"/>
              </w:rPr>
              <w:t>10</w:t>
            </w:r>
          </w:p>
        </w:tc>
        <w:tc>
          <w:tcPr>
            <w:tcW w:w="141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6732" w:type="dxa"/>
            <w:gridSpan w:val="6"/>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80" w:lineRule="exact"/>
              <w:jc w:val="center"/>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总分</w:t>
            </w:r>
          </w:p>
        </w:tc>
        <w:tc>
          <w:tcPr>
            <w:tcW w:w="82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center"/>
              <w:textAlignment w:val="center"/>
              <w:rPr>
                <w:rFonts w:hint="default"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100</w:t>
            </w:r>
          </w:p>
        </w:tc>
        <w:tc>
          <w:tcPr>
            <w:tcW w:w="873"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ascii="Times New Roman" w:hAnsi="Times New Roman" w:eastAsia="仿宋_GB2312" w:cs="Times New Roman"/>
                <w:color w:val="000000"/>
                <w:kern w:val="0"/>
                <w:szCs w:val="21"/>
              </w:rPr>
            </w:pPr>
            <w:r>
              <w:rPr>
                <w:rFonts w:hint="eastAsia" w:ascii="仿宋_GB2312" w:hAnsi="仿宋_GB2312" w:eastAsia="仿宋_GB2312" w:cs="Times New Roman"/>
                <w:color w:val="000000"/>
                <w:kern w:val="0"/>
                <w:szCs w:val="21"/>
                <w:lang w:val="en-US" w:eastAsia="zh-CN"/>
              </w:rPr>
              <w:t>99.59</w:t>
            </w:r>
            <w:r>
              <w:rPr>
                <w:rFonts w:ascii="仿宋_GB2312" w:hAnsi="仿宋_GB2312" w:eastAsia="仿宋_GB2312" w:cs="Times New Roman"/>
                <w:color w:val="000000"/>
                <w:kern w:val="0"/>
                <w:szCs w:val="21"/>
              </w:rPr>
              <w:t>　</w:t>
            </w:r>
          </w:p>
        </w:tc>
        <w:tc>
          <w:tcPr>
            <w:tcW w:w="1418" w:type="dxa"/>
            <w:tcBorders>
              <w:top w:val="single" w:color="auto" w:sz="4" w:space="0"/>
              <w:left w:val="nil"/>
              <w:bottom w:val="single" w:color="auto" w:sz="4" w:space="0"/>
              <w:right w:val="single" w:color="auto" w:sz="4" w:space="0"/>
            </w:tcBorders>
            <w:vAlign w:val="center"/>
          </w:tcPr>
          <w:p>
            <w:pPr>
              <w:widowControl/>
              <w:adjustRightInd w:val="0"/>
              <w:snapToGrid w:val="0"/>
              <w:spacing w:line="280" w:lineRule="exact"/>
              <w:jc w:val="left"/>
              <w:textAlignment w:val="center"/>
              <w:rPr>
                <w:rFonts w:ascii="Times New Roman" w:hAnsi="Times New Roman" w:eastAsia="仿宋_GB2312" w:cs="Times New Roman"/>
                <w:color w:val="000000"/>
                <w:kern w:val="0"/>
                <w:szCs w:val="21"/>
              </w:rPr>
            </w:pPr>
            <w:r>
              <w:rPr>
                <w:rFonts w:ascii="仿宋_GB2312" w:hAnsi="仿宋_GB2312" w:eastAsia="仿宋_GB2312" w:cs="Times New Roman"/>
                <w:color w:val="000000"/>
                <w:kern w:val="0"/>
                <w:szCs w:val="21"/>
              </w:rPr>
              <w:t>　</w:t>
            </w:r>
          </w:p>
        </w:tc>
      </w:tr>
    </w:tbl>
    <w:p/>
    <w:p/>
    <w:p>
      <w:pPr>
        <w:adjustRightInd w:val="0"/>
        <w:snapToGrid w:val="0"/>
        <w:spacing w:line="579" w:lineRule="atLeast"/>
        <w:outlineLvl w:val="1"/>
        <w:rPr>
          <w:rFonts w:ascii="黑体" w:hAnsi="黑体" w:eastAsia="黑体" w:cs="Times New Roman"/>
          <w:b/>
          <w:bCs/>
          <w:sz w:val="32"/>
          <w:szCs w:val="32"/>
        </w:rPr>
      </w:pPr>
    </w:p>
    <w:p>
      <w:pPr>
        <w:adjustRightInd w:val="0"/>
        <w:snapToGrid w:val="0"/>
        <w:spacing w:line="579" w:lineRule="atLeast"/>
        <w:outlineLvl w:val="1"/>
        <w:rPr>
          <w:rFonts w:ascii="黑体" w:hAnsi="黑体" w:eastAsia="黑体" w:cs="Times New Roman"/>
          <w:b/>
          <w:bCs/>
          <w:sz w:val="32"/>
          <w:szCs w:val="32"/>
        </w:rPr>
      </w:pPr>
    </w:p>
    <w:p>
      <w:pPr>
        <w:adjustRightInd w:val="0"/>
        <w:snapToGrid w:val="0"/>
        <w:spacing w:line="579" w:lineRule="atLeast"/>
        <w:outlineLvl w:val="1"/>
        <w:rPr>
          <w:rFonts w:ascii="黑体" w:hAnsi="黑体" w:eastAsia="黑体" w:cs="Times New Roman"/>
          <w:b/>
          <w:bCs/>
          <w:sz w:val="32"/>
          <w:szCs w:val="32"/>
        </w:rPr>
      </w:pPr>
    </w:p>
    <w:p>
      <w:pPr>
        <w:adjustRightInd w:val="0"/>
        <w:snapToGrid w:val="0"/>
        <w:spacing w:line="579" w:lineRule="atLeast"/>
        <w:outlineLvl w:val="1"/>
        <w:rPr>
          <w:rFonts w:ascii="黑体" w:hAnsi="黑体" w:eastAsia="黑体" w:cs="Times New Roman"/>
          <w:b/>
          <w:bCs/>
          <w:sz w:val="32"/>
          <w:szCs w:val="32"/>
        </w:rPr>
      </w:pPr>
    </w:p>
    <w:p>
      <w:pPr>
        <w:adjustRightInd w:val="0"/>
        <w:snapToGrid w:val="0"/>
        <w:spacing w:line="579" w:lineRule="atLeast"/>
        <w:outlineLvl w:val="1"/>
        <w:rPr>
          <w:rFonts w:ascii="黑体" w:hAnsi="黑体" w:eastAsia="黑体" w:cs="Times New Roman"/>
          <w:b/>
          <w:bCs/>
          <w:sz w:val="32"/>
          <w:szCs w:val="32"/>
        </w:rPr>
      </w:pPr>
    </w:p>
    <w:p>
      <w:pPr>
        <w:adjustRightInd w:val="0"/>
        <w:snapToGrid w:val="0"/>
        <w:spacing w:line="579" w:lineRule="atLeast"/>
        <w:outlineLvl w:val="1"/>
        <w:rPr>
          <w:rFonts w:hint="eastAsia" w:ascii="黑体" w:hAnsi="黑体" w:eastAsia="黑体" w:cs="Times New Roman"/>
          <w:b/>
          <w:bCs/>
          <w:sz w:val="32"/>
          <w:szCs w:val="32"/>
          <w:lang w:eastAsia="zh-CN"/>
        </w:rPr>
      </w:pPr>
      <w:r>
        <w:rPr>
          <w:rFonts w:ascii="黑体" w:hAnsi="黑体" w:eastAsia="黑体" w:cs="Times New Roman"/>
          <w:b/>
          <w:bCs/>
          <w:sz w:val="32"/>
          <w:szCs w:val="32"/>
        </w:rPr>
        <w:t>附件</w:t>
      </w:r>
      <w:r>
        <w:rPr>
          <w:rFonts w:hint="eastAsia" w:ascii="黑体" w:hAnsi="黑体" w:eastAsia="黑体" w:cs="Times New Roman"/>
          <w:b/>
          <w:bCs/>
          <w:sz w:val="32"/>
          <w:szCs w:val="32"/>
          <w:lang w:val="en-US" w:eastAsia="zh-CN"/>
        </w:rPr>
        <w:t>4</w:t>
      </w:r>
    </w:p>
    <w:p>
      <w:pPr>
        <w:pStyle w:val="5"/>
        <w:spacing w:before="78" w:beforeLines="25" w:line="500" w:lineRule="exact"/>
        <w:rPr>
          <w:sz w:val="36"/>
          <w:szCs w:val="36"/>
        </w:rPr>
      </w:pPr>
      <w:r>
        <w:rPr>
          <w:sz w:val="36"/>
          <w:szCs w:val="36"/>
        </w:rPr>
        <w:t>项目支出绩效自评表</w:t>
      </w:r>
    </w:p>
    <w:p>
      <w:pPr>
        <w:widowControl/>
        <w:jc w:val="center"/>
        <w:rPr>
          <w:color w:val="000000"/>
          <w:kern w:val="0"/>
          <w:szCs w:val="21"/>
        </w:rPr>
      </w:pPr>
      <w:r>
        <w:rPr>
          <w:color w:val="000000"/>
          <w:kern w:val="0"/>
          <w:szCs w:val="21"/>
        </w:rPr>
        <w:t xml:space="preserve">（ </w:t>
      </w:r>
      <w:r>
        <w:rPr>
          <w:rFonts w:hint="eastAsia"/>
          <w:color w:val="000000"/>
          <w:kern w:val="0"/>
          <w:szCs w:val="21"/>
        </w:rPr>
        <w:t>2024</w:t>
      </w:r>
      <w:r>
        <w:rPr>
          <w:color w:val="000000"/>
          <w:kern w:val="0"/>
          <w:szCs w:val="21"/>
        </w:rPr>
        <w:t xml:space="preserve">  年度）</w:t>
      </w:r>
    </w:p>
    <w:tbl>
      <w:tblPr>
        <w:tblStyle w:val="13"/>
        <w:tblW w:w="98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1209"/>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项目支</w:t>
            </w:r>
          </w:p>
          <w:p>
            <w:pPr>
              <w:widowControl/>
              <w:spacing w:line="280" w:lineRule="exact"/>
              <w:jc w:val="center"/>
              <w:textAlignment w:val="center"/>
              <w:rPr>
                <w:color w:val="000000"/>
                <w:kern w:val="0"/>
                <w:szCs w:val="21"/>
              </w:rPr>
            </w:pPr>
            <w:r>
              <w:rPr>
                <w:color w:val="000000"/>
                <w:kern w:val="0"/>
                <w:szCs w:val="21"/>
              </w:rPr>
              <w:t>出名称</w:t>
            </w:r>
          </w:p>
        </w:tc>
        <w:tc>
          <w:tcPr>
            <w:tcW w:w="8771" w:type="dxa"/>
            <w:gridSpan w:val="8"/>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rFonts w:hint="eastAsia"/>
                <w:color w:val="000000"/>
                <w:kern w:val="0"/>
                <w:szCs w:val="21"/>
              </w:rPr>
              <w:t>现代农业发展专项</w:t>
            </w: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主管部门</w:t>
            </w:r>
          </w:p>
        </w:tc>
        <w:tc>
          <w:tcPr>
            <w:tcW w:w="4518"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r>
              <w:rPr>
                <w:rFonts w:hint="eastAsia"/>
                <w:color w:val="000000"/>
                <w:kern w:val="0"/>
                <w:szCs w:val="21"/>
              </w:rPr>
              <w:t>湖南省农业农村厅</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实施单位</w:t>
            </w:r>
          </w:p>
        </w:tc>
        <w:tc>
          <w:tcPr>
            <w:tcW w:w="3119"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r>
              <w:rPr>
                <w:rFonts w:hint="eastAsia"/>
                <w:color w:val="000000"/>
                <w:kern w:val="0"/>
                <w:szCs w:val="21"/>
              </w:rPr>
              <w:t>湖南省农药检定所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项目资金</w:t>
            </w:r>
            <w:r>
              <w:rPr>
                <w:color w:val="000000"/>
                <w:kern w:val="0"/>
                <w:szCs w:val="21"/>
              </w:rPr>
              <w:br w:type="textWrapping"/>
            </w:r>
            <w:r>
              <w:rPr>
                <w:color w:val="000000"/>
                <w:kern w:val="0"/>
                <w:szCs w:val="21"/>
              </w:rPr>
              <w:t>（万元）</w:t>
            </w: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年初</w:t>
            </w:r>
          </w:p>
          <w:p>
            <w:pPr>
              <w:widowControl/>
              <w:spacing w:line="280" w:lineRule="exact"/>
              <w:jc w:val="center"/>
              <w:textAlignment w:val="center"/>
              <w:rPr>
                <w:color w:val="000000"/>
                <w:kern w:val="0"/>
                <w:szCs w:val="21"/>
              </w:rPr>
            </w:pPr>
            <w:r>
              <w:rPr>
                <w:color w:val="000000"/>
                <w:kern w:val="0"/>
                <w:szCs w:val="21"/>
              </w:rPr>
              <w:t>预算数</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全年</w:t>
            </w:r>
          </w:p>
          <w:p>
            <w:pPr>
              <w:widowControl/>
              <w:spacing w:line="280" w:lineRule="exact"/>
              <w:jc w:val="center"/>
              <w:textAlignment w:val="center"/>
              <w:rPr>
                <w:color w:val="000000"/>
                <w:kern w:val="0"/>
                <w:szCs w:val="21"/>
              </w:rPr>
            </w:pPr>
            <w:r>
              <w:rPr>
                <w:color w:val="000000"/>
                <w:kern w:val="0"/>
                <w:szCs w:val="21"/>
              </w:rPr>
              <w:t>预算数</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szCs w:val="21"/>
              </w:rPr>
            </w:pPr>
            <w:r>
              <w:rPr>
                <w:szCs w:val="21"/>
              </w:rPr>
              <w:t>全年</w:t>
            </w:r>
          </w:p>
          <w:p>
            <w:pPr>
              <w:spacing w:line="280" w:lineRule="exact"/>
              <w:jc w:val="center"/>
              <w:textAlignment w:val="center"/>
              <w:rPr>
                <w:szCs w:val="21"/>
              </w:rPr>
            </w:pPr>
            <w:r>
              <w:rPr>
                <w:szCs w:val="21"/>
              </w:rPr>
              <w:t>执行数</w:t>
            </w:r>
          </w:p>
        </w:tc>
        <w:tc>
          <w:tcPr>
            <w:tcW w:w="8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szCs w:val="21"/>
              </w:rPr>
            </w:pPr>
            <w:r>
              <w:rPr>
                <w:szCs w:val="21"/>
              </w:rPr>
              <w:t>分值</w:t>
            </w:r>
          </w:p>
        </w:tc>
        <w:tc>
          <w:tcPr>
            <w:tcW w:w="87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szCs w:val="21"/>
              </w:rPr>
            </w:pPr>
            <w:r>
              <w:rPr>
                <w:szCs w:val="21"/>
              </w:rPr>
              <w:t>执行率</w:t>
            </w:r>
          </w:p>
        </w:tc>
        <w:tc>
          <w:tcPr>
            <w:tcW w:w="14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szCs w:val="21"/>
              </w:rPr>
            </w:pPr>
            <w:r>
              <w:rPr>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年度资金总额　</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eastAsiaTheme="minorEastAsia"/>
                <w:color w:val="000000"/>
                <w:kern w:val="0"/>
                <w:szCs w:val="21"/>
                <w:lang w:val="en-US" w:eastAsia="zh-CN"/>
              </w:rPr>
            </w:pPr>
            <w:r>
              <w:rPr>
                <w:color w:val="000000"/>
                <w:kern w:val="0"/>
                <w:szCs w:val="21"/>
              </w:rPr>
              <w:t>　</w:t>
            </w:r>
            <w:r>
              <w:rPr>
                <w:rFonts w:hint="eastAsia"/>
                <w:color w:val="000000"/>
                <w:kern w:val="0"/>
                <w:szCs w:val="21"/>
                <w:lang w:val="en-US" w:eastAsia="zh-CN"/>
              </w:rPr>
              <w:t>974.80</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bookmarkStart w:id="34" w:name="OLE_LINK14"/>
            <w:r>
              <w:rPr>
                <w:color w:val="000000"/>
                <w:kern w:val="0"/>
                <w:szCs w:val="21"/>
              </w:rPr>
              <w:t>　</w:t>
            </w:r>
            <w:r>
              <w:rPr>
                <w:rFonts w:hint="eastAsia"/>
                <w:color w:val="000000"/>
                <w:kern w:val="0"/>
                <w:szCs w:val="21"/>
                <w:lang w:val="en-US" w:eastAsia="zh-CN"/>
              </w:rPr>
              <w:t>974.80</w:t>
            </w:r>
            <w:bookmarkEnd w:id="34"/>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eastAsiaTheme="minorEastAsia"/>
                <w:color w:val="000000"/>
                <w:kern w:val="0"/>
                <w:szCs w:val="21"/>
                <w:lang w:val="en-US" w:eastAsia="zh-CN"/>
              </w:rPr>
            </w:pPr>
            <w:r>
              <w:rPr>
                <w:color w:val="000000"/>
                <w:kern w:val="0"/>
                <w:szCs w:val="21"/>
              </w:rPr>
              <w:t>　</w:t>
            </w:r>
            <w:bookmarkStart w:id="35" w:name="OLE_LINK15"/>
            <w:r>
              <w:rPr>
                <w:rFonts w:hint="eastAsia"/>
                <w:color w:val="000000"/>
                <w:kern w:val="0"/>
                <w:szCs w:val="21"/>
                <w:lang w:val="en-US" w:eastAsia="zh-CN"/>
              </w:rPr>
              <w:t>964.97</w:t>
            </w:r>
            <w:bookmarkEnd w:id="35"/>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eastAsiaTheme="minorEastAsia"/>
                <w:color w:val="000000"/>
                <w:kern w:val="0"/>
                <w:szCs w:val="21"/>
                <w:lang w:val="en-US" w:eastAsia="zh-CN"/>
              </w:rPr>
            </w:pPr>
            <w:r>
              <w:rPr>
                <w:rFonts w:hint="eastAsia"/>
                <w:color w:val="000000"/>
                <w:kern w:val="0"/>
                <w:szCs w:val="21"/>
                <w:lang w:val="en-US" w:eastAsia="zh-CN"/>
              </w:rPr>
              <w:t>98.99%</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eastAsiaTheme="minorEastAsia"/>
                <w:color w:val="000000"/>
                <w:kern w:val="0"/>
                <w:szCs w:val="21"/>
                <w:lang w:val="en-US" w:eastAsia="zh-CN"/>
              </w:rPr>
            </w:pPr>
            <w:r>
              <w:rPr>
                <w:color w:val="000000"/>
                <w:kern w:val="0"/>
                <w:szCs w:val="21"/>
              </w:rPr>
              <w:t>　</w:t>
            </w:r>
            <w:r>
              <w:rPr>
                <w:rFonts w:hint="eastAsia"/>
                <w:color w:val="000000"/>
                <w:kern w:val="0"/>
                <w:szCs w:val="21"/>
              </w:rPr>
              <w:t>9</w:t>
            </w:r>
            <w:r>
              <w:rPr>
                <w:rFonts w:hint="eastAsia"/>
                <w:color w:val="000000"/>
                <w:kern w:val="0"/>
                <w:szCs w:val="21"/>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其中：当年财政拨款　</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eastAsiaTheme="minorEastAsia"/>
                <w:color w:val="000000"/>
                <w:kern w:val="0"/>
                <w:szCs w:val="21"/>
                <w:lang w:val="en-US" w:eastAsia="zh-CN"/>
              </w:rPr>
            </w:pPr>
            <w:r>
              <w:rPr>
                <w:color w:val="000000"/>
                <w:kern w:val="0"/>
                <w:szCs w:val="21"/>
              </w:rPr>
              <w:t>　</w:t>
            </w:r>
            <w:r>
              <w:rPr>
                <w:rFonts w:hint="eastAsia"/>
                <w:color w:val="000000"/>
                <w:kern w:val="0"/>
                <w:szCs w:val="21"/>
                <w:lang w:val="en-US" w:eastAsia="zh-CN"/>
              </w:rPr>
              <w:t>857.00</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color w:val="000000"/>
                <w:kern w:val="0"/>
                <w:szCs w:val="21"/>
                <w:lang w:val="en-US"/>
              </w:rPr>
            </w:pPr>
            <w:r>
              <w:rPr>
                <w:color w:val="000000"/>
                <w:kern w:val="0"/>
                <w:szCs w:val="21"/>
              </w:rPr>
              <w:t>　</w:t>
            </w:r>
            <w:r>
              <w:rPr>
                <w:rFonts w:hint="eastAsia"/>
                <w:color w:val="000000"/>
                <w:kern w:val="0"/>
                <w:szCs w:val="21"/>
                <w:lang w:val="en-US" w:eastAsia="zh-CN"/>
              </w:rPr>
              <w:t>857.00</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ind w:firstLine="630" w:firstLineChars="300"/>
              <w:jc w:val="left"/>
              <w:textAlignment w:val="center"/>
              <w:rPr>
                <w:color w:val="000000"/>
                <w:kern w:val="0"/>
                <w:szCs w:val="21"/>
              </w:rPr>
            </w:pPr>
            <w:r>
              <w:rPr>
                <w:color w:val="000000"/>
                <w:kern w:val="0"/>
                <w:szCs w:val="21"/>
              </w:rPr>
              <w:t>上年结转资金　</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eastAsiaTheme="minorEastAsia"/>
                <w:color w:val="000000"/>
                <w:kern w:val="0"/>
                <w:szCs w:val="21"/>
                <w:lang w:val="en-US" w:eastAsia="zh-CN"/>
              </w:rPr>
            </w:pPr>
            <w:r>
              <w:rPr>
                <w:color w:val="000000"/>
                <w:kern w:val="0"/>
                <w:szCs w:val="21"/>
              </w:rPr>
              <w:t>　</w:t>
            </w:r>
            <w:r>
              <w:rPr>
                <w:rFonts w:hint="eastAsia"/>
                <w:color w:val="000000"/>
                <w:kern w:val="0"/>
                <w:szCs w:val="21"/>
                <w:lang w:val="en-US" w:eastAsia="zh-CN"/>
              </w:rPr>
              <w:t>117.80</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r>
              <w:rPr>
                <w:rFonts w:hint="eastAsia"/>
                <w:color w:val="000000"/>
                <w:kern w:val="0"/>
                <w:szCs w:val="21"/>
                <w:lang w:val="en-US" w:eastAsia="zh-CN"/>
              </w:rPr>
              <w:t>117.80</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ind w:firstLine="630" w:firstLineChars="300"/>
              <w:jc w:val="left"/>
              <w:textAlignment w:val="center"/>
              <w:rPr>
                <w:color w:val="000000"/>
                <w:kern w:val="0"/>
                <w:szCs w:val="21"/>
              </w:rPr>
            </w:pPr>
            <w:r>
              <w:rPr>
                <w:color w:val="000000"/>
                <w:kern w:val="0"/>
                <w:szCs w:val="21"/>
              </w:rPr>
              <w:t>其他资金</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年度总体目标</w:t>
            </w:r>
          </w:p>
        </w:tc>
        <w:tc>
          <w:tcPr>
            <w:tcW w:w="4518"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预期目标</w:t>
            </w:r>
          </w:p>
        </w:tc>
        <w:tc>
          <w:tcPr>
            <w:tcW w:w="4253"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4518"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hint="default" w:eastAsiaTheme="minorEastAsia"/>
                <w:color w:val="000000"/>
                <w:kern w:val="0"/>
                <w:szCs w:val="21"/>
                <w:lang w:val="en-US" w:eastAsia="zh-CN"/>
              </w:rPr>
            </w:pPr>
            <w:r>
              <w:rPr>
                <w:rFonts w:ascii="Times New Roman" w:hAnsi="Times New Roman" w:eastAsia="仿宋_GB2312"/>
                <w:color w:val="000000"/>
                <w:sz w:val="20"/>
                <w:szCs w:val="20"/>
              </w:rPr>
              <w:t>　</w:t>
            </w:r>
            <w:r>
              <w:rPr>
                <w:color w:val="000000"/>
                <w:kern w:val="0"/>
                <w:szCs w:val="21"/>
              </w:rPr>
              <w:t>　</w:t>
            </w:r>
            <w:bookmarkStart w:id="36" w:name="OLE_LINK41"/>
            <w:r>
              <w:rPr>
                <w:rFonts w:hint="eastAsia"/>
                <w:color w:val="000000"/>
                <w:kern w:val="0"/>
                <w:szCs w:val="21"/>
                <w:lang w:val="en-US" w:eastAsia="zh-CN"/>
              </w:rPr>
              <w:t>完成全年农产品质量安全检测任务、农药监管、早稻集中育秧，土壤详查等工作任务。</w:t>
            </w:r>
            <w:bookmarkEnd w:id="36"/>
          </w:p>
        </w:tc>
        <w:tc>
          <w:tcPr>
            <w:tcW w:w="4253"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hint="eastAsia"/>
                <w:color w:val="000000"/>
                <w:kern w:val="0"/>
                <w:szCs w:val="21"/>
                <w:lang w:val="en-US" w:eastAsia="zh-CN"/>
              </w:rPr>
              <w:t>完成全年农产品质量安全检测任务、农药监管、早稻集中育秧，土壤详查等工作任务。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绩</w:t>
            </w:r>
          </w:p>
          <w:p>
            <w:pPr>
              <w:widowControl/>
              <w:spacing w:line="280" w:lineRule="exact"/>
              <w:jc w:val="center"/>
              <w:textAlignment w:val="center"/>
              <w:rPr>
                <w:color w:val="000000"/>
                <w:kern w:val="0"/>
                <w:szCs w:val="21"/>
              </w:rPr>
            </w:pPr>
            <w:r>
              <w:rPr>
                <w:color w:val="000000"/>
                <w:kern w:val="0"/>
                <w:szCs w:val="21"/>
              </w:rPr>
              <w:t>效</w:t>
            </w:r>
          </w:p>
          <w:p>
            <w:pPr>
              <w:widowControl/>
              <w:spacing w:line="280" w:lineRule="exact"/>
              <w:jc w:val="center"/>
              <w:textAlignment w:val="center"/>
              <w:rPr>
                <w:color w:val="000000"/>
                <w:kern w:val="0"/>
                <w:szCs w:val="21"/>
              </w:rPr>
            </w:pPr>
            <w:r>
              <w:rPr>
                <w:color w:val="000000"/>
                <w:kern w:val="0"/>
                <w:szCs w:val="21"/>
              </w:rPr>
              <w:t>指</w:t>
            </w:r>
          </w:p>
          <w:p>
            <w:pPr>
              <w:widowControl/>
              <w:spacing w:line="280" w:lineRule="exact"/>
              <w:jc w:val="center"/>
              <w:textAlignment w:val="center"/>
              <w:rPr>
                <w:color w:val="000000"/>
                <w:kern w:val="0"/>
                <w:szCs w:val="21"/>
              </w:rPr>
            </w:pPr>
            <w:r>
              <w:rPr>
                <w:color w:val="000000"/>
                <w:kern w:val="0"/>
                <w:szCs w:val="21"/>
              </w:rPr>
              <w:t>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一级指标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二级指标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三级指标</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年度</w:t>
            </w:r>
          </w:p>
          <w:p>
            <w:pPr>
              <w:widowControl/>
              <w:spacing w:line="280" w:lineRule="exact"/>
              <w:jc w:val="center"/>
              <w:textAlignment w:val="center"/>
              <w:rPr>
                <w:color w:val="000000"/>
                <w:kern w:val="0"/>
                <w:szCs w:val="21"/>
              </w:rPr>
            </w:pPr>
            <w:r>
              <w:rPr>
                <w:color w:val="000000"/>
                <w:kern w:val="0"/>
                <w:szCs w:val="21"/>
              </w:rPr>
              <w:t>指标值</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实际</w:t>
            </w:r>
          </w:p>
          <w:p>
            <w:pPr>
              <w:widowControl/>
              <w:spacing w:line="280" w:lineRule="exact"/>
              <w:jc w:val="center"/>
              <w:textAlignment w:val="center"/>
              <w:rPr>
                <w:color w:val="000000"/>
                <w:kern w:val="0"/>
                <w:szCs w:val="21"/>
              </w:rPr>
            </w:pPr>
            <w:r>
              <w:rPr>
                <w:color w:val="000000"/>
                <w:kern w:val="0"/>
                <w:szCs w:val="21"/>
              </w:rPr>
              <w:t>完成值</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分值</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得分</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偏差原因</w:t>
            </w:r>
          </w:p>
          <w:p>
            <w:pPr>
              <w:widowControl/>
              <w:spacing w:line="280" w:lineRule="exact"/>
              <w:jc w:val="center"/>
              <w:textAlignment w:val="center"/>
              <w:rPr>
                <w:color w:val="000000"/>
                <w:kern w:val="0"/>
                <w:szCs w:val="21"/>
              </w:rPr>
            </w:pPr>
            <w:r>
              <w:rPr>
                <w:color w:val="000000"/>
                <w:kern w:val="0"/>
                <w:szCs w:val="21"/>
              </w:rPr>
              <w:t>分析及</w:t>
            </w:r>
          </w:p>
          <w:p>
            <w:pPr>
              <w:widowControl/>
              <w:spacing w:line="280" w:lineRule="exact"/>
              <w:jc w:val="center"/>
              <w:textAlignment w:val="center"/>
              <w:rPr>
                <w:color w:val="000000"/>
                <w:kern w:val="0"/>
                <w:szCs w:val="21"/>
              </w:rPr>
            </w:pPr>
            <w:r>
              <w:rPr>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vMerge w:val="restart"/>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产出指标</w:t>
            </w:r>
          </w:p>
          <w:p>
            <w:pPr>
              <w:widowControl/>
              <w:spacing w:line="280" w:lineRule="exact"/>
              <w:jc w:val="center"/>
              <w:textAlignment w:val="center"/>
              <w:rPr>
                <w:color w:val="000000"/>
                <w:kern w:val="0"/>
                <w:szCs w:val="21"/>
              </w:rPr>
            </w:pPr>
            <w:r>
              <w:rPr>
                <w:color w:val="000000"/>
                <w:kern w:val="0"/>
                <w:szCs w:val="21"/>
              </w:rPr>
              <w:t>(50分)</w:t>
            </w:r>
          </w:p>
        </w:tc>
        <w:tc>
          <w:tcPr>
            <w:tcW w:w="1080" w:type="dxa"/>
            <w:vMerge w:val="restart"/>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数量指标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ascii="Times New Roman" w:hAnsi="Times New Roman" w:eastAsia="仿宋_GB2312"/>
                <w:color w:val="000000"/>
                <w:sz w:val="18"/>
                <w:szCs w:val="18"/>
              </w:rPr>
              <w:t>农药登记资料初审</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eastAsia="仿宋_GB2312"/>
                <w:color w:val="000000"/>
                <w:kern w:val="0"/>
                <w:szCs w:val="21"/>
                <w:lang w:val="en-US" w:eastAsia="zh-CN"/>
              </w:rPr>
            </w:pPr>
            <w:r>
              <w:rPr>
                <w:rFonts w:ascii="Times New Roman" w:hAnsi="Times New Roman" w:eastAsia="仿宋_GB2312"/>
                <w:color w:val="000000"/>
                <w:sz w:val="18"/>
                <w:szCs w:val="18"/>
              </w:rPr>
              <w:t>　</w:t>
            </w:r>
            <w:bookmarkStart w:id="37" w:name="OLE_LINK16"/>
            <w:r>
              <w:rPr>
                <w:rFonts w:hint="default" w:ascii="Arial" w:hAnsi="Arial" w:eastAsia="仿宋_GB2312" w:cs="Arial"/>
                <w:color w:val="000000"/>
                <w:sz w:val="18"/>
                <w:szCs w:val="18"/>
              </w:rPr>
              <w:t>≥</w:t>
            </w:r>
            <w:bookmarkEnd w:id="37"/>
            <w:r>
              <w:rPr>
                <w:rFonts w:hint="eastAsia" w:ascii="Times New Roman" w:hAnsi="Times New Roman" w:eastAsia="仿宋_GB2312"/>
                <w:color w:val="000000"/>
                <w:sz w:val="18"/>
                <w:szCs w:val="18"/>
                <w:lang w:val="en-US" w:eastAsia="zh-CN"/>
              </w:rPr>
              <w:t>75家</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eastAsia" w:eastAsia="仿宋_GB2312"/>
                <w:color w:val="000000"/>
                <w:kern w:val="0"/>
                <w:szCs w:val="21"/>
                <w:lang w:val="en-US" w:eastAsia="zh-CN"/>
              </w:rPr>
            </w:pPr>
            <w:r>
              <w:rPr>
                <w:rFonts w:ascii="Times New Roman" w:hAnsi="Times New Roman" w:eastAsia="仿宋_GB2312"/>
                <w:color w:val="000000"/>
                <w:sz w:val="18"/>
                <w:szCs w:val="18"/>
              </w:rPr>
              <w:t>　</w:t>
            </w:r>
            <w:r>
              <w:rPr>
                <w:rFonts w:hint="eastAsia" w:ascii="Times New Roman" w:hAnsi="Times New Roman" w:eastAsia="仿宋_GB2312"/>
                <w:color w:val="000000"/>
                <w:sz w:val="18"/>
                <w:szCs w:val="18"/>
              </w:rPr>
              <w:t>78</w:t>
            </w:r>
            <w:r>
              <w:rPr>
                <w:rFonts w:hint="eastAsia" w:ascii="Times New Roman" w:hAnsi="Times New Roman" w:eastAsia="仿宋_GB2312"/>
                <w:color w:val="000000"/>
                <w:sz w:val="18"/>
                <w:szCs w:val="18"/>
                <w:lang w:val="en-US" w:eastAsia="zh-CN"/>
              </w:rPr>
              <w:t>家</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hint="eastAsia" w:eastAsiaTheme="minorEastAsia"/>
                <w:color w:val="000000"/>
                <w:kern w:val="0"/>
                <w:szCs w:val="21"/>
                <w:lang w:eastAsia="zh-CN"/>
              </w:rPr>
            </w:pPr>
            <w:r>
              <w:rPr>
                <w:rFonts w:hint="eastAsia" w:ascii="Times New Roman" w:hAnsi="Times New Roman" w:eastAsia="仿宋_GB2312"/>
                <w:color w:val="000000"/>
                <w:sz w:val="18"/>
                <w:szCs w:val="18"/>
                <w:lang w:val="en-US" w:eastAsia="zh-CN"/>
              </w:rPr>
              <w:t>4</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rFonts w:hint="eastAsia" w:ascii="Times New Roman" w:hAnsi="Times New Roman" w:eastAsia="仿宋_GB2312"/>
                <w:color w:val="000000"/>
                <w:sz w:val="18"/>
                <w:szCs w:val="18"/>
                <w:lang w:val="en-US" w:eastAsia="zh-CN"/>
              </w:rPr>
              <w:t>4</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ascii="Times New Roman" w:hAnsi="Times New Roman"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ascii="Times New Roman" w:hAnsi="Times New Roman" w:eastAsia="仿宋_GB2312"/>
                <w:color w:val="000000"/>
                <w:sz w:val="18"/>
                <w:szCs w:val="18"/>
              </w:rPr>
              <w:t>生产许可证</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eastAsia" w:eastAsia="仿宋_GB2312"/>
                <w:color w:val="000000"/>
                <w:kern w:val="0"/>
                <w:szCs w:val="21"/>
                <w:lang w:val="en-US" w:eastAsia="zh-CN"/>
              </w:rPr>
            </w:pPr>
            <w:r>
              <w:rPr>
                <w:rFonts w:ascii="Times New Roman" w:hAnsi="Times New Roman" w:eastAsia="仿宋_GB2312"/>
                <w:color w:val="000000"/>
                <w:sz w:val="18"/>
                <w:szCs w:val="18"/>
              </w:rPr>
              <w:t>　</w:t>
            </w:r>
            <w:r>
              <w:rPr>
                <w:rFonts w:hint="default" w:ascii="Arial" w:hAnsi="Arial" w:eastAsia="仿宋_GB2312" w:cs="Arial"/>
                <w:color w:val="000000"/>
                <w:sz w:val="18"/>
                <w:szCs w:val="18"/>
              </w:rPr>
              <w:t>≥</w:t>
            </w:r>
            <w:r>
              <w:rPr>
                <w:rFonts w:hint="eastAsia" w:ascii="Times New Roman" w:hAnsi="Times New Roman" w:eastAsia="仿宋_GB2312"/>
                <w:color w:val="000000"/>
                <w:sz w:val="18"/>
                <w:szCs w:val="18"/>
              </w:rPr>
              <w:t>15</w:t>
            </w:r>
            <w:r>
              <w:rPr>
                <w:rFonts w:hint="eastAsia" w:ascii="Times New Roman" w:hAnsi="Times New Roman" w:eastAsia="仿宋_GB2312"/>
                <w:color w:val="000000"/>
                <w:sz w:val="18"/>
                <w:szCs w:val="18"/>
                <w:lang w:val="en-US" w:eastAsia="zh-CN"/>
              </w:rPr>
              <w:t>个</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eastAsia" w:eastAsia="仿宋_GB2312"/>
                <w:color w:val="000000"/>
                <w:kern w:val="0"/>
                <w:szCs w:val="21"/>
                <w:lang w:val="en-US" w:eastAsia="zh-CN"/>
              </w:rPr>
            </w:pPr>
            <w:r>
              <w:rPr>
                <w:rFonts w:ascii="Times New Roman" w:hAnsi="Times New Roman" w:eastAsia="仿宋_GB2312"/>
                <w:color w:val="000000"/>
                <w:sz w:val="18"/>
                <w:szCs w:val="18"/>
              </w:rPr>
              <w:t>　</w:t>
            </w:r>
            <w:r>
              <w:rPr>
                <w:rFonts w:hint="eastAsia" w:ascii="Times New Roman" w:hAnsi="Times New Roman" w:eastAsia="仿宋_GB2312"/>
                <w:color w:val="000000"/>
                <w:sz w:val="18"/>
                <w:szCs w:val="18"/>
              </w:rPr>
              <w:t>16</w:t>
            </w:r>
            <w:r>
              <w:rPr>
                <w:rFonts w:hint="eastAsia" w:ascii="Times New Roman" w:hAnsi="Times New Roman" w:eastAsia="仿宋_GB2312"/>
                <w:color w:val="000000"/>
                <w:sz w:val="18"/>
                <w:szCs w:val="18"/>
                <w:lang w:val="en-US" w:eastAsia="zh-CN"/>
              </w:rPr>
              <w:t>个</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hint="eastAsia" w:eastAsiaTheme="minorEastAsia"/>
                <w:color w:val="000000"/>
                <w:kern w:val="0"/>
                <w:szCs w:val="21"/>
                <w:lang w:eastAsia="zh-CN"/>
              </w:rPr>
            </w:pPr>
            <w:r>
              <w:rPr>
                <w:rFonts w:hint="eastAsia" w:ascii="Times New Roman" w:hAnsi="Times New Roman" w:eastAsia="仿宋_GB2312"/>
                <w:color w:val="000000"/>
                <w:sz w:val="18"/>
                <w:szCs w:val="18"/>
                <w:lang w:val="en-US" w:eastAsia="zh-CN"/>
              </w:rPr>
              <w:t>4</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rFonts w:hint="eastAsia" w:ascii="Times New Roman" w:hAnsi="Times New Roman" w:eastAsia="仿宋_GB2312"/>
                <w:color w:val="000000"/>
                <w:sz w:val="18"/>
                <w:szCs w:val="18"/>
                <w:lang w:val="en-US" w:eastAsia="zh-CN"/>
              </w:rPr>
              <w:t>4</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ascii="Times New Roman" w:hAnsi="Times New Roman"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ascii="Times New Roman" w:hAnsi="Times New Roman" w:eastAsia="仿宋_GB2312"/>
                <w:color w:val="000000"/>
                <w:sz w:val="18"/>
                <w:szCs w:val="18"/>
              </w:rPr>
              <w:t>限用农药经营许可证</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eastAsia" w:eastAsia="仿宋_GB2312"/>
                <w:color w:val="000000"/>
                <w:kern w:val="0"/>
                <w:szCs w:val="21"/>
                <w:lang w:val="en-US" w:eastAsia="zh-CN"/>
              </w:rPr>
            </w:pPr>
            <w:r>
              <w:rPr>
                <w:rFonts w:ascii="Times New Roman" w:hAnsi="Times New Roman" w:eastAsia="仿宋_GB2312"/>
                <w:color w:val="000000"/>
                <w:sz w:val="18"/>
                <w:szCs w:val="18"/>
              </w:rPr>
              <w:t>　</w:t>
            </w:r>
            <w:r>
              <w:rPr>
                <w:rFonts w:hint="default" w:ascii="Arial" w:hAnsi="Arial" w:eastAsia="仿宋_GB2312" w:cs="Arial"/>
                <w:color w:val="000000"/>
                <w:sz w:val="18"/>
                <w:szCs w:val="18"/>
              </w:rPr>
              <w:t>≥</w:t>
            </w:r>
            <w:r>
              <w:rPr>
                <w:rFonts w:hint="eastAsia" w:ascii="Times New Roman" w:hAnsi="Times New Roman" w:eastAsia="仿宋_GB2312"/>
                <w:color w:val="000000"/>
                <w:sz w:val="18"/>
                <w:szCs w:val="18"/>
              </w:rPr>
              <w:t>300</w:t>
            </w:r>
            <w:r>
              <w:rPr>
                <w:rFonts w:hint="eastAsia" w:ascii="Times New Roman" w:hAnsi="Times New Roman" w:eastAsia="仿宋_GB2312"/>
                <w:color w:val="000000"/>
                <w:sz w:val="18"/>
                <w:szCs w:val="18"/>
                <w:lang w:val="en-US" w:eastAsia="zh-CN"/>
              </w:rPr>
              <w:t>个</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eastAsia" w:eastAsia="仿宋_GB2312"/>
                <w:color w:val="000000"/>
                <w:kern w:val="0"/>
                <w:szCs w:val="21"/>
                <w:lang w:val="en-US" w:eastAsia="zh-CN"/>
              </w:rPr>
            </w:pPr>
            <w:r>
              <w:rPr>
                <w:rFonts w:ascii="Times New Roman" w:hAnsi="Times New Roman" w:eastAsia="仿宋_GB2312"/>
                <w:color w:val="000000"/>
                <w:sz w:val="18"/>
                <w:szCs w:val="18"/>
              </w:rPr>
              <w:t>　</w:t>
            </w:r>
            <w:r>
              <w:rPr>
                <w:rFonts w:hint="eastAsia" w:ascii="Times New Roman" w:hAnsi="Times New Roman" w:eastAsia="仿宋_GB2312"/>
                <w:color w:val="000000"/>
                <w:sz w:val="18"/>
                <w:szCs w:val="18"/>
              </w:rPr>
              <w:t>335</w:t>
            </w:r>
            <w:r>
              <w:rPr>
                <w:rFonts w:hint="eastAsia" w:ascii="Times New Roman" w:hAnsi="Times New Roman" w:eastAsia="仿宋_GB2312"/>
                <w:color w:val="000000"/>
                <w:sz w:val="18"/>
                <w:szCs w:val="18"/>
                <w:lang w:val="en-US" w:eastAsia="zh-CN"/>
              </w:rPr>
              <w:t>个</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hint="eastAsia" w:eastAsiaTheme="minorEastAsia"/>
                <w:color w:val="000000"/>
                <w:kern w:val="0"/>
                <w:szCs w:val="21"/>
                <w:lang w:eastAsia="zh-CN"/>
              </w:rPr>
            </w:pPr>
            <w:r>
              <w:rPr>
                <w:rFonts w:hint="eastAsia" w:ascii="Times New Roman" w:hAnsi="Times New Roman" w:eastAsia="仿宋_GB2312"/>
                <w:color w:val="000000"/>
                <w:sz w:val="18"/>
                <w:szCs w:val="18"/>
                <w:lang w:val="en-US" w:eastAsia="zh-CN"/>
              </w:rPr>
              <w:t>4</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rFonts w:hint="eastAsia" w:ascii="Times New Roman" w:hAnsi="Times New Roman" w:eastAsia="仿宋_GB2312"/>
                <w:color w:val="000000"/>
                <w:sz w:val="18"/>
                <w:szCs w:val="18"/>
                <w:lang w:val="en-US" w:eastAsia="zh-CN"/>
              </w:rPr>
              <w:t>4</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ascii="Times New Roman" w:hAnsi="Times New Roman"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ascii="Times New Roman" w:hAnsi="Times New Roman" w:eastAsia="仿宋_GB2312"/>
                <w:color w:val="000000"/>
                <w:sz w:val="18"/>
                <w:szCs w:val="18"/>
              </w:rPr>
              <w:t>农药产品质量监测</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hint="default" w:ascii="Arial" w:hAnsi="Arial" w:eastAsia="仿宋_GB2312" w:cs="Arial"/>
                <w:color w:val="000000"/>
                <w:sz w:val="18"/>
                <w:szCs w:val="18"/>
              </w:rPr>
              <w:t>≥</w:t>
            </w:r>
            <w:r>
              <w:rPr>
                <w:rFonts w:hint="eastAsia" w:ascii="Times New Roman" w:hAnsi="Times New Roman" w:eastAsia="仿宋_GB2312"/>
                <w:color w:val="000000"/>
                <w:sz w:val="18"/>
                <w:szCs w:val="18"/>
              </w:rPr>
              <w:t>725批次</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hint="eastAsia" w:ascii="Times New Roman" w:hAnsi="Times New Roman" w:eastAsia="仿宋_GB2312"/>
                <w:color w:val="000000"/>
                <w:sz w:val="18"/>
                <w:szCs w:val="18"/>
              </w:rPr>
              <w:t>725批次</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hint="eastAsia" w:eastAsiaTheme="minorEastAsia"/>
                <w:color w:val="000000"/>
                <w:kern w:val="0"/>
                <w:szCs w:val="21"/>
                <w:lang w:eastAsia="zh-CN"/>
              </w:rPr>
            </w:pPr>
            <w:r>
              <w:rPr>
                <w:rFonts w:hint="eastAsia" w:ascii="Times New Roman" w:hAnsi="Times New Roman" w:eastAsia="仿宋_GB2312"/>
                <w:color w:val="000000"/>
                <w:sz w:val="18"/>
                <w:szCs w:val="18"/>
                <w:lang w:val="en-US" w:eastAsia="zh-CN"/>
              </w:rPr>
              <w:t>4</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rFonts w:hint="eastAsia" w:ascii="Times New Roman" w:hAnsi="Times New Roman" w:eastAsia="仿宋_GB2312"/>
                <w:color w:val="000000"/>
                <w:sz w:val="18"/>
                <w:szCs w:val="18"/>
                <w:lang w:val="en-US" w:eastAsia="zh-CN"/>
              </w:rPr>
              <w:t>4</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ascii="Times New Roman" w:hAnsi="Times New Roman" w:eastAsia="仿宋_GB2312"/>
                <w:color w:val="000000"/>
                <w:sz w:val="18"/>
                <w:szCs w:val="18"/>
              </w:rPr>
              <w:t>农产品质量安全监测</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hint="default" w:ascii="Arial" w:hAnsi="Arial" w:eastAsia="仿宋_GB2312" w:cs="Arial"/>
                <w:color w:val="000000"/>
                <w:sz w:val="18"/>
                <w:szCs w:val="18"/>
              </w:rPr>
              <w:t>≥</w:t>
            </w:r>
            <w:r>
              <w:rPr>
                <w:rFonts w:hint="eastAsia" w:ascii="Times New Roman" w:hAnsi="Times New Roman" w:eastAsia="仿宋_GB2312"/>
                <w:color w:val="000000"/>
                <w:sz w:val="18"/>
                <w:szCs w:val="18"/>
              </w:rPr>
              <w:t>10500批次</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hint="eastAsia" w:ascii="Times New Roman" w:hAnsi="Times New Roman" w:eastAsia="仿宋_GB2312"/>
                <w:color w:val="000000"/>
                <w:sz w:val="18"/>
                <w:szCs w:val="18"/>
              </w:rPr>
              <w:t>11020批次</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hint="eastAsia" w:eastAsiaTheme="minorEastAsia"/>
                <w:color w:val="000000"/>
                <w:kern w:val="0"/>
                <w:szCs w:val="21"/>
                <w:lang w:eastAsia="zh-CN"/>
              </w:rPr>
            </w:pPr>
            <w:r>
              <w:rPr>
                <w:rFonts w:hint="eastAsia" w:ascii="Times New Roman" w:hAnsi="Times New Roman" w:eastAsia="仿宋_GB2312"/>
                <w:color w:val="000000"/>
                <w:sz w:val="18"/>
                <w:szCs w:val="18"/>
                <w:lang w:val="en-US" w:eastAsia="zh-CN"/>
              </w:rPr>
              <w:t>4</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rFonts w:hint="eastAsia" w:ascii="Times New Roman" w:hAnsi="Times New Roman" w:eastAsia="仿宋_GB2312"/>
                <w:color w:val="000000"/>
                <w:sz w:val="18"/>
                <w:szCs w:val="18"/>
                <w:lang w:val="en-US" w:eastAsia="zh-CN"/>
              </w:rPr>
              <w:t>4</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hint="eastAsia" w:ascii="仿宋_GB2312" w:eastAsia="仿宋_GB2312"/>
                <w:color w:val="000000"/>
                <w:sz w:val="18"/>
                <w:szCs w:val="18"/>
              </w:rPr>
              <w:t>能力验证机构数量</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eastAsiaTheme="minorEastAsia"/>
                <w:color w:val="000000"/>
                <w:kern w:val="0"/>
                <w:szCs w:val="21"/>
                <w:lang w:val="en-US" w:eastAsia="zh-CN"/>
              </w:rPr>
            </w:pPr>
            <w:r>
              <w:rPr>
                <w:rFonts w:hint="default" w:ascii="Arial" w:hAnsi="Arial" w:eastAsia="仿宋_GB2312" w:cs="Arial"/>
                <w:color w:val="000000"/>
                <w:sz w:val="18"/>
                <w:szCs w:val="18"/>
              </w:rPr>
              <w:t>≥</w:t>
            </w:r>
            <w:r>
              <w:rPr>
                <w:rFonts w:hint="eastAsia" w:ascii="仿宋_GB2312" w:eastAsia="仿宋_GB2312"/>
                <w:color w:val="000000"/>
                <w:sz w:val="18"/>
                <w:szCs w:val="18"/>
                <w:lang w:val="en-US" w:eastAsia="zh-CN"/>
              </w:rPr>
              <w:t>160家</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ascii="Times New Roman" w:hAnsi="Times New Roman" w:eastAsia="仿宋_GB2312" w:cs="Times New Roman"/>
                <w:color w:val="000000"/>
                <w:sz w:val="18"/>
                <w:szCs w:val="18"/>
              </w:rPr>
              <w:t>167</w:t>
            </w:r>
            <w:r>
              <w:rPr>
                <w:rFonts w:hint="eastAsia" w:ascii="仿宋_GB2312" w:eastAsia="仿宋_GB2312"/>
                <w:color w:val="000000"/>
                <w:sz w:val="18"/>
                <w:szCs w:val="18"/>
              </w:rPr>
              <w:t>家次</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hint="eastAsia" w:eastAsiaTheme="minorEastAsia"/>
                <w:color w:val="000000"/>
                <w:kern w:val="0"/>
                <w:szCs w:val="21"/>
                <w:lang w:eastAsia="zh-CN"/>
              </w:rPr>
            </w:pPr>
            <w:r>
              <w:rPr>
                <w:rFonts w:hint="eastAsia" w:ascii="Times New Roman" w:hAnsi="Times New Roman" w:eastAsia="仿宋_GB2312"/>
                <w:color w:val="000000"/>
                <w:sz w:val="18"/>
                <w:szCs w:val="18"/>
                <w:lang w:val="en-US" w:eastAsia="zh-CN"/>
              </w:rPr>
              <w:t>4</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rFonts w:hint="eastAsia" w:ascii="Times New Roman" w:hAnsi="Times New Roman" w:eastAsia="仿宋_GB2312"/>
                <w:color w:val="000000"/>
                <w:sz w:val="18"/>
                <w:szCs w:val="18"/>
                <w:lang w:val="en-US" w:eastAsia="zh-CN"/>
              </w:rPr>
              <w:t>4</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ascii="Times New Roman" w:hAnsi="Times New Roman" w:eastAsia="仿宋_GB2312"/>
                <w:color w:val="000000"/>
                <w:sz w:val="18"/>
                <w:szCs w:val="18"/>
              </w:rPr>
              <w:t>技术培训</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hint="default" w:ascii="Arial" w:hAnsi="Arial" w:eastAsia="仿宋_GB2312" w:cs="Arial"/>
                <w:color w:val="000000"/>
                <w:sz w:val="18"/>
                <w:szCs w:val="18"/>
              </w:rPr>
              <w:t>≥</w:t>
            </w:r>
            <w:r>
              <w:rPr>
                <w:rFonts w:hint="eastAsia" w:ascii="Times New Roman" w:hAnsi="Times New Roman" w:eastAsia="仿宋_GB2312"/>
                <w:color w:val="000000"/>
                <w:sz w:val="18"/>
                <w:szCs w:val="18"/>
              </w:rPr>
              <w:t>120人次</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hint="eastAsia" w:ascii="Times New Roman" w:hAnsi="Times New Roman" w:eastAsia="仿宋_GB2312"/>
                <w:color w:val="000000"/>
                <w:sz w:val="18"/>
                <w:szCs w:val="18"/>
              </w:rPr>
              <w:t>150人次</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hint="eastAsia" w:eastAsiaTheme="minorEastAsia"/>
                <w:color w:val="000000"/>
                <w:kern w:val="0"/>
                <w:szCs w:val="21"/>
                <w:lang w:eastAsia="zh-CN"/>
              </w:rPr>
            </w:pPr>
            <w:r>
              <w:rPr>
                <w:rFonts w:hint="eastAsia" w:ascii="Times New Roman" w:hAnsi="Times New Roman" w:eastAsia="仿宋_GB2312"/>
                <w:color w:val="000000"/>
                <w:sz w:val="18"/>
                <w:szCs w:val="18"/>
                <w:lang w:val="en-US" w:eastAsia="zh-CN"/>
              </w:rPr>
              <w:t>4</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rFonts w:hint="eastAsia" w:ascii="Times New Roman" w:hAnsi="Times New Roman" w:eastAsia="仿宋_GB2312"/>
                <w:color w:val="000000"/>
                <w:sz w:val="18"/>
                <w:szCs w:val="18"/>
                <w:lang w:val="en-US" w:eastAsia="zh-CN"/>
              </w:rPr>
              <w:t>4</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vMerge w:val="restart"/>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质量指标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ascii="Times New Roman" w:hAnsi="Times New Roman" w:eastAsia="仿宋_GB2312"/>
                <w:color w:val="000000"/>
                <w:sz w:val="18"/>
                <w:szCs w:val="18"/>
              </w:rPr>
              <w:t>行政许可审批质量</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ascii="Times New Roman" w:hAnsi="Times New Roman" w:eastAsia="仿宋_GB2312"/>
                <w:color w:val="000000"/>
                <w:sz w:val="18"/>
                <w:szCs w:val="18"/>
              </w:rPr>
              <w:t>　</w:t>
            </w:r>
            <w:r>
              <w:rPr>
                <w:rFonts w:hint="eastAsia" w:ascii="Times New Roman" w:hAnsi="Times New Roman" w:eastAsia="仿宋_GB2312"/>
                <w:color w:val="000000"/>
                <w:sz w:val="18"/>
                <w:szCs w:val="18"/>
              </w:rPr>
              <w:t>100%</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hint="eastAsia" w:ascii="Times New Roman" w:hAnsi="Times New Roman" w:eastAsia="仿宋_GB2312"/>
                <w:color w:val="000000"/>
                <w:sz w:val="18"/>
                <w:szCs w:val="18"/>
              </w:rPr>
              <w:t>100%（未发生一起错误和投诉）</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hint="eastAsia" w:eastAsiaTheme="minorEastAsia"/>
                <w:color w:val="000000"/>
                <w:kern w:val="0"/>
                <w:szCs w:val="21"/>
                <w:lang w:eastAsia="zh-CN"/>
              </w:rPr>
            </w:pPr>
            <w:r>
              <w:rPr>
                <w:rFonts w:hint="eastAsia" w:ascii="Times New Roman" w:hAnsi="Times New Roman" w:eastAsia="仿宋_GB2312"/>
                <w:color w:val="000000"/>
                <w:sz w:val="18"/>
                <w:szCs w:val="18"/>
                <w:lang w:val="en-US" w:eastAsia="zh-CN"/>
              </w:rPr>
              <w:t>4</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rFonts w:hint="eastAsia" w:ascii="Times New Roman" w:hAnsi="Times New Roman" w:eastAsia="仿宋_GB2312"/>
                <w:color w:val="000000"/>
                <w:sz w:val="18"/>
                <w:szCs w:val="18"/>
                <w:lang w:val="en-US" w:eastAsia="zh-CN"/>
              </w:rPr>
              <w:t>4</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ascii="Times New Roman" w:hAnsi="Times New Roman" w:eastAsia="仿宋_GB2312"/>
                <w:color w:val="00000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hint="eastAsia" w:ascii="仿宋_GB2312" w:eastAsia="仿宋_GB2312"/>
                <w:color w:val="000000"/>
                <w:sz w:val="18"/>
                <w:szCs w:val="18"/>
              </w:rPr>
              <w:t>监测结果准确性</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hint="eastAsia" w:ascii="仿宋_GB2312" w:eastAsia="仿宋_GB2312"/>
                <w:color w:val="000000"/>
                <w:sz w:val="18"/>
                <w:szCs w:val="18"/>
              </w:rPr>
              <w:t>100%</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hint="eastAsia" w:ascii="仿宋_GB2312" w:eastAsia="仿宋_GB2312"/>
                <w:color w:val="000000"/>
                <w:sz w:val="18"/>
                <w:szCs w:val="18"/>
              </w:rPr>
              <w:t>100%（未发生一起结果质疑和复检）</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hint="eastAsia" w:eastAsiaTheme="minorEastAsia"/>
                <w:color w:val="000000"/>
                <w:kern w:val="0"/>
                <w:szCs w:val="21"/>
                <w:lang w:eastAsia="zh-CN"/>
              </w:rPr>
            </w:pPr>
            <w:r>
              <w:rPr>
                <w:rFonts w:hint="eastAsia" w:ascii="Times New Roman" w:hAnsi="Times New Roman" w:eastAsia="仿宋_GB2312"/>
                <w:color w:val="000000"/>
                <w:sz w:val="18"/>
                <w:szCs w:val="18"/>
                <w:lang w:val="en-US" w:eastAsia="zh-CN"/>
              </w:rPr>
              <w:t>4</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rFonts w:hint="eastAsia" w:ascii="Times New Roman" w:hAnsi="Times New Roman" w:eastAsia="仿宋_GB2312"/>
                <w:color w:val="000000"/>
                <w:sz w:val="18"/>
                <w:szCs w:val="18"/>
                <w:lang w:val="en-US" w:eastAsia="zh-CN"/>
              </w:rPr>
              <w:t>4</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ascii="Times New Roman" w:hAnsi="Times New Roman" w:eastAsia="仿宋_GB2312"/>
                <w:color w:val="00000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vMerge w:val="restart"/>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时效指标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hint="eastAsia" w:ascii="仿宋_GB2312" w:eastAsia="仿宋_GB2312"/>
                <w:color w:val="000000"/>
                <w:sz w:val="18"/>
                <w:szCs w:val="18"/>
              </w:rPr>
              <w:t>行政审批按时完成</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hint="eastAsia" w:ascii="仿宋_GB2312" w:eastAsia="仿宋_GB2312"/>
                <w:color w:val="000000"/>
                <w:sz w:val="18"/>
                <w:szCs w:val="18"/>
              </w:rPr>
              <w:t>在规定的时限内完成</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hint="eastAsia" w:ascii="仿宋_GB2312" w:eastAsia="仿宋_GB2312"/>
                <w:color w:val="000000"/>
                <w:sz w:val="18"/>
                <w:szCs w:val="18"/>
              </w:rPr>
              <w:t>均在规定的时限内完成</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hint="eastAsia" w:eastAsiaTheme="minorEastAsia"/>
                <w:color w:val="000000"/>
                <w:kern w:val="0"/>
                <w:szCs w:val="21"/>
                <w:lang w:eastAsia="zh-CN"/>
              </w:rPr>
            </w:pPr>
            <w:r>
              <w:rPr>
                <w:rFonts w:hint="eastAsia" w:ascii="Times New Roman" w:hAnsi="Times New Roman" w:eastAsia="仿宋_GB2312"/>
                <w:color w:val="000000"/>
                <w:sz w:val="18"/>
                <w:szCs w:val="18"/>
                <w:lang w:val="en-US" w:eastAsia="zh-CN"/>
              </w:rPr>
              <w:t>4</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rFonts w:hint="eastAsia" w:ascii="Times New Roman" w:hAnsi="Times New Roman" w:eastAsia="仿宋_GB2312"/>
                <w:color w:val="000000"/>
                <w:sz w:val="18"/>
                <w:szCs w:val="18"/>
                <w:lang w:val="en-US" w:eastAsia="zh-CN"/>
              </w:rPr>
              <w:t>4</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hint="eastAsia" w:ascii="仿宋_GB2312" w:eastAsia="仿宋_GB2312"/>
                <w:color w:val="000000"/>
                <w:sz w:val="18"/>
                <w:szCs w:val="18"/>
              </w:rPr>
              <w:t>项目任务按时完成</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hint="eastAsia" w:ascii="仿宋_GB2312" w:eastAsia="仿宋_GB2312"/>
                <w:color w:val="000000"/>
                <w:sz w:val="18"/>
                <w:szCs w:val="18"/>
              </w:rPr>
              <w:t>各项任务按文件要求完成</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hint="eastAsia" w:ascii="仿宋_GB2312" w:eastAsia="仿宋_GB2312"/>
                <w:color w:val="000000"/>
                <w:sz w:val="18"/>
                <w:szCs w:val="18"/>
              </w:rPr>
              <w:t>各项任务均按文件要求的时间完成</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hint="eastAsia" w:eastAsiaTheme="minorEastAsia"/>
                <w:color w:val="000000"/>
                <w:kern w:val="0"/>
                <w:szCs w:val="21"/>
                <w:lang w:eastAsia="zh-CN"/>
              </w:rPr>
            </w:pPr>
            <w:r>
              <w:rPr>
                <w:rFonts w:hint="eastAsia" w:ascii="Times New Roman" w:hAnsi="Times New Roman" w:eastAsia="仿宋_GB2312"/>
                <w:color w:val="000000"/>
                <w:sz w:val="18"/>
                <w:szCs w:val="18"/>
                <w:lang w:val="en-US" w:eastAsia="zh-CN"/>
              </w:rPr>
              <w:t>5</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rFonts w:hint="eastAsia" w:ascii="Times New Roman" w:hAnsi="Times New Roman" w:eastAsia="仿宋_GB2312"/>
                <w:color w:val="000000"/>
                <w:sz w:val="18"/>
                <w:szCs w:val="18"/>
                <w:lang w:val="en-US" w:eastAsia="zh-CN"/>
              </w:rPr>
              <w:t>5</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成本指标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ascii="仿宋_GB2312" w:eastAsia="仿宋_GB2312"/>
                <w:color w:val="000000"/>
                <w:sz w:val="18"/>
                <w:szCs w:val="18"/>
                <w:lang w:val="en-US" w:eastAsia="zh-CN"/>
              </w:rPr>
            </w:pPr>
            <w:r>
              <w:rPr>
                <w:rFonts w:hint="eastAsia" w:ascii="仿宋_GB2312" w:eastAsia="仿宋_GB2312"/>
                <w:color w:val="000000"/>
                <w:sz w:val="18"/>
                <w:szCs w:val="18"/>
              </w:rPr>
              <w:t>项目</w:t>
            </w:r>
            <w:r>
              <w:rPr>
                <w:rFonts w:hint="eastAsia" w:ascii="仿宋_GB2312" w:eastAsia="仿宋_GB2312"/>
                <w:color w:val="000000"/>
                <w:sz w:val="18"/>
                <w:szCs w:val="18"/>
                <w:lang w:val="en-US" w:eastAsia="zh-CN"/>
              </w:rPr>
              <w:t xml:space="preserve">成本 </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ascii="仿宋_GB2312" w:eastAsia="仿宋_GB2312"/>
                <w:color w:val="000000"/>
                <w:sz w:val="18"/>
                <w:szCs w:val="18"/>
                <w:lang w:val="en-US"/>
              </w:rPr>
            </w:pPr>
            <w:r>
              <w:rPr>
                <w:rFonts w:hint="default" w:ascii="仿宋_GB2312" w:eastAsia="仿宋_GB2312"/>
                <w:color w:val="000000"/>
                <w:sz w:val="18"/>
                <w:szCs w:val="18"/>
              </w:rPr>
              <w:t>≤</w:t>
            </w:r>
            <w:r>
              <w:rPr>
                <w:rFonts w:hint="eastAsia" w:ascii="仿宋_GB2312" w:eastAsia="仿宋_GB2312"/>
                <w:color w:val="000000"/>
                <w:sz w:val="18"/>
                <w:szCs w:val="18"/>
                <w:lang w:val="en-US" w:eastAsia="zh-CN"/>
              </w:rPr>
              <w:t>974.80万元</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eastAsia" w:ascii="仿宋_GB2312" w:eastAsia="仿宋_GB2312"/>
                <w:color w:val="000000"/>
                <w:sz w:val="18"/>
                <w:szCs w:val="18"/>
                <w:lang w:val="en-US" w:eastAsia="zh-CN"/>
              </w:rPr>
            </w:pPr>
            <w:r>
              <w:rPr>
                <w:rFonts w:hint="eastAsia" w:ascii="仿宋_GB2312" w:eastAsia="仿宋_GB2312"/>
                <w:color w:val="000000"/>
                <w:sz w:val="18"/>
                <w:szCs w:val="18"/>
              </w:rPr>
              <w:t>　</w:t>
            </w:r>
            <w:r>
              <w:rPr>
                <w:rFonts w:hint="eastAsia" w:ascii="仿宋_GB2312" w:eastAsia="仿宋_GB2312"/>
                <w:color w:val="000000"/>
                <w:sz w:val="18"/>
                <w:szCs w:val="18"/>
                <w:lang w:val="en-US" w:eastAsia="zh-CN"/>
              </w:rPr>
              <w:t>964.97</w:t>
            </w:r>
            <w:r>
              <w:rPr>
                <w:rFonts w:hint="eastAsia" w:ascii="仿宋_GB2312" w:eastAsia="仿宋_GB2312"/>
                <w:color w:val="000000"/>
                <w:sz w:val="18"/>
                <w:szCs w:val="18"/>
              </w:rPr>
              <w:t>万</w:t>
            </w:r>
            <w:r>
              <w:rPr>
                <w:rFonts w:hint="eastAsia" w:ascii="仿宋_GB2312" w:eastAsia="仿宋_GB2312"/>
                <w:color w:val="000000"/>
                <w:sz w:val="18"/>
                <w:szCs w:val="18"/>
                <w:lang w:val="en-US" w:eastAsia="zh-CN"/>
              </w:rPr>
              <w:t>元</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hint="eastAsia" w:eastAsiaTheme="minorEastAsia"/>
                <w:color w:val="000000"/>
                <w:kern w:val="0"/>
                <w:szCs w:val="21"/>
                <w:lang w:eastAsia="zh-CN"/>
              </w:rPr>
            </w:pPr>
            <w:r>
              <w:rPr>
                <w:rFonts w:hint="eastAsia" w:ascii="Times New Roman" w:hAnsi="Times New Roman" w:eastAsia="仿宋_GB2312"/>
                <w:color w:val="000000"/>
                <w:sz w:val="18"/>
                <w:szCs w:val="18"/>
                <w:lang w:val="en-US" w:eastAsia="zh-CN"/>
              </w:rPr>
              <w:t>5</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rFonts w:hint="eastAsia" w:ascii="Times New Roman" w:hAnsi="Times New Roman" w:eastAsia="仿宋_GB2312"/>
                <w:color w:val="000000"/>
                <w:sz w:val="18"/>
                <w:szCs w:val="18"/>
                <w:lang w:val="en-US" w:eastAsia="zh-CN"/>
              </w:rPr>
              <w:t>5</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ascii="仿宋_GB2312" w:hAnsi="仿宋_GB2312"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vMerge w:val="restart"/>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效益指标</w:t>
            </w:r>
          </w:p>
          <w:p>
            <w:pPr>
              <w:widowControl/>
              <w:spacing w:line="280" w:lineRule="exact"/>
              <w:jc w:val="left"/>
              <w:textAlignment w:val="center"/>
              <w:rPr>
                <w:color w:val="000000"/>
                <w:kern w:val="0"/>
                <w:szCs w:val="21"/>
              </w:rPr>
            </w:pPr>
            <w:r>
              <w:rPr>
                <w:color w:val="000000"/>
                <w:kern w:val="0"/>
                <w:szCs w:val="21"/>
              </w:rPr>
              <w:t>（30分）</w:t>
            </w:r>
          </w:p>
        </w:tc>
        <w:tc>
          <w:tcPr>
            <w:tcW w:w="1080" w:type="dxa"/>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经济效</w:t>
            </w:r>
          </w:p>
          <w:p>
            <w:pPr>
              <w:widowControl/>
              <w:spacing w:line="280" w:lineRule="exact"/>
              <w:jc w:val="center"/>
              <w:textAlignment w:val="center"/>
              <w:rPr>
                <w:color w:val="000000"/>
                <w:kern w:val="0"/>
                <w:szCs w:val="21"/>
              </w:rPr>
            </w:pPr>
            <w:r>
              <w:rPr>
                <w:color w:val="000000"/>
                <w:kern w:val="0"/>
                <w:szCs w:val="21"/>
              </w:rPr>
              <w:t>益指标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eastAsia" w:ascii="仿宋_GB2312" w:eastAsia="仿宋_GB2312"/>
                <w:color w:val="000000"/>
                <w:sz w:val="18"/>
                <w:szCs w:val="18"/>
              </w:rPr>
            </w:pPr>
            <w:r>
              <w:rPr>
                <w:rFonts w:hint="eastAsia" w:ascii="仿宋_GB2312" w:eastAsia="仿宋_GB2312"/>
                <w:color w:val="000000"/>
                <w:sz w:val="18"/>
                <w:szCs w:val="18"/>
              </w:rPr>
              <w:t>农药产品质量和品牌建设</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eastAsia" w:ascii="仿宋_GB2312" w:eastAsia="仿宋_GB2312"/>
                <w:color w:val="000000"/>
                <w:sz w:val="18"/>
                <w:szCs w:val="18"/>
              </w:rPr>
            </w:pPr>
            <w:r>
              <w:rPr>
                <w:rFonts w:hint="eastAsia" w:ascii="仿宋_GB2312" w:eastAsia="仿宋_GB2312"/>
                <w:color w:val="000000"/>
                <w:sz w:val="18"/>
                <w:szCs w:val="18"/>
              </w:rPr>
              <w:t>成效明显</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eastAsia" w:ascii="仿宋_GB2312" w:eastAsia="仿宋_GB2312"/>
                <w:color w:val="000000"/>
                <w:sz w:val="18"/>
                <w:szCs w:val="18"/>
              </w:rPr>
            </w:pPr>
            <w:r>
              <w:rPr>
                <w:rFonts w:hint="eastAsia" w:ascii="仿宋_GB2312" w:eastAsia="仿宋_GB2312"/>
                <w:color w:val="000000"/>
                <w:sz w:val="18"/>
                <w:szCs w:val="18"/>
              </w:rPr>
              <w:t>　成效明显</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15</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hint="eastAsia" w:ascii="仿宋_GB2312" w:eastAsia="仿宋_GB2312"/>
                <w:color w:val="000000"/>
                <w:sz w:val="18"/>
                <w:szCs w:val="18"/>
              </w:rPr>
            </w:pPr>
            <w:r>
              <w:rPr>
                <w:rFonts w:hint="eastAsia" w:ascii="仿宋_GB2312" w:eastAsia="仿宋_GB2312"/>
                <w:color w:val="000000"/>
                <w:sz w:val="18"/>
                <w:szCs w:val="18"/>
                <w:lang w:val="en-US" w:eastAsia="zh-CN"/>
              </w:rPr>
              <w:t>15</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社会效</w:t>
            </w:r>
          </w:p>
          <w:p>
            <w:pPr>
              <w:widowControl/>
              <w:spacing w:line="280" w:lineRule="exact"/>
              <w:jc w:val="center"/>
              <w:textAlignment w:val="center"/>
              <w:rPr>
                <w:color w:val="000000"/>
                <w:kern w:val="0"/>
                <w:szCs w:val="21"/>
              </w:rPr>
            </w:pPr>
            <w:r>
              <w:rPr>
                <w:color w:val="000000"/>
                <w:kern w:val="0"/>
                <w:szCs w:val="21"/>
              </w:rPr>
              <w:t>益指标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eastAsia" w:ascii="仿宋_GB2312" w:eastAsia="仿宋_GB2312"/>
                <w:color w:val="000000"/>
                <w:sz w:val="18"/>
                <w:szCs w:val="18"/>
              </w:rPr>
            </w:pPr>
            <w:r>
              <w:rPr>
                <w:rFonts w:hint="eastAsia" w:ascii="仿宋_GB2312" w:eastAsia="仿宋_GB2312"/>
                <w:color w:val="000000"/>
                <w:sz w:val="18"/>
                <w:szCs w:val="18"/>
              </w:rPr>
              <w:t>区域性农药质量安全事件</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eastAsia" w:ascii="仿宋_GB2312" w:eastAsia="仿宋_GB2312"/>
                <w:color w:val="000000"/>
                <w:sz w:val="18"/>
                <w:szCs w:val="18"/>
                <w:lang w:eastAsia="zh-CN"/>
              </w:rPr>
            </w:pPr>
            <w:r>
              <w:rPr>
                <w:rFonts w:hint="eastAsia" w:ascii="仿宋_GB2312" w:eastAsia="仿宋_GB2312"/>
                <w:color w:val="000000"/>
                <w:sz w:val="18"/>
                <w:szCs w:val="18"/>
              </w:rPr>
              <w:t>　</w:t>
            </w:r>
            <w:r>
              <w:rPr>
                <w:rFonts w:hint="eastAsia" w:ascii="仿宋_GB2312" w:eastAsia="仿宋_GB2312"/>
                <w:color w:val="000000"/>
                <w:sz w:val="18"/>
                <w:szCs w:val="18"/>
                <w:lang w:val="en-US" w:eastAsia="zh-CN"/>
              </w:rPr>
              <w:t>0</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eastAsia" w:ascii="仿宋_GB2312" w:eastAsia="仿宋_GB2312"/>
                <w:color w:val="000000"/>
                <w:sz w:val="18"/>
                <w:szCs w:val="18"/>
                <w:lang w:eastAsia="zh-CN"/>
              </w:rPr>
            </w:pPr>
            <w:r>
              <w:rPr>
                <w:rFonts w:hint="eastAsia" w:ascii="仿宋_GB2312" w:eastAsia="仿宋_GB2312"/>
                <w:color w:val="000000"/>
                <w:sz w:val="18"/>
                <w:szCs w:val="18"/>
                <w:lang w:val="en-US" w:eastAsia="zh-CN"/>
              </w:rPr>
              <w:t>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hint="eastAsia" w:ascii="仿宋_GB2312" w:eastAsia="仿宋_GB2312"/>
                <w:color w:val="000000"/>
                <w:sz w:val="18"/>
                <w:szCs w:val="18"/>
              </w:rPr>
            </w:pPr>
            <w:r>
              <w:rPr>
                <w:rFonts w:hint="eastAsia" w:ascii="仿宋_GB2312" w:eastAsia="仿宋_GB2312"/>
                <w:color w:val="000000"/>
                <w:sz w:val="18"/>
                <w:szCs w:val="18"/>
              </w:rPr>
              <w:t>15</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hint="eastAsia" w:ascii="仿宋_GB2312" w:eastAsia="仿宋_GB2312"/>
                <w:color w:val="000000"/>
                <w:sz w:val="18"/>
                <w:szCs w:val="18"/>
              </w:rPr>
            </w:pPr>
            <w:r>
              <w:rPr>
                <w:rFonts w:hint="eastAsia" w:ascii="仿宋_GB2312" w:eastAsia="仿宋_GB2312"/>
                <w:color w:val="000000"/>
                <w:sz w:val="18"/>
                <w:szCs w:val="18"/>
              </w:rPr>
              <w:t>15</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生态效</w:t>
            </w:r>
          </w:p>
          <w:p>
            <w:pPr>
              <w:widowControl/>
              <w:spacing w:line="280" w:lineRule="exact"/>
              <w:jc w:val="center"/>
              <w:textAlignment w:val="center"/>
              <w:rPr>
                <w:color w:val="000000"/>
                <w:kern w:val="0"/>
                <w:szCs w:val="21"/>
              </w:rPr>
            </w:pPr>
            <w:r>
              <w:rPr>
                <w:color w:val="000000"/>
                <w:kern w:val="0"/>
                <w:szCs w:val="21"/>
              </w:rPr>
              <w:t>益指标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eastAsia" w:ascii="仿宋_GB2312" w:eastAsia="仿宋_GB2312"/>
                <w:color w:val="000000"/>
                <w:sz w:val="18"/>
                <w:szCs w:val="18"/>
              </w:rPr>
            </w:pPr>
            <w:r>
              <w:rPr>
                <w:rFonts w:hint="eastAsia" w:ascii="仿宋_GB2312" w:eastAsia="仿宋_GB2312"/>
                <w:color w:val="000000"/>
                <w:sz w:val="18"/>
                <w:szCs w:val="18"/>
              </w:rPr>
              <w:t>农药生产经营使用行为、农产品生产行为</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eastAsia" w:ascii="仿宋_GB2312" w:eastAsia="仿宋_GB2312"/>
                <w:color w:val="000000"/>
                <w:sz w:val="18"/>
                <w:szCs w:val="18"/>
              </w:rPr>
            </w:pPr>
            <w:bookmarkStart w:id="38" w:name="OLE_LINK19"/>
            <w:r>
              <w:rPr>
                <w:rFonts w:hint="eastAsia" w:ascii="仿宋_GB2312" w:eastAsia="仿宋_GB2312"/>
                <w:color w:val="000000"/>
                <w:sz w:val="18"/>
                <w:szCs w:val="18"/>
                <w:lang w:val="en-US" w:eastAsia="zh-CN"/>
              </w:rPr>
              <w:t>有所</w:t>
            </w:r>
            <w:r>
              <w:rPr>
                <w:rFonts w:hint="eastAsia" w:ascii="仿宋_GB2312" w:eastAsia="仿宋_GB2312"/>
                <w:color w:val="000000"/>
                <w:sz w:val="18"/>
                <w:szCs w:val="18"/>
              </w:rPr>
              <w:t>规范</w:t>
            </w:r>
            <w:bookmarkEnd w:id="38"/>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eastAsia" w:ascii="仿宋_GB2312" w:eastAsia="仿宋_GB2312"/>
                <w:color w:val="000000"/>
                <w:sz w:val="18"/>
                <w:szCs w:val="18"/>
              </w:rPr>
            </w:pPr>
            <w:r>
              <w:rPr>
                <w:rFonts w:hint="eastAsia" w:ascii="仿宋_GB2312" w:eastAsia="仿宋_GB2312"/>
                <w:color w:val="000000"/>
                <w:sz w:val="18"/>
                <w:szCs w:val="18"/>
                <w:lang w:val="en-US" w:eastAsia="zh-CN"/>
              </w:rPr>
              <w:t>有所</w:t>
            </w:r>
            <w:r>
              <w:rPr>
                <w:rFonts w:hint="eastAsia" w:ascii="仿宋_GB2312" w:eastAsia="仿宋_GB2312"/>
                <w:color w:val="000000"/>
                <w:sz w:val="18"/>
                <w:szCs w:val="18"/>
              </w:rPr>
              <w:t>规范</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hint="eastAsia" w:ascii="仿宋_GB2312" w:eastAsia="仿宋_GB2312"/>
                <w:color w:val="000000"/>
                <w:sz w:val="18"/>
                <w:szCs w:val="18"/>
              </w:rPr>
            </w:pPr>
            <w:r>
              <w:rPr>
                <w:rFonts w:hint="eastAsia" w:ascii="仿宋_GB2312" w:eastAsia="仿宋_GB2312"/>
                <w:color w:val="000000"/>
                <w:sz w:val="18"/>
                <w:szCs w:val="18"/>
                <w:lang w:val="en-US" w:eastAsia="zh-CN"/>
              </w:rPr>
              <w:t>10</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可持续影响指标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eastAsia" w:ascii="仿宋_GB2312" w:eastAsia="仿宋_GB2312"/>
                <w:color w:val="000000"/>
                <w:sz w:val="18"/>
                <w:szCs w:val="18"/>
              </w:rPr>
            </w:pPr>
            <w:r>
              <w:rPr>
                <w:rFonts w:hint="eastAsia" w:ascii="仿宋_GB2312" w:eastAsia="仿宋_GB2312"/>
                <w:color w:val="000000"/>
                <w:sz w:val="18"/>
                <w:szCs w:val="18"/>
              </w:rPr>
              <w:t>农产品质量安全检验检测就技术能力</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eastAsia" w:ascii="仿宋_GB2312" w:eastAsia="仿宋_GB2312"/>
                <w:color w:val="000000"/>
                <w:sz w:val="18"/>
                <w:szCs w:val="18"/>
              </w:rPr>
            </w:pPr>
            <w:r>
              <w:rPr>
                <w:rFonts w:hint="eastAsia" w:ascii="仿宋_GB2312" w:eastAsia="仿宋_GB2312"/>
                <w:color w:val="000000"/>
                <w:sz w:val="18"/>
                <w:szCs w:val="18"/>
              </w:rPr>
              <w:t>持续提升</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eastAsia" w:ascii="仿宋_GB2312" w:eastAsia="仿宋_GB2312"/>
                <w:color w:val="000000"/>
                <w:sz w:val="18"/>
                <w:szCs w:val="18"/>
              </w:rPr>
            </w:pPr>
            <w:r>
              <w:rPr>
                <w:rFonts w:hint="eastAsia" w:ascii="仿宋_GB2312" w:eastAsia="仿宋_GB2312"/>
                <w:color w:val="000000"/>
                <w:sz w:val="18"/>
                <w:szCs w:val="18"/>
              </w:rPr>
              <w:t>持续提升</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hint="eastAsia" w:ascii="仿宋_GB2312" w:eastAsia="仿宋_GB2312"/>
                <w:color w:val="000000"/>
                <w:sz w:val="18"/>
                <w:szCs w:val="18"/>
              </w:rPr>
            </w:pPr>
            <w:r>
              <w:rPr>
                <w:rFonts w:hint="eastAsia" w:ascii="仿宋_GB2312" w:eastAsia="仿宋_GB2312"/>
                <w:color w:val="000000"/>
                <w:sz w:val="18"/>
                <w:szCs w:val="18"/>
                <w:lang w:val="en-US" w:eastAsia="zh-CN"/>
              </w:rPr>
              <w:t>10</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vMerge w:val="restart"/>
            <w:tcBorders>
              <w:top w:val="nil"/>
              <w:left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满意度</w:t>
            </w:r>
          </w:p>
          <w:p>
            <w:pPr>
              <w:widowControl/>
              <w:spacing w:line="280" w:lineRule="exact"/>
              <w:jc w:val="center"/>
              <w:textAlignment w:val="center"/>
              <w:rPr>
                <w:color w:val="000000"/>
                <w:kern w:val="0"/>
                <w:szCs w:val="21"/>
              </w:rPr>
            </w:pPr>
            <w:r>
              <w:rPr>
                <w:color w:val="000000"/>
                <w:kern w:val="0"/>
                <w:szCs w:val="21"/>
              </w:rPr>
              <w:t>指标</w:t>
            </w:r>
          </w:p>
          <w:p>
            <w:pPr>
              <w:widowControl/>
              <w:spacing w:line="280" w:lineRule="exact"/>
              <w:jc w:val="center"/>
              <w:textAlignment w:val="center"/>
              <w:rPr>
                <w:color w:val="000000"/>
                <w:kern w:val="0"/>
                <w:szCs w:val="21"/>
              </w:rPr>
            </w:pPr>
            <w:r>
              <w:rPr>
                <w:color w:val="000000"/>
                <w:kern w:val="0"/>
                <w:szCs w:val="21"/>
              </w:rPr>
              <w:t>（10分）</w:t>
            </w:r>
          </w:p>
        </w:tc>
        <w:tc>
          <w:tcPr>
            <w:tcW w:w="1080" w:type="dxa"/>
            <w:vMerge w:val="restart"/>
            <w:tcBorders>
              <w:top w:val="nil"/>
              <w:left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服务对象</w:t>
            </w:r>
            <w:bookmarkStart w:id="39" w:name="OLE_LINK17"/>
            <w:r>
              <w:rPr>
                <w:color w:val="000000"/>
                <w:kern w:val="0"/>
                <w:szCs w:val="21"/>
              </w:rPr>
              <w:t>满意度</w:t>
            </w:r>
            <w:bookmarkEnd w:id="39"/>
            <w:r>
              <w:rPr>
                <w:color w:val="000000"/>
                <w:kern w:val="0"/>
                <w:szCs w:val="21"/>
              </w:rPr>
              <w:t>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eastAsia" w:ascii="Times New Roman" w:hAnsi="Times New Roman" w:eastAsia="仿宋_GB2312"/>
                <w:color w:val="000000"/>
                <w:sz w:val="18"/>
                <w:szCs w:val="18"/>
              </w:rPr>
            </w:pPr>
            <w:r>
              <w:rPr>
                <w:rFonts w:hint="eastAsia" w:ascii="Times New Roman" w:hAnsi="Times New Roman" w:eastAsia="仿宋_GB2312"/>
                <w:color w:val="000000"/>
                <w:sz w:val="18"/>
                <w:szCs w:val="18"/>
              </w:rPr>
              <w:t>农药生产企业</w:t>
            </w:r>
            <w:r>
              <w:rPr>
                <w:color w:val="000000"/>
                <w:kern w:val="0"/>
                <w:szCs w:val="21"/>
              </w:rPr>
              <w:t>满意度</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仿宋_GB2312"/>
                <w:color w:val="000000"/>
                <w:sz w:val="18"/>
                <w:szCs w:val="18"/>
              </w:rPr>
            </w:pPr>
            <w:r>
              <w:rPr>
                <w:rFonts w:hint="eastAsia" w:ascii="Times New Roman" w:hAnsi="Times New Roman" w:eastAsia="仿宋_GB2312"/>
                <w:color w:val="000000"/>
                <w:sz w:val="18"/>
                <w:szCs w:val="18"/>
              </w:rPr>
              <w:t>≥</w:t>
            </w:r>
            <w:bookmarkStart w:id="40" w:name="OLE_LINK18"/>
            <w:r>
              <w:rPr>
                <w:rFonts w:hint="eastAsia" w:ascii="Times New Roman" w:hAnsi="Times New Roman" w:eastAsia="仿宋_GB2312"/>
                <w:color w:val="000000"/>
                <w:sz w:val="18"/>
                <w:szCs w:val="18"/>
              </w:rPr>
              <w:t>90%</w:t>
            </w:r>
            <w:bookmarkEnd w:id="40"/>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ind w:firstLine="180" w:firstLineChars="100"/>
              <w:jc w:val="left"/>
              <w:textAlignment w:val="center"/>
              <w:rPr>
                <w:rFonts w:ascii="Times New Roman" w:hAnsi="Times New Roman" w:eastAsia="仿宋_GB2312"/>
                <w:color w:val="000000"/>
                <w:sz w:val="18"/>
                <w:szCs w:val="18"/>
              </w:rPr>
            </w:pPr>
            <w:r>
              <w:rPr>
                <w:rFonts w:hint="eastAsia" w:ascii="Times New Roman" w:hAnsi="Times New Roman" w:eastAsia="仿宋_GB2312"/>
                <w:color w:val="000000"/>
                <w:sz w:val="18"/>
                <w:szCs w:val="18"/>
              </w:rPr>
              <w:t>90%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hint="eastAsia" w:ascii="Times New Roman" w:hAnsi="Times New Roman" w:eastAsia="仿宋_GB2312"/>
                <w:color w:val="000000"/>
                <w:sz w:val="18"/>
                <w:szCs w:val="18"/>
                <w:lang w:val="en-US" w:eastAsia="zh-CN"/>
              </w:rPr>
            </w:pPr>
            <w:r>
              <w:rPr>
                <w:rFonts w:hint="eastAsia" w:ascii="Times New Roman" w:hAnsi="Times New Roman" w:eastAsia="仿宋_GB2312"/>
                <w:color w:val="000000"/>
                <w:sz w:val="18"/>
                <w:szCs w:val="18"/>
                <w:lang w:val="en-US" w:eastAsia="zh-CN"/>
              </w:rPr>
              <w:t>5</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hint="eastAsia" w:ascii="Times New Roman" w:hAnsi="Times New Roman" w:eastAsia="仿宋_GB2312"/>
                <w:color w:val="000000"/>
                <w:sz w:val="18"/>
                <w:szCs w:val="18"/>
                <w:lang w:val="en-US" w:eastAsia="zh-CN"/>
              </w:rPr>
            </w:pPr>
            <w:r>
              <w:rPr>
                <w:rFonts w:hint="eastAsia" w:ascii="Times New Roman" w:hAnsi="Times New Roman" w:eastAsia="仿宋_GB2312"/>
                <w:color w:val="000000"/>
                <w:sz w:val="18"/>
                <w:szCs w:val="18"/>
                <w:lang w:val="en-US" w:eastAsia="zh-CN"/>
              </w:rPr>
              <w:t>5</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vMerge w:val="continue"/>
            <w:tcBorders>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p>
        </w:tc>
        <w:tc>
          <w:tcPr>
            <w:tcW w:w="1080" w:type="dxa"/>
            <w:vMerge w:val="continue"/>
            <w:tcBorders>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hint="eastAsia" w:ascii="Times New Roman" w:hAnsi="Times New Roman" w:eastAsia="仿宋_GB2312"/>
                <w:color w:val="000000"/>
                <w:sz w:val="18"/>
                <w:szCs w:val="18"/>
              </w:rPr>
              <w:t>农药经营企业</w:t>
            </w:r>
            <w:r>
              <w:rPr>
                <w:color w:val="000000"/>
                <w:kern w:val="0"/>
                <w:szCs w:val="21"/>
              </w:rPr>
              <w:t>满意度</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hint="eastAsia" w:ascii="Times New Roman" w:hAnsi="Times New Roman" w:eastAsia="仿宋_GB2312"/>
                <w:color w:val="000000"/>
                <w:sz w:val="18"/>
                <w:szCs w:val="18"/>
              </w:rPr>
              <w:t>≥90%</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ascii="Times New Roman" w:hAnsi="Times New Roman" w:eastAsia="仿宋_GB2312"/>
                <w:color w:val="000000"/>
                <w:sz w:val="18"/>
                <w:szCs w:val="18"/>
              </w:rPr>
              <w:t>　</w:t>
            </w:r>
            <w:r>
              <w:rPr>
                <w:rFonts w:hint="eastAsia" w:ascii="Times New Roman" w:hAnsi="Times New Roman" w:eastAsia="仿宋_GB2312"/>
                <w:color w:val="000000"/>
                <w:sz w:val="18"/>
                <w:szCs w:val="18"/>
              </w:rPr>
              <w:t>90%</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hint="eastAsia" w:eastAsia="仿宋_GB2312"/>
                <w:color w:val="000000"/>
                <w:kern w:val="0"/>
                <w:szCs w:val="21"/>
                <w:lang w:eastAsia="zh-CN"/>
              </w:rPr>
            </w:pPr>
            <w:r>
              <w:rPr>
                <w:rFonts w:hint="eastAsia" w:ascii="Times New Roman" w:hAnsi="Times New Roman" w:eastAsia="仿宋_GB2312"/>
                <w:color w:val="000000"/>
                <w:sz w:val="18"/>
                <w:szCs w:val="18"/>
                <w:lang w:val="en-US" w:eastAsia="zh-CN"/>
              </w:rPr>
              <w:t>5</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hint="eastAsia" w:eastAsia="仿宋_GB2312"/>
                <w:color w:val="000000"/>
                <w:kern w:val="0"/>
                <w:szCs w:val="21"/>
                <w:lang w:eastAsia="zh-CN"/>
              </w:rPr>
            </w:pPr>
            <w:r>
              <w:rPr>
                <w:rFonts w:hint="eastAsia" w:ascii="Times New Roman" w:hAnsi="Times New Roman" w:eastAsia="仿宋_GB2312"/>
                <w:color w:val="000000"/>
                <w:sz w:val="18"/>
                <w:szCs w:val="18"/>
                <w:lang w:val="en-US" w:eastAsia="zh-CN"/>
              </w:rPr>
              <w:t>5</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6732" w:type="dxa"/>
            <w:gridSpan w:val="6"/>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总分</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100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eastAsiaTheme="minorEastAsia"/>
                <w:color w:val="000000"/>
                <w:kern w:val="0"/>
                <w:szCs w:val="21"/>
                <w:lang w:val="en-US" w:eastAsia="zh-CN"/>
              </w:rPr>
            </w:pPr>
            <w:r>
              <w:rPr>
                <w:rFonts w:hint="eastAsia"/>
                <w:color w:val="000000"/>
                <w:kern w:val="0"/>
                <w:szCs w:val="21"/>
                <w:lang w:val="en-US" w:eastAsia="zh-CN"/>
              </w:rPr>
              <w:t>99.90</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r>
    </w:tbl>
    <w:p>
      <w:pPr>
        <w:pStyle w:val="6"/>
        <w:rPr>
          <w:rFonts w:hint="eastAsia" w:ascii="黑体" w:hAnsi="黑体" w:eastAsia="黑体" w:cs="Times New Roman"/>
          <w:b/>
          <w:bCs/>
          <w:sz w:val="32"/>
          <w:szCs w:val="32"/>
        </w:rPr>
      </w:pPr>
      <w:r>
        <w:t xml:space="preserve"> </w:t>
      </w:r>
    </w:p>
    <w:p>
      <w:pPr>
        <w:ind w:firstLine="640"/>
      </w:pPr>
      <w:r>
        <w:t xml:space="preserve"> </w:t>
      </w:r>
    </w:p>
    <w:p>
      <w:pPr>
        <w:ind w:firstLine="640"/>
      </w:pPr>
    </w:p>
    <w:p>
      <w:pPr>
        <w:ind w:firstLine="640"/>
      </w:pPr>
    </w:p>
    <w:p>
      <w:pPr>
        <w:ind w:firstLine="640"/>
      </w:pPr>
    </w:p>
    <w:p>
      <w:pPr>
        <w:ind w:firstLine="640"/>
      </w:pPr>
    </w:p>
    <w:p>
      <w:pPr>
        <w:ind w:firstLine="640"/>
      </w:pPr>
    </w:p>
    <w:p>
      <w:pPr>
        <w:ind w:firstLine="640"/>
      </w:pPr>
    </w:p>
    <w:p>
      <w:pPr>
        <w:ind w:firstLine="640"/>
      </w:pPr>
    </w:p>
    <w:p>
      <w:pPr>
        <w:ind w:firstLine="640"/>
      </w:pPr>
    </w:p>
    <w:p>
      <w:pPr>
        <w:ind w:firstLine="640"/>
      </w:pPr>
    </w:p>
    <w:p>
      <w:pPr>
        <w:ind w:firstLine="640"/>
      </w:pPr>
    </w:p>
    <w:p>
      <w:pPr>
        <w:ind w:firstLine="640"/>
      </w:pPr>
    </w:p>
    <w:p>
      <w:pPr>
        <w:ind w:firstLine="640"/>
      </w:pPr>
    </w:p>
    <w:p>
      <w:pPr>
        <w:adjustRightInd w:val="0"/>
        <w:snapToGrid w:val="0"/>
        <w:spacing w:line="579" w:lineRule="atLeast"/>
        <w:outlineLvl w:val="1"/>
        <w:rPr>
          <w:rFonts w:ascii="黑体" w:hAnsi="黑体" w:eastAsia="黑体" w:cs="Times New Roman"/>
          <w:b/>
          <w:bCs/>
          <w:sz w:val="32"/>
          <w:szCs w:val="32"/>
        </w:rPr>
      </w:pPr>
    </w:p>
    <w:p>
      <w:pPr>
        <w:adjustRightInd w:val="0"/>
        <w:snapToGrid w:val="0"/>
        <w:spacing w:line="579" w:lineRule="atLeast"/>
        <w:outlineLvl w:val="1"/>
        <w:rPr>
          <w:rFonts w:ascii="黑体" w:hAnsi="黑体" w:eastAsia="黑体" w:cs="Times New Roman"/>
          <w:b/>
          <w:bCs/>
          <w:sz w:val="32"/>
          <w:szCs w:val="32"/>
        </w:rPr>
      </w:pPr>
    </w:p>
    <w:p>
      <w:pPr>
        <w:adjustRightInd w:val="0"/>
        <w:snapToGrid w:val="0"/>
        <w:spacing w:line="579" w:lineRule="atLeast"/>
        <w:outlineLvl w:val="1"/>
        <w:rPr>
          <w:rFonts w:ascii="黑体" w:hAnsi="黑体" w:eastAsia="黑体" w:cs="Times New Roman"/>
          <w:b/>
          <w:bCs/>
          <w:sz w:val="32"/>
          <w:szCs w:val="32"/>
        </w:rPr>
      </w:pPr>
    </w:p>
    <w:p>
      <w:pPr>
        <w:adjustRightInd w:val="0"/>
        <w:snapToGrid w:val="0"/>
        <w:spacing w:line="579" w:lineRule="atLeast"/>
        <w:outlineLvl w:val="1"/>
        <w:rPr>
          <w:rFonts w:ascii="黑体" w:hAnsi="黑体" w:eastAsia="黑体" w:cs="Times New Roman"/>
          <w:b/>
          <w:bCs/>
          <w:sz w:val="32"/>
          <w:szCs w:val="32"/>
        </w:rPr>
      </w:pPr>
    </w:p>
    <w:p>
      <w:pPr>
        <w:adjustRightInd w:val="0"/>
        <w:snapToGrid w:val="0"/>
        <w:spacing w:line="579" w:lineRule="atLeast"/>
        <w:outlineLvl w:val="1"/>
        <w:rPr>
          <w:rFonts w:ascii="黑体" w:hAnsi="黑体" w:eastAsia="黑体" w:cs="Times New Roman"/>
          <w:b/>
          <w:bCs/>
          <w:sz w:val="32"/>
          <w:szCs w:val="32"/>
        </w:rPr>
      </w:pPr>
    </w:p>
    <w:p>
      <w:pPr>
        <w:adjustRightInd w:val="0"/>
        <w:snapToGrid w:val="0"/>
        <w:spacing w:line="579" w:lineRule="atLeast"/>
        <w:outlineLvl w:val="1"/>
        <w:rPr>
          <w:rFonts w:ascii="黑体" w:hAnsi="黑体" w:eastAsia="黑体" w:cs="Times New Roman"/>
          <w:b/>
          <w:bCs/>
          <w:sz w:val="32"/>
          <w:szCs w:val="32"/>
        </w:rPr>
      </w:pPr>
    </w:p>
    <w:p>
      <w:pPr>
        <w:adjustRightInd w:val="0"/>
        <w:snapToGrid w:val="0"/>
        <w:spacing w:line="579" w:lineRule="atLeast"/>
        <w:outlineLvl w:val="1"/>
        <w:rPr>
          <w:rFonts w:ascii="黑体" w:hAnsi="黑体" w:eastAsia="黑体" w:cs="Times New Roman"/>
          <w:b/>
          <w:bCs/>
          <w:sz w:val="32"/>
          <w:szCs w:val="32"/>
        </w:rPr>
      </w:pPr>
    </w:p>
    <w:p>
      <w:pPr>
        <w:adjustRightInd w:val="0"/>
        <w:snapToGrid w:val="0"/>
        <w:spacing w:line="579" w:lineRule="atLeast"/>
        <w:outlineLvl w:val="1"/>
        <w:rPr>
          <w:rFonts w:hint="eastAsia" w:ascii="黑体" w:hAnsi="黑体" w:eastAsia="黑体" w:cs="Times New Roman"/>
          <w:b/>
          <w:bCs/>
          <w:sz w:val="32"/>
          <w:szCs w:val="32"/>
          <w:lang w:eastAsia="zh-CN"/>
        </w:rPr>
      </w:pPr>
      <w:r>
        <w:rPr>
          <w:rFonts w:ascii="黑体" w:hAnsi="黑体" w:eastAsia="黑体" w:cs="Times New Roman"/>
          <w:b/>
          <w:bCs/>
          <w:sz w:val="32"/>
          <w:szCs w:val="32"/>
        </w:rPr>
        <w:t>附件</w:t>
      </w:r>
      <w:r>
        <w:rPr>
          <w:rFonts w:hint="eastAsia" w:ascii="黑体" w:hAnsi="黑体" w:eastAsia="黑体" w:cs="Times New Roman"/>
          <w:b/>
          <w:bCs/>
          <w:sz w:val="32"/>
          <w:szCs w:val="32"/>
          <w:lang w:val="en-US" w:eastAsia="zh-CN"/>
        </w:rPr>
        <w:t>5</w:t>
      </w:r>
    </w:p>
    <w:p>
      <w:pPr>
        <w:pStyle w:val="5"/>
        <w:spacing w:before="78" w:beforeLines="25" w:line="500" w:lineRule="exact"/>
        <w:rPr>
          <w:sz w:val="36"/>
          <w:szCs w:val="36"/>
        </w:rPr>
      </w:pPr>
      <w:r>
        <w:rPr>
          <w:sz w:val="36"/>
          <w:szCs w:val="36"/>
        </w:rPr>
        <w:t>项目支出绩效自评表</w:t>
      </w:r>
    </w:p>
    <w:p>
      <w:pPr>
        <w:widowControl/>
        <w:jc w:val="center"/>
        <w:rPr>
          <w:color w:val="000000"/>
          <w:kern w:val="0"/>
          <w:szCs w:val="21"/>
        </w:rPr>
      </w:pPr>
      <w:r>
        <w:rPr>
          <w:color w:val="000000"/>
          <w:kern w:val="0"/>
          <w:szCs w:val="21"/>
        </w:rPr>
        <w:t xml:space="preserve">（ </w:t>
      </w:r>
      <w:r>
        <w:rPr>
          <w:rFonts w:hint="eastAsia"/>
          <w:color w:val="000000"/>
          <w:kern w:val="0"/>
          <w:szCs w:val="21"/>
        </w:rPr>
        <w:t>2024</w:t>
      </w:r>
      <w:r>
        <w:rPr>
          <w:color w:val="000000"/>
          <w:kern w:val="0"/>
          <w:szCs w:val="21"/>
        </w:rPr>
        <w:t xml:space="preserve"> 年度）</w:t>
      </w:r>
    </w:p>
    <w:tbl>
      <w:tblPr>
        <w:tblStyle w:val="13"/>
        <w:tblW w:w="98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1209"/>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项目支</w:t>
            </w:r>
          </w:p>
          <w:p>
            <w:pPr>
              <w:widowControl/>
              <w:spacing w:line="280" w:lineRule="exact"/>
              <w:jc w:val="center"/>
              <w:textAlignment w:val="center"/>
              <w:rPr>
                <w:color w:val="000000"/>
                <w:kern w:val="0"/>
                <w:szCs w:val="21"/>
              </w:rPr>
            </w:pPr>
            <w:r>
              <w:rPr>
                <w:color w:val="000000"/>
                <w:kern w:val="0"/>
                <w:szCs w:val="21"/>
              </w:rPr>
              <w:t>出名称</w:t>
            </w:r>
          </w:p>
        </w:tc>
        <w:tc>
          <w:tcPr>
            <w:tcW w:w="8771" w:type="dxa"/>
            <w:gridSpan w:val="8"/>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hint="default" w:eastAsiaTheme="minorEastAsia"/>
                <w:color w:val="000000"/>
                <w:kern w:val="0"/>
                <w:szCs w:val="21"/>
                <w:lang w:val="en-US" w:eastAsia="zh-CN"/>
              </w:rPr>
            </w:pPr>
            <w:bookmarkStart w:id="41" w:name="OLE_LINK2"/>
            <w:r>
              <w:rPr>
                <w:rFonts w:hint="eastAsia"/>
                <w:color w:val="000000"/>
                <w:kern w:val="0"/>
                <w:szCs w:val="21"/>
                <w:lang w:val="en-US" w:eastAsia="zh-CN"/>
              </w:rPr>
              <w:t>运行维护经费</w:t>
            </w:r>
            <w:bookmarkEnd w:id="4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主管部门</w:t>
            </w:r>
          </w:p>
        </w:tc>
        <w:tc>
          <w:tcPr>
            <w:tcW w:w="4518"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r>
              <w:rPr>
                <w:rFonts w:hint="eastAsia"/>
                <w:color w:val="000000"/>
                <w:kern w:val="0"/>
                <w:szCs w:val="21"/>
              </w:rPr>
              <w:t>湖南省农业农村厅</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实施单位</w:t>
            </w:r>
          </w:p>
        </w:tc>
        <w:tc>
          <w:tcPr>
            <w:tcW w:w="3119"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r>
              <w:rPr>
                <w:rFonts w:hint="eastAsia"/>
                <w:color w:val="000000"/>
                <w:kern w:val="0"/>
                <w:szCs w:val="21"/>
              </w:rPr>
              <w:t>湖南省农药检定所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项目资金</w:t>
            </w:r>
            <w:r>
              <w:rPr>
                <w:color w:val="000000"/>
                <w:kern w:val="0"/>
                <w:szCs w:val="21"/>
              </w:rPr>
              <w:br w:type="textWrapping"/>
            </w:r>
            <w:r>
              <w:rPr>
                <w:color w:val="000000"/>
                <w:kern w:val="0"/>
                <w:szCs w:val="21"/>
              </w:rPr>
              <w:t>（万元）</w:t>
            </w: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年初</w:t>
            </w:r>
          </w:p>
          <w:p>
            <w:pPr>
              <w:widowControl/>
              <w:spacing w:line="280" w:lineRule="exact"/>
              <w:jc w:val="center"/>
              <w:textAlignment w:val="center"/>
              <w:rPr>
                <w:color w:val="000000"/>
                <w:kern w:val="0"/>
                <w:szCs w:val="21"/>
              </w:rPr>
            </w:pPr>
            <w:r>
              <w:rPr>
                <w:color w:val="000000"/>
                <w:kern w:val="0"/>
                <w:szCs w:val="21"/>
              </w:rPr>
              <w:t>预算数</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全年</w:t>
            </w:r>
          </w:p>
          <w:p>
            <w:pPr>
              <w:widowControl/>
              <w:spacing w:line="280" w:lineRule="exact"/>
              <w:jc w:val="center"/>
              <w:textAlignment w:val="center"/>
              <w:rPr>
                <w:color w:val="000000"/>
                <w:kern w:val="0"/>
                <w:szCs w:val="21"/>
              </w:rPr>
            </w:pPr>
            <w:r>
              <w:rPr>
                <w:color w:val="000000"/>
                <w:kern w:val="0"/>
                <w:szCs w:val="21"/>
              </w:rPr>
              <w:t>预算数</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szCs w:val="21"/>
              </w:rPr>
            </w:pPr>
            <w:r>
              <w:rPr>
                <w:szCs w:val="21"/>
              </w:rPr>
              <w:t>全年</w:t>
            </w:r>
          </w:p>
          <w:p>
            <w:pPr>
              <w:spacing w:line="280" w:lineRule="exact"/>
              <w:jc w:val="center"/>
              <w:textAlignment w:val="center"/>
              <w:rPr>
                <w:szCs w:val="21"/>
              </w:rPr>
            </w:pPr>
            <w:r>
              <w:rPr>
                <w:szCs w:val="21"/>
              </w:rPr>
              <w:t>执行数</w:t>
            </w:r>
          </w:p>
        </w:tc>
        <w:tc>
          <w:tcPr>
            <w:tcW w:w="8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szCs w:val="21"/>
              </w:rPr>
            </w:pPr>
            <w:r>
              <w:rPr>
                <w:szCs w:val="21"/>
              </w:rPr>
              <w:t>分值</w:t>
            </w:r>
          </w:p>
        </w:tc>
        <w:tc>
          <w:tcPr>
            <w:tcW w:w="87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szCs w:val="21"/>
              </w:rPr>
            </w:pPr>
            <w:r>
              <w:rPr>
                <w:szCs w:val="21"/>
              </w:rPr>
              <w:t>执行率</w:t>
            </w:r>
          </w:p>
        </w:tc>
        <w:tc>
          <w:tcPr>
            <w:tcW w:w="14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textAlignment w:val="center"/>
              <w:rPr>
                <w:szCs w:val="21"/>
              </w:rPr>
            </w:pPr>
            <w:r>
              <w:rPr>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年度资金总额　</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eastAsiaTheme="minorEastAsia"/>
                <w:color w:val="000000"/>
                <w:kern w:val="0"/>
                <w:szCs w:val="21"/>
                <w:lang w:val="en-US" w:eastAsia="zh-CN"/>
              </w:rPr>
            </w:pPr>
            <w:r>
              <w:rPr>
                <w:rFonts w:hint="eastAsia"/>
                <w:color w:val="000000"/>
                <w:kern w:val="0"/>
                <w:szCs w:val="21"/>
                <w:lang w:val="en-US" w:eastAsia="zh-CN"/>
              </w:rPr>
              <w:t>10.10</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eastAsiaTheme="minorEastAsia"/>
                <w:color w:val="000000"/>
                <w:kern w:val="0"/>
                <w:szCs w:val="21"/>
                <w:lang w:val="en-US" w:eastAsia="zh-CN"/>
              </w:rPr>
            </w:pPr>
            <w:r>
              <w:rPr>
                <w:rFonts w:hint="eastAsia"/>
                <w:color w:val="000000"/>
                <w:kern w:val="0"/>
                <w:szCs w:val="21"/>
                <w:lang w:val="en-US" w:eastAsia="zh-CN"/>
              </w:rPr>
              <w:t>10.10</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eastAsiaTheme="minorEastAsia"/>
                <w:color w:val="000000"/>
                <w:kern w:val="0"/>
                <w:szCs w:val="21"/>
                <w:lang w:val="en-US" w:eastAsia="zh-CN"/>
              </w:rPr>
            </w:pPr>
            <w:r>
              <w:rPr>
                <w:rFonts w:hint="eastAsia"/>
                <w:color w:val="000000"/>
                <w:kern w:val="0"/>
                <w:szCs w:val="21"/>
                <w:lang w:val="en-US" w:eastAsia="zh-CN"/>
              </w:rPr>
              <w:t>4.68</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eastAsiaTheme="minorEastAsia"/>
                <w:color w:val="000000"/>
                <w:kern w:val="0"/>
                <w:szCs w:val="21"/>
                <w:lang w:val="en-US" w:eastAsia="zh-CN"/>
              </w:rPr>
            </w:pPr>
            <w:r>
              <w:rPr>
                <w:rFonts w:hint="eastAsia"/>
                <w:color w:val="000000"/>
                <w:kern w:val="0"/>
                <w:szCs w:val="21"/>
                <w:lang w:val="en-US" w:eastAsia="zh-CN"/>
              </w:rPr>
              <w:t>46.34%</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eastAsiaTheme="minorEastAsia"/>
                <w:color w:val="000000"/>
                <w:kern w:val="0"/>
                <w:szCs w:val="21"/>
                <w:lang w:val="en-US" w:eastAsia="zh-CN"/>
              </w:rPr>
            </w:pPr>
            <w:r>
              <w:rPr>
                <w:rFonts w:hint="eastAsia"/>
                <w:color w:val="000000"/>
                <w:kern w:val="0"/>
                <w:szCs w:val="21"/>
                <w:lang w:val="en-US" w:eastAsia="zh-CN"/>
              </w:rPr>
              <w:t>4.63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其中：当年财政拨款　</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eastAsiaTheme="minorEastAsia"/>
                <w:color w:val="000000"/>
                <w:kern w:val="0"/>
                <w:szCs w:val="21"/>
                <w:lang w:val="en-US" w:eastAsia="zh-CN"/>
              </w:rPr>
            </w:pP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color w:val="000000"/>
                <w:kern w:val="0"/>
                <w:szCs w:val="21"/>
                <w:lang w:val="en-US"/>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ind w:firstLine="630" w:firstLineChars="300"/>
              <w:jc w:val="left"/>
              <w:textAlignment w:val="center"/>
              <w:rPr>
                <w:color w:val="000000"/>
                <w:kern w:val="0"/>
                <w:szCs w:val="21"/>
              </w:rPr>
            </w:pPr>
            <w:r>
              <w:rPr>
                <w:color w:val="000000"/>
                <w:kern w:val="0"/>
                <w:szCs w:val="21"/>
              </w:rPr>
              <w:t>上年结转资金　</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eastAsiaTheme="minorEastAsia"/>
                <w:color w:val="000000"/>
                <w:kern w:val="0"/>
                <w:szCs w:val="21"/>
                <w:lang w:val="en-US" w:eastAsia="zh-CN"/>
              </w:rPr>
            </w:pP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2160"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ind w:firstLine="630" w:firstLineChars="300"/>
              <w:jc w:val="left"/>
              <w:textAlignment w:val="center"/>
              <w:rPr>
                <w:color w:val="000000"/>
                <w:kern w:val="0"/>
                <w:szCs w:val="21"/>
              </w:rPr>
            </w:pPr>
            <w:r>
              <w:rPr>
                <w:color w:val="000000"/>
                <w:kern w:val="0"/>
                <w:szCs w:val="21"/>
              </w:rPr>
              <w:t>其他资金</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年度总体目标</w:t>
            </w:r>
          </w:p>
        </w:tc>
        <w:tc>
          <w:tcPr>
            <w:tcW w:w="4518"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预期目标</w:t>
            </w:r>
          </w:p>
        </w:tc>
        <w:tc>
          <w:tcPr>
            <w:tcW w:w="4253"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4518"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hint="default"/>
                <w:color w:val="000000"/>
                <w:kern w:val="0"/>
                <w:szCs w:val="21"/>
                <w:lang w:val="en-US"/>
              </w:rPr>
            </w:pPr>
            <w:bookmarkStart w:id="42" w:name="OLE_LINK39"/>
            <w:r>
              <w:rPr>
                <w:rFonts w:hint="eastAsia"/>
                <w:color w:val="000000"/>
                <w:kern w:val="0"/>
                <w:szCs w:val="21"/>
                <w:lang w:val="en-US" w:eastAsia="zh-CN"/>
              </w:rPr>
              <w:t>维持单位正常运转</w:t>
            </w:r>
            <w:bookmarkEnd w:id="42"/>
          </w:p>
        </w:tc>
        <w:tc>
          <w:tcPr>
            <w:tcW w:w="4253"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hint="eastAsia"/>
                <w:color w:val="000000"/>
                <w:kern w:val="0"/>
                <w:szCs w:val="21"/>
                <w:lang w:val="en-US" w:eastAsia="zh-CN"/>
              </w:rPr>
              <w:t>维持单位正常运转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绩</w:t>
            </w:r>
          </w:p>
          <w:p>
            <w:pPr>
              <w:widowControl/>
              <w:spacing w:line="280" w:lineRule="exact"/>
              <w:jc w:val="center"/>
              <w:textAlignment w:val="center"/>
              <w:rPr>
                <w:color w:val="000000"/>
                <w:kern w:val="0"/>
                <w:szCs w:val="21"/>
              </w:rPr>
            </w:pPr>
            <w:r>
              <w:rPr>
                <w:color w:val="000000"/>
                <w:kern w:val="0"/>
                <w:szCs w:val="21"/>
              </w:rPr>
              <w:t>效</w:t>
            </w:r>
          </w:p>
          <w:p>
            <w:pPr>
              <w:widowControl/>
              <w:spacing w:line="280" w:lineRule="exact"/>
              <w:jc w:val="center"/>
              <w:textAlignment w:val="center"/>
              <w:rPr>
                <w:color w:val="000000"/>
                <w:kern w:val="0"/>
                <w:szCs w:val="21"/>
              </w:rPr>
            </w:pPr>
            <w:r>
              <w:rPr>
                <w:color w:val="000000"/>
                <w:kern w:val="0"/>
                <w:szCs w:val="21"/>
              </w:rPr>
              <w:t>指</w:t>
            </w:r>
          </w:p>
          <w:p>
            <w:pPr>
              <w:widowControl/>
              <w:spacing w:line="280" w:lineRule="exact"/>
              <w:jc w:val="center"/>
              <w:textAlignment w:val="center"/>
              <w:rPr>
                <w:color w:val="000000"/>
                <w:kern w:val="0"/>
                <w:szCs w:val="21"/>
              </w:rPr>
            </w:pPr>
            <w:r>
              <w:rPr>
                <w:color w:val="000000"/>
                <w:kern w:val="0"/>
                <w:szCs w:val="21"/>
              </w:rPr>
              <w:t>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一级指标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二级指标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三级指标</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年度</w:t>
            </w:r>
          </w:p>
          <w:p>
            <w:pPr>
              <w:widowControl/>
              <w:spacing w:line="280" w:lineRule="exact"/>
              <w:jc w:val="center"/>
              <w:textAlignment w:val="center"/>
              <w:rPr>
                <w:color w:val="000000"/>
                <w:kern w:val="0"/>
                <w:szCs w:val="21"/>
              </w:rPr>
            </w:pPr>
            <w:r>
              <w:rPr>
                <w:color w:val="000000"/>
                <w:kern w:val="0"/>
                <w:szCs w:val="21"/>
              </w:rPr>
              <w:t>指标值</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实际</w:t>
            </w:r>
          </w:p>
          <w:p>
            <w:pPr>
              <w:widowControl/>
              <w:spacing w:line="280" w:lineRule="exact"/>
              <w:jc w:val="center"/>
              <w:textAlignment w:val="center"/>
              <w:rPr>
                <w:color w:val="000000"/>
                <w:kern w:val="0"/>
                <w:szCs w:val="21"/>
              </w:rPr>
            </w:pPr>
            <w:r>
              <w:rPr>
                <w:color w:val="000000"/>
                <w:kern w:val="0"/>
                <w:szCs w:val="21"/>
              </w:rPr>
              <w:t>完成值</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分值</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得分</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偏差原因</w:t>
            </w:r>
          </w:p>
          <w:p>
            <w:pPr>
              <w:widowControl/>
              <w:spacing w:line="280" w:lineRule="exact"/>
              <w:jc w:val="center"/>
              <w:textAlignment w:val="center"/>
              <w:rPr>
                <w:color w:val="000000"/>
                <w:kern w:val="0"/>
                <w:szCs w:val="21"/>
              </w:rPr>
            </w:pPr>
            <w:r>
              <w:rPr>
                <w:color w:val="000000"/>
                <w:kern w:val="0"/>
                <w:szCs w:val="21"/>
              </w:rPr>
              <w:t>分析及</w:t>
            </w:r>
          </w:p>
          <w:p>
            <w:pPr>
              <w:widowControl/>
              <w:spacing w:line="280" w:lineRule="exact"/>
              <w:jc w:val="center"/>
              <w:textAlignment w:val="center"/>
              <w:rPr>
                <w:color w:val="000000"/>
                <w:kern w:val="0"/>
                <w:szCs w:val="21"/>
              </w:rPr>
            </w:pPr>
            <w:r>
              <w:rPr>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vMerge w:val="restart"/>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产出指标</w:t>
            </w:r>
          </w:p>
          <w:p>
            <w:pPr>
              <w:widowControl/>
              <w:spacing w:line="280" w:lineRule="exact"/>
              <w:jc w:val="center"/>
              <w:textAlignment w:val="center"/>
              <w:rPr>
                <w:color w:val="000000"/>
                <w:kern w:val="0"/>
                <w:szCs w:val="21"/>
              </w:rPr>
            </w:pPr>
            <w:r>
              <w:rPr>
                <w:color w:val="000000"/>
                <w:kern w:val="0"/>
                <w:szCs w:val="21"/>
              </w:rPr>
              <w:t>(50分)</w:t>
            </w:r>
          </w:p>
        </w:tc>
        <w:tc>
          <w:tcPr>
            <w:tcW w:w="1080" w:type="dxa"/>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数量指标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eastAsiaTheme="minorEastAsia"/>
                <w:color w:val="000000"/>
                <w:kern w:val="0"/>
                <w:szCs w:val="21"/>
                <w:lang w:val="en-US" w:eastAsia="zh-CN"/>
              </w:rPr>
            </w:pPr>
            <w:r>
              <w:rPr>
                <w:rFonts w:hint="eastAsia"/>
                <w:color w:val="000000"/>
                <w:kern w:val="0"/>
                <w:szCs w:val="21"/>
                <w:lang w:val="en-US" w:eastAsia="zh-CN"/>
              </w:rPr>
              <w:t>采购国产电脑</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eastAsiaTheme="minorEastAsia"/>
                <w:color w:val="000000"/>
                <w:kern w:val="0"/>
                <w:szCs w:val="21"/>
                <w:lang w:val="en-US" w:eastAsia="zh-CN"/>
              </w:rPr>
            </w:pPr>
            <w:r>
              <w:rPr>
                <w:rFonts w:hint="default" w:ascii="Arial" w:hAnsi="Arial" w:cs="Arial"/>
                <w:color w:val="000000"/>
                <w:kern w:val="0"/>
                <w:szCs w:val="21"/>
              </w:rPr>
              <w:t>≥</w:t>
            </w:r>
            <w:r>
              <w:rPr>
                <w:rFonts w:hint="eastAsia"/>
                <w:color w:val="000000"/>
                <w:kern w:val="0"/>
                <w:szCs w:val="21"/>
                <w:lang w:val="en-US" w:eastAsia="zh-CN"/>
              </w:rPr>
              <w:t>5台</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eastAsiaTheme="minorEastAsia"/>
                <w:color w:val="000000"/>
                <w:kern w:val="0"/>
                <w:szCs w:val="21"/>
                <w:lang w:val="en-US" w:eastAsia="zh-CN"/>
              </w:rPr>
            </w:pPr>
            <w:r>
              <w:rPr>
                <w:rFonts w:hint="eastAsia"/>
                <w:color w:val="000000"/>
                <w:kern w:val="0"/>
                <w:szCs w:val="21"/>
                <w:lang w:val="en-US" w:eastAsia="zh-CN"/>
              </w:rPr>
              <w:t>6台</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hint="default" w:eastAsiaTheme="minorEastAsia"/>
                <w:color w:val="000000"/>
                <w:kern w:val="0"/>
                <w:szCs w:val="21"/>
                <w:lang w:val="en-US" w:eastAsia="zh-CN"/>
              </w:rPr>
            </w:pPr>
            <w:r>
              <w:rPr>
                <w:rFonts w:hint="eastAsia"/>
                <w:color w:val="000000"/>
                <w:kern w:val="0"/>
                <w:szCs w:val="21"/>
                <w:lang w:val="en-US" w:eastAsia="zh-CN"/>
              </w:rPr>
              <w:t>15</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rFonts w:hint="eastAsia"/>
                <w:color w:val="000000"/>
                <w:kern w:val="0"/>
                <w:szCs w:val="21"/>
                <w:lang w:val="en-US" w:eastAsia="zh-CN"/>
              </w:rPr>
              <w:t>15</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ascii="Times New Roman" w:hAnsi="Times New Roman" w:eastAsia="仿宋_GB2312"/>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质量指标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eastAsiaTheme="minorEastAsia"/>
                <w:color w:val="000000"/>
                <w:kern w:val="0"/>
                <w:szCs w:val="21"/>
                <w:lang w:val="en-US" w:eastAsia="zh-CN"/>
              </w:rPr>
            </w:pPr>
            <w:r>
              <w:rPr>
                <w:rFonts w:hint="eastAsia"/>
                <w:color w:val="000000"/>
                <w:kern w:val="0"/>
                <w:szCs w:val="21"/>
                <w:lang w:val="en-US" w:eastAsia="zh-CN"/>
              </w:rPr>
              <w:t>国产电脑采购质量</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eastAsiaTheme="minorEastAsia"/>
                <w:color w:val="000000"/>
                <w:kern w:val="0"/>
                <w:szCs w:val="21"/>
                <w:lang w:val="en-US" w:eastAsia="zh-CN"/>
              </w:rPr>
            </w:pPr>
            <w:r>
              <w:rPr>
                <w:rFonts w:hint="eastAsia"/>
                <w:color w:val="000000"/>
                <w:kern w:val="0"/>
                <w:szCs w:val="21"/>
                <w:lang w:val="en-US" w:eastAsia="zh-CN"/>
              </w:rPr>
              <w:t>按国家相关规定</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hint="eastAsia"/>
                <w:color w:val="000000"/>
                <w:kern w:val="0"/>
                <w:szCs w:val="21"/>
                <w:lang w:val="en-US" w:eastAsia="zh-CN"/>
              </w:rPr>
              <w:t>按国家相关规定</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hint="default" w:eastAsiaTheme="minorEastAsia"/>
                <w:color w:val="000000"/>
                <w:kern w:val="0"/>
                <w:szCs w:val="21"/>
                <w:lang w:val="en-US" w:eastAsia="zh-CN"/>
              </w:rPr>
            </w:pPr>
            <w:r>
              <w:rPr>
                <w:rFonts w:hint="eastAsia"/>
                <w:color w:val="000000"/>
                <w:kern w:val="0"/>
                <w:szCs w:val="21"/>
                <w:lang w:val="en-US" w:eastAsia="zh-CN"/>
              </w:rPr>
              <w:t>15</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rFonts w:hint="eastAsia"/>
                <w:color w:val="000000"/>
                <w:kern w:val="0"/>
                <w:szCs w:val="21"/>
                <w:lang w:val="en-US" w:eastAsia="zh-CN"/>
              </w:rPr>
              <w:t>15</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ascii="Times New Roman" w:hAnsi="Times New Roman" w:eastAsia="仿宋_GB2312"/>
                <w:color w:val="00000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时效指标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eastAsiaTheme="minorEastAsia"/>
                <w:color w:val="000000"/>
                <w:kern w:val="0"/>
                <w:szCs w:val="21"/>
                <w:lang w:val="en-US" w:eastAsia="zh-CN"/>
              </w:rPr>
            </w:pPr>
            <w:r>
              <w:rPr>
                <w:rFonts w:hint="eastAsia"/>
                <w:color w:val="000000"/>
                <w:kern w:val="0"/>
                <w:szCs w:val="21"/>
                <w:lang w:val="en-US" w:eastAsia="zh-CN"/>
              </w:rPr>
              <w:t>采购完成时间</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eastAsiaTheme="minorEastAsia"/>
                <w:color w:val="000000"/>
                <w:kern w:val="0"/>
                <w:szCs w:val="21"/>
                <w:lang w:val="en-US" w:eastAsia="zh-CN"/>
              </w:rPr>
            </w:pPr>
            <w:bookmarkStart w:id="43" w:name="OLE_LINK40"/>
            <w:r>
              <w:rPr>
                <w:rFonts w:hint="eastAsia"/>
                <w:color w:val="000000"/>
                <w:kern w:val="0"/>
                <w:szCs w:val="21"/>
                <w:lang w:val="en-US" w:eastAsia="zh-CN"/>
              </w:rPr>
              <w:t>2024年底前</w:t>
            </w:r>
            <w:bookmarkEnd w:id="43"/>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hint="eastAsia"/>
                <w:color w:val="000000"/>
                <w:kern w:val="0"/>
                <w:szCs w:val="21"/>
                <w:lang w:val="en-US" w:eastAsia="zh-CN"/>
              </w:rPr>
              <w:t>2024年底前</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hint="default" w:eastAsiaTheme="minorEastAsia"/>
                <w:color w:val="000000"/>
                <w:kern w:val="0"/>
                <w:szCs w:val="21"/>
                <w:lang w:val="en-US" w:eastAsia="zh-CN"/>
              </w:rPr>
            </w:pPr>
            <w:r>
              <w:rPr>
                <w:rFonts w:hint="eastAsia"/>
                <w:color w:val="000000"/>
                <w:kern w:val="0"/>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rFonts w:hint="eastAsia"/>
                <w:color w:val="000000"/>
                <w:kern w:val="0"/>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成本指标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eastAsiaTheme="minorEastAsia"/>
                <w:color w:val="000000"/>
                <w:kern w:val="0"/>
                <w:szCs w:val="21"/>
                <w:lang w:val="en-US" w:eastAsia="zh-CN"/>
              </w:rPr>
            </w:pPr>
            <w:r>
              <w:rPr>
                <w:rFonts w:hint="eastAsia"/>
                <w:color w:val="000000"/>
                <w:kern w:val="0"/>
                <w:szCs w:val="21"/>
                <w:lang w:val="en-US" w:eastAsia="zh-CN"/>
              </w:rPr>
              <w:t xml:space="preserve">项目成本 </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color w:val="000000"/>
                <w:kern w:val="0"/>
                <w:szCs w:val="21"/>
                <w:lang w:val="en-US"/>
              </w:rPr>
            </w:pPr>
            <w:r>
              <w:rPr>
                <w:rFonts w:hint="default" w:ascii="Arial" w:hAnsi="Arial" w:cs="Arial"/>
                <w:color w:val="000000"/>
                <w:kern w:val="0"/>
                <w:szCs w:val="21"/>
                <w:lang w:val="en-US" w:eastAsia="zh-CN"/>
              </w:rPr>
              <w:t>≤</w:t>
            </w:r>
            <w:r>
              <w:rPr>
                <w:rFonts w:hint="eastAsia" w:ascii="Arial" w:hAnsi="Arial" w:cs="Arial"/>
                <w:color w:val="000000"/>
                <w:kern w:val="0"/>
                <w:szCs w:val="21"/>
                <w:lang w:val="en-US" w:eastAsia="zh-CN"/>
              </w:rPr>
              <w:t>10.10万元</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eastAsiaTheme="minorEastAsia"/>
                <w:color w:val="000000"/>
                <w:kern w:val="0"/>
                <w:szCs w:val="21"/>
                <w:lang w:val="en-US" w:eastAsia="zh-CN"/>
              </w:rPr>
            </w:pPr>
            <w:r>
              <w:rPr>
                <w:rFonts w:hint="eastAsia"/>
                <w:color w:val="000000"/>
                <w:kern w:val="0"/>
                <w:szCs w:val="21"/>
                <w:lang w:val="en-US" w:eastAsia="zh-CN"/>
              </w:rPr>
              <w:t>4.68万元</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hint="default" w:eastAsiaTheme="minorEastAsia"/>
                <w:color w:val="000000"/>
                <w:kern w:val="0"/>
                <w:szCs w:val="21"/>
                <w:lang w:val="en-US" w:eastAsia="zh-CN"/>
              </w:rPr>
            </w:pPr>
            <w:r>
              <w:rPr>
                <w:rFonts w:hint="eastAsia"/>
                <w:color w:val="000000"/>
                <w:kern w:val="0"/>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rFonts w:hint="eastAsia"/>
                <w:color w:val="000000"/>
                <w:kern w:val="0"/>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ascii="仿宋_GB2312" w:hAnsi="仿宋_GB2312" w:eastAsia="仿宋_GB2312" w:cs="Times New Roman"/>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效益指标</w:t>
            </w:r>
          </w:p>
          <w:p>
            <w:pPr>
              <w:widowControl/>
              <w:spacing w:line="280" w:lineRule="exact"/>
              <w:jc w:val="left"/>
              <w:textAlignment w:val="center"/>
              <w:rPr>
                <w:color w:val="000000"/>
                <w:kern w:val="0"/>
                <w:szCs w:val="21"/>
              </w:rPr>
            </w:pPr>
            <w:r>
              <w:rPr>
                <w:color w:val="000000"/>
                <w:kern w:val="0"/>
                <w:szCs w:val="21"/>
              </w:rPr>
              <w:t>（30分）</w:t>
            </w:r>
          </w:p>
        </w:tc>
        <w:tc>
          <w:tcPr>
            <w:tcW w:w="1080" w:type="dxa"/>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经济效</w:t>
            </w:r>
          </w:p>
          <w:p>
            <w:pPr>
              <w:widowControl/>
              <w:spacing w:line="280" w:lineRule="exact"/>
              <w:jc w:val="center"/>
              <w:textAlignment w:val="center"/>
              <w:rPr>
                <w:color w:val="000000"/>
                <w:kern w:val="0"/>
                <w:szCs w:val="21"/>
              </w:rPr>
            </w:pPr>
            <w:r>
              <w:rPr>
                <w:color w:val="000000"/>
                <w:kern w:val="0"/>
                <w:szCs w:val="21"/>
              </w:rPr>
              <w:t>益指标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hint="eastAsia"/>
                <w:color w:val="000000"/>
                <w:kern w:val="0"/>
                <w:szCs w:val="21"/>
                <w:lang w:val="en-US" w:eastAsia="zh-CN"/>
              </w:rPr>
              <w:t>保障各项数据的安全</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hint="eastAsia"/>
                <w:color w:val="000000"/>
                <w:kern w:val="0"/>
                <w:szCs w:val="21"/>
                <w:lang w:val="en-US" w:eastAsia="zh-CN"/>
              </w:rPr>
              <w:t>有效保障</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rFonts w:hint="eastAsia"/>
                <w:color w:val="000000"/>
                <w:kern w:val="0"/>
                <w:szCs w:val="21"/>
                <w:lang w:val="en-US" w:eastAsia="zh-CN"/>
              </w:rPr>
              <w:t>有效保障</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rFonts w:hint="eastAsia"/>
                <w:color w:val="000000"/>
                <w:kern w:val="0"/>
                <w:szCs w:val="21"/>
                <w:lang w:val="en-US" w:eastAsia="zh-CN"/>
              </w:rPr>
              <w:t>30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rFonts w:hint="eastAsia"/>
                <w:color w:val="000000"/>
                <w:kern w:val="0"/>
                <w:szCs w:val="21"/>
                <w:lang w:val="en-US" w:eastAsia="zh-CN"/>
              </w:rPr>
              <w:t>30</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p>
        </w:tc>
        <w:tc>
          <w:tcPr>
            <w:tcW w:w="1080" w:type="dxa"/>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满意度</w:t>
            </w:r>
          </w:p>
          <w:p>
            <w:pPr>
              <w:widowControl/>
              <w:spacing w:line="280" w:lineRule="exact"/>
              <w:jc w:val="center"/>
              <w:textAlignment w:val="center"/>
              <w:rPr>
                <w:color w:val="000000"/>
                <w:kern w:val="0"/>
                <w:szCs w:val="21"/>
              </w:rPr>
            </w:pPr>
            <w:r>
              <w:rPr>
                <w:color w:val="000000"/>
                <w:kern w:val="0"/>
                <w:szCs w:val="21"/>
              </w:rPr>
              <w:t>指标</w:t>
            </w:r>
          </w:p>
          <w:p>
            <w:pPr>
              <w:widowControl/>
              <w:spacing w:line="280" w:lineRule="exact"/>
              <w:jc w:val="center"/>
              <w:textAlignment w:val="center"/>
              <w:rPr>
                <w:color w:val="000000"/>
                <w:kern w:val="0"/>
                <w:szCs w:val="21"/>
              </w:rPr>
            </w:pPr>
            <w:r>
              <w:rPr>
                <w:color w:val="000000"/>
                <w:kern w:val="0"/>
                <w:szCs w:val="21"/>
              </w:rPr>
              <w:t>（10分）</w:t>
            </w:r>
          </w:p>
        </w:tc>
        <w:tc>
          <w:tcPr>
            <w:tcW w:w="1080" w:type="dxa"/>
            <w:tcBorders>
              <w:top w:val="nil"/>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服务对象满意度指标</w:t>
            </w:r>
          </w:p>
        </w:tc>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eastAsiaTheme="minorEastAsia"/>
                <w:color w:val="000000"/>
                <w:kern w:val="0"/>
                <w:szCs w:val="21"/>
                <w:lang w:val="en-US" w:eastAsia="zh-CN"/>
              </w:rPr>
            </w:pPr>
            <w:r>
              <w:rPr>
                <w:rFonts w:hint="eastAsia"/>
                <w:color w:val="000000"/>
                <w:kern w:val="0"/>
                <w:szCs w:val="21"/>
                <w:lang w:val="en-US" w:eastAsia="zh-CN"/>
              </w:rPr>
              <w:t>单位职工满意度</w:t>
            </w:r>
          </w:p>
        </w:tc>
        <w:tc>
          <w:tcPr>
            <w:tcW w:w="12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eastAsiaTheme="minorEastAsia"/>
                <w:color w:val="000000"/>
                <w:kern w:val="0"/>
                <w:szCs w:val="21"/>
                <w:lang w:val="en-US" w:eastAsia="zh-CN"/>
              </w:rPr>
            </w:pPr>
            <w:r>
              <w:rPr>
                <w:rFonts w:hint="default" w:ascii="Arial" w:hAnsi="Arial" w:cs="Arial"/>
                <w:color w:val="000000"/>
                <w:kern w:val="0"/>
                <w:szCs w:val="21"/>
              </w:rPr>
              <w:t>≥</w:t>
            </w:r>
            <w:r>
              <w:rPr>
                <w:rFonts w:hint="eastAsia"/>
                <w:color w:val="000000"/>
                <w:kern w:val="0"/>
                <w:szCs w:val="21"/>
                <w:lang w:val="en-US" w:eastAsia="zh-CN"/>
              </w:rPr>
              <w:t>90%</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eastAsiaTheme="minorEastAsia"/>
                <w:color w:val="000000"/>
                <w:kern w:val="0"/>
                <w:szCs w:val="21"/>
                <w:lang w:val="en-US" w:eastAsia="zh-CN"/>
              </w:rPr>
            </w:pPr>
            <w:r>
              <w:rPr>
                <w:rFonts w:hint="eastAsia"/>
                <w:color w:val="000000"/>
                <w:kern w:val="0"/>
                <w:szCs w:val="21"/>
                <w:lang w:val="en-US" w:eastAsia="zh-CN"/>
              </w:rPr>
              <w:t>98%</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hint="default" w:eastAsiaTheme="minorEastAsia"/>
                <w:color w:val="000000"/>
                <w:kern w:val="0"/>
                <w:szCs w:val="21"/>
                <w:lang w:val="en-US" w:eastAsia="zh-CN"/>
              </w:rPr>
            </w:pPr>
            <w:r>
              <w:rPr>
                <w:rFonts w:hint="eastAsia"/>
                <w:color w:val="000000"/>
                <w:kern w:val="0"/>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rFonts w:hint="eastAsia"/>
                <w:color w:val="000000"/>
                <w:kern w:val="0"/>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6732" w:type="dxa"/>
            <w:gridSpan w:val="6"/>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总分</w:t>
            </w:r>
          </w:p>
        </w:tc>
        <w:tc>
          <w:tcPr>
            <w:tcW w:w="82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color w:val="000000"/>
                <w:kern w:val="0"/>
                <w:szCs w:val="21"/>
              </w:rPr>
            </w:pPr>
            <w:r>
              <w:rPr>
                <w:color w:val="000000"/>
                <w:kern w:val="0"/>
                <w:szCs w:val="21"/>
              </w:rPr>
              <w:t>100</w:t>
            </w:r>
          </w:p>
        </w:tc>
        <w:tc>
          <w:tcPr>
            <w:tcW w:w="8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hint="default" w:eastAsiaTheme="minorEastAsia"/>
                <w:color w:val="000000"/>
                <w:kern w:val="0"/>
                <w:szCs w:val="21"/>
                <w:lang w:val="en-US" w:eastAsia="zh-CN"/>
              </w:rPr>
            </w:pPr>
            <w:r>
              <w:rPr>
                <w:rFonts w:hint="eastAsia"/>
                <w:color w:val="000000"/>
                <w:kern w:val="0"/>
                <w:szCs w:val="21"/>
                <w:lang w:val="en-US" w:eastAsia="zh-CN"/>
              </w:rPr>
              <w:t>94.63</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color w:val="000000"/>
                <w:kern w:val="0"/>
                <w:szCs w:val="21"/>
              </w:rPr>
            </w:pPr>
            <w:r>
              <w:rPr>
                <w:color w:val="000000"/>
                <w:kern w:val="0"/>
                <w:szCs w:val="21"/>
              </w:rPr>
              <w:t>　</w:t>
            </w:r>
          </w:p>
        </w:tc>
      </w:tr>
    </w:tbl>
    <w:p>
      <w:pPr>
        <w:pStyle w:val="6"/>
        <w:rPr>
          <w:rFonts w:hint="eastAsia" w:ascii="黑体" w:hAnsi="黑体" w:eastAsia="黑体" w:cs="Times New Roman"/>
          <w:b/>
          <w:bCs/>
          <w:sz w:val="32"/>
          <w:szCs w:val="32"/>
        </w:rPr>
      </w:pPr>
      <w:r>
        <w:t xml:space="preserve"> </w:t>
      </w:r>
    </w:p>
    <w:p>
      <w:pPr>
        <w:ind w:firstLine="640"/>
      </w:pPr>
      <w:r>
        <w:t xml:space="preserve"> </w:t>
      </w:r>
    </w:p>
    <w:p>
      <w:pPr>
        <w:ind w:firstLine="640"/>
      </w:pPr>
    </w:p>
    <w:p/>
    <w:p/>
    <w:p>
      <w:pPr>
        <w:pStyle w:val="17"/>
        <w:jc w:val="center"/>
        <w:rPr>
          <w:rFonts w:ascii="Times New Roman" w:hAnsi="Times New Roman" w:cs="Times New Roman"/>
          <w:sz w:val="72"/>
          <w:szCs w:val="72"/>
        </w:rPr>
      </w:pPr>
    </w:p>
    <w:p>
      <w:pPr>
        <w:jc w:val="left"/>
        <w:rPr>
          <w:rFonts w:ascii="Times New Roman" w:hAnsi="Times New Roman" w:cs="Times New Roman"/>
          <w:color w:val="000000"/>
          <w:kern w:val="0"/>
          <w:sz w:val="32"/>
          <w:szCs w:val="32"/>
        </w:rPr>
      </w:pPr>
    </w:p>
    <w:sectPr>
      <w:pgSz w:w="11906" w:h="16838"/>
      <w:pgMar w:top="1417" w:right="1588" w:bottom="1417" w:left="116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Arial Unicode MS"/>
    <w:panose1 w:val="02000000000000000000"/>
    <w:charset w:val="86"/>
    <w:family w:val="auto"/>
    <w:pitch w:val="default"/>
    <w:sig w:usb0="00000000" w:usb1="00000000" w:usb2="00000012" w:usb3="00000000" w:csb0="00040001" w:csb1="00000000"/>
  </w:font>
  <w:font w:name="方正小标宋_GBK">
    <w:altName w:val="Arial Unicode MS"/>
    <w:panose1 w:val="02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auto"/>
    <w:pitch w:val="default"/>
    <w:sig w:usb0="FFFFFFFF" w:usb1="E9FFFFFF" w:usb2="0000003F" w:usb3="00000000" w:csb0="601F00FF" w:csb1="FFFF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8E745A"/>
    <w:multiLevelType w:val="singleLevel"/>
    <w:tmpl w:val="298E745A"/>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0001A"/>
    <w:rsid w:val="0002229B"/>
    <w:rsid w:val="000273BD"/>
    <w:rsid w:val="0003620C"/>
    <w:rsid w:val="00040CBC"/>
    <w:rsid w:val="000415B7"/>
    <w:rsid w:val="00041E3F"/>
    <w:rsid w:val="00055DAA"/>
    <w:rsid w:val="00061F7B"/>
    <w:rsid w:val="000658A3"/>
    <w:rsid w:val="00074155"/>
    <w:rsid w:val="00080785"/>
    <w:rsid w:val="000A3F69"/>
    <w:rsid w:val="000B20F1"/>
    <w:rsid w:val="000C5742"/>
    <w:rsid w:val="00103957"/>
    <w:rsid w:val="00152C6D"/>
    <w:rsid w:val="00162D39"/>
    <w:rsid w:val="001678BD"/>
    <w:rsid w:val="00182373"/>
    <w:rsid w:val="001A67DB"/>
    <w:rsid w:val="001B67D1"/>
    <w:rsid w:val="001C3C29"/>
    <w:rsid w:val="001D2B79"/>
    <w:rsid w:val="001D51E5"/>
    <w:rsid w:val="001E080D"/>
    <w:rsid w:val="001E53D0"/>
    <w:rsid w:val="001F0C3B"/>
    <w:rsid w:val="00202C82"/>
    <w:rsid w:val="00214427"/>
    <w:rsid w:val="00220689"/>
    <w:rsid w:val="00221AFD"/>
    <w:rsid w:val="00226CB7"/>
    <w:rsid w:val="00252450"/>
    <w:rsid w:val="00264552"/>
    <w:rsid w:val="00264EF9"/>
    <w:rsid w:val="00265724"/>
    <w:rsid w:val="0027426B"/>
    <w:rsid w:val="00296D60"/>
    <w:rsid w:val="002E0A30"/>
    <w:rsid w:val="0030077D"/>
    <w:rsid w:val="003130C4"/>
    <w:rsid w:val="00316C4B"/>
    <w:rsid w:val="0032192B"/>
    <w:rsid w:val="0033283E"/>
    <w:rsid w:val="003479BD"/>
    <w:rsid w:val="0037197D"/>
    <w:rsid w:val="003768D5"/>
    <w:rsid w:val="003926B9"/>
    <w:rsid w:val="003C2E17"/>
    <w:rsid w:val="003C47E6"/>
    <w:rsid w:val="003C4FC2"/>
    <w:rsid w:val="00401F9A"/>
    <w:rsid w:val="00416E61"/>
    <w:rsid w:val="0042790C"/>
    <w:rsid w:val="004506F9"/>
    <w:rsid w:val="00462315"/>
    <w:rsid w:val="004717A2"/>
    <w:rsid w:val="00473DF3"/>
    <w:rsid w:val="00487911"/>
    <w:rsid w:val="00490F48"/>
    <w:rsid w:val="00491741"/>
    <w:rsid w:val="004B0CEE"/>
    <w:rsid w:val="004C2A0A"/>
    <w:rsid w:val="004F5EFB"/>
    <w:rsid w:val="00500E5F"/>
    <w:rsid w:val="005122EF"/>
    <w:rsid w:val="0051441A"/>
    <w:rsid w:val="00517C33"/>
    <w:rsid w:val="00517D5F"/>
    <w:rsid w:val="00523644"/>
    <w:rsid w:val="0054069E"/>
    <w:rsid w:val="00544866"/>
    <w:rsid w:val="00552A3D"/>
    <w:rsid w:val="00574CC8"/>
    <w:rsid w:val="005767CC"/>
    <w:rsid w:val="00590D9F"/>
    <w:rsid w:val="00595D26"/>
    <w:rsid w:val="005A74E6"/>
    <w:rsid w:val="005B404E"/>
    <w:rsid w:val="005D4D55"/>
    <w:rsid w:val="005E0E6C"/>
    <w:rsid w:val="005E2CFB"/>
    <w:rsid w:val="005F2103"/>
    <w:rsid w:val="005F3D1C"/>
    <w:rsid w:val="005F4189"/>
    <w:rsid w:val="006171EE"/>
    <w:rsid w:val="0062378F"/>
    <w:rsid w:val="00641842"/>
    <w:rsid w:val="00651EEC"/>
    <w:rsid w:val="00686673"/>
    <w:rsid w:val="00691E8C"/>
    <w:rsid w:val="006A22C4"/>
    <w:rsid w:val="006A351B"/>
    <w:rsid w:val="006B0422"/>
    <w:rsid w:val="006C1B53"/>
    <w:rsid w:val="006D7730"/>
    <w:rsid w:val="006E5284"/>
    <w:rsid w:val="006F3EB5"/>
    <w:rsid w:val="006F56C8"/>
    <w:rsid w:val="00702E34"/>
    <w:rsid w:val="00704395"/>
    <w:rsid w:val="00710FE7"/>
    <w:rsid w:val="00717621"/>
    <w:rsid w:val="00720FF1"/>
    <w:rsid w:val="00727A53"/>
    <w:rsid w:val="007502DE"/>
    <w:rsid w:val="00787B42"/>
    <w:rsid w:val="007C4539"/>
    <w:rsid w:val="007F3657"/>
    <w:rsid w:val="00810F0C"/>
    <w:rsid w:val="00811AA2"/>
    <w:rsid w:val="00812ED5"/>
    <w:rsid w:val="008277D9"/>
    <w:rsid w:val="0084478C"/>
    <w:rsid w:val="0086638C"/>
    <w:rsid w:val="008764FA"/>
    <w:rsid w:val="008A1079"/>
    <w:rsid w:val="008A3E8D"/>
    <w:rsid w:val="008A5055"/>
    <w:rsid w:val="008D17F4"/>
    <w:rsid w:val="009237C4"/>
    <w:rsid w:val="00944C48"/>
    <w:rsid w:val="00950252"/>
    <w:rsid w:val="00967F5D"/>
    <w:rsid w:val="009A0F95"/>
    <w:rsid w:val="009B3ADF"/>
    <w:rsid w:val="009C31C5"/>
    <w:rsid w:val="009C3B52"/>
    <w:rsid w:val="009E6817"/>
    <w:rsid w:val="009E6E9A"/>
    <w:rsid w:val="00A01D2B"/>
    <w:rsid w:val="00A1392A"/>
    <w:rsid w:val="00A42218"/>
    <w:rsid w:val="00A70249"/>
    <w:rsid w:val="00A70B02"/>
    <w:rsid w:val="00A71D9F"/>
    <w:rsid w:val="00A92E9F"/>
    <w:rsid w:val="00AB18FF"/>
    <w:rsid w:val="00B26269"/>
    <w:rsid w:val="00B33BEA"/>
    <w:rsid w:val="00B57C9F"/>
    <w:rsid w:val="00B63572"/>
    <w:rsid w:val="00B845B3"/>
    <w:rsid w:val="00B85D8B"/>
    <w:rsid w:val="00BB4A40"/>
    <w:rsid w:val="00BD6022"/>
    <w:rsid w:val="00BD6C3E"/>
    <w:rsid w:val="00BE3674"/>
    <w:rsid w:val="00C10681"/>
    <w:rsid w:val="00C10822"/>
    <w:rsid w:val="00C15C89"/>
    <w:rsid w:val="00C27C0D"/>
    <w:rsid w:val="00C3049A"/>
    <w:rsid w:val="00C31B1E"/>
    <w:rsid w:val="00C32F2E"/>
    <w:rsid w:val="00C73888"/>
    <w:rsid w:val="00C77645"/>
    <w:rsid w:val="00CE04C3"/>
    <w:rsid w:val="00CE34BE"/>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7C82852"/>
    <w:rsid w:val="07D943A4"/>
    <w:rsid w:val="086C02B5"/>
    <w:rsid w:val="1A9E5322"/>
    <w:rsid w:val="1BF568DB"/>
    <w:rsid w:val="1D6534E6"/>
    <w:rsid w:val="1D97DEFF"/>
    <w:rsid w:val="1DFF72E5"/>
    <w:rsid w:val="1EFC6F07"/>
    <w:rsid w:val="21E13590"/>
    <w:rsid w:val="277231B0"/>
    <w:rsid w:val="2C4E56DC"/>
    <w:rsid w:val="2FB91CAA"/>
    <w:rsid w:val="2FDF85B8"/>
    <w:rsid w:val="2FFFEE04"/>
    <w:rsid w:val="34DF85B0"/>
    <w:rsid w:val="3B602C26"/>
    <w:rsid w:val="3B8F36BC"/>
    <w:rsid w:val="40B73EF3"/>
    <w:rsid w:val="473237FE"/>
    <w:rsid w:val="491FF225"/>
    <w:rsid w:val="4FFD214C"/>
    <w:rsid w:val="5777D4F5"/>
    <w:rsid w:val="59DD8326"/>
    <w:rsid w:val="5AA6177D"/>
    <w:rsid w:val="5B252D46"/>
    <w:rsid w:val="5C6F0107"/>
    <w:rsid w:val="5CCD3038"/>
    <w:rsid w:val="5DEF592A"/>
    <w:rsid w:val="5FC6BB1E"/>
    <w:rsid w:val="5FF720F1"/>
    <w:rsid w:val="60197EDE"/>
    <w:rsid w:val="61A37DD0"/>
    <w:rsid w:val="67FF5C0B"/>
    <w:rsid w:val="6C450E92"/>
    <w:rsid w:val="6EFC0924"/>
    <w:rsid w:val="6FB74722"/>
    <w:rsid w:val="6FEF8B7E"/>
    <w:rsid w:val="704E4859"/>
    <w:rsid w:val="71A6591B"/>
    <w:rsid w:val="737D59BA"/>
    <w:rsid w:val="74CC3AF9"/>
    <w:rsid w:val="75BF414F"/>
    <w:rsid w:val="77C37683"/>
    <w:rsid w:val="79D19834"/>
    <w:rsid w:val="79FF515B"/>
    <w:rsid w:val="7E9E1962"/>
    <w:rsid w:val="7E9F11B4"/>
    <w:rsid w:val="7F37EC1E"/>
    <w:rsid w:val="7F7DCD9D"/>
    <w:rsid w:val="7F970A6F"/>
    <w:rsid w:val="7FC1FFF3"/>
    <w:rsid w:val="7FC69637"/>
    <w:rsid w:val="7FDF8620"/>
    <w:rsid w:val="7FE8C8F7"/>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E1E1D"/>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5">
    <w:name w:val="heading 1"/>
    <w:basedOn w:val="1"/>
    <w:next w:val="1"/>
    <w:qFormat/>
    <w:uiPriority w:val="0"/>
    <w:pPr>
      <w:spacing w:line="700" w:lineRule="exact"/>
      <w:jc w:val="center"/>
      <w:outlineLvl w:val="0"/>
    </w:pPr>
    <w:rPr>
      <w:rFonts w:ascii="Times New Roman" w:hAnsi="Times New Roman" w:eastAsia="方正小标宋简体"/>
      <w:bCs/>
      <w:kern w:val="44"/>
      <w:sz w:val="44"/>
      <w:szCs w:val="44"/>
    </w:rPr>
  </w:style>
  <w:style w:type="paragraph" w:styleId="6">
    <w:name w:val="heading 2"/>
    <w:basedOn w:val="1"/>
    <w:next w:val="1"/>
    <w:qFormat/>
    <w:uiPriority w:val="0"/>
    <w:pPr>
      <w:outlineLvl w:val="1"/>
    </w:pPr>
    <w:rPr>
      <w:rFonts w:ascii="Times New Roman" w:hAnsi="Times New Roman" w:eastAsia="黑体"/>
      <w:bCs/>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7">
    <w:name w:val="Normal Indent"/>
    <w:basedOn w:val="1"/>
    <w:qFormat/>
    <w:uiPriority w:val="0"/>
    <w:pPr>
      <w:ind w:firstLine="420" w:firstLineChars="200"/>
    </w:pPr>
  </w:style>
  <w:style w:type="paragraph" w:styleId="8">
    <w:name w:val="index 6"/>
    <w:basedOn w:val="1"/>
    <w:next w:val="1"/>
    <w:qFormat/>
    <w:uiPriority w:val="0"/>
    <w:pPr>
      <w:widowControl w:val="0"/>
      <w:ind w:left="2100"/>
      <w:jc w:val="both"/>
    </w:pPr>
    <w:rPr>
      <w:rFonts w:ascii="Calibri" w:hAnsi="Calibri" w:eastAsia="宋体" w:cs="Times New Roman"/>
      <w:kern w:val="2"/>
      <w:sz w:val="21"/>
      <w:lang w:val="en-US" w:eastAsia="zh-CN" w:bidi="ar-SA"/>
    </w:rPr>
  </w:style>
  <w:style w:type="paragraph" w:styleId="9">
    <w:name w:val="Body Text"/>
    <w:basedOn w:val="1"/>
    <w:next w:val="1"/>
    <w:qFormat/>
    <w:uiPriority w:val="0"/>
    <w:pPr>
      <w:spacing w:after="120"/>
    </w:pPr>
  </w:style>
  <w:style w:type="paragraph" w:styleId="10">
    <w:name w:val="Balloon Text"/>
    <w:basedOn w:val="1"/>
    <w:link w:val="19"/>
    <w:semiHidden/>
    <w:unhideWhenUsed/>
    <w:qFormat/>
    <w:uiPriority w:val="99"/>
    <w:rPr>
      <w:sz w:val="18"/>
      <w:szCs w:val="18"/>
    </w:rPr>
  </w:style>
  <w:style w:type="paragraph" w:styleId="11">
    <w:name w:val="footer"/>
    <w:basedOn w:val="1"/>
    <w:link w:val="16"/>
    <w:unhideWhenUsed/>
    <w:qFormat/>
    <w:uiPriority w:val="99"/>
    <w:pPr>
      <w:tabs>
        <w:tab w:val="center" w:pos="4153"/>
        <w:tab w:val="right" w:pos="8306"/>
      </w:tabs>
      <w:snapToGrid w:val="0"/>
      <w:jc w:val="left"/>
    </w:pPr>
    <w:rPr>
      <w:sz w:val="18"/>
      <w:szCs w:val="18"/>
    </w:rPr>
  </w:style>
  <w:style w:type="paragraph" w:styleId="12">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5">
    <w:name w:val="页眉 Char"/>
    <w:basedOn w:val="14"/>
    <w:link w:val="12"/>
    <w:qFormat/>
    <w:uiPriority w:val="99"/>
    <w:rPr>
      <w:sz w:val="18"/>
      <w:szCs w:val="18"/>
    </w:rPr>
  </w:style>
  <w:style w:type="character" w:customStyle="1" w:styleId="16">
    <w:name w:val="页脚 Char"/>
    <w:basedOn w:val="14"/>
    <w:link w:val="11"/>
    <w:qFormat/>
    <w:uiPriority w:val="99"/>
    <w:rPr>
      <w:sz w:val="18"/>
      <w:szCs w:val="18"/>
    </w:rPr>
  </w:style>
  <w:style w:type="paragraph" w:customStyle="1" w:styleId="17">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8">
    <w:name w:val="List Paragraph"/>
    <w:basedOn w:val="1"/>
    <w:qFormat/>
    <w:uiPriority w:val="34"/>
    <w:pPr>
      <w:ind w:firstLine="420" w:firstLineChars="200"/>
    </w:pPr>
  </w:style>
  <w:style w:type="character" w:customStyle="1" w:styleId="19">
    <w:name w:val="批注框文本 Char"/>
    <w:basedOn w:val="14"/>
    <w:link w:val="10"/>
    <w:semiHidden/>
    <w:qFormat/>
    <w:uiPriority w:val="99"/>
    <w:rPr>
      <w:sz w:val="18"/>
      <w:szCs w:val="18"/>
    </w:rPr>
  </w:style>
  <w:style w:type="character" w:customStyle="1" w:styleId="20">
    <w:name w:val="font01"/>
    <w:basedOn w:val="14"/>
    <w:qFormat/>
    <w:uiPriority w:val="0"/>
    <w:rPr>
      <w:rFonts w:hint="eastAsia" w:ascii="宋体" w:hAnsi="宋体" w:eastAsia="宋体" w:cs="宋体"/>
      <w:color w:val="000000"/>
      <w:sz w:val="22"/>
      <w:szCs w:val="22"/>
      <w:u w:val="none"/>
    </w:rPr>
  </w:style>
  <w:style w:type="character" w:customStyle="1" w:styleId="21">
    <w:name w:val="font21"/>
    <w:basedOn w:val="14"/>
    <w:qFormat/>
    <w:uiPriority w:val="0"/>
    <w:rPr>
      <w:rFonts w:hint="eastAsia" w:ascii="宋体" w:hAnsi="宋体" w:eastAsia="宋体" w:cs="宋体"/>
      <w:color w:val="000000"/>
      <w:sz w:val="24"/>
      <w:szCs w:val="24"/>
      <w:u w:val="none"/>
    </w:rPr>
  </w:style>
  <w:style w:type="character" w:customStyle="1" w:styleId="22">
    <w:name w:val="font11"/>
    <w:basedOn w:val="14"/>
    <w:qFormat/>
    <w:uiPriority w:val="0"/>
    <w:rPr>
      <w:rFonts w:hint="eastAsia" w:ascii="宋体" w:hAnsi="宋体" w:eastAsia="宋体" w:cs="宋体"/>
      <w:color w:val="000000"/>
      <w:sz w:val="24"/>
      <w:szCs w:val="24"/>
      <w:u w:val="none"/>
    </w:rPr>
  </w:style>
  <w:style w:type="paragraph" w:customStyle="1" w:styleId="23">
    <w:name w:val="列出段落1"/>
    <w:qFormat/>
    <w:uiPriority w:val="0"/>
    <w:pPr>
      <w:widowControl w:val="0"/>
      <w:adjustRightInd/>
      <w:snapToGrid/>
      <w:spacing w:line="360" w:lineRule="auto"/>
      <w:ind w:firstLine="420" w:firstLineChars="200"/>
      <w:jc w:val="both"/>
    </w:pPr>
    <w:rPr>
      <w:rFonts w:ascii="Calibri" w:hAnsi="Calibri"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1463</Words>
  <Characters>8342</Characters>
  <Lines>69</Lines>
  <Paragraphs>19</Paragraphs>
  <TotalTime>0</TotalTime>
  <ScaleCrop>false</ScaleCrop>
  <LinksUpToDate>false</LinksUpToDate>
  <CharactersWithSpaces>9786</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2025-08-18T18:17:00Z</dcterms:created>
  <dc:creator>李航 null</dc:creator>
  <cp:lastModifiedBy>lenovo</cp:lastModifiedBy>
  <cp:lastPrinted>2024-08-09T02:20:00Z</cp:lastPrinted>
  <dcterms:modified xsi:type="dcterms:W3CDTF">2025-09-16T05:07:21Z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BB7B6AA21D207914D6FDA268992A22D6</vt:lpwstr>
  </property>
</Properties>
</file>