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rFonts w:hAnsi="黑体"/>
          <w:sz w:val="36"/>
          <w:szCs w:val="36"/>
        </w:rPr>
      </w:pPr>
    </w:p>
    <w:p>
      <w:pPr>
        <w:pStyle w:val="15"/>
        <w:jc w:val="center"/>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rPr>
        <w:t>湖南省农村能源技术推广站</w:t>
      </w:r>
      <w:r>
        <w:rPr>
          <w:rFonts w:ascii="Times New Roman" w:hAnsi="Times New Roman" w:eastAsia="方正小标宋简体" w:cs="Times New Roman"/>
          <w:sz w:val="72"/>
          <w:szCs w:val="72"/>
        </w:rPr>
        <w:t>部门决算</w:t>
      </w:r>
    </w:p>
    <w:p>
      <w:pPr>
        <w:pStyle w:val="15"/>
        <w:jc w:val="center"/>
        <w:rPr>
          <w:rFonts w:ascii="Times New Roman" w:hAnsi="Times New Roman" w:eastAsia="方正小标宋_GBK" w:cs="Times New Roman"/>
          <w:sz w:val="56"/>
          <w:szCs w:val="56"/>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jc w:val="center"/>
        <w:rPr>
          <w:rFonts w:ascii="Times New Roman" w:hAnsi="Times New Roman" w:cs="Times New Roman"/>
          <w:sz w:val="32"/>
          <w:szCs w:val="32"/>
        </w:rPr>
      </w:pPr>
    </w:p>
    <w:p>
      <w:pPr>
        <w:pStyle w:val="15"/>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 单位概况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湖南省农村能源技术推广站单位</w:t>
      </w:r>
      <w:r>
        <w:rPr>
          <w:rFonts w:ascii="Times New Roman" w:hAnsi="Times New Roman" w:eastAsia="仿宋_GB2312" w:cs="Times New Roman"/>
          <w:sz w:val="32"/>
          <w:szCs w:val="32"/>
        </w:rPr>
        <w:t>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0"/>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w:t>
      </w:r>
      <w:bookmarkStart w:id="16" w:name="_GoBack"/>
      <w:bookmarkEnd w:id="16"/>
      <w:r>
        <w:rPr>
          <w:rFonts w:ascii="Times New Roman" w:hAnsi="Times New Roman" w:eastAsia="方正小标宋_GBK" w:cs="Times New Roman"/>
          <w:sz w:val="52"/>
          <w:szCs w:val="52"/>
        </w:rPr>
        <w:t>分</w:t>
      </w:r>
    </w:p>
    <w:p>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湖南省农村能源技术推广站</w:t>
      </w:r>
      <w:r>
        <w:rPr>
          <w:rFonts w:ascii="Times New Roman" w:hAnsi="Times New Roman" w:eastAsia="方正小标宋_GBK" w:cs="Times New Roman"/>
          <w:sz w:val="52"/>
          <w:szCs w:val="52"/>
        </w:rPr>
        <w:t>概况</w:t>
      </w:r>
    </w:p>
    <w:p>
      <w:pPr>
        <w:pStyle w:val="6"/>
        <w:ind w:left="0" w:leftChars="0" w:firstLine="0" w:firstLineChars="0"/>
        <w:rPr>
          <w:rFonts w:ascii="Times New Roman" w:hAnsi="Times New Roman" w:cs="Times New Roman"/>
        </w:rPr>
      </w:pPr>
    </w:p>
    <w:p>
      <w:pPr>
        <w:pStyle w:val="16"/>
        <w:spacing w:line="600"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承担我省农村能源科研、新技术引进；试点示范推广等任务。</w:t>
      </w:r>
    </w:p>
    <w:p>
      <w:pPr>
        <w:widowControl/>
        <w:spacing w:line="600" w:lineRule="exact"/>
        <w:ind w:firstLine="640" w:firstLineChars="200"/>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rPr>
        <w:t>我站为正科级二类事业单位，单位未设置内设机构，人员编制</w:t>
      </w:r>
      <w:r>
        <w:rPr>
          <w:rFonts w:hint="eastAsia" w:ascii="Times New Roman" w:hAnsi="Times New Roman" w:eastAsia="仿宋_GB2312" w:cs="Times New Roman"/>
          <w:bCs/>
          <w:kern w:val="0"/>
          <w:sz w:val="32"/>
          <w:szCs w:val="32"/>
          <w:lang w:val="en-US" w:eastAsia="zh-CN"/>
        </w:rPr>
        <w:t>6</w:t>
      </w:r>
      <w:r>
        <w:rPr>
          <w:rFonts w:hint="eastAsia" w:ascii="Times New Roman" w:hAnsi="Times New Roman" w:eastAsia="仿宋_GB2312" w:cs="Times New Roman"/>
          <w:bCs/>
          <w:kern w:val="0"/>
          <w:sz w:val="32"/>
          <w:szCs w:val="32"/>
        </w:rPr>
        <w:t>人，现有在职员工</w:t>
      </w:r>
      <w:r>
        <w:rPr>
          <w:rFonts w:hint="eastAsia" w:ascii="Times New Roman" w:hAnsi="Times New Roman" w:eastAsia="仿宋_GB2312" w:cs="Times New Roman"/>
          <w:bCs/>
          <w:kern w:val="0"/>
          <w:sz w:val="32"/>
          <w:szCs w:val="32"/>
          <w:lang w:val="en-US" w:eastAsia="zh-CN"/>
        </w:rPr>
        <w:t>4</w:t>
      </w:r>
      <w:r>
        <w:rPr>
          <w:rFonts w:hint="eastAsia" w:ascii="Times New Roman" w:hAnsi="Times New Roman" w:eastAsia="仿宋_GB2312" w:cs="Times New Roman"/>
          <w:bCs/>
          <w:kern w:val="0"/>
          <w:sz w:val="32"/>
          <w:szCs w:val="32"/>
        </w:rPr>
        <w:t>人。</w:t>
      </w:r>
    </w:p>
    <w:p>
      <w:pPr>
        <w:widowControl/>
        <w:spacing w:line="600" w:lineRule="exact"/>
        <w:ind w:firstLine="640" w:firstLineChars="200"/>
        <w:rPr>
          <w:rFonts w:hint="eastAsia" w:ascii="Times New Roman" w:hAnsi="Times New Roman" w:eastAsia="仿宋_GB2312" w:cs="Times New Roman"/>
          <w:bCs/>
          <w:kern w:val="0"/>
          <w:sz w:val="32"/>
          <w:szCs w:val="32"/>
          <w:lang w:eastAsia="zh-CN"/>
        </w:rPr>
      </w:pPr>
      <w:r>
        <w:rPr>
          <w:rFonts w:ascii="Times New Roman" w:hAnsi="Times New Roman" w:eastAsia="仿宋_GB2312" w:cs="Times New Roman"/>
          <w:bCs/>
          <w:kern w:val="0"/>
          <w:sz w:val="32"/>
          <w:szCs w:val="32"/>
        </w:rPr>
        <w:t>（二）决算单位构成。湖南省农村能源技术推广站2024年部门决算汇总公开单位构成包括：湖南省农村能源技术推广站本级</w:t>
      </w:r>
      <w:r>
        <w:rPr>
          <w:rFonts w:hint="eastAsia" w:ascii="Times New Roman" w:hAnsi="Times New Roman" w:eastAsia="仿宋_GB2312" w:cs="Times New Roman"/>
          <w:bCs/>
          <w:kern w:val="0"/>
          <w:sz w:val="32"/>
          <w:szCs w:val="32"/>
          <w:lang w:eastAsia="zh-CN"/>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10"/>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部门：湖南省农村能源技术推广站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5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709"/>
        <w:gridCol w:w="742"/>
        <w:gridCol w:w="1097"/>
        <w:gridCol w:w="3324"/>
        <w:gridCol w:w="461"/>
        <w:gridCol w:w="3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7548" w:type="dxa"/>
            <w:gridSpan w:val="3"/>
            <w:tcBorders>
              <w:top w:val="single" w:color="D4D4D4" w:sz="4" w:space="0"/>
              <w:left w:val="single" w:color="D4D4D4" w:sz="4" w:space="0"/>
              <w:bottom w:val="nil"/>
              <w:right w:val="single" w:color="D4D4D4"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011" w:type="dxa"/>
            <w:gridSpan w:val="3"/>
            <w:tcBorders>
              <w:top w:val="single" w:color="D4D4D4" w:sz="4" w:space="0"/>
              <w:left w:val="single" w:color="D4D4D4" w:sz="4" w:space="0"/>
              <w:bottom w:val="nil"/>
              <w:right w:val="single" w:color="D4D4D4"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39.97</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105.49</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7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105.49</w:t>
            </w:r>
          </w:p>
        </w:tc>
        <w:tc>
          <w:tcPr>
            <w:tcW w:w="33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2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105.49</w:t>
            </w:r>
          </w:p>
        </w:tc>
      </w:tr>
    </w:tbl>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both"/>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hint="eastAsia" w:ascii="Times New Roman" w:hAnsi="Times New Roman" w:eastAsia="仿宋_GB2312" w:cs="Times New Roman"/>
          <w:sz w:val="24"/>
          <w:szCs w:val="24"/>
          <w:lang w:val="en-US" w:eastAsia="zh-CN"/>
        </w:rPr>
        <w:t xml:space="preserve"> </w:t>
      </w:r>
      <w:r>
        <w:rPr>
          <w:rFonts w:ascii="Times New Roman" w:hAnsi="Times New Roman" w:eastAsia="仿宋_GB2312" w:cs="Times New Roman"/>
          <w:color w:val="000000"/>
          <w:sz w:val="20"/>
          <w:szCs w:val="20"/>
        </w:rPr>
        <w:t>单位：万元</w:t>
      </w:r>
    </w:p>
    <w:tbl>
      <w:tblPr>
        <w:tblStyle w:val="11"/>
        <w:tblW w:w="15456" w:type="dxa"/>
        <w:tblInd w:w="-48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4087"/>
        <w:gridCol w:w="1649"/>
        <w:gridCol w:w="1649"/>
        <w:gridCol w:w="1449"/>
        <w:gridCol w:w="1114"/>
        <w:gridCol w:w="1300"/>
        <w:gridCol w:w="1649"/>
        <w:gridCol w:w="1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9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08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0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08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99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1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99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105.49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65.51</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39.97</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95.62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39.97</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95.62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39.97</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95.62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39.97</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0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1"/>
        <w:tblW w:w="144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42"/>
        <w:gridCol w:w="3603"/>
        <w:gridCol w:w="1648"/>
        <w:gridCol w:w="1648"/>
        <w:gridCol w:w="1428"/>
        <w:gridCol w:w="1428"/>
        <w:gridCol w:w="1328"/>
        <w:gridCol w:w="13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96.06</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96.06</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86.19</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204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64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1"/>
        <w:tblW w:w="15209" w:type="dxa"/>
        <w:tblInd w:w="-34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100"/>
        <w:gridCol w:w="523"/>
        <w:gridCol w:w="1438"/>
        <w:gridCol w:w="4475"/>
        <w:gridCol w:w="512"/>
        <w:gridCol w:w="764"/>
        <w:gridCol w:w="1414"/>
        <w:gridCol w:w="1193"/>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6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148"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1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4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79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4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1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43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44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65.51</w:t>
            </w: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11"/>
        <w:tblW w:w="14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99"/>
        <w:gridCol w:w="4900"/>
        <w:gridCol w:w="2469"/>
        <w:gridCol w:w="2369"/>
        <w:gridCol w:w="2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7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9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4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5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7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7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6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69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65.51</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65.51</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4.15</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2130104</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事业运行</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55.64</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3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5.72</w:t>
            </w:r>
          </w:p>
        </w:tc>
        <w:tc>
          <w:tcPr>
            <w:tcW w:w="25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1"/>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65.51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19.09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4.04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1.15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14.48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5.99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4.15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4.59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1"/>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65.51</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0.00</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部门：湖南省农村能源技术推广站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部门：湖南省农村能源技术推广站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0"/>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ascii="Times New Roman" w:hAnsi="Times New Roman" w:eastAsia="仿宋_GB2312" w:cs="Times New Roman"/>
          <w:color w:val="000000"/>
          <w:kern w:val="0"/>
          <w:sz w:val="20"/>
          <w:szCs w:val="20"/>
          <w:lang w:bidi="ar"/>
        </w:rPr>
        <w:t>湖南省农村能源技术推广站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1"/>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2"/>
              </w:rPr>
            </w:pP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w:t>
      </w:r>
      <w:r>
        <w:rPr>
          <w:rFonts w:hint="eastAsia" w:ascii="Times New Roman" w:hAnsi="Times New Roman" w:eastAsia="楷体_GB2312" w:cs="Times New Roman"/>
          <w:b/>
          <w:bCs/>
          <w:kern w:val="0"/>
          <w:sz w:val="24"/>
          <w:szCs w:val="24"/>
          <w:lang w:val="en-US" w:eastAsia="zh-CN" w:bidi="ar"/>
        </w:rPr>
        <w:t>财政拨款“三公”经费</w:t>
      </w:r>
      <w:r>
        <w:rPr>
          <w:rFonts w:ascii="Times New Roman" w:hAnsi="Times New Roman" w:eastAsia="楷体_GB2312" w:cs="Times New Roman"/>
          <w:b/>
          <w:bCs/>
          <w:kern w:val="0"/>
          <w:sz w:val="24"/>
          <w:szCs w:val="24"/>
          <w:lang w:bidi="ar"/>
        </w:rPr>
        <w:t>预算安排的支出，故本表无数据。</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105.49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23.29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18.09</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上年结转结余减少。</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105.49</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65.61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62.10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39.97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37.90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0.01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96.06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96.06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万元，与上年相比，增加</w:t>
      </w:r>
      <w:r>
        <w:rPr>
          <w:rFonts w:hint="eastAsia" w:ascii="Times New Roman" w:hAnsi="Times New Roman" w:eastAsia="仿宋_GB2312" w:cs="Times New Roman"/>
          <w:sz w:val="32"/>
          <w:szCs w:val="32"/>
          <w:lang w:val="en-US" w:eastAsia="zh-CN"/>
        </w:rPr>
        <w:t>1.62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2.48</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在职人员工资提标，人员经费略有增加。</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68.20</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1.62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2.48</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在职人员工资提标人员经费略有增加。</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lang w:val="en-US" w:eastAsia="zh-CN"/>
        </w:rPr>
        <w:t>社会保障与就业</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4.15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6.33</w:t>
      </w:r>
      <w:r>
        <w:rPr>
          <w:rFonts w:ascii="Times New Roman" w:hAnsi="Times New Roman" w:eastAsia="仿宋_GB2312" w:cs="Times New Roman"/>
          <w:sz w:val="32"/>
          <w:szCs w:val="32"/>
        </w:rPr>
        <w:t>%；</w:t>
      </w:r>
      <w:r>
        <w:rPr>
          <w:rFonts w:hint="eastAsia" w:ascii="Times New Roman" w:hAnsi="Times New Roman" w:eastAsia="仿宋_GB2312"/>
          <w:sz w:val="32"/>
          <w:szCs w:val="32"/>
        </w:rPr>
        <w:t>农林水</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55.64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84.80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5.72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8.72</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65.61</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65.61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机关事业单位基本养老保险缴费</w:t>
      </w:r>
      <w:r>
        <w:rPr>
          <w:rFonts w:ascii="Times New Roman" w:hAnsi="Times New Roman" w:eastAsia="仿宋_GB2312" w:cs="Times New Roman"/>
          <w:sz w:val="32"/>
          <w:szCs w:val="32"/>
        </w:rPr>
        <w:t>（项）。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4.15</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4.15</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p>
    <w:p>
      <w:pPr>
        <w:pStyle w:val="15"/>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ascii="Times New Roman" w:hAnsi="Times New Roman" w:eastAsia="仿宋_GB2312" w:cs="Times New Roman"/>
          <w:sz w:val="32"/>
          <w:szCs w:val="32"/>
        </w:rPr>
        <w:t>2、</w:t>
      </w:r>
      <w:r>
        <w:rPr>
          <w:rFonts w:hint="eastAsia" w:ascii="Times New Roman" w:hAnsi="Times New Roman" w:eastAsia="仿宋_GB2312"/>
          <w:color w:val="auto"/>
          <w:sz w:val="32"/>
          <w:szCs w:val="32"/>
        </w:rPr>
        <w:t>农林水（类）农业农村（款）事业运行（项）。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55.64</w:t>
      </w:r>
      <w:r>
        <w:rPr>
          <w:rFonts w:hint="eastAsia" w:ascii="Times New Roman" w:hAnsi="Times New Roman" w:eastAsia="仿宋_GB2312"/>
          <w:color w:val="auto"/>
          <w:sz w:val="32"/>
          <w:szCs w:val="32"/>
        </w:rPr>
        <w:t>万元，支出决算为5</w:t>
      </w:r>
      <w:r>
        <w:rPr>
          <w:rFonts w:hint="eastAsia" w:ascii="Times New Roman" w:hAnsi="Times New Roman" w:eastAsia="仿宋_GB2312"/>
          <w:color w:val="auto"/>
          <w:sz w:val="32"/>
          <w:szCs w:val="32"/>
          <w:lang w:val="en-US" w:eastAsia="zh-CN"/>
        </w:rPr>
        <w:t>5.64</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p>
    <w:p>
      <w:pPr>
        <w:pStyle w:val="15"/>
        <w:keepNext w:val="0"/>
        <w:keepLines w:val="0"/>
        <w:pageBreakBefore w:val="0"/>
        <w:widowControl w:val="0"/>
        <w:kinsoku/>
        <w:wordWrap/>
        <w:overflowPunct/>
        <w:topLinePunct w:val="0"/>
        <w:bidi w:val="0"/>
        <w:snapToGrid/>
        <w:spacing w:line="360" w:lineRule="auto"/>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住房保障（类）住房改革（款）住房公积金（项）。</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5.72</w:t>
      </w:r>
      <w:r>
        <w:rPr>
          <w:rFonts w:hint="eastAsia" w:ascii="Times New Roman" w:hAnsi="Times New Roman" w:eastAsia="仿宋_GB2312"/>
          <w:color w:val="auto"/>
          <w:sz w:val="32"/>
          <w:szCs w:val="32"/>
        </w:rPr>
        <w:t>万元，支出决算为5</w:t>
      </w:r>
      <w:r>
        <w:rPr>
          <w:rFonts w:hint="eastAsia" w:ascii="Times New Roman" w:hAnsi="Times New Roman" w:eastAsia="仿宋_GB2312"/>
          <w:color w:val="auto"/>
          <w:sz w:val="32"/>
          <w:szCs w:val="32"/>
          <w:lang w:val="en-US" w:eastAsia="zh-CN"/>
        </w:rPr>
        <w:t>.72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%,主要包括基本工资、津贴补贴、</w:t>
      </w:r>
      <w:r>
        <w:rPr>
          <w:rFonts w:hint="eastAsia" w:ascii="Times New Roman" w:hAnsi="Times New Roman" w:eastAsia="仿宋_GB2312" w:cs="Times New Roman"/>
          <w:sz w:val="32"/>
          <w:szCs w:val="32"/>
        </w:rPr>
        <w:t xml:space="preserve"> 绩效工资</w:t>
      </w:r>
      <w:r>
        <w:rPr>
          <w:rFonts w:ascii="Times New Roman" w:hAnsi="Times New Roman" w:eastAsia="仿宋_GB2312" w:cs="Times New Roman"/>
          <w:sz w:val="32"/>
          <w:szCs w:val="32"/>
        </w:rPr>
        <w:t>、伙食补助费</w:t>
      </w:r>
      <w:r>
        <w:rPr>
          <w:rFonts w:hint="eastAsia" w:ascii="Times New Roman" w:hAnsi="Times New Roman" w:eastAsia="仿宋_GB2312" w:cs="Times New Roman"/>
          <w:sz w:val="32"/>
          <w:szCs w:val="32"/>
          <w:lang w:eastAsia="zh-CN"/>
        </w:rPr>
        <w:t>、机关事业单位基本养老保险缴费、职工基本医疗保险缴费、其他社会保障缴费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w:t>
      </w:r>
      <w:r>
        <w:rPr>
          <w:rFonts w:hint="eastAsia" w:ascii="Times New Roman" w:hAnsi="Times New Roman" w:eastAsia="仿宋_GB2312" w:cs="Times New Roman"/>
          <w:sz w:val="32"/>
          <w:szCs w:val="32"/>
          <w:lang w:val="en-US" w:eastAsia="zh-CN"/>
        </w:rPr>
        <w:t>上年持平</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2024年</w:t>
      </w:r>
      <w:r>
        <w:rPr>
          <w:rFonts w:ascii="Times New Roman" w:hAnsi="Times New Roman" w:eastAsia="仿宋_GB2312" w:cs="Times New Roman"/>
          <w:sz w:val="32"/>
          <w:szCs w:val="32"/>
        </w:rPr>
        <w:t>本单位无政府性基金收支</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w:t>
      </w:r>
      <w:r>
        <w:rPr>
          <w:rFonts w:hint="eastAsia" w:ascii="Times New Roman" w:hAnsi="Times New Roman" w:eastAsia="仿宋_GB2312" w:cs="Times New Roman"/>
          <w:sz w:val="32"/>
          <w:szCs w:val="32"/>
          <w:lang w:val="en-US" w:eastAsia="zh-CN"/>
        </w:rPr>
        <w:t>出0</w:t>
      </w:r>
      <w:r>
        <w:rPr>
          <w:rFonts w:ascii="Times New Roman" w:hAnsi="Times New Roman" w:eastAsia="仿宋_GB2312" w:cs="Times New Roman"/>
          <w:sz w:val="32"/>
          <w:szCs w:val="32"/>
        </w:rPr>
        <w:t>万元，比上年决算数</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万元；开支培训费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组织对2024年度单位</w:t>
      </w:r>
      <w:r>
        <w:rPr>
          <w:rFonts w:hint="eastAsia" w:ascii="Times New Roman" w:hAnsi="Times New Roman" w:eastAsia="仿宋_GB2312" w:cs="Times New Roman"/>
          <w:kern w:val="0"/>
          <w:sz w:val="32"/>
          <w:szCs w:val="32"/>
          <w:lang w:val="en-US" w:eastAsia="zh-CN"/>
        </w:rPr>
        <w:t>整</w:t>
      </w:r>
      <w:r>
        <w:rPr>
          <w:rFonts w:ascii="Times New Roman" w:hAnsi="Times New Roman" w:eastAsia="仿宋_GB2312" w:cs="Times New Roman"/>
          <w:kern w:val="0"/>
          <w:sz w:val="32"/>
          <w:szCs w:val="32"/>
        </w:rPr>
        <w:t>体支出开展绩效自评，涉及项目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spacing w:line="600" w:lineRule="exact"/>
        <w:ind w:firstLine="640" w:firstLineChars="200"/>
        <w:rPr>
          <w:rFonts w:hint="eastAsia" w:eastAsia="仿宋_GB2312"/>
          <w:sz w:val="32"/>
          <w:szCs w:val="32"/>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65.51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eastAsia="仿宋_GB2312"/>
          <w:color w:val="000000"/>
          <w:sz w:val="32"/>
          <w:szCs w:val="32"/>
          <w:lang w:val="en-US" w:eastAsia="zh-CN"/>
        </w:rPr>
        <w:t>开展农村沼气“安全生产月”活动。根据农业农村部生态总站通知的要求，2024年6月，协助资源处积极组织全省14个市州认真开展开展农村沼气“安全生产月”活动，现场开展农村沼气设施现场安全处置示范，并积极宣传农村沼气安全生产知识，让大家思想上高度警醒，并且做到七个清楚：清楚自己的职责、清楚自己的任务、清楚自己分管工作的风险隐患、清楚每一项工作用什么样的措施办法才有效、清楚各项工作的技术路径、清楚和熟悉每一项工作的进展情况、清楚不履行职责将要承担什么样的后果</w:t>
      </w:r>
      <w:r>
        <w:rPr>
          <w:rFonts w:ascii="Times New Roman" w:hAnsi="Times New Roman" w:eastAsia="仿宋_GB2312" w:cs="Times New Roman"/>
          <w:sz w:val="32"/>
          <w:szCs w:val="32"/>
        </w:rPr>
        <w:t>；二是</w:t>
      </w:r>
      <w:r>
        <w:rPr>
          <w:rFonts w:hint="eastAsia" w:eastAsia="仿宋_GB2312"/>
          <w:color w:val="000000"/>
          <w:sz w:val="32"/>
          <w:szCs w:val="32"/>
          <w:lang w:val="en-US" w:eastAsia="zh-CN"/>
        </w:rPr>
        <w:t>协助举办沼气安全生产培训班。2024年3月、7月，12月，分别赴湘潭市、衡阳市、常德市参加了各地举办的大中型沼气工程安全生产操作培训班并授课。10月份应厅办公室的邀请在农广校参加农业生产安全培训班并授课。培训期间我们组织参会人员现场开展农村沼气安全处置示范。通过现场讲解和与会人员互动，增强大家对沼气相关知识的理解和记忆、提升业务能力，并充分认识到“安全无小事，责任大于天”。</w:t>
      </w:r>
    </w:p>
    <w:p>
      <w:pPr>
        <w:widowControl/>
        <w:spacing w:line="600" w:lineRule="exact"/>
        <w:ind w:firstLine="645"/>
        <w:jc w:val="left"/>
        <w:rPr>
          <w:rFonts w:hint="eastAsia" w:eastAsia="仿宋_GB2312"/>
          <w:color w:val="auto"/>
          <w:sz w:val="32"/>
          <w:szCs w:val="32"/>
          <w:lang w:val="en-US" w:eastAsia="zh-CN"/>
        </w:rPr>
      </w:pPr>
      <w:r>
        <w:rPr>
          <w:rFonts w:ascii="Times New Roman" w:hAnsi="Times New Roman" w:eastAsia="楷体_GB2312" w:cs="Times New Roman"/>
          <w:b/>
          <w:bCs/>
          <w:color w:val="auto"/>
          <w:kern w:val="2"/>
          <w:sz w:val="32"/>
          <w:szCs w:val="32"/>
        </w:rPr>
        <w:t>（三）评价结果应用情况。</w:t>
      </w:r>
      <w:r>
        <w:rPr>
          <w:rFonts w:hint="eastAsia" w:eastAsia="仿宋_GB2312"/>
          <w:color w:val="auto"/>
          <w:sz w:val="32"/>
          <w:szCs w:val="32"/>
          <w:lang w:val="en-US" w:eastAsia="zh-CN"/>
        </w:rPr>
        <w:t>我站将对评价中发现的问题，及时进行督促整改。加强预算管理意识，严格按照预算编制的相关制度和要求，结合年度收支计划，科学编制预算，遵循预算管理办法。</w:t>
      </w:r>
    </w:p>
    <w:p>
      <w:pPr>
        <w:pStyle w:val="15"/>
        <w:overflowPunct w:val="0"/>
        <w:autoSpaceDE/>
        <w:autoSpaceDN/>
        <w:spacing w:line="600" w:lineRule="exact"/>
        <w:ind w:firstLine="1440" w:firstLineChars="200"/>
        <w:jc w:val="both"/>
        <w:rPr>
          <w:rFonts w:ascii="Times New Roman" w:hAnsi="Times New Roman" w:eastAsia="仿宋_GB2312" w:cs="Times New Roman"/>
          <w:color w:val="auto"/>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5"/>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5"/>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5"/>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w:t>
      </w:r>
      <w:r>
        <w:rPr>
          <w:rFonts w:hint="eastAsia" w:ascii="仿宋" w:hAnsi="仿宋" w:eastAsia="仿宋"/>
          <w:bCs/>
          <w:sz w:val="32"/>
          <w:szCs w:val="32"/>
          <w:lang w:eastAsia="zh-CN"/>
        </w:rPr>
        <w:t>”</w:t>
      </w:r>
      <w:r>
        <w:rPr>
          <w:rFonts w:hint="eastAsia" w:ascii="仿宋" w:hAnsi="仿宋" w:eastAsia="仿宋"/>
          <w:bCs/>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eastAsia="zh-CN"/>
          <w14:textFill>
            <w14:solidFill>
              <w14:schemeClr w14:val="tx1"/>
            </w14:solidFill>
          </w14:textFill>
        </w:rPr>
        <w:t>（</w:t>
      </w: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5"/>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pStyle w:val="2"/>
        <w:rPr>
          <w:rFonts w:ascii="Times New Roman" w:hAnsi="Times New Roman" w:cs="Times New Roman"/>
          <w:color w:val="000000"/>
          <w:kern w:val="0"/>
          <w:sz w:val="32"/>
          <w:szCs w:val="32"/>
        </w:rPr>
      </w:pPr>
    </w:p>
    <w:p>
      <w:pPr>
        <w:rPr>
          <w:rFonts w:ascii="Times New Roman" w:hAnsi="Times New Roman" w:cs="Times New Roman"/>
          <w:color w:val="000000"/>
          <w:kern w:val="0"/>
          <w:sz w:val="32"/>
          <w:szCs w:val="32"/>
        </w:rPr>
      </w:pPr>
    </w:p>
    <w:p>
      <w:pPr>
        <w:spacing w:line="600" w:lineRule="exact"/>
        <w:rPr>
          <w:rFonts w:eastAsia="黑体"/>
          <w:kern w:val="0"/>
          <w:sz w:val="32"/>
          <w:szCs w:val="32"/>
        </w:rPr>
      </w:pPr>
    </w:p>
    <w:p>
      <w:pPr>
        <w:spacing w:line="600" w:lineRule="exact"/>
        <w:rPr>
          <w:rFonts w:eastAsia="黑体"/>
          <w:kern w:val="0"/>
          <w:sz w:val="32"/>
          <w:szCs w:val="32"/>
        </w:rPr>
      </w:pPr>
    </w:p>
    <w:p>
      <w:pPr>
        <w:jc w:val="center"/>
        <w:rPr>
          <w:rFonts w:hint="eastAsia" w:eastAsia="方正小标宋_GBK"/>
          <w:sz w:val="48"/>
          <w:szCs w:val="48"/>
          <w:lang w:val="en-US" w:eastAsia="zh-CN"/>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w:t>
      </w:r>
      <w:bookmarkStart w:id="3" w:name="_Toc155192031"/>
      <w:r>
        <w:rPr>
          <w:rFonts w:hint="eastAsia" w:eastAsia="方正小标宋_GBK"/>
          <w:sz w:val="48"/>
          <w:szCs w:val="48"/>
          <w:lang w:val="en-US" w:eastAsia="zh-CN"/>
        </w:rPr>
        <w:t>农村能源技术推广站</w:t>
      </w:r>
      <w:bookmarkEnd w:id="3"/>
    </w:p>
    <w:p>
      <w:pPr>
        <w:jc w:val="center"/>
        <w:rPr>
          <w:rFonts w:eastAsia="方正小标宋_GBK"/>
          <w:sz w:val="48"/>
          <w:szCs w:val="48"/>
        </w:rPr>
      </w:pP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r>
        <w:rPr>
          <w:rFonts w:eastAsia="黑体"/>
          <w:sz w:val="36"/>
          <w:szCs w:val="36"/>
        </w:rPr>
        <w:t>单位名称（盖章）：</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r>
        <w:rPr>
          <w:rFonts w:eastAsia="仿宋_GB2312"/>
          <w:sz w:val="32"/>
          <w:szCs w:val="32"/>
        </w:rPr>
        <w:br w:type="page"/>
      </w:r>
      <w:r>
        <w:rPr>
          <w:rFonts w:eastAsia="黑体"/>
          <w:sz w:val="32"/>
          <w:szCs w:val="32"/>
        </w:rPr>
        <w:t>一、基本情况</w:t>
      </w:r>
    </w:p>
    <w:p>
      <w:pPr>
        <w:spacing w:line="600" w:lineRule="exact"/>
        <w:ind w:firstLine="640" w:firstLineChars="200"/>
        <w:rPr>
          <w:rFonts w:eastAsia="楷体_GB2312"/>
          <w:b/>
          <w:sz w:val="32"/>
          <w:szCs w:val="32"/>
        </w:rPr>
      </w:pPr>
      <w:r>
        <w:rPr>
          <w:rFonts w:eastAsia="楷体_GB2312"/>
          <w:b/>
          <w:sz w:val="32"/>
          <w:szCs w:val="32"/>
        </w:rPr>
        <w:t>（一）单位基本情况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pPr>
        <w:widowControl/>
        <w:spacing w:line="600" w:lineRule="exact"/>
        <w:ind w:firstLine="627" w:firstLineChars="196"/>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承担我省农村能源科研、新技术引进；试点示范推广等任务。</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人员情况：</w:t>
      </w:r>
      <w:r>
        <w:rPr>
          <w:rFonts w:hint="eastAsia" w:ascii="仿宋" w:hAnsi="仿宋" w:eastAsia="仿宋" w:cs="仿宋"/>
          <w:bCs/>
          <w:sz w:val="32"/>
          <w:szCs w:val="32"/>
          <w:lang w:val="en-US" w:eastAsia="zh-CN"/>
        </w:rPr>
        <w:t>人员编制6人，</w:t>
      </w:r>
      <w:r>
        <w:rPr>
          <w:rFonts w:hint="eastAsia" w:ascii="仿宋" w:hAnsi="仿宋" w:eastAsia="仿宋" w:cs="仿宋"/>
          <w:bCs/>
          <w:sz w:val="32"/>
          <w:szCs w:val="32"/>
        </w:rPr>
        <w:t>现有在职员工</w:t>
      </w:r>
      <w:r>
        <w:rPr>
          <w:rFonts w:hint="eastAsia" w:ascii="仿宋" w:hAnsi="仿宋" w:eastAsia="仿宋" w:cs="仿宋"/>
          <w:bCs/>
          <w:sz w:val="32"/>
          <w:szCs w:val="32"/>
          <w:lang w:val="en-US" w:eastAsia="zh-CN"/>
        </w:rPr>
        <w:t>4</w:t>
      </w:r>
      <w:r>
        <w:rPr>
          <w:rFonts w:hint="eastAsia" w:ascii="仿宋" w:hAnsi="仿宋" w:eastAsia="仿宋" w:cs="仿宋"/>
          <w:bCs/>
          <w:sz w:val="32"/>
          <w:szCs w:val="32"/>
        </w:rPr>
        <w:t>人，退休人员</w:t>
      </w:r>
      <w:r>
        <w:rPr>
          <w:rFonts w:hint="eastAsia" w:ascii="仿宋" w:hAnsi="仿宋" w:eastAsia="仿宋" w:cs="仿宋"/>
          <w:bCs/>
          <w:sz w:val="32"/>
          <w:szCs w:val="32"/>
          <w:lang w:val="en-US" w:eastAsia="zh-CN"/>
        </w:rPr>
        <w:t>2</w:t>
      </w:r>
      <w:r>
        <w:rPr>
          <w:rFonts w:hint="eastAsia" w:ascii="仿宋" w:hAnsi="仿宋" w:eastAsia="仿宋" w:cs="仿宋"/>
          <w:bCs/>
          <w:sz w:val="32"/>
          <w:szCs w:val="32"/>
        </w:rPr>
        <w:t>名。</w:t>
      </w:r>
    </w:p>
    <w:p>
      <w:pPr>
        <w:spacing w:line="600" w:lineRule="exact"/>
        <w:ind w:firstLine="640" w:firstLineChars="200"/>
        <w:rPr>
          <w:rFonts w:hint="eastAsia" w:ascii="仿宋" w:hAnsi="仿宋" w:eastAsia="仿宋" w:cs="仿宋"/>
          <w:b w:val="0"/>
          <w:bCs/>
          <w:sz w:val="32"/>
          <w:szCs w:val="32"/>
        </w:rPr>
      </w:pPr>
      <w:r>
        <w:rPr>
          <w:rFonts w:eastAsia="楷体_GB2312"/>
          <w:b/>
          <w:sz w:val="32"/>
          <w:szCs w:val="32"/>
        </w:rPr>
        <w:t>（二）单位年度整体支出绩效目标</w:t>
      </w:r>
      <w:r>
        <w:rPr>
          <w:rFonts w:hint="eastAsia" w:eastAsia="楷体_GB2312"/>
          <w:b/>
          <w:sz w:val="32"/>
          <w:szCs w:val="32"/>
          <w:lang w:eastAsia="zh-CN"/>
        </w:rPr>
        <w:t>：</w:t>
      </w:r>
      <w:r>
        <w:rPr>
          <w:rFonts w:hint="eastAsia" w:ascii="仿宋" w:hAnsi="仿宋" w:eastAsia="仿宋" w:cs="仿宋"/>
          <w:bCs/>
          <w:color w:val="auto"/>
          <w:kern w:val="2"/>
          <w:sz w:val="32"/>
          <w:szCs w:val="32"/>
          <w:lang w:val="en-US" w:eastAsia="zh-CN"/>
        </w:rPr>
        <w:t>完成我省农村能源科研、新技术引进；试点示范推广等任务。</w:t>
      </w:r>
      <w:r>
        <w:rPr>
          <w:rFonts w:hint="eastAsia" w:ascii="仿宋" w:hAnsi="仿宋" w:eastAsia="仿宋" w:cs="仿宋"/>
          <w:bCs/>
          <w:color w:val="auto"/>
          <w:kern w:val="2"/>
          <w:sz w:val="32"/>
          <w:szCs w:val="32"/>
        </w:rPr>
        <w:t>　</w:t>
      </w:r>
    </w:p>
    <w:p>
      <w:pPr>
        <w:pStyle w:val="16"/>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6"/>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bookmarkStart w:id="4" w:name="OLE_LINK2"/>
      <w:r>
        <w:rPr>
          <w:rFonts w:hint="eastAsia" w:ascii="Times New Roman" w:hAnsi="Times New Roman" w:eastAsia="仿宋_GB2312"/>
          <w:sz w:val="32"/>
          <w:szCs w:val="32"/>
          <w:lang w:val="en-US" w:eastAsia="zh-CN"/>
        </w:rPr>
        <w:t>基本支出全年预算数</w:t>
      </w:r>
      <w:bookmarkStart w:id="5" w:name="OLE_LINK1"/>
      <w:r>
        <w:rPr>
          <w:rFonts w:hint="eastAsia" w:ascii="Times New Roman" w:hAnsi="Times New Roman" w:eastAsia="仿宋_GB2312"/>
          <w:sz w:val="32"/>
          <w:szCs w:val="32"/>
          <w:lang w:val="en-US" w:eastAsia="zh-CN"/>
        </w:rPr>
        <w:t>65.51万元，实际支出65.51万元，预算执行率100%</w:t>
      </w:r>
      <w:bookmarkEnd w:id="5"/>
      <w:r>
        <w:rPr>
          <w:rFonts w:hint="eastAsia" w:ascii="Times New Roman" w:hAnsi="Times New Roman" w:eastAsia="仿宋_GB2312"/>
          <w:sz w:val="32"/>
          <w:szCs w:val="32"/>
          <w:lang w:val="en-US" w:eastAsia="zh-CN"/>
        </w:rPr>
        <w:t>，其中人员经费全年预算数65.51万元，实际支出65.51万元，预算执行率100%，公用经费全年预算数0万元，实际支出0万元。</w:t>
      </w:r>
    </w:p>
    <w:bookmarkEnd w:id="4"/>
    <w:p>
      <w:pPr>
        <w:pStyle w:val="16"/>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项目支出全年预算数0万元，实际支出0万元。</w:t>
      </w:r>
    </w:p>
    <w:p>
      <w:pPr>
        <w:pStyle w:val="16"/>
        <w:numPr>
          <w:ilvl w:val="0"/>
          <w:numId w:val="1"/>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16"/>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6"/>
        <w:numPr>
          <w:ilvl w:val="0"/>
          <w:numId w:val="1"/>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6"/>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16"/>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spacing w:line="600" w:lineRule="exact"/>
        <w:ind w:firstLine="640" w:firstLineChars="2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运行成本</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w:t>
      </w:r>
      <w:bookmarkStart w:id="6" w:name="OLE_LINK5"/>
      <w:r>
        <w:rPr>
          <w:rFonts w:hint="eastAsia" w:ascii="Times New Roman" w:hAnsi="Times New Roman" w:eastAsia="仿宋_GB2312"/>
          <w:sz w:val="32"/>
          <w:szCs w:val="32"/>
          <w:lang w:val="en-US" w:eastAsia="zh-CN"/>
        </w:rPr>
        <w:t>65.51</w:t>
      </w:r>
      <w:bookmarkEnd w:id="6"/>
      <w:r>
        <w:rPr>
          <w:rFonts w:hint="eastAsia" w:ascii="Times New Roman" w:hAnsi="Times New Roman" w:eastAsia="仿宋_GB2312"/>
          <w:sz w:val="32"/>
          <w:szCs w:val="32"/>
          <w:lang w:val="en-US" w:eastAsia="zh-CN"/>
        </w:rPr>
        <w:t>万元，实际支出65.51万元，其中人员经费全年预算数65.51万元，实际支出65.51万元，公用经费全年预算数0元，实际支出0万元。</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管理效率</w:t>
      </w:r>
    </w:p>
    <w:p>
      <w:pPr>
        <w:adjustRightInd/>
        <w:spacing w:line="600" w:lineRule="exact"/>
        <w:ind w:firstLine="640" w:firstLineChars="200"/>
        <w:rPr>
          <w:rFonts w:hint="eastAsia" w:ascii="仿宋_GB2312" w:hAnsi="仿宋" w:eastAsia="仿宋_GB2312"/>
          <w:color w:val="auto"/>
          <w:sz w:val="32"/>
          <w:szCs w:val="32"/>
        </w:rPr>
      </w:pPr>
      <w:r>
        <w:rPr>
          <w:rFonts w:hint="eastAsia" w:ascii="仿宋_GB2312" w:hAnsi="仿宋" w:eastAsia="仿宋_GB2312"/>
          <w:b w:val="0"/>
          <w:bCs w:val="0"/>
          <w:sz w:val="32"/>
          <w:szCs w:val="32"/>
          <w:lang w:val="en-US" w:eastAsia="zh-CN"/>
        </w:rPr>
        <w:t>对标对表农业农村部和厅党组对农村沼气生产要求，协助厅资源保护与利用处认真做好农村沼气安全生产的监管，压实农村沼气用户和业主农村沼气安全生产的主体责任，确保安全监管到位。</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履职效能</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开展农村沼气“安全生产月”活动。根据农业农村部生态总站通知的要求，2024年6月，协助资源处积极组织全省14个市州认真开展开展农村沼气“安全生产月”活动，现场开展农村沼气设施现场安全处置示范，并积极宣传农村沼气安全生产知识，让大家思想上高度警醒，并且做到七个清楚：清楚自己的职责、清楚自己的任务、清楚自己分管工作的风险隐患、清楚每一项工作用什么样的措施办法才有效、清楚各项工作的技术路径、清楚和熟悉每一项工作的进展情况、清楚不履行职责将要承担什么样的后果。</w:t>
      </w:r>
    </w:p>
    <w:p>
      <w:pPr>
        <w:numPr>
          <w:ilvl w:val="0"/>
          <w:numId w:val="0"/>
        </w:num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积极参加培训，努力提升业务能力。2024年全站4个人完成事业单位网上在职培训360小时。3月带领全站人员赴哈尔滨参加全国零碳村建设技术培训；4月份受晋勇处长的指派参加了农业农村部生态总站在福建泉州举办的农业农村减排固碳政策与技术培训班学习；7月份陪同李煜副处长参加农业农村部生态总站在江西新余举办的全国农村沼气安全生产与农村沼气安全处置现场示范会议。10月份日陪同李煜副处长参加了农业农村部在北京举办农村能源业务培训班。通过不断的学习，进一步提升自身业务能力。</w:t>
      </w:r>
    </w:p>
    <w:p>
      <w:pPr>
        <w:numPr>
          <w:ilvl w:val="0"/>
          <w:numId w:val="0"/>
        </w:num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社会效应</w:t>
      </w:r>
    </w:p>
    <w:p>
      <w:pPr>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协助举办沼气安全生产培训班。2024年3月、7月，12月，分别赴湘潭市、衡阳市、常德市参加了各地举办的大中型沼气工程安全生产操作培训班并授课。10月份应厅办公室的邀请在农广校参加农业生产安全培训班并授课。培训期间我们组织参会人员现场开展农村沼气安全处置示范。通过现场讲解和与会人员互动，增强大家对沼气相关知识的理解和记忆、提升业务能力，并充分认识到“安全无小事，责任大于天”。</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5.</w:t>
      </w:r>
      <w:r>
        <w:rPr>
          <w:rFonts w:eastAsia="仿宋_GB2312"/>
          <w:color w:val="000000"/>
          <w:sz w:val="32"/>
          <w:szCs w:val="32"/>
        </w:rPr>
        <w:t>可持续发展能力</w:t>
      </w:r>
    </w:p>
    <w:p>
      <w:pPr>
        <w:spacing w:line="60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认真完成了全省可再生能源统计的汇总审核上报和统计分析工作。按照厅资源处的安排，我站承担了2024年全省可再生能源统计审核和上报，同时还承担了每个月上报安全情况的工作，为农村沼气安全生产提供了坚实基础。</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6.</w:t>
      </w:r>
      <w:r>
        <w:rPr>
          <w:rFonts w:eastAsia="仿宋_GB2312"/>
          <w:color w:val="000000"/>
          <w:sz w:val="32"/>
          <w:szCs w:val="32"/>
        </w:rPr>
        <w:t>服务对象满意度</w:t>
      </w:r>
    </w:p>
    <w:p>
      <w:pPr>
        <w:pStyle w:val="15"/>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服务对象满意度</w:t>
      </w:r>
      <w:r>
        <w:rPr>
          <w:rFonts w:hint="eastAsia" w:ascii="Times New Roman" w:hAnsi="Times New Roman" w:eastAsia="仿宋_GB2312"/>
          <w:sz w:val="32"/>
          <w:szCs w:val="32"/>
          <w:lang w:val="en-US" w:eastAsia="zh-CN"/>
        </w:rPr>
        <w:t>93%。</w:t>
      </w:r>
    </w:p>
    <w:p>
      <w:pPr>
        <w:pStyle w:val="10"/>
      </w:pPr>
    </w:p>
    <w:p>
      <w:pPr>
        <w:pStyle w:val="16"/>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firstLineChars="200"/>
        <w:rPr>
          <w:rFonts w:eastAsia="黑体"/>
          <w:sz w:val="32"/>
          <w:szCs w:val="32"/>
        </w:rPr>
      </w:pPr>
      <w:r>
        <w:rPr>
          <w:rFonts w:hint="eastAsia" w:eastAsia="仿宋_GB2312"/>
          <w:sz w:val="32"/>
          <w:szCs w:val="32"/>
        </w:rPr>
        <w:t>经费预算不足，因我站为差额拨款事业单位，</w:t>
      </w:r>
      <w:r>
        <w:rPr>
          <w:rFonts w:hint="eastAsia" w:eastAsia="仿宋_GB2312"/>
          <w:sz w:val="32"/>
          <w:szCs w:val="32"/>
          <w:lang w:val="en-US" w:eastAsia="zh-CN"/>
        </w:rPr>
        <w:t>经费不足</w:t>
      </w:r>
      <w:r>
        <w:rPr>
          <w:rFonts w:hint="eastAsia" w:eastAsia="仿宋_GB2312"/>
          <w:sz w:val="32"/>
          <w:szCs w:val="32"/>
        </w:rPr>
        <w:t>。</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继续争取各渠道资金支持。</w:t>
      </w:r>
    </w:p>
    <w:p>
      <w:pPr>
        <w:spacing w:line="600" w:lineRule="exact"/>
        <w:ind w:firstLine="640" w:firstLineChars="200"/>
        <w:rPr>
          <w:rFonts w:eastAsia="黑体"/>
          <w:sz w:val="32"/>
          <w:szCs w:val="32"/>
        </w:rPr>
      </w:pPr>
      <w:r>
        <w:rPr>
          <w:rFonts w:eastAsia="黑体"/>
          <w:sz w:val="32"/>
          <w:szCs w:val="32"/>
        </w:rPr>
        <w:t>九、绩效自评结果拟应用和公开情况</w:t>
      </w:r>
    </w:p>
    <w:p>
      <w:pPr>
        <w:widowControl/>
        <w:spacing w:line="600" w:lineRule="exact"/>
        <w:ind w:firstLine="645"/>
        <w:jc w:val="left"/>
        <w:rPr>
          <w:rFonts w:hint="eastAsia" w:eastAsia="仿宋_GB2312"/>
          <w:color w:val="auto"/>
          <w:sz w:val="32"/>
          <w:szCs w:val="32"/>
          <w:lang w:val="en-US" w:eastAsia="zh-CN"/>
        </w:rPr>
      </w:pPr>
      <w:bookmarkStart w:id="7" w:name="OLE_LINK6"/>
      <w:r>
        <w:rPr>
          <w:rFonts w:hint="eastAsia" w:eastAsia="仿宋_GB2312"/>
          <w:color w:val="auto"/>
          <w:sz w:val="32"/>
          <w:szCs w:val="32"/>
          <w:lang w:val="en-US" w:eastAsia="zh-CN"/>
        </w:rPr>
        <w:t>（一）反馈整改。我站将对评价中发现的问题，及时进行督促整改。加强预算管理意识，严格按照预算编制的相关制度和要求，结合年度收支计划，科学编制预算，遵循预算管理办法。</w:t>
      </w:r>
    </w:p>
    <w:p>
      <w:pPr>
        <w:widowControl/>
        <w:spacing w:line="600" w:lineRule="exact"/>
        <w:ind w:firstLine="645"/>
        <w:jc w:val="left"/>
        <w:rPr>
          <w:rFonts w:hint="eastAsia" w:eastAsia="仿宋_GB2312"/>
          <w:color w:val="auto"/>
          <w:sz w:val="32"/>
          <w:szCs w:val="32"/>
          <w:lang w:val="en-US" w:eastAsia="zh-CN"/>
        </w:rPr>
      </w:pPr>
      <w:r>
        <w:rPr>
          <w:rFonts w:hint="eastAsia" w:eastAsia="仿宋_GB2312"/>
          <w:color w:val="auto"/>
          <w:sz w:val="32"/>
          <w:szCs w:val="32"/>
          <w:lang w:val="en-US" w:eastAsia="zh-CN"/>
        </w:rPr>
        <w:t>（二）公开结果。除涉密信息外，我站将按要求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adjustRightInd w:val="0"/>
        <w:snapToGrid w:val="0"/>
        <w:spacing w:line="360" w:lineRule="auto"/>
        <w:ind w:firstLine="640" w:firstLineChars="200"/>
        <w:rPr>
          <w:rFonts w:hint="eastAsia" w:ascii="黑体" w:hAnsi="黑体" w:eastAsia="黑体"/>
          <w:sz w:val="32"/>
          <w:szCs w:val="28"/>
          <w:lang w:val="en-US" w:eastAsia="zh-CN"/>
        </w:rPr>
      </w:pPr>
    </w:p>
    <w:p>
      <w:pPr>
        <w:adjustRightInd w:val="0"/>
        <w:snapToGrid w:val="0"/>
        <w:spacing w:line="360" w:lineRule="auto"/>
        <w:ind w:firstLine="640" w:firstLineChars="200"/>
        <w:rPr>
          <w:rFonts w:hint="eastAsia" w:ascii="黑体" w:hAnsi="黑体" w:eastAsia="黑体"/>
          <w:sz w:val="32"/>
          <w:szCs w:val="28"/>
          <w:lang w:val="en-US" w:eastAsia="zh-CN"/>
        </w:rPr>
      </w:pPr>
      <w:r>
        <w:rPr>
          <w:rFonts w:hint="eastAsia" w:ascii="黑体" w:hAnsi="黑体" w:eastAsia="黑体"/>
          <w:sz w:val="32"/>
          <w:szCs w:val="28"/>
          <w:lang w:val="en-US" w:eastAsia="zh-CN"/>
        </w:rPr>
        <w:t>其他需要说明的情况</w:t>
      </w:r>
    </w:p>
    <w:p>
      <w:pPr>
        <w:adjustRightInd w:val="0"/>
        <w:snapToGrid w:val="0"/>
        <w:spacing w:line="360" w:lineRule="auto"/>
        <w:ind w:firstLine="640" w:firstLineChars="200"/>
        <w:rPr>
          <w:rFonts w:hint="default" w:ascii="Times New Roman" w:hAnsi="Times New Roman" w:eastAsia="仿宋"/>
          <w:sz w:val="32"/>
          <w:szCs w:val="28"/>
          <w:lang w:val="en-US" w:eastAsia="zh-CN"/>
        </w:rPr>
      </w:pPr>
      <w:r>
        <w:rPr>
          <w:rFonts w:hint="eastAsia" w:ascii="Times New Roman" w:hAnsi="Times New Roman" w:eastAsia="仿宋"/>
          <w:sz w:val="32"/>
          <w:szCs w:val="28"/>
          <w:lang w:val="en-US" w:eastAsia="zh-CN"/>
        </w:rPr>
        <w:t>无</w:t>
      </w:r>
    </w:p>
    <w:p>
      <w:pPr>
        <w:pStyle w:val="2"/>
        <w:rPr>
          <w:rFonts w:hint="eastAsia" w:eastAsia="仿宋_GB2312"/>
          <w:color w:val="auto"/>
          <w:sz w:val="32"/>
          <w:szCs w:val="32"/>
          <w:lang w:val="en-US" w:eastAsia="zh-CN"/>
        </w:rPr>
      </w:pPr>
    </w:p>
    <w:p>
      <w:pPr>
        <w:rPr>
          <w:rFonts w:hint="eastAsia" w:eastAsia="仿宋_GB2312"/>
          <w:color w:val="auto"/>
          <w:sz w:val="32"/>
          <w:szCs w:val="32"/>
          <w:lang w:val="en-US" w:eastAsia="zh-CN"/>
        </w:rPr>
      </w:pPr>
    </w:p>
    <w:p>
      <w:pPr>
        <w:widowControl/>
        <w:spacing w:line="600" w:lineRule="exact"/>
        <w:ind w:firstLine="645"/>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附件：1.部门整体支出绩效评价基础数据表</w:t>
      </w:r>
    </w:p>
    <w:p>
      <w:pPr>
        <w:widowControl/>
        <w:spacing w:line="600" w:lineRule="exact"/>
        <w:ind w:firstLine="1622" w:firstLineChars="507"/>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2.部门整体支出绩效自评表</w:t>
      </w:r>
    </w:p>
    <w:p>
      <w:pPr>
        <w:pStyle w:val="2"/>
        <w:rPr>
          <w:rFonts w:hint="default" w:eastAsia="宋体"/>
          <w:lang w:val="en-US" w:eastAsia="zh-CN"/>
        </w:rPr>
      </w:pPr>
    </w:p>
    <w:bookmarkEnd w:id="7"/>
    <w:p>
      <w:pPr>
        <w:spacing w:line="600" w:lineRule="exact"/>
        <w:ind w:firstLine="640" w:firstLineChars="200"/>
        <w:rPr>
          <w:rFonts w:eastAsia="仿宋_GB2312"/>
          <w:sz w:val="32"/>
          <w:szCs w:val="32"/>
        </w:rPr>
      </w:pPr>
    </w:p>
    <w:p>
      <w:pPr>
        <w:pStyle w:val="2"/>
        <w:rPr>
          <w:rFonts w:eastAsia="仿宋_GB2312"/>
          <w:sz w:val="32"/>
          <w:szCs w:val="32"/>
        </w:rPr>
      </w:pPr>
    </w:p>
    <w:p>
      <w:pPr>
        <w:rPr>
          <w:rFonts w:eastAsia="仿宋_GB2312"/>
          <w:sz w:val="32"/>
          <w:szCs w:val="32"/>
        </w:rPr>
      </w:pPr>
    </w:p>
    <w:p>
      <w:pPr>
        <w:pStyle w:val="2"/>
      </w:pPr>
    </w:p>
    <w:p>
      <w:pPr>
        <w:pStyle w:val="2"/>
      </w:pPr>
    </w:p>
    <w:p>
      <w:pPr>
        <w:widowControl/>
        <w:jc w:val="left"/>
        <w:rPr>
          <w:rFonts w:eastAsia="仿宋_GB2312"/>
          <w:sz w:val="32"/>
          <w:szCs w:val="32"/>
        </w:rPr>
      </w:pPr>
    </w:p>
    <w:p>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1</w:t>
      </w:r>
    </w:p>
    <w:p>
      <w:pPr>
        <w:spacing w:line="560" w:lineRule="exact"/>
        <w:jc w:val="center"/>
        <w:rPr>
          <w:rFonts w:eastAsia="方正小标宋_GBK"/>
          <w:kern w:val="0"/>
          <w:sz w:val="36"/>
          <w:szCs w:val="36"/>
        </w:rPr>
      </w:pPr>
      <w:bookmarkStart w:id="8" w:name="OLE_LINK9"/>
      <w:r>
        <w:rPr>
          <w:rFonts w:eastAsia="方正小标宋_GBK"/>
          <w:kern w:val="0"/>
          <w:sz w:val="36"/>
          <w:szCs w:val="36"/>
        </w:rPr>
        <w:t>部门整体支出绩效评价基础数据表</w:t>
      </w:r>
    </w:p>
    <w:bookmarkEnd w:id="8"/>
    <w:tbl>
      <w:tblPr>
        <w:tblStyle w:val="11"/>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eastAsia"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6</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4</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23</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lang w:val="en-US" w:eastAsia="zh-CN"/>
              </w:rPr>
              <w:t>24</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3、省级专项资金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4、其他事业类发展资金</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hint="default" w:eastAsia="仿宋_GB2312"/>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hint="default" w:eastAsia="仿宋_GB2312"/>
                <w:color w:val="auto"/>
                <w:kern w:val="0"/>
                <w:szCs w:val="21"/>
                <w:lang w:val="en-US" w:eastAsia="zh-CN"/>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auto"/>
                <w:kern w:val="0"/>
                <w:szCs w:val="21"/>
              </w:rPr>
            </w:pPr>
          </w:p>
        </w:tc>
        <w:tc>
          <w:tcPr>
            <w:tcW w:w="1832" w:type="dxa"/>
            <w:gridSpan w:val="2"/>
            <w:noWrap w:val="0"/>
            <w:vAlign w:val="center"/>
          </w:tcPr>
          <w:p>
            <w:pPr>
              <w:widowControl/>
              <w:jc w:val="center"/>
              <w:rPr>
                <w:rFonts w:eastAsia="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1832"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楼堂馆所控制情况</w:t>
            </w:r>
            <w:r>
              <w:rPr>
                <w:rFonts w:eastAsia="仿宋_GB2312"/>
                <w:kern w:val="0"/>
                <w:szCs w:val="21"/>
              </w:rPr>
              <w:br w:type="textWrapping"/>
            </w:r>
            <w:r>
              <w:rPr>
                <w:rFonts w:eastAsia="仿宋_GB2312"/>
                <w:kern w:val="0"/>
                <w:szCs w:val="21"/>
              </w:rPr>
              <w:t>（2019年完工项目）</w:t>
            </w:r>
          </w:p>
        </w:tc>
        <w:tc>
          <w:tcPr>
            <w:tcW w:w="1189" w:type="dxa"/>
            <w:noWrap w:val="0"/>
            <w:vAlign w:val="center"/>
          </w:tcPr>
          <w:p>
            <w:pPr>
              <w:widowControl/>
              <w:spacing w:line="240" w:lineRule="exact"/>
              <w:jc w:val="center"/>
              <w:rPr>
                <w:rFonts w:eastAsia="仿宋_GB2312"/>
                <w:bCs/>
                <w:kern w:val="0"/>
                <w:szCs w:val="21"/>
              </w:rPr>
            </w:pPr>
            <w:r>
              <w:rPr>
                <w:rFonts w:eastAsia="仿宋_GB2312"/>
                <w:bCs/>
                <w:kern w:val="0"/>
                <w:szCs w:val="21"/>
              </w:rPr>
              <w:t>批复规模</w:t>
            </w:r>
            <w:r>
              <w:rPr>
                <w:rFonts w:eastAsia="仿宋_GB2312"/>
                <w:bCs/>
                <w:kern w:val="0"/>
                <w:szCs w:val="21"/>
              </w:rPr>
              <w:br w:type="textWrapping"/>
            </w: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rFonts w:hint="eastAsia" w:eastAsia="黑体"/>
          <w:sz w:val="32"/>
          <w:szCs w:val="32"/>
          <w:lang w:val="en-US" w:eastAsia="zh-CN"/>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1"/>
        <w:tblW w:w="10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湖南省农村能源技术推广站</w:t>
            </w: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pPr>
              <w:jc w:val="center"/>
              <w:rPr>
                <w:rFonts w:eastAsia="仿宋_GB2312"/>
                <w:szCs w:val="21"/>
              </w:rPr>
            </w:pPr>
          </w:p>
        </w:tc>
        <w:tc>
          <w:tcPr>
            <w:tcW w:w="1114"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5" w:type="dxa"/>
            <w:gridSpan w:val="2"/>
            <w:noWrap w:val="0"/>
            <w:vAlign w:val="center"/>
          </w:tcPr>
          <w:p>
            <w:pPr>
              <w:jc w:val="center"/>
              <w:rPr>
                <w:rFonts w:eastAsia="仿宋_GB2312"/>
                <w:szCs w:val="21"/>
              </w:rPr>
            </w:pPr>
            <w:r>
              <w:rPr>
                <w:rFonts w:eastAsia="仿宋_GB2312"/>
                <w:szCs w:val="21"/>
              </w:rPr>
              <w:t>全年预算数</w:t>
            </w:r>
          </w:p>
        </w:tc>
        <w:tc>
          <w:tcPr>
            <w:tcW w:w="1134"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9" w:type="dxa"/>
            <w:noWrap w:val="0"/>
            <w:vAlign w:val="center"/>
          </w:tcPr>
          <w:p>
            <w:pPr>
              <w:jc w:val="center"/>
              <w:rPr>
                <w:rFonts w:eastAsia="仿宋_GB2312"/>
                <w:szCs w:val="21"/>
              </w:rPr>
            </w:pPr>
            <w:r>
              <w:rPr>
                <w:rFonts w:eastAsia="仿宋_GB2312"/>
                <w:szCs w:val="21"/>
              </w:rPr>
              <w:t>分值</w:t>
            </w:r>
          </w:p>
        </w:tc>
        <w:tc>
          <w:tcPr>
            <w:tcW w:w="898" w:type="dxa"/>
            <w:noWrap w:val="0"/>
            <w:vAlign w:val="center"/>
          </w:tcPr>
          <w:p>
            <w:pPr>
              <w:jc w:val="center"/>
              <w:rPr>
                <w:rFonts w:eastAsia="仿宋_GB2312"/>
                <w:szCs w:val="21"/>
              </w:rPr>
            </w:pPr>
            <w:r>
              <w:rPr>
                <w:rFonts w:eastAsia="仿宋_GB2312"/>
                <w:szCs w:val="21"/>
              </w:rPr>
              <w:t>执行率</w:t>
            </w:r>
          </w:p>
        </w:tc>
        <w:tc>
          <w:tcPr>
            <w:tcW w:w="1446"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center"/>
              <w:rPr>
                <w:rFonts w:eastAsia="仿宋_GB2312"/>
                <w:color w:val="000000"/>
                <w:kern w:val="0"/>
                <w:szCs w:val="21"/>
              </w:rPr>
            </w:pPr>
          </w:p>
        </w:tc>
        <w:tc>
          <w:tcPr>
            <w:tcW w:w="2647"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4" w:type="dxa"/>
            <w:noWrap w:val="0"/>
            <w:vAlign w:val="center"/>
          </w:tcPr>
          <w:p>
            <w:pPr>
              <w:jc w:val="center"/>
              <w:rPr>
                <w:rFonts w:hint="default" w:eastAsia="仿宋_GB2312"/>
                <w:szCs w:val="21"/>
                <w:lang w:val="en-US" w:eastAsia="zh-CN"/>
              </w:rPr>
            </w:pPr>
            <w:r>
              <w:rPr>
                <w:rFonts w:hint="eastAsia" w:eastAsia="仿宋_GB2312"/>
                <w:szCs w:val="21"/>
                <w:lang w:val="en-US" w:eastAsia="zh-CN"/>
              </w:rPr>
              <w:t>65.51</w:t>
            </w:r>
          </w:p>
        </w:tc>
        <w:tc>
          <w:tcPr>
            <w:tcW w:w="1295" w:type="dxa"/>
            <w:gridSpan w:val="2"/>
            <w:noWrap w:val="0"/>
            <w:vAlign w:val="center"/>
          </w:tcPr>
          <w:p>
            <w:pPr>
              <w:jc w:val="center"/>
              <w:rPr>
                <w:rFonts w:hint="default" w:eastAsia="仿宋_GB2312"/>
                <w:szCs w:val="21"/>
                <w:lang w:val="en-US" w:eastAsia="zh-CN"/>
              </w:rPr>
            </w:pPr>
            <w:r>
              <w:rPr>
                <w:rFonts w:hint="eastAsia" w:eastAsia="仿宋_GB2312"/>
                <w:color w:val="000000"/>
                <w:kern w:val="0"/>
                <w:szCs w:val="21"/>
                <w:lang w:val="en-US" w:eastAsia="zh-CN"/>
              </w:rPr>
              <w:t>65.51</w:t>
            </w:r>
          </w:p>
        </w:tc>
        <w:tc>
          <w:tcPr>
            <w:tcW w:w="1134" w:type="dxa"/>
            <w:noWrap w:val="0"/>
            <w:vAlign w:val="center"/>
          </w:tcPr>
          <w:p>
            <w:pPr>
              <w:jc w:val="center"/>
              <w:rPr>
                <w:rFonts w:hint="default" w:eastAsia="仿宋_GB2312"/>
                <w:szCs w:val="21"/>
                <w:lang w:val="en-US" w:eastAsia="zh-CN"/>
              </w:rPr>
            </w:pPr>
            <w:r>
              <w:rPr>
                <w:rFonts w:hint="eastAsia" w:eastAsia="仿宋_GB2312"/>
                <w:color w:val="000000"/>
                <w:kern w:val="0"/>
                <w:szCs w:val="21"/>
                <w:lang w:val="en-US" w:eastAsia="zh-CN"/>
              </w:rPr>
              <w:t>65.51</w:t>
            </w:r>
          </w:p>
        </w:tc>
        <w:tc>
          <w:tcPr>
            <w:tcW w:w="709" w:type="dxa"/>
            <w:noWrap w:val="0"/>
            <w:vAlign w:val="center"/>
          </w:tcPr>
          <w:p>
            <w:pPr>
              <w:jc w:val="center"/>
              <w:rPr>
                <w:rFonts w:eastAsia="仿宋_GB2312"/>
                <w:szCs w:val="21"/>
              </w:rPr>
            </w:pPr>
            <w:r>
              <w:rPr>
                <w:rFonts w:eastAsia="仿宋_GB2312"/>
                <w:szCs w:val="21"/>
              </w:rPr>
              <w:t>10</w:t>
            </w:r>
          </w:p>
        </w:tc>
        <w:tc>
          <w:tcPr>
            <w:tcW w:w="898" w:type="dxa"/>
            <w:noWrap w:val="0"/>
            <w:vAlign w:val="center"/>
          </w:tcPr>
          <w:p>
            <w:pPr>
              <w:jc w:val="center"/>
              <w:rPr>
                <w:rFonts w:hint="default" w:eastAsia="仿宋_GB2312"/>
                <w:szCs w:val="21"/>
                <w:lang w:val="en-US" w:eastAsia="zh-CN"/>
              </w:rPr>
            </w:pPr>
            <w:r>
              <w:rPr>
                <w:rFonts w:hint="eastAsia" w:eastAsia="仿宋_GB2312"/>
                <w:szCs w:val="21"/>
                <w:lang w:val="en-US" w:eastAsia="zh-CN"/>
              </w:rPr>
              <w:t>100%</w:t>
            </w:r>
          </w:p>
        </w:tc>
        <w:tc>
          <w:tcPr>
            <w:tcW w:w="1446" w:type="dxa"/>
            <w:noWrap w:val="0"/>
            <w:vAlign w:val="center"/>
          </w:tcPr>
          <w:p>
            <w:pPr>
              <w:jc w:val="center"/>
              <w:rPr>
                <w:rFonts w:hint="default" w:eastAsia="仿宋_GB2312"/>
                <w:szCs w:val="21"/>
                <w:lang w:val="en-US" w:eastAsia="zh-CN"/>
              </w:rPr>
            </w:pPr>
            <w:r>
              <w:rPr>
                <w:rFonts w:hint="eastAsia" w:eastAsia="仿宋_GB2312"/>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eastAsia="zh-CN"/>
              </w:rPr>
              <w:t>：</w:t>
            </w:r>
            <w:bookmarkStart w:id="9" w:name="OLE_LINK8"/>
            <w:r>
              <w:rPr>
                <w:rFonts w:hint="eastAsia" w:eastAsia="仿宋_GB2312"/>
                <w:color w:val="000000"/>
                <w:kern w:val="0"/>
                <w:szCs w:val="21"/>
                <w:lang w:val="en-US" w:eastAsia="zh-CN"/>
              </w:rPr>
              <w:t>65.51</w:t>
            </w:r>
            <w:bookmarkEnd w:id="9"/>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highlight w:val="none"/>
                <w:lang w:val="en-US" w:eastAsia="zh-CN"/>
              </w:rPr>
              <w:t>65.51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ind w:firstLine="1470" w:firstLineChars="700"/>
              <w:jc w:val="left"/>
              <w:rPr>
                <w:rFonts w:hint="default" w:eastAsia="仿宋_GB2312"/>
                <w:color w:val="000000"/>
                <w:kern w:val="0"/>
                <w:szCs w:val="21"/>
                <w:lang w:val="en-US" w:eastAsia="zh-CN"/>
              </w:rPr>
            </w:pPr>
            <w:r>
              <w:rPr>
                <w:rFonts w:eastAsia="仿宋_GB2312"/>
                <w:color w:val="000000"/>
                <w:kern w:val="0"/>
                <w:szCs w:val="21"/>
              </w:rPr>
              <w:t>其他资金：</w:t>
            </w:r>
          </w:p>
        </w:tc>
        <w:tc>
          <w:tcPr>
            <w:tcW w:w="4187"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080" w:type="dxa"/>
            <w:vMerge w:val="continue"/>
            <w:noWrap w:val="0"/>
            <w:vAlign w:val="center"/>
          </w:tcPr>
          <w:p>
            <w:pPr>
              <w:widowControl/>
              <w:jc w:val="left"/>
              <w:rPr>
                <w:rFonts w:eastAsia="仿宋_GB2312"/>
                <w:color w:val="000000"/>
                <w:kern w:val="0"/>
                <w:szCs w:val="21"/>
              </w:rPr>
            </w:pPr>
          </w:p>
        </w:tc>
        <w:tc>
          <w:tcPr>
            <w:tcW w:w="5056" w:type="dxa"/>
            <w:gridSpan w:val="5"/>
            <w:noWrap w:val="0"/>
            <w:vAlign w:val="center"/>
          </w:tcPr>
          <w:p>
            <w:pPr>
              <w:widowControl/>
              <w:jc w:val="center"/>
              <w:rPr>
                <w:rFonts w:eastAsia="仿宋_GB2312"/>
                <w:color w:val="000000"/>
                <w:kern w:val="0"/>
                <w:szCs w:val="21"/>
              </w:rPr>
            </w:pPr>
            <w:bookmarkStart w:id="10" w:name="OLE_LINK7"/>
            <w:r>
              <w:rPr>
                <w:rFonts w:hint="eastAsia" w:eastAsia="仿宋_GB2312"/>
                <w:color w:val="000000"/>
                <w:kern w:val="0"/>
                <w:szCs w:val="21"/>
                <w:lang w:val="en-US" w:eastAsia="zh-CN"/>
              </w:rPr>
              <w:t>完成我省农村能源科研、新技术引进；试点示范推广等任务。</w:t>
            </w:r>
            <w:r>
              <w:rPr>
                <w:rFonts w:eastAsia="仿宋_GB2312"/>
                <w:color w:val="000000"/>
                <w:kern w:val="0"/>
                <w:szCs w:val="21"/>
              </w:rPr>
              <w:t>　</w:t>
            </w:r>
            <w:bookmarkEnd w:id="10"/>
            <w:r>
              <w:rPr>
                <w:rFonts w:eastAsia="仿宋_GB2312"/>
                <w:color w:val="000000"/>
                <w:kern w:val="0"/>
                <w:szCs w:val="21"/>
              </w:rPr>
              <w:t>　</w:t>
            </w:r>
          </w:p>
        </w:tc>
        <w:tc>
          <w:tcPr>
            <w:tcW w:w="4187"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按目标完成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108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5"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52"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0"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(50分)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default"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参加生产培训次数</w:t>
            </w:r>
          </w:p>
        </w:tc>
        <w:tc>
          <w:tcPr>
            <w:tcW w:w="1200" w:type="dxa"/>
            <w:noWrap w:val="0"/>
            <w:vAlign w:val="center"/>
          </w:tcPr>
          <w:p>
            <w:pPr>
              <w:widowControl/>
              <w:jc w:val="left"/>
              <w:rPr>
                <w:rFonts w:hint="eastAsia" w:ascii="仿宋_GB2312" w:hAnsi="仿宋_GB2312" w:eastAsia="仿宋_GB2312" w:cs="仿宋_GB2312"/>
                <w:color w:val="000000"/>
                <w:kern w:val="0"/>
                <w:szCs w:val="21"/>
                <w:highlight w:val="none"/>
                <w:lang w:val="en-US" w:eastAsia="zh-CN"/>
              </w:rPr>
            </w:pPr>
            <w:r>
              <w:rPr>
                <w:rFonts w:hint="eastAsia" w:ascii="仿宋_GB2312" w:hAnsi="仿宋_GB2312" w:eastAsia="仿宋_GB2312" w:cs="仿宋_GB2312"/>
                <w:color w:val="000000"/>
                <w:kern w:val="0"/>
                <w:szCs w:val="21"/>
                <w:highlight w:val="none"/>
              </w:rPr>
              <w:t>　</w:t>
            </w:r>
            <w:r>
              <w:rPr>
                <w:rFonts w:hint="default" w:ascii="Arial" w:hAnsi="Arial" w:eastAsia="仿宋_GB2312" w:cs="Arial"/>
                <w:color w:val="000000"/>
                <w:kern w:val="0"/>
                <w:szCs w:val="21"/>
                <w:highlight w:val="none"/>
              </w:rPr>
              <w:t>≥</w:t>
            </w:r>
            <w:r>
              <w:rPr>
                <w:rFonts w:hint="eastAsia" w:ascii="仿宋_GB2312" w:hAnsi="仿宋_GB2312" w:eastAsia="仿宋_GB2312" w:cs="仿宋_GB2312"/>
                <w:color w:val="000000"/>
                <w:kern w:val="0"/>
                <w:szCs w:val="21"/>
                <w:highlight w:val="none"/>
                <w:lang w:val="en-US" w:eastAsia="zh-CN"/>
              </w:rPr>
              <w:t>1次</w:t>
            </w:r>
          </w:p>
        </w:tc>
        <w:tc>
          <w:tcPr>
            <w:tcW w:w="1134" w:type="dxa"/>
            <w:noWrap w:val="0"/>
            <w:vAlign w:val="center"/>
          </w:tcPr>
          <w:p>
            <w:pPr>
              <w:widowControl/>
              <w:jc w:val="left"/>
              <w:rPr>
                <w:rFonts w:hint="eastAsia" w:ascii="仿宋_GB2312" w:hAnsi="仿宋_GB2312" w:eastAsia="仿宋_GB2312" w:cs="仿宋_GB2312"/>
                <w:color w:val="000000"/>
                <w:kern w:val="0"/>
                <w:szCs w:val="21"/>
                <w:highlight w:val="none"/>
              </w:rPr>
            </w:pPr>
            <w:r>
              <w:rPr>
                <w:rFonts w:hint="eastAsia" w:ascii="仿宋_GB2312" w:hAnsi="仿宋_GB2312" w:eastAsia="仿宋_GB2312" w:cs="仿宋_GB2312"/>
                <w:color w:val="000000"/>
                <w:kern w:val="0"/>
                <w:szCs w:val="21"/>
                <w:highlight w:val="none"/>
              </w:rPr>
              <w:t>　</w:t>
            </w:r>
            <w:r>
              <w:rPr>
                <w:rFonts w:hint="eastAsia" w:ascii="仿宋_GB2312" w:hAnsi="仿宋_GB2312" w:eastAsia="仿宋_GB2312" w:cs="仿宋_GB2312"/>
                <w:color w:val="000000"/>
                <w:kern w:val="0"/>
                <w:szCs w:val="21"/>
                <w:highlight w:val="none"/>
                <w:lang w:val="en-US" w:eastAsia="zh-CN"/>
              </w:rPr>
              <w:t>1次</w:t>
            </w:r>
          </w:p>
        </w:tc>
        <w:tc>
          <w:tcPr>
            <w:tcW w:w="709" w:type="dxa"/>
            <w:noWrap w:val="0"/>
            <w:vAlign w:val="center"/>
          </w:tcPr>
          <w:p>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default"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工作质量</w:t>
            </w:r>
          </w:p>
        </w:tc>
        <w:tc>
          <w:tcPr>
            <w:tcW w:w="1200" w:type="dxa"/>
            <w:noWrap w:val="0"/>
            <w:vAlign w:val="center"/>
          </w:tcPr>
          <w:p>
            <w:pPr>
              <w:widowControl/>
              <w:jc w:val="left"/>
              <w:rPr>
                <w:rFonts w:hint="eastAsia" w:ascii="仿宋_GB2312" w:hAnsi="仿宋_GB2312" w:eastAsia="仿宋_GB2312" w:cs="仿宋_GB2312"/>
                <w:color w:val="000000"/>
                <w:kern w:val="0"/>
                <w:szCs w:val="21"/>
                <w:highlight w:val="none"/>
                <w:lang w:val="en-US" w:eastAsia="zh-CN"/>
              </w:rPr>
            </w:pPr>
            <w:bookmarkStart w:id="11" w:name="OLE_LINK12"/>
            <w:r>
              <w:rPr>
                <w:rFonts w:hint="eastAsia" w:ascii="仿宋_GB2312" w:hAnsi="仿宋_GB2312" w:eastAsia="仿宋_GB2312" w:cs="仿宋_GB2312"/>
                <w:i w:val="0"/>
                <w:color w:val="000000"/>
                <w:kern w:val="0"/>
                <w:sz w:val="21"/>
                <w:szCs w:val="21"/>
                <w:highlight w:val="none"/>
                <w:u w:val="none"/>
                <w:lang w:val="en-US" w:eastAsia="zh-CN" w:bidi="ar"/>
              </w:rPr>
              <w:t>按上级主管部门要求</w:t>
            </w:r>
            <w:bookmarkEnd w:id="11"/>
          </w:p>
        </w:tc>
        <w:tc>
          <w:tcPr>
            <w:tcW w:w="1134" w:type="dxa"/>
            <w:noWrap w:val="0"/>
            <w:vAlign w:val="center"/>
          </w:tcPr>
          <w:p>
            <w:pPr>
              <w:widowControl/>
              <w:jc w:val="left"/>
              <w:rPr>
                <w:rFonts w:hint="eastAsia"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按上级主管部门要求完成</w:t>
            </w:r>
          </w:p>
        </w:tc>
        <w:tc>
          <w:tcPr>
            <w:tcW w:w="709" w:type="dxa"/>
            <w:noWrap w:val="0"/>
            <w:vAlign w:val="center"/>
          </w:tcPr>
          <w:p>
            <w:pPr>
              <w:widowControl/>
              <w:jc w:val="center"/>
              <w:rPr>
                <w:rFonts w:eastAsia="仿宋_GB2312"/>
                <w:color w:val="000000"/>
                <w:kern w:val="0"/>
                <w:szCs w:val="21"/>
                <w:highlight w:val="none"/>
              </w:rPr>
            </w:pPr>
            <w:r>
              <w:rPr>
                <w:rFonts w:hint="eastAsia" w:eastAsia="仿宋_GB2312"/>
                <w:color w:val="000000"/>
                <w:kern w:val="0"/>
                <w:szCs w:val="21"/>
                <w:highlight w:val="none"/>
                <w:lang w:val="en-US" w:eastAsia="zh-CN"/>
              </w:rPr>
              <w:t>15</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15</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highlight w:val="none"/>
              </w:rPr>
            </w:pPr>
            <w:bookmarkStart w:id="12" w:name="OLE_LINK11"/>
            <w:r>
              <w:rPr>
                <w:rFonts w:hint="eastAsia" w:ascii="仿宋_GB2312" w:hAnsi="仿宋_GB2312" w:eastAsia="仿宋_GB2312" w:cs="仿宋_GB2312"/>
                <w:i w:val="0"/>
                <w:color w:val="000000"/>
                <w:kern w:val="0"/>
                <w:sz w:val="21"/>
                <w:szCs w:val="21"/>
                <w:highlight w:val="none"/>
                <w:u w:val="none"/>
                <w:lang w:val="en-US" w:eastAsia="zh-CN" w:bidi="ar"/>
              </w:rPr>
              <w:t>各项工作完成时间</w:t>
            </w:r>
            <w:bookmarkEnd w:id="12"/>
          </w:p>
        </w:tc>
        <w:tc>
          <w:tcPr>
            <w:tcW w:w="1200" w:type="dxa"/>
            <w:noWrap w:val="0"/>
            <w:vAlign w:val="center"/>
          </w:tcPr>
          <w:p>
            <w:pPr>
              <w:widowControl/>
              <w:jc w:val="left"/>
              <w:rPr>
                <w:rFonts w:hint="default" w:ascii="仿宋_GB2312" w:hAnsi="仿宋_GB2312" w:eastAsia="仿宋_GB2312" w:cs="仿宋_GB2312"/>
                <w:color w:val="000000"/>
                <w:kern w:val="0"/>
                <w:szCs w:val="21"/>
                <w:highlight w:val="none"/>
                <w:lang w:val="en-US" w:eastAsia="zh-CN"/>
              </w:rPr>
            </w:pPr>
            <w:bookmarkStart w:id="13" w:name="OLE_LINK3"/>
            <w:r>
              <w:rPr>
                <w:rFonts w:hint="eastAsia" w:ascii="仿宋_GB2312" w:hAnsi="仿宋_GB2312" w:eastAsia="仿宋_GB2312" w:cs="仿宋_GB2312"/>
                <w:i w:val="0"/>
                <w:color w:val="000000"/>
                <w:kern w:val="0"/>
                <w:sz w:val="21"/>
                <w:szCs w:val="21"/>
                <w:highlight w:val="none"/>
                <w:u w:val="none"/>
                <w:lang w:val="en-US" w:eastAsia="zh-CN" w:bidi="ar"/>
              </w:rPr>
              <w:t>2024年12月31日前</w:t>
            </w:r>
            <w:bookmarkEnd w:id="13"/>
          </w:p>
        </w:tc>
        <w:tc>
          <w:tcPr>
            <w:tcW w:w="1134" w:type="dxa"/>
            <w:noWrap w:val="0"/>
            <w:vAlign w:val="center"/>
          </w:tcPr>
          <w:p>
            <w:pPr>
              <w:widowControl/>
              <w:jc w:val="left"/>
              <w:rPr>
                <w:rFonts w:hint="default"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2024年12月31日前</w:t>
            </w:r>
          </w:p>
        </w:tc>
        <w:tc>
          <w:tcPr>
            <w:tcW w:w="709" w:type="dxa"/>
            <w:noWrap w:val="0"/>
            <w:vAlign w:val="center"/>
          </w:tcPr>
          <w:p>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成本</w:t>
            </w:r>
          </w:p>
          <w:p>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全年支出控制在预算范围内</w:t>
            </w:r>
          </w:p>
        </w:tc>
        <w:tc>
          <w:tcPr>
            <w:tcW w:w="1200"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控制在预算范围内</w:t>
            </w:r>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控制在预算范围内</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降低有害能源使用</w:t>
            </w:r>
          </w:p>
        </w:tc>
        <w:tc>
          <w:tcPr>
            <w:tcW w:w="1200" w:type="dxa"/>
            <w:noWrap w:val="0"/>
            <w:vAlign w:val="center"/>
          </w:tcPr>
          <w:p>
            <w:pPr>
              <w:widowControl/>
              <w:jc w:val="left"/>
              <w:rPr>
                <w:rFonts w:hint="eastAsia" w:ascii="仿宋_GB2312" w:hAnsi="仿宋_GB2312" w:eastAsia="仿宋_GB2312" w:cs="仿宋_GB2312"/>
                <w:color w:val="000000"/>
                <w:kern w:val="0"/>
                <w:szCs w:val="21"/>
                <w:lang w:val="en-US" w:eastAsia="zh-CN"/>
              </w:rPr>
            </w:pPr>
            <w:bookmarkStart w:id="14" w:name="OLE_LINK4"/>
            <w:r>
              <w:rPr>
                <w:rFonts w:hint="eastAsia" w:ascii="仿宋_GB2312" w:hAnsi="仿宋_GB2312" w:eastAsia="仿宋_GB2312" w:cs="仿宋_GB2312"/>
                <w:color w:val="000000"/>
                <w:kern w:val="0"/>
                <w:szCs w:val="21"/>
                <w:lang w:val="en-US" w:eastAsia="zh-CN"/>
              </w:rPr>
              <w:t>有效降低</w:t>
            </w:r>
            <w:bookmarkEnd w:id="14"/>
          </w:p>
        </w:tc>
        <w:tc>
          <w:tcPr>
            <w:tcW w:w="1134" w:type="dxa"/>
            <w:noWrap w:val="0"/>
            <w:vAlign w:val="center"/>
          </w:tcPr>
          <w:p>
            <w:pPr>
              <w:widowControl/>
              <w:jc w:val="left"/>
              <w:rPr>
                <w:rFonts w:hint="eastAsia"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lang w:val="en-US" w:eastAsia="zh-CN"/>
              </w:rPr>
              <w:t>持续降低</w:t>
            </w:r>
          </w:p>
        </w:tc>
        <w:tc>
          <w:tcPr>
            <w:tcW w:w="709" w:type="dxa"/>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15</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14</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080" w:type="dxa"/>
            <w:vMerge w:val="continue"/>
            <w:noWrap w:val="0"/>
            <w:vAlign w:val="center"/>
          </w:tcPr>
          <w:p>
            <w:pPr>
              <w:jc w:val="center"/>
              <w:rPr>
                <w:rFonts w:eastAsia="仿宋_GB2312"/>
                <w:color w:val="000000"/>
                <w:kern w:val="0"/>
                <w:szCs w:val="21"/>
              </w:rPr>
            </w:pPr>
          </w:p>
        </w:tc>
        <w:tc>
          <w:tcPr>
            <w:tcW w:w="1395" w:type="dxa"/>
            <w:vMerge w:val="continue"/>
            <w:noWrap w:val="0"/>
            <w:vAlign w:val="center"/>
          </w:tcPr>
          <w:p>
            <w:pPr>
              <w:jc w:val="left"/>
              <w:rPr>
                <w:rFonts w:eastAsia="仿宋_GB2312"/>
                <w:color w:val="000000"/>
                <w:kern w:val="0"/>
                <w:szCs w:val="21"/>
              </w:rPr>
            </w:pP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pPr>
              <w:keepNext w:val="0"/>
              <w:keepLines w:val="0"/>
              <w:widowControl/>
              <w:suppressLineNumbers w:val="0"/>
              <w:jc w:val="left"/>
              <w:textAlignment w:val="center"/>
              <w:rPr>
                <w:rFonts w:hint="default" w:ascii="仿宋_GB2312" w:hAnsi="仿宋_GB2312" w:eastAsia="仿宋_GB2312" w:cs="仿宋_GB2312"/>
                <w:color w:val="000000"/>
                <w:kern w:val="0"/>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农村能源推广情况</w:t>
            </w:r>
          </w:p>
        </w:tc>
        <w:tc>
          <w:tcPr>
            <w:tcW w:w="1200" w:type="dxa"/>
            <w:noWrap w:val="0"/>
            <w:vAlign w:val="center"/>
          </w:tcPr>
          <w:p>
            <w:pPr>
              <w:widowControl/>
              <w:jc w:val="left"/>
              <w:rPr>
                <w:rFonts w:hint="default" w:ascii="仿宋_GB2312" w:hAnsi="仿宋_GB2312" w:eastAsia="仿宋_GB2312" w:cs="仿宋_GB2312"/>
                <w:color w:val="000000"/>
                <w:kern w:val="0"/>
                <w:szCs w:val="21"/>
                <w:highlight w:val="none"/>
              </w:rPr>
            </w:pPr>
            <w:bookmarkStart w:id="15" w:name="OLE_LINK13"/>
            <w:r>
              <w:rPr>
                <w:rFonts w:hint="eastAsia" w:ascii="仿宋_GB2312" w:hAnsi="仿宋_GB2312" w:eastAsia="仿宋_GB2312" w:cs="仿宋_GB2312"/>
                <w:color w:val="000000"/>
                <w:kern w:val="0"/>
                <w:szCs w:val="21"/>
                <w:highlight w:val="none"/>
                <w:lang w:val="en-US" w:eastAsia="zh-CN"/>
              </w:rPr>
              <w:t>持续推广</w:t>
            </w:r>
            <w:bookmarkEnd w:id="15"/>
          </w:p>
        </w:tc>
        <w:tc>
          <w:tcPr>
            <w:tcW w:w="1134" w:type="dxa"/>
            <w:noWrap w:val="0"/>
            <w:vAlign w:val="center"/>
          </w:tcPr>
          <w:p>
            <w:pPr>
              <w:widowControl/>
              <w:jc w:val="left"/>
              <w:rPr>
                <w:rFonts w:hint="eastAsia" w:ascii="仿宋_GB2312" w:hAnsi="仿宋_GB2312" w:eastAsia="仿宋_GB2312" w:cs="仿宋_GB2312"/>
                <w:color w:val="000000"/>
                <w:kern w:val="0"/>
                <w:szCs w:val="21"/>
                <w:highlight w:val="none"/>
              </w:rPr>
            </w:pPr>
            <w:r>
              <w:rPr>
                <w:rFonts w:hint="eastAsia" w:ascii="仿宋_GB2312" w:hAnsi="仿宋_GB2312" w:eastAsia="仿宋_GB2312" w:cs="仿宋_GB2312"/>
                <w:color w:val="000000"/>
                <w:kern w:val="0"/>
                <w:szCs w:val="21"/>
                <w:highlight w:val="none"/>
                <w:lang w:val="en-US" w:eastAsia="zh-CN"/>
              </w:rPr>
              <w:t>持续推广</w:t>
            </w:r>
          </w:p>
        </w:tc>
        <w:tc>
          <w:tcPr>
            <w:tcW w:w="709" w:type="dxa"/>
            <w:noWrap w:val="0"/>
            <w:vAlign w:val="center"/>
          </w:tcPr>
          <w:p>
            <w:pPr>
              <w:widowControl/>
              <w:jc w:val="center"/>
              <w:rPr>
                <w:rFonts w:hint="default" w:eastAsia="仿宋_GB2312"/>
                <w:color w:val="000000"/>
                <w:kern w:val="0"/>
                <w:szCs w:val="21"/>
                <w:highlight w:val="none"/>
                <w:lang w:val="en-US" w:eastAsia="zh-CN"/>
              </w:rPr>
            </w:pPr>
            <w:r>
              <w:rPr>
                <w:rFonts w:hint="eastAsia" w:eastAsia="仿宋_GB2312"/>
                <w:color w:val="000000"/>
                <w:kern w:val="0"/>
                <w:szCs w:val="21"/>
                <w:highlight w:val="none"/>
                <w:lang w:val="en-US" w:eastAsia="zh-CN"/>
              </w:rPr>
              <w:t>15</w:t>
            </w:r>
          </w:p>
        </w:tc>
        <w:tc>
          <w:tcPr>
            <w:tcW w:w="898" w:type="dxa"/>
            <w:noWrap w:val="0"/>
            <w:vAlign w:val="center"/>
          </w:tcPr>
          <w:p>
            <w:pPr>
              <w:widowControl/>
              <w:jc w:val="center"/>
              <w:rPr>
                <w:rFonts w:hint="default" w:eastAsia="仿宋_GB2312"/>
                <w:color w:val="000000"/>
                <w:kern w:val="0"/>
                <w:szCs w:val="21"/>
                <w:lang w:val="en-US"/>
              </w:rPr>
            </w:pPr>
            <w:r>
              <w:rPr>
                <w:rFonts w:hint="eastAsia" w:eastAsia="仿宋_GB2312"/>
                <w:color w:val="000000"/>
                <w:kern w:val="0"/>
                <w:szCs w:val="21"/>
                <w:lang w:val="en-US" w:eastAsia="zh-CN"/>
              </w:rPr>
              <w:t>14</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80" w:type="dxa"/>
            <w:vMerge w:val="continue"/>
            <w:noWrap w:val="0"/>
            <w:vAlign w:val="center"/>
          </w:tcPr>
          <w:p>
            <w:pPr>
              <w:jc w:val="left"/>
              <w:rPr>
                <w:rFonts w:eastAsia="仿宋_GB2312"/>
                <w:color w:val="000000"/>
                <w:kern w:val="0"/>
                <w:szCs w:val="21"/>
              </w:rPr>
            </w:pPr>
          </w:p>
        </w:tc>
        <w:tc>
          <w:tcPr>
            <w:tcW w:w="1395"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52"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2"/>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eastAsia" w:ascii="仿宋_GB2312" w:hAnsi="仿宋_GB2312" w:eastAsia="仿宋_GB2312" w:cs="仿宋_GB2312"/>
                <w:i w:val="0"/>
                <w:color w:val="000000"/>
                <w:kern w:val="0"/>
                <w:sz w:val="21"/>
                <w:szCs w:val="21"/>
                <w:u w:val="none"/>
                <w:lang w:val="en-US" w:eastAsia="zh-CN" w:bidi="ar"/>
              </w:rPr>
              <w:t>受益群众满意度</w:t>
            </w:r>
          </w:p>
        </w:tc>
        <w:tc>
          <w:tcPr>
            <w:tcW w:w="1200"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000000"/>
                <w:kern w:val="0"/>
                <w:szCs w:val="21"/>
              </w:rPr>
            </w:pPr>
            <w:r>
              <w:rPr>
                <w:rFonts w:hint="default" w:ascii="Arial" w:hAnsi="Arial" w:eastAsia="仿宋_GB2312" w:cs="Arial"/>
                <w:i w:val="0"/>
                <w:color w:val="000000"/>
                <w:kern w:val="0"/>
                <w:sz w:val="21"/>
                <w:szCs w:val="21"/>
                <w:u w:val="none"/>
                <w:lang w:val="en-US" w:eastAsia="zh-CN" w:bidi="ar"/>
              </w:rPr>
              <w:t>≥</w:t>
            </w:r>
            <w:r>
              <w:rPr>
                <w:rFonts w:hint="eastAsia" w:ascii="仿宋_GB2312" w:hAnsi="仿宋_GB2312" w:eastAsia="仿宋_GB2312" w:cs="仿宋_GB2312"/>
                <w:i w:val="0"/>
                <w:color w:val="000000"/>
                <w:kern w:val="0"/>
                <w:sz w:val="21"/>
                <w:szCs w:val="21"/>
                <w:u w:val="none"/>
                <w:lang w:val="en-US" w:eastAsia="zh-CN" w:bidi="ar"/>
              </w:rPr>
              <w:t>90%</w:t>
            </w:r>
          </w:p>
        </w:tc>
        <w:tc>
          <w:tcPr>
            <w:tcW w:w="1134" w:type="dxa"/>
            <w:noWrap w:val="0"/>
            <w:vAlign w:val="center"/>
          </w:tcPr>
          <w:p>
            <w:pPr>
              <w:widowControl/>
              <w:jc w:val="left"/>
              <w:rPr>
                <w:rFonts w:hint="eastAsia" w:ascii="仿宋_GB2312" w:hAnsi="仿宋_GB2312" w:eastAsia="仿宋_GB2312" w:cs="仿宋_GB2312"/>
                <w:color w:val="000000"/>
                <w:kern w:val="0"/>
                <w:szCs w:val="21"/>
                <w:lang w:val="en-US" w:eastAsia="zh-CN"/>
              </w:rPr>
            </w:pPr>
            <w:r>
              <w:rPr>
                <w:rFonts w:hint="eastAsia" w:ascii="仿宋_GB2312" w:hAnsi="仿宋_GB2312" w:eastAsia="仿宋_GB2312" w:cs="仿宋_GB2312"/>
                <w:color w:val="000000"/>
                <w:kern w:val="0"/>
                <w:szCs w:val="21"/>
              </w:rPr>
              <w:t>　</w:t>
            </w:r>
            <w:r>
              <w:rPr>
                <w:rFonts w:hint="eastAsia" w:ascii="仿宋_GB2312" w:hAnsi="仿宋_GB2312" w:eastAsia="仿宋_GB2312" w:cs="仿宋_GB2312"/>
                <w:color w:val="000000"/>
                <w:kern w:val="0"/>
                <w:szCs w:val="21"/>
                <w:lang w:val="en-US" w:eastAsia="zh-CN"/>
              </w:rPr>
              <w:t>93%</w:t>
            </w:r>
          </w:p>
        </w:tc>
        <w:tc>
          <w:tcPr>
            <w:tcW w:w="709"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270"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98.00</w:t>
            </w:r>
          </w:p>
        </w:tc>
        <w:tc>
          <w:tcPr>
            <w:tcW w:w="1446"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pStyle w:val="2"/>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altName w:val="等线 Light"/>
    <w:panose1 w:val="02030600000101010101"/>
    <w:charset w:val="00"/>
    <w:family w:val="roman"/>
    <w:pitch w:val="default"/>
    <w:sig w:usb0="00000000" w:usb1="00000000" w:usb2="00000030" w:usb3="00000000" w:csb0="0008009F" w:csb1="00000000"/>
  </w:font>
  <w:font w:name="Arial Unicode MS">
    <w:panose1 w:val="020B0604020202020204"/>
    <w:charset w:val="86"/>
    <w:family w:val="auto"/>
    <w:pitch w:val="default"/>
    <w:sig w:usb0="FFFFFFFF" w:usb1="E9FFFFFF" w:usb2="0000003F" w:usb3="00000000" w:csb0="601F00FF" w:csb1="FFFF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4CDA96"/>
    <w:multiLevelType w:val="singleLevel"/>
    <w:tmpl w:val="C34CDA9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28B9"/>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337057"/>
    <w:rsid w:val="064204C4"/>
    <w:rsid w:val="073E49F0"/>
    <w:rsid w:val="1B9A59CB"/>
    <w:rsid w:val="1D97DEFF"/>
    <w:rsid w:val="1DFF72E5"/>
    <w:rsid w:val="1EFC6F07"/>
    <w:rsid w:val="2A1665C7"/>
    <w:rsid w:val="2FDF85B8"/>
    <w:rsid w:val="2FFFEE04"/>
    <w:rsid w:val="30B76E16"/>
    <w:rsid w:val="34DF85B0"/>
    <w:rsid w:val="3620332D"/>
    <w:rsid w:val="397D1350"/>
    <w:rsid w:val="3B8F36BC"/>
    <w:rsid w:val="402F0A7B"/>
    <w:rsid w:val="40633A14"/>
    <w:rsid w:val="433430C7"/>
    <w:rsid w:val="491FF225"/>
    <w:rsid w:val="4F6F5451"/>
    <w:rsid w:val="4FFD214C"/>
    <w:rsid w:val="5648323F"/>
    <w:rsid w:val="5777D4F5"/>
    <w:rsid w:val="59DD8326"/>
    <w:rsid w:val="5DEF592A"/>
    <w:rsid w:val="5FC6BB1E"/>
    <w:rsid w:val="5FF720F1"/>
    <w:rsid w:val="67FF5C0B"/>
    <w:rsid w:val="6C8A2C50"/>
    <w:rsid w:val="6EFC0924"/>
    <w:rsid w:val="6FB74722"/>
    <w:rsid w:val="6FEF8B7E"/>
    <w:rsid w:val="71A6591B"/>
    <w:rsid w:val="737D59BA"/>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Normal Indent"/>
    <w:basedOn w:val="1"/>
    <w:qFormat/>
    <w:uiPriority w:val="0"/>
    <w:pPr>
      <w:ind w:firstLine="420" w:firstLineChars="200"/>
    </w:pPr>
  </w:style>
  <w:style w:type="paragraph" w:styleId="4">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4</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2025-08-18T10:17:00Z</dcterms:created>
  <dc:creator>李航 null</dc:creator>
  <cp:lastModifiedBy>lenovo</cp:lastModifiedBy>
  <cp:lastPrinted>2024-08-08T18:20:00Z</cp:lastPrinted>
  <dcterms:modified xsi:type="dcterms:W3CDTF">2025-09-19T08:46:41Z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