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ascii="Times New Roman" w:hAnsi="Times New Roman" w:cs="Times New Roman"/>
          <w:sz w:val="56"/>
          <w:szCs w:val="56"/>
        </w:rPr>
      </w:pPr>
    </w:p>
    <w:p>
      <w:pPr>
        <w:pStyle w:val="14"/>
        <w:jc w:val="center"/>
        <w:rPr>
          <w:rFonts w:ascii="Times New Roman" w:hAnsi="Times New Roman" w:cs="Times New Roman"/>
          <w:sz w:val="84"/>
          <w:szCs w:val="84"/>
        </w:rPr>
      </w:pPr>
    </w:p>
    <w:p>
      <w:pPr>
        <w:pStyle w:val="14"/>
        <w:jc w:val="center"/>
        <w:rPr>
          <w:rFonts w:ascii="Times New Roman" w:hAnsi="Times New Roman" w:cs="Times New Roman"/>
          <w:sz w:val="84"/>
          <w:szCs w:val="84"/>
        </w:rPr>
      </w:pPr>
    </w:p>
    <w:p>
      <w:pPr>
        <w:pStyle w:val="14"/>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4"/>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湖南省绿色食品发展中心</w:t>
      </w:r>
    </w:p>
    <w:p>
      <w:pPr>
        <w:pStyle w:val="14"/>
        <w:jc w:val="center"/>
        <w:rPr>
          <w:rFonts w:ascii="Times New Roman" w:hAnsi="Times New Roman" w:cs="Times New Roman"/>
          <w:sz w:val="56"/>
          <w:szCs w:val="56"/>
        </w:rPr>
      </w:pPr>
      <w:r>
        <w:rPr>
          <w:rFonts w:ascii="Times New Roman" w:hAnsi="Times New Roman" w:eastAsia="方正小标宋简体" w:cs="Times New Roman"/>
          <w:sz w:val="72"/>
          <w:szCs w:val="72"/>
        </w:rPr>
        <w:t>部门决算</w:t>
      </w:r>
    </w:p>
    <w:p>
      <w:pPr>
        <w:pStyle w:val="14"/>
        <w:rPr>
          <w:rFonts w:ascii="Times New Roman" w:hAnsi="Times New Roman" w:cs="Times New Roman"/>
          <w:sz w:val="56"/>
          <w:szCs w:val="56"/>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4"/>
        <w:spacing w:line="600" w:lineRule="exact"/>
        <w:jc w:val="both"/>
        <w:rPr>
          <w:rFonts w:ascii="Times New Roman" w:hAnsi="Times New Roman" w:cs="Times New Roman"/>
          <w:b/>
          <w:sz w:val="36"/>
          <w:szCs w:val="28"/>
        </w:rPr>
      </w:pPr>
    </w:p>
    <w:p>
      <w:pPr>
        <w:pStyle w:val="14"/>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4"/>
        <w:spacing w:line="600" w:lineRule="exact"/>
        <w:jc w:val="center"/>
        <w:rPr>
          <w:rFonts w:ascii="Times New Roman" w:hAnsi="Times New Roman" w:cs="Times New Roman"/>
          <w:b/>
          <w:sz w:val="36"/>
          <w:szCs w:val="28"/>
        </w:rPr>
      </w:pPr>
    </w:p>
    <w:p>
      <w:pPr>
        <w:pStyle w:val="14"/>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湖南省绿色食品发展中心</w:t>
      </w:r>
      <w:r>
        <w:rPr>
          <w:rFonts w:ascii="Times New Roman" w:hAnsi="Times New Roman" w:cs="Times New Roman"/>
          <w:bCs/>
          <w:sz w:val="32"/>
          <w:szCs w:val="32"/>
        </w:rPr>
        <w:t>概况</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4"/>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4"/>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湖南省绿色食品发展中心</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5"/>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spacing w:line="62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织全省“三品一标”生产加工及绿色食品生产资料新技术研究与协作；承担“三品一标”基地建设示范与推广服务；承担“三标一标”生产操作技术规程的制（修）订工作；负责组织全省“三品一标”的市场开拓与监管、信息服务；承办“三品一标”的行业宣传与专业培训工作。</w:t>
      </w:r>
    </w:p>
    <w:p>
      <w:pPr>
        <w:keepNext w:val="0"/>
        <w:keepLines w:val="0"/>
        <w:pageBreakBefore w:val="0"/>
        <w:widowControl/>
        <w:kinsoku/>
        <w:wordWrap/>
        <w:overflowPunct/>
        <w:topLinePunct w:val="0"/>
        <w:autoSpaceDE/>
        <w:autoSpaceDN/>
        <w:bidi w:val="0"/>
        <w:adjustRightInd/>
        <w:snapToGrid/>
        <w:spacing w:line="580" w:lineRule="exac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pacing w:line="62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s="仿宋"/>
          <w:bCs/>
          <w:kern w:val="0"/>
          <w:sz w:val="32"/>
          <w:szCs w:val="32"/>
        </w:rPr>
        <w:t>（一）内设机构设置。</w:t>
      </w:r>
      <w:r>
        <w:rPr>
          <w:rFonts w:hint="eastAsia" w:ascii="仿宋" w:hAnsi="仿宋" w:eastAsia="仿宋"/>
          <w:color w:val="auto"/>
          <w:sz w:val="32"/>
          <w:szCs w:val="32"/>
          <w:highlight w:val="none"/>
          <w:lang w:eastAsia="zh-CN"/>
        </w:rPr>
        <w:t>湖南省绿色食品发展中心</w:t>
      </w:r>
      <w:r>
        <w:rPr>
          <w:rFonts w:hint="eastAsia" w:ascii="仿宋" w:hAnsi="仿宋" w:eastAsia="仿宋"/>
          <w:color w:val="auto"/>
          <w:sz w:val="32"/>
          <w:szCs w:val="32"/>
          <w:highlight w:val="none"/>
        </w:rPr>
        <w:t>内设机构包括：科技科、综合科、市场科</w:t>
      </w:r>
      <w:r>
        <w:rPr>
          <w:rFonts w:hint="eastAsia" w:ascii="仿宋" w:hAnsi="仿宋" w:eastAsia="仿宋"/>
          <w:color w:val="auto"/>
          <w:sz w:val="32"/>
          <w:szCs w:val="32"/>
          <w:highlight w:val="none"/>
          <w:lang w:val="en-US" w:eastAsia="zh-CN"/>
        </w:rPr>
        <w:t>。</w:t>
      </w:r>
    </w:p>
    <w:p>
      <w:pPr>
        <w:widowControl/>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s="仿宋"/>
          <w:bCs/>
          <w:kern w:val="0"/>
          <w:sz w:val="32"/>
          <w:szCs w:val="32"/>
        </w:rPr>
        <w:t>（二）决算单位构成。</w:t>
      </w:r>
      <w:r>
        <w:rPr>
          <w:rFonts w:hint="eastAsia" w:ascii="仿宋" w:hAnsi="仿宋" w:eastAsia="仿宋"/>
          <w:color w:val="auto"/>
          <w:sz w:val="32"/>
          <w:szCs w:val="32"/>
          <w:highlight w:val="none"/>
          <w:lang w:eastAsia="zh-CN"/>
        </w:rPr>
        <w:t>湖南省绿色食品发展中心202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lang w:eastAsia="zh-CN"/>
        </w:rPr>
        <w:t>年部门决算汇总公开单位构成包括：湖南省绿色食品发展中心本级。</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4"/>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W w:w="138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256"/>
        <w:gridCol w:w="683"/>
        <w:gridCol w:w="1009"/>
        <w:gridCol w:w="3327"/>
        <w:gridCol w:w="461"/>
        <w:gridCol w:w="30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6948" w:type="dxa"/>
            <w:gridSpan w:val="3"/>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收入</w:t>
            </w:r>
          </w:p>
        </w:tc>
        <w:tc>
          <w:tcPr>
            <w:tcW w:w="6860" w:type="dxa"/>
            <w:gridSpan w:val="3"/>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行次</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金额</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行次</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一、一般公共预算财政拨款收入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163.02</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一、一般公共服务支出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二、政府性基金预算财政拨款收入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二、外交支出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三、国有资本经营预算财政拨款收入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三、国防支出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四、上级补助收入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四、公共安全支出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五、事业收入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五、教育支出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六、经营收入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六、科学技术支出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36</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七、附属单位上缴收入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七、文化旅游体育与传媒支出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八、其他收入</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20.04</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八、社会保障和就业支出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九、卫生健康支出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39</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十、节能环保支出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40</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11</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十一、城乡社区支出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十二、农林水支出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42</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十三、交通运输支出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43</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十四、资源勘探工业信息等支出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44</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15</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十五、商业服务业等支出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十六、金融支出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46</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17</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十七、援助其他地区支出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47</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十八、自然资源海洋气象等支出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48</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十九、住房保障支出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49</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二十、粮油物资储备支出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50</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二十一、国有资本经营预算支出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51</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二十二、灾害防治及应急管理支出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52</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23</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二十三、其他支出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二十四、债务还本支出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54</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25</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二十五、债务付息支出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55</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26</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二十六、抗疫特别国债安排的支出</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56</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本年收入合计</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27</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183.06</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本年支出合计</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57</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使用非财政拨款结余（含专用结余）</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28</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6.11</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结余分配</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58</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年初结转和结余</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29</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4.53</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年末结转和结余</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59</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总计</w:t>
            </w:r>
          </w:p>
        </w:tc>
        <w:tc>
          <w:tcPr>
            <w:tcW w:w="68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30</w:t>
            </w:r>
          </w:p>
        </w:tc>
        <w:tc>
          <w:tcPr>
            <w:tcW w:w="10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193.70</w:t>
            </w:r>
          </w:p>
        </w:tc>
        <w:tc>
          <w:tcPr>
            <w:tcW w:w="3327"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总计</w:t>
            </w:r>
          </w:p>
        </w:tc>
        <w:tc>
          <w:tcPr>
            <w:tcW w:w="4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60</w:t>
            </w:r>
          </w:p>
        </w:tc>
        <w:tc>
          <w:tcPr>
            <w:tcW w:w="30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193.70</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W w:w="15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909"/>
        <w:gridCol w:w="3603"/>
        <w:gridCol w:w="1649"/>
        <w:gridCol w:w="1649"/>
        <w:gridCol w:w="1649"/>
        <w:gridCol w:w="1384"/>
        <w:gridCol w:w="1649"/>
        <w:gridCol w:w="1256"/>
        <w:gridCol w:w="12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财政拨款收入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上级补助收入</w:t>
            </w:r>
          </w:p>
        </w:tc>
        <w:tc>
          <w:tcPr>
            <w:tcW w:w="1384"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经营收入</w:t>
            </w:r>
          </w:p>
        </w:tc>
        <w:tc>
          <w:tcPr>
            <w:tcW w:w="1256"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附属单位上缴收入</w:t>
            </w:r>
          </w:p>
        </w:tc>
        <w:tc>
          <w:tcPr>
            <w:tcW w:w="127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4"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4"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4"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3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125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127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183.06</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163.02</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1.94</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1.94</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6.85</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6.85</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167.27</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147.23</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167.27</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147.23</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87.27</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67.23</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c>
          <w:tcPr>
            <w:tcW w:w="127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W w:w="140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909"/>
        <w:gridCol w:w="3603"/>
        <w:gridCol w:w="1649"/>
        <w:gridCol w:w="1649"/>
        <w:gridCol w:w="1649"/>
        <w:gridCol w:w="1648"/>
        <w:gridCol w:w="1285"/>
        <w:gridCol w:w="16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项目支出</w:t>
            </w:r>
          </w:p>
        </w:tc>
        <w:tc>
          <w:tcPr>
            <w:tcW w:w="1648"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上缴上级支出</w:t>
            </w:r>
          </w:p>
        </w:tc>
        <w:tc>
          <w:tcPr>
            <w:tcW w:w="1285"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经营支出</w:t>
            </w:r>
          </w:p>
        </w:tc>
        <w:tc>
          <w:tcPr>
            <w:tcW w:w="1648"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5"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5"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85"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64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285"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1648"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162.50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109.17</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53.33</w:t>
            </w: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1.94</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1.94</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6.85</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6.85</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146.71</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93.38</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146.71</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93.38</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93.38</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93.38</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649"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85"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W w:w="14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3543"/>
        <w:gridCol w:w="523"/>
        <w:gridCol w:w="1540"/>
        <w:gridCol w:w="3440"/>
        <w:gridCol w:w="528"/>
        <w:gridCol w:w="940"/>
        <w:gridCol w:w="1534"/>
        <w:gridCol w:w="1230"/>
        <w:gridCol w:w="1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5606" w:type="dxa"/>
            <w:gridSpan w:val="3"/>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收     入</w:t>
            </w:r>
          </w:p>
        </w:tc>
        <w:tc>
          <w:tcPr>
            <w:tcW w:w="8976" w:type="dxa"/>
            <w:gridSpan w:val="6"/>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85" w:hRule="atLeast"/>
        </w:trPr>
        <w:tc>
          <w:tcPr>
            <w:tcW w:w="354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金额</w:t>
            </w:r>
          </w:p>
        </w:tc>
        <w:tc>
          <w:tcPr>
            <w:tcW w:w="344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528"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行次</w:t>
            </w:r>
          </w:p>
        </w:tc>
        <w:tc>
          <w:tcPr>
            <w:tcW w:w="940" w:type="dxa"/>
            <w:vMerge w:val="restart"/>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合计</w:t>
            </w:r>
          </w:p>
        </w:tc>
        <w:tc>
          <w:tcPr>
            <w:tcW w:w="1534"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一般公共预算财政拨款</w:t>
            </w:r>
          </w:p>
        </w:tc>
        <w:tc>
          <w:tcPr>
            <w:tcW w:w="12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政府性基金预算财政拨款</w:t>
            </w:r>
          </w:p>
        </w:tc>
        <w:tc>
          <w:tcPr>
            <w:tcW w:w="1304"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00" w:hRule="atLeast"/>
        </w:trPr>
        <w:tc>
          <w:tcPr>
            <w:tcW w:w="354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44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40"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4"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163.02</w:t>
            </w: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一、一般公共服务支出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33</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二、外交支出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34</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三、国防支出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35</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四、公共安全支出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36</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五、教育支出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37</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六、科学技术支出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38</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七、文化旅游体育与传媒支出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39</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八、社会保障和就业支出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40</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九、卫生健康支出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41</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十、节能环保支出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42</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十一、城乡社区支出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43</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十二、农林水支出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44</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120.56</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120.56</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十三、交通运输支出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十四、资源勘探工业信息等支出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46</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十五、商业服务业等支出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47</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十六、金融支出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十七、援助其他地区支出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49</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十八、自然资源海洋气象等支出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50</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十九、住房保障支出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51</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二十、粮油物资储备支出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52</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二十一、国有资本经营预算支出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二十二、灾害防治及应急管理支出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54</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二十三、其他支出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55</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二十四、债务还本支出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56</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二十五、债务付息支出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57</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二十六、抗疫特别国债安排的支出</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58</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163.02</w:t>
            </w: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本年支出合计</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59</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136.35</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136.35</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4.53</w:t>
            </w: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年末财政拨款结转和结余</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60</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31.21</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31.21</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4.53</w:t>
            </w: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61</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62</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63</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4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167.55</w:t>
            </w:r>
          </w:p>
        </w:tc>
        <w:tc>
          <w:tcPr>
            <w:tcW w:w="34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总计</w:t>
            </w:r>
          </w:p>
        </w:tc>
        <w:tc>
          <w:tcPr>
            <w:tcW w:w="528"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64</w:t>
            </w:r>
          </w:p>
        </w:tc>
        <w:tc>
          <w:tcPr>
            <w:tcW w:w="9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167.55</w:t>
            </w:r>
          </w:p>
        </w:tc>
        <w:tc>
          <w:tcPr>
            <w:tcW w:w="153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167.55</w:t>
            </w:r>
          </w:p>
        </w:tc>
        <w:tc>
          <w:tcPr>
            <w:tcW w:w="123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pStyle w:val="2"/>
        <w:rPr>
          <w:rFonts w:ascii="Times New Roman" w:hAnsi="Times New Roman" w:eastAsia="黑体" w:cs="Times New Roman"/>
          <w:color w:val="000000"/>
          <w:kern w:val="0"/>
          <w:sz w:val="36"/>
          <w:szCs w:val="36"/>
          <w:lang w:bidi="ar"/>
        </w:rPr>
      </w:pPr>
    </w:p>
    <w:p>
      <w:pPr>
        <w:pStyle w:val="3"/>
        <w:rPr>
          <w:rFonts w:ascii="Times New Roman" w:hAnsi="Times New Roman" w:eastAsia="黑体" w:cs="Times New Roman"/>
          <w:color w:val="000000"/>
          <w:kern w:val="0"/>
          <w:sz w:val="36"/>
          <w:szCs w:val="36"/>
          <w:lang w:bidi="ar"/>
        </w:rPr>
      </w:pPr>
    </w:p>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W w:w="134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906"/>
        <w:gridCol w:w="5340"/>
        <w:gridCol w:w="2061"/>
        <w:gridCol w:w="2061"/>
        <w:gridCol w:w="2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246"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w:t>
            </w:r>
          </w:p>
        </w:tc>
        <w:tc>
          <w:tcPr>
            <w:tcW w:w="6184" w:type="dxa"/>
            <w:gridSpan w:val="3"/>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功能分类科目编码</w:t>
            </w:r>
          </w:p>
        </w:tc>
        <w:tc>
          <w:tcPr>
            <w:tcW w:w="5340" w:type="dxa"/>
            <w:vMerge w:val="restart"/>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科目名称</w:t>
            </w:r>
          </w:p>
        </w:tc>
        <w:tc>
          <w:tcPr>
            <w:tcW w:w="2061"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小计</w:t>
            </w:r>
          </w:p>
        </w:tc>
        <w:tc>
          <w:tcPr>
            <w:tcW w:w="2061"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基本支出</w:t>
            </w:r>
          </w:p>
        </w:tc>
        <w:tc>
          <w:tcPr>
            <w:tcW w:w="206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70" w:hRule="atLeast"/>
        </w:trPr>
        <w:tc>
          <w:tcPr>
            <w:tcW w:w="1906"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40"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40" w:type="dxa"/>
            <w:vMerge w:val="continue"/>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246"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栏次</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246" w:type="dxa"/>
            <w:gridSpan w:val="2"/>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合计</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136.35</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83.02</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社会保障和就业支出</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行政事业单位养老支出</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8.79</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2080502</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事业单位离退休</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1.94</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1.94</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2080505</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机关事业单位基本养老保险缴费支出</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6.85</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6.85</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农林水支出</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120.56</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67.23</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农业农村</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120.56</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67.23</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2130104</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事业运行</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67.23</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67.23</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2130122</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农业生产发展</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住房保障支出</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22102</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住房改革支出</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06"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2210201</w:t>
            </w:r>
          </w:p>
        </w:tc>
        <w:tc>
          <w:tcPr>
            <w:tcW w:w="5340"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住房公积金</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2061"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7.00</w:t>
            </w:r>
          </w:p>
        </w:tc>
        <w:tc>
          <w:tcPr>
            <w:tcW w:w="2062" w:type="dxa"/>
            <w:tcBorders>
              <w:top w:val="single" w:color="000000" w:sz="4" w:space="0"/>
              <w:left w:val="single" w:color="000000" w:sz="4" w:space="0"/>
              <w:bottom w:val="single" w:color="000000" w:sz="4" w:space="0"/>
              <w:right w:val="single" w:color="000000" w:sz="4" w:space="0"/>
            </w:tcBorders>
            <w:shd w:val="clear"/>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9"/>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80.12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21.57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3.10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29.80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6.85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0.70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2.90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0.96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83.02</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0.00</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9"/>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7"/>
                <w:rFonts w:hint="default" w:ascii="Times New Roman" w:hAnsi="Times New Roman" w:eastAsia="仿宋_GB2312" w:cs="Times New Roman"/>
                <w:b/>
                <w:bCs/>
                <w:lang w:bidi="ar"/>
              </w:rPr>
              <w:t xml:space="preserve">   </w:t>
            </w:r>
            <w:r>
              <w:rPr>
                <w:rStyle w:val="18"/>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9"/>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19"/>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湖南省绿色食品发展中心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9"/>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w:t>
      </w:r>
      <w:r>
        <w:rPr>
          <w:rFonts w:hint="eastAsia" w:ascii="Times New Roman" w:hAnsi="Times New Roman" w:eastAsia="楷体_GB2312" w:cs="Times New Roman"/>
          <w:b/>
          <w:bCs/>
          <w:kern w:val="0"/>
          <w:sz w:val="24"/>
          <w:szCs w:val="24"/>
          <w:lang w:val="en-US" w:eastAsia="zh-CN" w:bidi="ar"/>
        </w:rPr>
        <w:t>财政拨款“三公”经费支出，</w:t>
      </w:r>
      <w:r>
        <w:rPr>
          <w:rFonts w:ascii="Times New Roman" w:hAnsi="Times New Roman" w:eastAsia="楷体_GB2312" w:cs="Times New Roman"/>
          <w:b/>
          <w:bCs/>
          <w:kern w:val="0"/>
          <w:sz w:val="24"/>
          <w:szCs w:val="24"/>
          <w:lang w:bidi="ar"/>
        </w:rPr>
        <w:t>故本表无数据。</w:t>
      </w:r>
    </w:p>
    <w:p>
      <w:pPr>
        <w:widowControl/>
        <w:jc w:val="center"/>
        <w:rPr>
          <w:rFonts w:ascii="Times New Roman" w:hAnsi="Times New Roman" w:eastAsia="方正小标宋_GBK" w:cs="Times New Roman"/>
          <w:color w:val="000000"/>
          <w:kern w:val="0"/>
          <w:sz w:val="36"/>
          <w:szCs w:val="36"/>
        </w:rPr>
      </w:pPr>
    </w:p>
    <w:p>
      <w:pPr>
        <w:autoSpaceDE w:val="0"/>
        <w:autoSpaceDN w:val="0"/>
        <w:adjustRightInd w:val="0"/>
        <w:ind w:left="315" w:leftChars="150"/>
        <w:jc w:val="left"/>
        <w:rPr>
          <w:rFonts w:hint="default" w:ascii="Times New Roman" w:hAnsi="Times New Roman" w:eastAsia="楷体_GB2312" w:cs="Times New Roman"/>
          <w:kern w:val="0"/>
          <w:sz w:val="24"/>
          <w:szCs w:val="24"/>
          <w:lang w:val="en-US" w:eastAsia="zh-CN"/>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4"/>
        <w:rPr>
          <w:rFonts w:ascii="Times New Roman" w:hAnsi="Times New Roman" w:cs="Times New Roman"/>
          <w:sz w:val="72"/>
          <w:szCs w:val="72"/>
        </w:rPr>
      </w:pPr>
    </w:p>
    <w:p>
      <w:pPr>
        <w:pStyle w:val="14"/>
        <w:rPr>
          <w:rFonts w:ascii="Times New Roman" w:hAnsi="Times New Roman" w:cs="Times New Roman"/>
          <w:sz w:val="72"/>
          <w:szCs w:val="72"/>
        </w:rPr>
      </w:pPr>
    </w:p>
    <w:p>
      <w:pPr>
        <w:pStyle w:val="14"/>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eastAsia="方正小标宋_GBK"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193.70</w:t>
      </w:r>
      <w:r>
        <w:rPr>
          <w:rFonts w:ascii="Times New Roman" w:hAnsi="Times New Roman" w:eastAsia="仿宋_GB2312" w:cs="Times New Roman"/>
          <w:sz w:val="32"/>
          <w:szCs w:val="32"/>
        </w:rPr>
        <w:t>万元。与上年相比，</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69.61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26.44</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highlight w:val="none"/>
        </w:rPr>
        <w:t>绿色、有机食品博览会</w:t>
      </w:r>
      <w:r>
        <w:rPr>
          <w:rFonts w:hint="eastAsia" w:ascii="Times New Roman" w:hAnsi="Times New Roman" w:eastAsia="仿宋_GB2312"/>
          <w:color w:val="auto"/>
          <w:sz w:val="32"/>
          <w:szCs w:val="32"/>
          <w:highlight w:val="none"/>
          <w:lang w:val="en-US" w:eastAsia="zh-CN"/>
        </w:rPr>
        <w:t>项目经费的减少。</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183.06</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163.02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89.05</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20.04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10.95</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162.50</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109.17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67.18</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53.33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32.82</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163.02</w:t>
      </w:r>
      <w:r>
        <w:rPr>
          <w:rFonts w:ascii="Times New Roman" w:hAnsi="Times New Roman" w:eastAsia="仿宋_GB2312" w:cs="Times New Roman"/>
          <w:sz w:val="32"/>
          <w:szCs w:val="32"/>
        </w:rPr>
        <w:t>万元，</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9.29</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15.40</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highlight w:val="none"/>
        </w:rPr>
        <w:t>绿色、有机食品博览会</w:t>
      </w:r>
      <w:r>
        <w:rPr>
          <w:rFonts w:hint="eastAsia" w:ascii="Times New Roman" w:hAnsi="Times New Roman" w:eastAsia="仿宋_GB2312"/>
          <w:color w:val="auto"/>
          <w:sz w:val="32"/>
          <w:szCs w:val="32"/>
          <w:highlight w:val="none"/>
          <w:lang w:val="en-US" w:eastAsia="zh-CN"/>
        </w:rPr>
        <w:t>项目经费的减少。</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136.35</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83.91</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31.42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18.73</w:t>
      </w:r>
      <w:r>
        <w:rPr>
          <w:rFonts w:ascii="Times New Roman" w:hAnsi="Times New Roman" w:eastAsia="仿宋_GB2312" w:cs="Times New Roman"/>
          <w:sz w:val="32"/>
          <w:szCs w:val="32"/>
        </w:rPr>
        <w:t>%，主要是因为</w:t>
      </w:r>
      <w:r>
        <w:rPr>
          <w:rFonts w:hint="eastAsia" w:ascii="Times New Roman" w:hAnsi="Times New Roman" w:eastAsia="仿宋_GB2312"/>
          <w:color w:val="auto"/>
          <w:sz w:val="32"/>
          <w:szCs w:val="32"/>
          <w:highlight w:val="none"/>
        </w:rPr>
        <w:t>绿色、有机食品博览会</w:t>
      </w:r>
      <w:r>
        <w:rPr>
          <w:rFonts w:hint="eastAsia" w:ascii="Times New Roman" w:hAnsi="Times New Roman" w:eastAsia="仿宋_GB2312"/>
          <w:color w:val="auto"/>
          <w:sz w:val="32"/>
          <w:szCs w:val="32"/>
          <w:highlight w:val="none"/>
          <w:lang w:val="en-US" w:eastAsia="zh-CN"/>
        </w:rPr>
        <w:t>项目经费的减少。</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136.35</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8.79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6.45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r>
        <w:rPr>
          <w:rFonts w:hint="eastAsia" w:ascii="仿宋" w:hAnsi="仿宋" w:eastAsia="仿宋" w:cs="仿宋"/>
          <w:sz w:val="32"/>
          <w:szCs w:val="32"/>
        </w:rPr>
        <w:t>农林水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类）</w:t>
      </w:r>
      <w:r>
        <w:rPr>
          <w:rFonts w:hint="eastAsia" w:ascii="仿宋" w:hAnsi="仿宋" w:eastAsia="仿宋" w:cs="仿宋"/>
          <w:sz w:val="32"/>
          <w:szCs w:val="32"/>
        </w:rPr>
        <w:t>支出</w:t>
      </w:r>
      <w:r>
        <w:rPr>
          <w:rFonts w:hint="eastAsia" w:ascii="仿宋" w:hAnsi="仿宋" w:eastAsia="仿宋" w:cs="仿宋"/>
          <w:sz w:val="32"/>
          <w:szCs w:val="32"/>
          <w:lang w:val="en-US" w:eastAsia="zh-CN"/>
        </w:rPr>
        <w:t>120.56</w:t>
      </w:r>
      <w:r>
        <w:rPr>
          <w:rFonts w:hint="eastAsia" w:ascii="仿宋" w:hAnsi="仿宋" w:eastAsia="仿宋" w:cs="仿宋"/>
          <w:sz w:val="32"/>
          <w:szCs w:val="32"/>
        </w:rPr>
        <w:t>元，占</w:t>
      </w:r>
      <w:r>
        <w:rPr>
          <w:rFonts w:hint="eastAsia" w:ascii="仿宋" w:hAnsi="仿宋" w:eastAsia="仿宋" w:cs="仿宋"/>
          <w:sz w:val="32"/>
          <w:szCs w:val="32"/>
          <w:lang w:val="en-US" w:eastAsia="zh-CN"/>
        </w:rPr>
        <w:t>88.42</w:t>
      </w:r>
      <w:r>
        <w:rPr>
          <w:rFonts w:hint="eastAsia" w:ascii="仿宋" w:hAnsi="仿宋" w:eastAsia="仿宋" w:cs="仿宋"/>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7.00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5.13</w:t>
      </w:r>
      <w:r>
        <w:rPr>
          <w:rFonts w:ascii="Times New Roman" w:hAnsi="Times New Roman" w:eastAsia="仿宋_GB2312" w:cs="Times New Roman"/>
          <w:sz w:val="32"/>
          <w:szCs w:val="32"/>
        </w:rPr>
        <w:t>%</w:t>
      </w:r>
      <w:r>
        <w:rPr>
          <w:rFonts w:hint="eastAsia" w:ascii="仿宋" w:hAnsi="仿宋" w:eastAsia="仿宋" w:cs="仿宋"/>
          <w:sz w:val="32"/>
          <w:szCs w:val="32"/>
        </w:rPr>
        <w:t>。</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167.55</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136.35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81.36</w:t>
      </w:r>
      <w:r>
        <w:rPr>
          <w:rFonts w:ascii="Times New Roman" w:hAnsi="Times New Roman" w:eastAsia="仿宋_GB2312" w:cs="Times New Roman"/>
          <w:sz w:val="32"/>
          <w:szCs w:val="32"/>
        </w:rPr>
        <w:t>%，其中：</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社会保障和就业支出（类）行政事业单位养老支出（款）事业单位离退休（项）。</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1.94</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1.94</w:t>
      </w:r>
      <w:r>
        <w:rPr>
          <w:rFonts w:hint="eastAsia" w:ascii="仿宋" w:hAnsi="仿宋" w:eastAsia="仿宋" w:cs="仿宋"/>
          <w:sz w:val="32"/>
          <w:szCs w:val="32"/>
        </w:rPr>
        <w:t>万元，</w:t>
      </w:r>
      <w:r>
        <w:rPr>
          <w:rFonts w:hint="eastAsia" w:ascii="仿宋" w:hAnsi="仿宋" w:eastAsia="仿宋" w:cs="仿宋"/>
          <w:sz w:val="32"/>
          <w:szCs w:val="32"/>
          <w:lang w:val="en-US" w:eastAsia="zh-CN"/>
        </w:rPr>
        <w:t>完成年初预算的100%。</w:t>
      </w:r>
    </w:p>
    <w:p>
      <w:pPr>
        <w:pStyle w:val="14"/>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社会保障和就业支出（类）行政事业单位养老支出（款）机关事业单位基本养老保险缴费支出（项）。</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6.85</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6.85</w:t>
      </w:r>
      <w:r>
        <w:rPr>
          <w:rFonts w:hint="eastAsia" w:ascii="仿宋" w:hAnsi="仿宋" w:eastAsia="仿宋" w:cs="仿宋"/>
          <w:sz w:val="32"/>
          <w:szCs w:val="32"/>
        </w:rPr>
        <w:t>万元，</w:t>
      </w:r>
      <w:r>
        <w:rPr>
          <w:rFonts w:hint="eastAsia" w:ascii="仿宋" w:hAnsi="仿宋" w:eastAsia="仿宋" w:cs="仿宋"/>
          <w:sz w:val="32"/>
          <w:szCs w:val="32"/>
          <w:lang w:val="en-US" w:eastAsia="zh-CN"/>
        </w:rPr>
        <w:t>完成年初预算的100%。</w:t>
      </w:r>
    </w:p>
    <w:p>
      <w:pPr>
        <w:pStyle w:val="14"/>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农林水</w:t>
      </w:r>
      <w:r>
        <w:rPr>
          <w:rFonts w:hint="eastAsia" w:ascii="仿宋" w:hAnsi="仿宋" w:eastAsia="仿宋" w:cs="仿宋"/>
          <w:sz w:val="32"/>
          <w:szCs w:val="32"/>
          <w:lang w:val="en-US" w:eastAsia="zh-CN"/>
        </w:rPr>
        <w:t>支出</w:t>
      </w:r>
      <w:r>
        <w:rPr>
          <w:rFonts w:hint="eastAsia" w:ascii="仿宋" w:hAnsi="仿宋" w:eastAsia="仿宋" w:cs="仿宋"/>
          <w:sz w:val="32"/>
          <w:szCs w:val="32"/>
        </w:rPr>
        <w:t>（类）</w:t>
      </w:r>
      <w:r>
        <w:rPr>
          <w:rFonts w:hint="eastAsia" w:ascii="仿宋" w:hAnsi="仿宋" w:eastAsia="仿宋" w:cs="仿宋"/>
          <w:sz w:val="32"/>
          <w:szCs w:val="32"/>
          <w:lang w:eastAsia="zh-CN"/>
        </w:rPr>
        <w:t>农业农村</w:t>
      </w:r>
      <w:r>
        <w:rPr>
          <w:rFonts w:hint="eastAsia" w:ascii="仿宋" w:hAnsi="仿宋" w:eastAsia="仿宋" w:cs="仿宋"/>
          <w:sz w:val="32"/>
          <w:szCs w:val="32"/>
        </w:rPr>
        <w:t>（款）</w:t>
      </w:r>
      <w:r>
        <w:rPr>
          <w:rFonts w:hint="eastAsia" w:ascii="仿宋" w:hAnsi="仿宋" w:eastAsia="仿宋" w:cs="仿宋"/>
          <w:sz w:val="32"/>
          <w:szCs w:val="32"/>
          <w:lang w:val="en-US" w:eastAsia="zh-CN"/>
        </w:rPr>
        <w:t>事业</w:t>
      </w:r>
      <w:r>
        <w:rPr>
          <w:rFonts w:hint="eastAsia" w:ascii="仿宋" w:hAnsi="仿宋" w:eastAsia="仿宋" w:cs="仿宋"/>
          <w:sz w:val="32"/>
          <w:szCs w:val="32"/>
        </w:rPr>
        <w:t>运行（项）。</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67.23</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67.23</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完成年初预算的100%。</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农林水（类）农业农村（款）农业生产发展（项）。</w:t>
      </w:r>
    </w:p>
    <w:p>
      <w:pPr>
        <w:pStyle w:val="14"/>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84.53</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53.22</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62.96</w:t>
      </w:r>
      <w:r>
        <w:rPr>
          <w:rFonts w:hint="eastAsia" w:ascii="仿宋" w:hAnsi="仿宋" w:eastAsia="仿宋" w:cs="仿宋"/>
          <w:color w:val="auto"/>
          <w:sz w:val="32"/>
          <w:szCs w:val="32"/>
        </w:rPr>
        <w:t>%。决算数小于年初预算数的主要原因是</w:t>
      </w:r>
      <w:r>
        <w:rPr>
          <w:rFonts w:hint="eastAsia" w:ascii="仿宋" w:hAnsi="仿宋" w:eastAsia="仿宋" w:cs="仿宋"/>
          <w:color w:val="auto"/>
          <w:sz w:val="32"/>
          <w:szCs w:val="32"/>
          <w:lang w:val="en-US" w:eastAsia="zh-CN"/>
        </w:rPr>
        <w:t>项目跨年实施</w:t>
      </w:r>
      <w:r>
        <w:rPr>
          <w:rFonts w:hint="eastAsia" w:ascii="仿宋" w:hAnsi="仿宋" w:eastAsia="仿宋" w:cs="仿宋"/>
          <w:color w:val="auto"/>
          <w:sz w:val="32"/>
          <w:szCs w:val="32"/>
          <w:lang w:eastAsia="zh-CN"/>
        </w:rPr>
        <w:t>。</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住房保障（类）</w:t>
      </w:r>
      <w:r>
        <w:rPr>
          <w:rFonts w:hint="eastAsia" w:ascii="仿宋" w:hAnsi="仿宋" w:eastAsia="仿宋" w:cs="仿宋"/>
          <w:sz w:val="32"/>
          <w:szCs w:val="32"/>
          <w:lang w:eastAsia="zh-CN"/>
        </w:rPr>
        <w:t>住房改革</w:t>
      </w:r>
      <w:r>
        <w:rPr>
          <w:rFonts w:hint="eastAsia" w:ascii="仿宋" w:hAnsi="仿宋" w:eastAsia="仿宋" w:cs="仿宋"/>
          <w:sz w:val="32"/>
          <w:szCs w:val="32"/>
        </w:rPr>
        <w:t>（款）住房公积金（项）。</w:t>
      </w:r>
    </w:p>
    <w:p>
      <w:pPr>
        <w:pStyle w:val="14"/>
        <w:overflowPunct w:val="0"/>
        <w:autoSpaceDE/>
        <w:autoSpaceDN/>
        <w:spacing w:line="60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7.00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7.00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完成年初预算的100%。</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83.02</w:t>
      </w:r>
      <w:r>
        <w:rPr>
          <w:rFonts w:ascii="Times New Roman" w:hAnsi="Times New Roman" w:eastAsia="仿宋_GB2312" w:cs="Times New Roman"/>
          <w:sz w:val="32"/>
          <w:szCs w:val="32"/>
        </w:rPr>
        <w:t>万元，其中：</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83.02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、绩效工资、机关事业单位基本养老保险缴费、职工基本医疗保险缴费、住房公积金、退休费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w:t>
      </w:r>
      <w:r>
        <w:rPr>
          <w:rFonts w:hint="eastAsia" w:ascii="Times New Roman" w:hAnsi="Times New Roman" w:eastAsia="仿宋_GB2312" w:cs="Times New Roman"/>
          <w:sz w:val="32"/>
          <w:szCs w:val="32"/>
          <w:lang w:val="en-US" w:eastAsia="zh-CN"/>
        </w:rPr>
        <w:t>上年持平</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4"/>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ascii="Times New Roman" w:hAnsi="Times New Roman" w:eastAsia="仿宋_GB2312" w:cs="Times New Roman"/>
          <w:color w:val="000000" w:themeColor="text1"/>
          <w:sz w:val="32"/>
          <w:szCs w:val="32"/>
          <w14:textFill>
            <w14:solidFill>
              <w14:schemeClr w14:val="tx1"/>
            </w14:solidFill>
          </w14:textFill>
        </w:rPr>
        <w:t>。</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4"/>
        <w:overflowPunct w:val="0"/>
        <w:autoSpaceDE/>
        <w:autoSpaceDN/>
        <w:spacing w:line="600" w:lineRule="exact"/>
        <w:ind w:firstLine="640" w:firstLineChars="200"/>
        <w:jc w:val="both"/>
        <w:rPr>
          <w:rFonts w:hint="eastAsia" w:ascii="Times New Roman" w:hAnsi="Times New Roman" w:eastAsia="楷体_GB2312" w:cs="Times New Roman"/>
          <w:b w:val="0"/>
          <w:bCs w:val="0"/>
          <w:i w:val="0"/>
          <w:iCs/>
          <w:color w:val="auto"/>
          <w:sz w:val="32"/>
          <w:szCs w:val="32"/>
          <w:lang w:eastAsia="zh-CN"/>
        </w:rPr>
      </w:pPr>
      <w:r>
        <w:rPr>
          <w:rFonts w:ascii="Times New Roman" w:hAnsi="Times New Roman" w:eastAsia="楷体_GB2312" w:cs="Times New Roman"/>
          <w:b w:val="0"/>
          <w:bCs w:val="0"/>
          <w:i w:val="0"/>
          <w:iCs/>
          <w:color w:val="auto"/>
          <w:sz w:val="32"/>
          <w:szCs w:val="32"/>
        </w:rPr>
        <w:t>本单位无政府性基金收支</w:t>
      </w:r>
      <w:r>
        <w:rPr>
          <w:rFonts w:hint="eastAsia" w:ascii="Times New Roman" w:hAnsi="Times New Roman" w:eastAsia="楷体_GB2312" w:cs="Times New Roman"/>
          <w:b w:val="0"/>
          <w:bCs w:val="0"/>
          <w:i w:val="0"/>
          <w:iCs/>
          <w:color w:val="auto"/>
          <w:sz w:val="32"/>
          <w:szCs w:val="32"/>
          <w:lang w:eastAsia="zh-CN"/>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本部门2024年度机关运行经费支</w:t>
      </w:r>
      <w:r>
        <w:rPr>
          <w:rFonts w:hint="eastAsia" w:ascii="Times New Roman" w:hAnsi="Times New Roman" w:eastAsia="仿宋_GB2312" w:cs="Times New Roman"/>
          <w:sz w:val="32"/>
          <w:szCs w:val="32"/>
          <w:lang w:val="en-US" w:eastAsia="zh-CN"/>
        </w:rPr>
        <w:t>出0</w:t>
      </w:r>
      <w:r>
        <w:rPr>
          <w:rFonts w:ascii="Times New Roman" w:hAnsi="Times New Roman" w:eastAsia="仿宋_GB2312" w:cs="Times New Roman"/>
          <w:sz w:val="32"/>
          <w:szCs w:val="32"/>
        </w:rPr>
        <w:t>万元，比上年决算数</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4"/>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lang w:val="en-US" w:eastAsia="zh-CN"/>
        </w:rPr>
        <w:t>；</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53.33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53.33</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39.12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spacing w:line="600" w:lineRule="exact"/>
        <w:ind w:firstLine="640" w:firstLineChars="200"/>
        <w:rPr>
          <w:rFonts w:hint="eastAsia" w:eastAsia="仿宋_GB2312"/>
          <w:color w:val="000000"/>
          <w:sz w:val="32"/>
          <w:szCs w:val="32"/>
          <w:lang w:val="en-US" w:eastAsia="zh-CN"/>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167.55</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136.35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81.38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93.13</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eastAsia="仿宋_GB2312"/>
          <w:color w:val="000000"/>
          <w:sz w:val="32"/>
          <w:szCs w:val="32"/>
          <w:lang w:val="en-US" w:eastAsia="zh-CN"/>
        </w:rPr>
        <w:t>绿色生资企业申报积极性不断增强。本年度新增获证绿色生资企业三家，同比去年增长50%；新获证产品5个，同比去年增长66.6%。湖南美可达生物资源股份有限公司，获证产品三个（该企业是全国第三家有效获证绿色生资兽药企业）；张家界新原生物有机肥料有限公司，获证产品一个；江华恩泉环保科技有限公司，获证产品一个。续展企业一家：宁乡丰裕生物科技有限公司。目前一家饲料企业正在申报审核中（衡阳市金雁粮食购销有限公司）。截至今日，我省绿色生资有效获证企业12家；有效绿色生资产品数20个</w:t>
      </w:r>
      <w:r>
        <w:rPr>
          <w:rFonts w:ascii="Times New Roman" w:hAnsi="Times New Roman" w:eastAsia="仿宋_GB2312" w:cs="Times New Roman"/>
          <w:sz w:val="32"/>
          <w:szCs w:val="32"/>
        </w:rPr>
        <w:t>；二是</w:t>
      </w:r>
      <w:r>
        <w:rPr>
          <w:rFonts w:hint="eastAsia" w:eastAsia="仿宋_GB2312"/>
          <w:color w:val="000000"/>
          <w:sz w:val="32"/>
          <w:szCs w:val="32"/>
          <w:lang w:val="en-US" w:eastAsia="zh-CN"/>
        </w:rPr>
        <w:t>获证产品年度检查工作持续推进。为加强证后监管、维护品牌公信力，落实监督检查制度及监管措施，确保绿色生资产品质量安全与用标规范，有效防范风险减少隐患，我中心根据中国绿色食品协会《绿色食品生产资料年度检查工作管理办法》相关要求，通过现场检查企业的产品质量控制体系情况、规范使用绿色生资标志情况和绿色生资使用许可合同执行情况等方面，对全省需要年检的常宁市宜庆科技有限公司、湖南湘佳现代农业有限公司、长沙绿丰源生物有机肥料有限公司、湖南天赐宝农业科技有限公司、湖南奥特施农业科技有限公司、益阳市富立来生物科技有限公司、湖南绿园生态农业有限公司等7家企业的12个产品开展了年度检查，年检结果全部合格；三是政府搭台企业唱戏不断扩大影响。今年5月，为推进我省绿色食品生产资料工作，助力绿色生资企业“走出去”拓展市场，中心组织了我省四家绿色生资企业参加2024年绿色农业生产资料发展大会。此次展会有4位院士、15位行业专家及优秀企业代表参加会议，通过行业专家和优秀企业的发言，参展企业学到了先进的经营理念和发展思路，拓宽了市场销售渠道，绿色生资进行了有效的推广。宣传方面，我中心利用网络媒介，将绿色生资工作动态公布在省绿色食品网和中国绿色食品协会网页上，让更多人了解绿色生资；定制绿色生资宣传册和绿色生资宣传用水，加强生资宣传力度。产销对接方面，今年召开了3场绿色生资对接会，3月28日还组织召开了“2024年湖南绿色食品生产资料推广应用大会”。据各企业年底上报数据统计，今年我省有效获证绿色生资产品销售推广量为87832吨；四是科学开展绿色生资产品试验示范。与中国农业科学院衡阳红壤实验站合作（湖南省祁阳市八宝镇）开展了绿色生资试验工作。遴选“富立来有机肥”、“丰裕有机肥”和“漯效王调理剂”开展了绿色生资在耕地土壤酸瘦阻控和肥力恢复方面的品比试验。2024年12月18日中国农业科学院衡阳红壤实验站在中心召开了绿色食品生产资料试验项目验收会议，组织专家对该项目进行了验收。与省土壤肥料工作站在望城桥驿开展了绿色生资效果示范展示，试验结果显示对白菜、萝卜的产量提升和品质改善有显著作用。</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72"/>
          <w:szCs w:val="72"/>
        </w:rPr>
      </w:pPr>
      <w:r>
        <w:rPr>
          <w:rFonts w:ascii="Times New Roman" w:hAnsi="Times New Roman" w:eastAsia="楷体_GB2312" w:cs="Times New Roman"/>
          <w:b/>
          <w:bCs/>
          <w:color w:val="auto"/>
          <w:kern w:val="2"/>
          <w:sz w:val="32"/>
          <w:szCs w:val="32"/>
        </w:rPr>
        <w:t>（三）评价结果应用情况。</w:t>
      </w:r>
      <w:r>
        <w:rPr>
          <w:rFonts w:hint="eastAsia" w:eastAsia="仿宋_GB2312"/>
          <w:color w:val="auto"/>
          <w:sz w:val="32"/>
          <w:szCs w:val="32"/>
          <w:lang w:val="en-US" w:eastAsia="zh-CN"/>
        </w:rPr>
        <w:t>中心加强预算管理意识，严格按照预算编制的相关制度和要求，结合年度收支计划，科学编制预算，遵循预算管理办法。对评价中发现的问题，及时进行督促整改。</w:t>
      </w: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4"/>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4"/>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4"/>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both"/>
        <w:rPr>
          <w:rFonts w:ascii="Times New Roman" w:hAnsi="Times New Roman"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4"/>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jc w:val="center"/>
        <w:rPr>
          <w:rFonts w:hint="eastAsia" w:eastAsia="方正小标宋_GBK"/>
          <w:sz w:val="48"/>
          <w:szCs w:val="48"/>
          <w:lang w:val="en-US" w:eastAsia="zh-CN"/>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湖南省绿色食品发展中心</w:t>
      </w:r>
    </w:p>
    <w:p>
      <w:pPr>
        <w:jc w:val="center"/>
        <w:rPr>
          <w:rFonts w:eastAsia="方正小标宋_GBK"/>
          <w:sz w:val="48"/>
          <w:szCs w:val="48"/>
        </w:rPr>
      </w:pPr>
      <w:r>
        <w:rPr>
          <w:rFonts w:eastAsia="方正小标宋_GBK"/>
          <w:sz w:val="48"/>
          <w:szCs w:val="48"/>
        </w:rPr>
        <w:t>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r>
        <w:rPr>
          <w:rFonts w:eastAsia="仿宋_GB2312"/>
          <w:sz w:val="32"/>
          <w:szCs w:val="32"/>
        </w:rPr>
        <w:br w:type="page"/>
      </w: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（一）单位基本情况</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单位</w:t>
      </w:r>
      <w:r>
        <w:rPr>
          <w:rFonts w:hint="eastAsia" w:ascii="仿宋_GB2312" w:hAnsi="仿宋_GB2312" w:eastAsia="仿宋_GB2312" w:cs="仿宋_GB2312"/>
          <w:b w:val="0"/>
          <w:bCs/>
          <w:sz w:val="32"/>
          <w:szCs w:val="32"/>
          <w:lang w:eastAsia="zh-CN"/>
        </w:rPr>
        <w:t>职责组织全省“三品一标”生产加工及绿色食品生产资料新技术研究与协作；承担“三品一标”基地建设示范与推广服务；承担“三标一标”生产操作技术规程的制（修）订工作；负责组织全省“三品一标”的市场开拓与监管、信息服务；承办“三品一标”的行业宣传与专业培训工作。</w:t>
      </w:r>
      <w:r>
        <w:rPr>
          <w:rFonts w:hint="eastAsia" w:ascii="仿宋_GB2312" w:hAnsi="仿宋_GB2312" w:eastAsia="仿宋_GB2312" w:cs="仿宋_GB2312"/>
          <w:b w:val="0"/>
          <w:bCs/>
          <w:sz w:val="32"/>
          <w:szCs w:val="32"/>
        </w:rPr>
        <w:t>内设机构设置包括：科技科、综合科、市场科</w:t>
      </w:r>
      <w:r>
        <w:rPr>
          <w:rFonts w:hint="eastAsia" w:ascii="仿宋_GB2312" w:hAnsi="仿宋_GB2312" w:eastAsia="仿宋_GB2312" w:cs="仿宋_GB2312"/>
          <w:b w:val="0"/>
          <w:bCs/>
          <w:sz w:val="32"/>
          <w:szCs w:val="32"/>
          <w:lang w:val="en-US" w:eastAsia="zh-CN"/>
        </w:rPr>
        <w:t>。年末在职人数4人。</w:t>
      </w:r>
    </w:p>
    <w:p>
      <w:pPr>
        <w:spacing w:line="600" w:lineRule="exact"/>
        <w:ind w:firstLine="640" w:firstLineChars="200"/>
        <w:rPr>
          <w:rFonts w:hint="eastAsia" w:ascii="仿宋_GB2312" w:hAnsi="仿宋_GB2312" w:eastAsia="仿宋_GB2312" w:cs="仿宋_GB2312"/>
          <w:b w:val="0"/>
          <w:bCs/>
          <w:sz w:val="32"/>
          <w:szCs w:val="32"/>
        </w:rPr>
      </w:pPr>
      <w:r>
        <w:rPr>
          <w:rFonts w:eastAsia="楷体_GB2312"/>
          <w:b/>
          <w:sz w:val="32"/>
          <w:szCs w:val="32"/>
        </w:rPr>
        <w:t>（二）单位年度整体支出绩效目标</w:t>
      </w:r>
      <w:r>
        <w:rPr>
          <w:rFonts w:hint="eastAsia" w:eastAsia="楷体_GB2312"/>
          <w:b/>
          <w:sz w:val="32"/>
          <w:szCs w:val="32"/>
          <w:lang w:eastAsia="zh-CN"/>
        </w:rPr>
        <w:t>：</w:t>
      </w:r>
      <w:r>
        <w:rPr>
          <w:rFonts w:hint="eastAsia" w:ascii="仿宋_GB2312" w:hAnsi="仿宋_GB2312" w:eastAsia="仿宋_GB2312" w:cs="仿宋_GB2312"/>
          <w:b w:val="0"/>
          <w:bCs/>
          <w:sz w:val="32"/>
          <w:szCs w:val="32"/>
        </w:rPr>
        <w:t>加强队伍建设和内部管理，加强综合治理和文明创建相关工作；202</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rPr>
        <w:t>年度在原有的基础上，再新增至少两家家湖南绿色生资认证企业；继续做好中国有机食品博览会、中国绿色食品博览会及对接厅相关行政处室的境内农业展，助推我省绿色食品“走出去”，加强本省“二品一标”尤其是绿色食品基地试验示范的推广与服务；完善制度化建设；抓好疫情防控工作</w:t>
      </w:r>
    </w:p>
    <w:p>
      <w:pPr>
        <w:spacing w:line="600" w:lineRule="exact"/>
        <w:ind w:firstLine="640" w:firstLineChars="200"/>
        <w:rPr>
          <w:rFonts w:hint="eastAsia" w:ascii="仿宋_GB2312" w:hAnsi="仿宋_GB2312" w:eastAsia="仿宋_GB2312" w:cs="仿宋_GB2312"/>
          <w:b w:val="0"/>
          <w:bCs/>
          <w:sz w:val="32"/>
          <w:szCs w:val="32"/>
        </w:rPr>
      </w:pPr>
      <w:r>
        <w:rPr>
          <w:rFonts w:eastAsia="楷体_GB2312"/>
          <w:b/>
          <w:sz w:val="32"/>
          <w:szCs w:val="32"/>
        </w:rPr>
        <w:t>省级专项资金绩效目标</w:t>
      </w:r>
      <w:r>
        <w:rPr>
          <w:rFonts w:hint="eastAsia" w:eastAsia="楷体_GB2312"/>
          <w:b/>
          <w:sz w:val="32"/>
          <w:szCs w:val="32"/>
          <w:lang w:eastAsia="zh-CN"/>
        </w:rPr>
        <w:t>：</w:t>
      </w:r>
      <w:r>
        <w:rPr>
          <w:rFonts w:hint="eastAsia" w:ascii="仿宋_GB2312" w:hAnsi="仿宋_GB2312" w:eastAsia="仿宋_GB2312" w:cs="仿宋_GB2312"/>
          <w:b w:val="0"/>
          <w:bCs/>
          <w:sz w:val="32"/>
          <w:szCs w:val="32"/>
          <w:lang w:eastAsia="zh-CN"/>
        </w:rPr>
        <w:t>组织全省“三品一标”生产加工及绿色食品生产资料新技术研究与协作；承担“三品一标”基地建设试验示范与推广服务；承担“三品一标”生产操作技术规程的制订工作；负责组织全省“三品一标”项目外引内联、产业对接，承担“三品一标”的市场开拓与监管、信息服务；承办“三品一标”的行业宣传和专业培训工作。</w:t>
      </w:r>
    </w:p>
    <w:p>
      <w:pPr>
        <w:pStyle w:val="1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pStyle w:val="15"/>
        <w:spacing w:line="600" w:lineRule="exact"/>
        <w:ind w:firstLine="643"/>
        <w:rPr>
          <w:rFonts w:hint="eastAsia" w:ascii="仿宋_GB2312" w:hAnsi="仿宋_GB2312" w:eastAsia="仿宋_GB2312" w:cs="仿宋_GB2312"/>
          <w:b w:val="0"/>
          <w:bCs/>
          <w:sz w:val="32"/>
          <w:szCs w:val="32"/>
          <w:lang w:val="en-US" w:eastAsia="zh-CN"/>
        </w:rPr>
      </w:pPr>
      <w:bookmarkStart w:id="3" w:name="OLE_LINK2"/>
      <w:r>
        <w:rPr>
          <w:rFonts w:hint="eastAsia" w:ascii="仿宋_GB2312" w:hAnsi="仿宋_GB2312" w:eastAsia="仿宋_GB2312" w:cs="仿宋_GB2312"/>
          <w:b w:val="0"/>
          <w:bCs/>
          <w:sz w:val="32"/>
          <w:szCs w:val="32"/>
          <w:lang w:val="en-US" w:eastAsia="zh-CN"/>
        </w:rPr>
        <w:t>基本支出全年预算数83.02万元，实际支出83.02万元，预算执行率100%，其中人员经费全年预算数83.02万元，实际支出83.02万元，预算执行率100%。</w:t>
      </w:r>
    </w:p>
    <w:bookmarkEnd w:id="3"/>
    <w:p>
      <w:pPr>
        <w:pStyle w:val="1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 xml:space="preserve"> 项目支出全年预算数</w:t>
      </w:r>
      <w:bookmarkStart w:id="4" w:name="OLE_LINK7"/>
      <w:r>
        <w:rPr>
          <w:rFonts w:hint="eastAsia" w:eastAsia="仿宋_GB2312"/>
          <w:sz w:val="32"/>
          <w:szCs w:val="32"/>
          <w:lang w:val="en-US" w:eastAsia="zh-CN"/>
        </w:rPr>
        <w:t>84.53万元，实际支出53.33万元</w:t>
      </w:r>
      <w:bookmarkEnd w:id="4"/>
      <w:r>
        <w:rPr>
          <w:rFonts w:hint="eastAsia" w:eastAsia="仿宋_GB2312"/>
          <w:sz w:val="32"/>
          <w:szCs w:val="32"/>
          <w:lang w:val="en-US" w:eastAsia="zh-CN"/>
        </w:rPr>
        <w:t>，</w:t>
      </w:r>
      <w:r>
        <w:rPr>
          <w:rFonts w:eastAsia="仿宋_GB2312"/>
          <w:sz w:val="32"/>
          <w:szCs w:val="32"/>
        </w:rPr>
        <w:t>省级专项资金</w:t>
      </w:r>
      <w:r>
        <w:rPr>
          <w:rFonts w:hint="eastAsia" w:eastAsia="仿宋_GB2312"/>
          <w:sz w:val="32"/>
          <w:szCs w:val="32"/>
          <w:lang w:val="en-US" w:eastAsia="zh-CN"/>
        </w:rPr>
        <w:t>预算84.53万元，实际支出53.33万元，主要用于全省绿色生资管理方面。</w:t>
      </w:r>
    </w:p>
    <w:p>
      <w:pPr>
        <w:pStyle w:val="15"/>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15"/>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5"/>
        <w:numPr>
          <w:ilvl w:val="0"/>
          <w:numId w:val="2"/>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5"/>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5"/>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spacing w:line="600" w:lineRule="exact"/>
        <w:ind w:firstLine="640" w:firstLineChars="2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无</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运行成本</w:t>
      </w:r>
    </w:p>
    <w:p>
      <w:pPr>
        <w:pStyle w:val="15"/>
        <w:spacing w:line="600" w:lineRule="exact"/>
        <w:ind w:firstLine="643"/>
        <w:rPr>
          <w:rFonts w:hint="default" w:ascii="Times New Roman" w:hAnsi="Times New Roman" w:eastAsia="仿宋_GB2312" w:cs="Times New Roman"/>
          <w:b w:val="0"/>
          <w:color w:val="000000"/>
          <w:sz w:val="32"/>
          <w:szCs w:val="32"/>
          <w:lang w:val="en-US" w:eastAsia="zh-CN"/>
        </w:rPr>
      </w:pPr>
      <w:r>
        <w:rPr>
          <w:rFonts w:hint="default" w:ascii="Times New Roman" w:hAnsi="Times New Roman" w:eastAsia="仿宋_GB2312" w:cs="Times New Roman"/>
          <w:b w:val="0"/>
          <w:color w:val="000000"/>
          <w:sz w:val="32"/>
          <w:szCs w:val="32"/>
          <w:lang w:val="en-US" w:eastAsia="zh-CN"/>
        </w:rPr>
        <w:t>基本支出全年预算数83.02万元，实际支出83.02万元，预算执行率100%，其中人员经费全年预算数83.02万元，实际支出83.02万元，预算执行率100%。</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管理效率</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1）完成第三轮巡视整改具体工作。去年10月份厅党组第三轮巡察第二巡察组对我中心开启为期一个月的巡查工作。对于本次巡察工作提出的问题，我中心人员对照整改责任清单，边学习边整改，完善了中心的各项管理制度，将问题逐一落实到位，已于11月份整改完毕。通过本次巡视,对于我们的日常工作，是一次教育跟提醒，通过对各项工作的检察和询问，让我们能更多的学习并规范内部管理，对待工作不能随意和想当然，需有理可循、有据可依。</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人员经费不足问题仍待解决。11月底在人事处反馈的财政厅统发系统与编办系统中单位性质与经费保障模式不一致问题，我单位迅速做出反应，把三定方案出台后，我单位历年来向厅人事处、省编办反映汇报的工作情况汇总后再次向人事处和计财处汇报，以期在此次核查中能确保单位性质与人员身份一致，将我中心的经费保障模式由经费自理调整为差额。</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3）国有资产管理问题有序解决。天心城一套房产长期租不出去，一直以来主动对接房屋中介、联系物业、粘贴招租广告等方式对外进行招租，今年经过计财处的指导建议，对该处房产进行资产评估，并先后两次走OA流程通过省农业农村厅官网对外发布招租信息，在降价后终于联系到相关意向客户，现已达成协议，后续办理相关手续并按流程汇报厅计财处，避免了国有资产的闲置。</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4）切实全面加强机关建设。今年，中心切实加强在廉政建设、法治建设、文明创建、平安建设和意识形态等方面的工作。参加并学习“蒋平案”、“易鹏飞案”、“杨乾案”以案促改工作动员部署暨警示教育大会，树立干部职工的廉洁意识；通过学习和参加学法考试及保密考试，加强大家的法治意识和意识形态。</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今年中心职工积极参加厅系统组织的各项活动：“农情万里”志愿植树活动、急救知识及技能培训、第四届“三农杯”运动会拔河比赛，与此同时中心着力加强干部职工的能力提升培训：通过参加绿色食品检查员培训班，中心有2名同志参加考试并获得了绿色食品检查员证；参加绿色生资相关培训，学习管理办法新增内容，学习饲料新标准，中心1名同志获得了“2024年度优秀绿色生资管理员”；另外，中心2名同志还完成了2024年度会计继续教育培训和考试。通过各项活动和培训学习，中心全体干部职工政治理论水平和业务能力都得到了明显提升。</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3.</w:t>
      </w:r>
      <w:r>
        <w:rPr>
          <w:rFonts w:eastAsia="仿宋_GB2312"/>
          <w:color w:val="000000"/>
          <w:sz w:val="32"/>
          <w:szCs w:val="32"/>
        </w:rPr>
        <w:t>履职效能</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（1）绿色生资企业申报积极性不断增强</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本年度新增获证绿色生资企业三家，同比去年增长50%；新获证产品5个，同比去年增长66.6%。湖南美可达生物资源股份有限公司，获证产品三个（该企业是全国第三家有效获证绿色生资兽药企业）；张家界新原生物有机肥料有限公司，获证产品一个；江华恩泉环保科技有限公司，获证产品一个。续展企业一家：宁乡丰裕生物科技有限公司。目前一家饲料企业正在申报审核中（衡阳市金雁粮食购销有限公司）。截至今日，我省绿色生资有效获证企业12家；有效绿色生资产品数20个。</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（2）获证产品年度检查工作持续推进</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为加强证后监管、维护品牌公信力，落实监督检查制度及监管措施，确保绿色生资产品质量安全与用标规范，有效防范风险减少隐患，我中心根据中国绿色食品协会《绿色食品生产资料年度检查工作管理办法》相关要求，通过现场检查企业的产品质量控制体系情况、规范使用绿色生资标志情况和绿色生资使用许可合同执行情况等方面，对全省需要年检的常宁市宜庆科技有限公司、湖南湘佳现代农业有限公司、长沙绿丰源生物有机肥料有限公司、湖南天赐宝农业科技有限公司、湖南奥特施农业科技有限公司、益阳市富立来生物科技有限公司、湖南绿园生态农业有限公司等7家企业的12个产品开展了年度检查，年检结果全部合格。</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（3）政府搭台企业唱戏不断扩大影响</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今年5月，为推进我省绿色食品生产资料工作，助力绿色生资企业“走出去”拓展市场，中心组织了我省四家绿色生资企业参加2024年绿色农业生产资料发展大会。此次展会有4位院士、15位行业专家及优秀企业代表参加会议，通过行业专家和优秀企业的发言，参展企业学到了先进的经营理念和发展思路，拓宽了市场销售渠道，绿色生资进行了有效的推广。</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宣传方面，我中心利用网络媒介，将绿色生资工作动态公布在省绿色食品网和中国绿色食品协会网页上，让更多人了解绿色生资；定制绿色生资宣传册和绿色生资宣传用水，加强生资宣传力度。</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产销对接方面，今年召开了3场绿色生资对接会，3月28日还组织召开了“2024年湖南绿色食品生产资料推广应用大会”。据各企业年底上报数据统计，今年我省有效获证绿色生资产品销售推广量为87832吨。</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（4）科学开展绿色生资产品试验示范</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与中国农业科学院衡阳红壤实验站合作（湖南省祁阳市八宝镇）开展了绿色生资试验工作。遴选“富立来有机肥”、“丰裕有机肥”和“漯效王调理剂”开展了绿色生资在耕地土壤酸瘦阻控和肥力恢复方面的品比试验。2024年12月18日中国农业科学院衡阳红壤实验站在中心召开了绿色食品生产资料试验项目验收会议，组织专家对该项目进行了验收。与省土壤肥料工作站在望城桥驿开展了绿色生资效果示范展示，试验结果显示对白菜、萝卜的产量提升和品质改善有显著作用。</w:t>
      </w:r>
    </w:p>
    <w:p>
      <w:pPr>
        <w:spacing w:line="600" w:lineRule="exact"/>
        <w:ind w:firstLine="640" w:firstLineChars="200"/>
        <w:rPr>
          <w:rFonts w:hint="eastAsia" w:eastAsia="仿宋_GB2312"/>
          <w:color w:val="000000"/>
          <w:sz w:val="32"/>
          <w:szCs w:val="32"/>
        </w:rPr>
      </w:pPr>
      <w:r>
        <w:rPr>
          <w:rFonts w:hint="eastAsia" w:eastAsia="仿宋_GB2312"/>
          <w:color w:val="000000"/>
          <w:sz w:val="32"/>
          <w:szCs w:val="32"/>
          <w:lang w:val="en-US" w:eastAsia="zh-CN"/>
        </w:rPr>
        <w:t>4.</w:t>
      </w:r>
      <w:r>
        <w:rPr>
          <w:rFonts w:hint="eastAsia" w:eastAsia="仿宋_GB2312"/>
          <w:color w:val="000000"/>
          <w:sz w:val="32"/>
          <w:szCs w:val="32"/>
        </w:rPr>
        <w:t>社会效应</w:t>
      </w:r>
    </w:p>
    <w:p>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b w:val="0"/>
          <w:bCs w:val="0"/>
          <w:color w:val="000000"/>
          <w:sz w:val="32"/>
          <w:szCs w:val="32"/>
          <w:lang w:eastAsia="zh-CN"/>
        </w:rPr>
        <w:t>今年</w:t>
      </w:r>
      <w:r>
        <w:rPr>
          <w:rFonts w:hint="eastAsia" w:ascii="Times New Roman" w:hAnsi="Times New Roman" w:eastAsia="仿宋_GB2312" w:cs="Times New Roman"/>
          <w:b w:val="0"/>
          <w:bCs w:val="0"/>
          <w:color w:val="000000"/>
          <w:sz w:val="32"/>
          <w:szCs w:val="32"/>
          <w:lang w:val="en-US" w:eastAsia="zh-CN"/>
        </w:rPr>
        <w:t>5月，为</w:t>
      </w:r>
      <w:r>
        <w:rPr>
          <w:rFonts w:hint="eastAsia" w:ascii="Times New Roman" w:hAnsi="Times New Roman" w:eastAsia="仿宋_GB2312" w:cs="Times New Roman"/>
          <w:b w:val="0"/>
          <w:bCs w:val="0"/>
          <w:color w:val="000000"/>
          <w:sz w:val="32"/>
          <w:szCs w:val="32"/>
          <w:lang w:eastAsia="zh-CN"/>
        </w:rPr>
        <w:t>推进我省绿色食</w:t>
      </w:r>
      <w:r>
        <w:rPr>
          <w:rFonts w:hint="eastAsia" w:ascii="Times New Roman" w:hAnsi="Times New Roman" w:eastAsia="仿宋_GB2312" w:cs="Times New Roman"/>
          <w:color w:val="000000"/>
          <w:sz w:val="32"/>
          <w:szCs w:val="32"/>
          <w:lang w:eastAsia="zh-CN"/>
        </w:rPr>
        <w:t>品生产资料工作，助力绿色生资企业</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走出去</w:t>
      </w:r>
      <w:r>
        <w:rPr>
          <w:rFonts w:hint="eastAsia"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eastAsia="zh-CN"/>
        </w:rPr>
        <w:t>拓展市场，中心组织了我省四家绿色生资企业参加</w:t>
      </w:r>
      <w:r>
        <w:rPr>
          <w:rFonts w:hint="eastAsia" w:ascii="Times New Roman" w:hAnsi="Times New Roman" w:eastAsia="仿宋_GB2312" w:cs="Times New Roman"/>
          <w:color w:val="000000"/>
          <w:sz w:val="32"/>
          <w:szCs w:val="32"/>
        </w:rPr>
        <w:t>2024年绿色农业生</w:t>
      </w:r>
      <w:r>
        <w:rPr>
          <w:rFonts w:hint="eastAsia" w:ascii="Times New Roman" w:hAnsi="Times New Roman" w:eastAsia="仿宋_GB2312" w:cs="Times New Roman"/>
          <w:color w:val="000000"/>
          <w:sz w:val="32"/>
          <w:szCs w:val="32"/>
          <w:lang w:eastAsia="zh-CN"/>
        </w:rPr>
        <w:t>产</w:t>
      </w:r>
      <w:r>
        <w:rPr>
          <w:rFonts w:hint="eastAsia" w:ascii="Times New Roman" w:hAnsi="Times New Roman" w:eastAsia="仿宋_GB2312" w:cs="Times New Roman"/>
          <w:color w:val="000000"/>
          <w:sz w:val="32"/>
          <w:szCs w:val="32"/>
        </w:rPr>
        <w:t>资料发展大会</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此次展会有4位院士、15位行业专家及优秀企业代表参加会议，通过行业专家和优秀企业的发言，参展企业学到了先进的经营理念和发展思路，拓宽了市场销售渠道，绿色生资进行了有效的推广。</w:t>
      </w:r>
    </w:p>
    <w:p>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宣传方面，我中心利用网络媒介，将绿色生资工作动态公布在省绿色食品网和中国绿色食品协会网页上，让更多人了解绿色生资；定制绿色生资宣传册和绿色生资宣传用水，加强生资宣传力度。</w:t>
      </w:r>
    </w:p>
    <w:p>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产销对接方面，今年召开了3场绿色生资对接会，3月28日还组织召开了“2024年湖南绿色食品生产资料推广应用大会”。</w:t>
      </w:r>
      <w:r>
        <w:rPr>
          <w:rFonts w:hint="eastAsia" w:ascii="Times New Roman" w:hAnsi="Times New Roman" w:eastAsia="仿宋_GB2312" w:cs="Times New Roman"/>
          <w:b w:val="0"/>
          <w:bCs w:val="0"/>
          <w:color w:val="000000"/>
          <w:sz w:val="32"/>
          <w:szCs w:val="32"/>
          <w:lang w:val="en-US" w:eastAsia="zh-CN"/>
        </w:rPr>
        <w:t>据各企业年底上报数据</w:t>
      </w:r>
      <w:r>
        <w:rPr>
          <w:rFonts w:hint="eastAsia" w:ascii="Times New Roman" w:hAnsi="Times New Roman" w:eastAsia="仿宋_GB2312" w:cs="Times New Roman"/>
          <w:color w:val="000000"/>
          <w:sz w:val="32"/>
          <w:szCs w:val="32"/>
          <w:lang w:val="en-US" w:eastAsia="zh-CN"/>
        </w:rPr>
        <w:t>统计，今年我省有效获证绿色生资产品销售推广量为87832吨。</w:t>
      </w:r>
    </w:p>
    <w:p>
      <w:pPr>
        <w:spacing w:line="600" w:lineRule="exact"/>
        <w:ind w:firstLine="640" w:firstLineChars="200"/>
        <w:rPr>
          <w:rFonts w:hint="eastAsia"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可持续发展能力</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积极做好会展筹备，助力企业拓展市场</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原定于今年9月在宁夏银川国际会展中心举行的第二十三届中国绿色食品博览会暨第十六届中国国际有机食品博览会，因故取消，但我们还是做了大量的前期</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eastAsia="仿宋_GB2312"/>
          <w:color w:val="000000"/>
          <w:sz w:val="32"/>
          <w:szCs w:val="32"/>
        </w:rPr>
        <w:t>服务对象满意度</w:t>
      </w:r>
    </w:p>
    <w:p>
      <w:pPr>
        <w:pStyle w:val="15"/>
        <w:spacing w:line="600" w:lineRule="exact"/>
        <w:ind w:firstLine="64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服务对象满意度</w:t>
      </w:r>
      <w:r>
        <w:rPr>
          <w:rFonts w:hint="default" w:ascii="Times New Roman" w:hAnsi="Times New Roman" w:eastAsia="仿宋_GB2312" w:cs="Times New Roman"/>
          <w:color w:val="000000"/>
          <w:sz w:val="32"/>
          <w:szCs w:val="32"/>
          <w:lang w:val="en-US" w:eastAsia="zh-CN"/>
        </w:rPr>
        <w:t>90%。</w:t>
      </w:r>
    </w:p>
    <w:p>
      <w:pPr>
        <w:pStyle w:val="15"/>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预算执行率低，我单位全年一般公共预算支出167.55万元，实际支出136.35万元，执行率81.38%，主要是因为项目支出进度较慢。</w:t>
      </w:r>
    </w:p>
    <w:p>
      <w:pPr>
        <w:numPr>
          <w:ilvl w:val="0"/>
          <w:numId w:val="3"/>
        </w:numPr>
        <w:spacing w:line="600" w:lineRule="exact"/>
        <w:ind w:firstLine="640" w:firstLineChars="200"/>
        <w:rPr>
          <w:rFonts w:eastAsia="黑体"/>
          <w:sz w:val="32"/>
          <w:szCs w:val="32"/>
        </w:rPr>
      </w:pPr>
      <w:r>
        <w:rPr>
          <w:rFonts w:eastAsia="黑体"/>
          <w:sz w:val="32"/>
          <w:szCs w:val="32"/>
        </w:rPr>
        <w:t>下一步改进措施</w:t>
      </w:r>
    </w:p>
    <w:p>
      <w:pPr>
        <w:pStyle w:val="2"/>
        <w:numPr>
          <w:ilvl w:val="0"/>
          <w:numId w:val="0"/>
        </w:numPr>
        <w:rPr>
          <w:rFonts w:hint="eastAsia" w:eastAsia="仿宋_GB2312"/>
          <w:color w:val="000000"/>
          <w:sz w:val="32"/>
          <w:szCs w:val="32"/>
          <w:lang w:val="en-US" w:eastAsia="zh-CN"/>
        </w:rPr>
      </w:pPr>
      <w:r>
        <w:rPr>
          <w:rFonts w:hint="eastAsia" w:eastAsia="黑体"/>
          <w:sz w:val="32"/>
          <w:szCs w:val="32"/>
          <w:lang w:val="en-US" w:eastAsia="zh-CN"/>
        </w:rPr>
        <w:t xml:space="preserve">   </w:t>
      </w:r>
      <w:r>
        <w:rPr>
          <w:rFonts w:hint="eastAsia" w:eastAsia="仿宋_GB2312"/>
          <w:color w:val="000000"/>
          <w:sz w:val="32"/>
          <w:szCs w:val="32"/>
          <w:lang w:val="en-US" w:eastAsia="zh-CN"/>
        </w:rPr>
        <w:t xml:space="preserve"> 强化预算支出进度，加快预算执行进度。</w:t>
      </w:r>
    </w:p>
    <w:p>
      <w:pPr>
        <w:spacing w:line="600" w:lineRule="exact"/>
        <w:ind w:firstLine="640" w:firstLineChars="200"/>
        <w:rPr>
          <w:rFonts w:eastAsia="黑体"/>
          <w:sz w:val="32"/>
          <w:szCs w:val="32"/>
        </w:rPr>
      </w:pPr>
      <w:r>
        <w:rPr>
          <w:rFonts w:eastAsia="黑体"/>
          <w:sz w:val="32"/>
          <w:szCs w:val="32"/>
        </w:rPr>
        <w:t>九、绩效自评结果拟应用和公开情况</w:t>
      </w:r>
    </w:p>
    <w:p>
      <w:pPr>
        <w:widowControl/>
        <w:spacing w:line="600" w:lineRule="exact"/>
        <w:ind w:firstLine="645"/>
        <w:jc w:val="left"/>
        <w:rPr>
          <w:rFonts w:hint="eastAsia" w:eastAsia="仿宋_GB2312"/>
          <w:color w:val="auto"/>
          <w:sz w:val="32"/>
          <w:szCs w:val="32"/>
          <w:lang w:val="en-US" w:eastAsia="zh-CN"/>
        </w:rPr>
      </w:pPr>
      <w:r>
        <w:rPr>
          <w:rFonts w:hint="eastAsia" w:eastAsia="仿宋_GB2312"/>
          <w:color w:val="auto"/>
          <w:sz w:val="32"/>
          <w:szCs w:val="32"/>
          <w:lang w:val="en-US" w:eastAsia="zh-CN"/>
        </w:rPr>
        <w:t>（一）反馈整改。中心加强预算管理意识，严格按照预算编制的相关制度和要求，结合年度收支计划，科学编制预算，遵循预算管理办法。对评价中发现的问题，及时进行督促整改。</w:t>
      </w:r>
    </w:p>
    <w:p>
      <w:pPr>
        <w:widowControl/>
        <w:spacing w:line="600" w:lineRule="exact"/>
        <w:ind w:firstLine="645"/>
        <w:jc w:val="left"/>
        <w:rPr>
          <w:rFonts w:ascii="Times New Roman" w:hAnsi="Times New Roman" w:eastAsia="黑体" w:cs="Times New Roman"/>
          <w:color w:val="auto"/>
          <w:sz w:val="32"/>
          <w:szCs w:val="32"/>
        </w:rPr>
      </w:pPr>
      <w:r>
        <w:rPr>
          <w:rFonts w:hint="eastAsia" w:eastAsia="仿宋_GB2312"/>
          <w:color w:val="auto"/>
          <w:sz w:val="32"/>
          <w:szCs w:val="32"/>
          <w:lang w:val="en-US" w:eastAsia="zh-CN"/>
        </w:rPr>
        <w:t>（二）公开结果。除涉密信息外，中心将按要求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pPr>
        <w:spacing w:line="600" w:lineRule="exact"/>
        <w:ind w:firstLine="640" w:firstLineChars="200"/>
        <w:rPr>
          <w:rFonts w:eastAsia="黑体"/>
          <w:sz w:val="32"/>
          <w:szCs w:val="32"/>
        </w:rPr>
      </w:pPr>
      <w:r>
        <w:rPr>
          <w:rFonts w:hint="eastAsia" w:eastAsia="黑体"/>
          <w:sz w:val="32"/>
          <w:szCs w:val="32"/>
          <w:lang w:val="en-US" w:eastAsia="zh-CN"/>
        </w:rPr>
        <w:t>无</w:t>
      </w:r>
      <w:r>
        <w:rPr>
          <w:rFonts w:eastAsia="黑体"/>
          <w:sz w:val="32"/>
          <w:szCs w:val="32"/>
        </w:rPr>
        <w:t>其他需要说明的情况</w:t>
      </w:r>
    </w:p>
    <w:p>
      <w:pPr>
        <w:widowControl/>
        <w:jc w:val="left"/>
        <w:rPr>
          <w:rFonts w:eastAsia="仿宋_GB2312"/>
          <w:sz w:val="32"/>
          <w:szCs w:val="32"/>
        </w:rPr>
      </w:pPr>
    </w:p>
    <w:p>
      <w:pPr>
        <w:widowControl/>
        <w:jc w:val="left"/>
        <w:rPr>
          <w:rFonts w:eastAsia="仿宋_GB2312"/>
          <w:sz w:val="32"/>
          <w:szCs w:val="32"/>
        </w:rPr>
      </w:pP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附件：1.部门整体支出绩效评价基础数据表</w:t>
      </w:r>
    </w:p>
    <w:p>
      <w:pPr>
        <w:widowControl/>
        <w:spacing w:line="600" w:lineRule="exact"/>
        <w:ind w:firstLine="1622" w:firstLineChars="507"/>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2.部门整体支出绩效自评表</w:t>
      </w:r>
    </w:p>
    <w:p>
      <w:pPr>
        <w:widowControl/>
        <w:spacing w:line="600" w:lineRule="exact"/>
        <w:ind w:firstLine="645"/>
        <w:jc w:val="left"/>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3.项目支出绩效自评表</w:t>
      </w:r>
      <w:r>
        <w:rPr>
          <w:rFonts w:hint="eastAsia" w:ascii="Times New Roman" w:hAnsi="Times New Roman" w:eastAsia="仿宋_GB2312" w:cs="Times New Roman"/>
          <w:color w:val="auto"/>
          <w:sz w:val="32"/>
          <w:szCs w:val="32"/>
          <w:lang w:val="en-US" w:eastAsia="zh-CN"/>
        </w:rPr>
        <w:t>（现代农业发展）</w:t>
      </w: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pStyle w:val="2"/>
        <w:rPr>
          <w:rFonts w:eastAsia="仿宋_GB2312"/>
          <w:sz w:val="32"/>
          <w:szCs w:val="32"/>
        </w:rPr>
      </w:pPr>
    </w:p>
    <w:p>
      <w:pPr>
        <w:pStyle w:val="3"/>
        <w:rPr>
          <w:rFonts w:eastAsia="仿宋_GB2312"/>
          <w:sz w:val="32"/>
          <w:szCs w:val="32"/>
        </w:rPr>
      </w:pPr>
    </w:p>
    <w:p>
      <w:pPr>
        <w:rPr>
          <w:rFonts w:eastAsia="仿宋_GB2312"/>
          <w:sz w:val="32"/>
          <w:szCs w:val="32"/>
        </w:rPr>
      </w:pPr>
    </w:p>
    <w:p>
      <w:pPr>
        <w:pStyle w:val="2"/>
        <w:rPr>
          <w:rFonts w:eastAsia="仿宋_GB2312"/>
          <w:sz w:val="32"/>
          <w:szCs w:val="32"/>
        </w:rPr>
      </w:pPr>
    </w:p>
    <w:p>
      <w:pPr>
        <w:pStyle w:val="3"/>
        <w:rPr>
          <w:rFonts w:eastAsia="仿宋_GB2312"/>
          <w:sz w:val="32"/>
          <w:szCs w:val="32"/>
        </w:rPr>
      </w:pPr>
    </w:p>
    <w:p>
      <w:pPr>
        <w:rPr>
          <w:rFonts w:eastAsia="仿宋_GB2312"/>
          <w:sz w:val="32"/>
          <w:szCs w:val="32"/>
        </w:rPr>
      </w:pPr>
    </w:p>
    <w:p>
      <w:pPr>
        <w:pStyle w:val="2"/>
        <w:rPr>
          <w:rFonts w:eastAsia="仿宋_GB2312"/>
          <w:sz w:val="32"/>
          <w:szCs w:val="32"/>
        </w:rPr>
      </w:pPr>
    </w:p>
    <w:p>
      <w:pPr>
        <w:pStyle w:val="3"/>
        <w:rPr>
          <w:rFonts w:eastAsia="仿宋_GB2312"/>
          <w:sz w:val="32"/>
          <w:szCs w:val="32"/>
        </w:rPr>
      </w:pPr>
    </w:p>
    <w:p>
      <w:pPr>
        <w:rPr>
          <w:rFonts w:eastAsia="仿宋_GB2312"/>
          <w:sz w:val="32"/>
          <w:szCs w:val="32"/>
        </w:rPr>
      </w:pPr>
    </w:p>
    <w:p>
      <w:pPr>
        <w:pStyle w:val="2"/>
      </w:pPr>
    </w:p>
    <w:p>
      <w:pPr>
        <w:widowControl/>
        <w:jc w:val="left"/>
        <w:rPr>
          <w:rFonts w:eastAsia="仿宋_GB2312"/>
          <w:sz w:val="32"/>
          <w:szCs w:val="32"/>
        </w:rPr>
      </w:pPr>
    </w:p>
    <w:p>
      <w:pPr>
        <w:widowControl/>
        <w:jc w:val="left"/>
        <w:rPr>
          <w:rFonts w:eastAsia="仿宋_GB2312"/>
          <w:sz w:val="32"/>
          <w:szCs w:val="32"/>
        </w:rPr>
      </w:pPr>
    </w:p>
    <w:p>
      <w:pPr>
        <w:widowControl/>
        <w:jc w:val="left"/>
        <w:rPr>
          <w:rFonts w:hint="eastAsia" w:eastAsia="黑体"/>
          <w:sz w:val="32"/>
          <w:szCs w:val="32"/>
          <w:lang w:eastAsia="zh-CN"/>
        </w:rPr>
      </w:pPr>
      <w:bookmarkStart w:id="19" w:name="_GoBack"/>
      <w:bookmarkEnd w:id="19"/>
      <w:r>
        <w:rPr>
          <w:rFonts w:eastAsia="黑体"/>
          <w:sz w:val="32"/>
          <w:szCs w:val="32"/>
        </w:rPr>
        <w:t>附件</w:t>
      </w:r>
      <w:r>
        <w:rPr>
          <w:rFonts w:hint="eastAsia" w:eastAsia="黑体"/>
          <w:sz w:val="32"/>
          <w:szCs w:val="32"/>
          <w:lang w:val="en-US" w:eastAsia="zh-CN"/>
        </w:rPr>
        <w:t>1</w:t>
      </w:r>
    </w:p>
    <w:p>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tbl>
      <w:tblPr>
        <w:tblStyle w:val="9"/>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4</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4</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23</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hint="eastAsia" w:ascii="宋体" w:hAnsi="宋体" w:eastAsia="宋体" w:cs="宋体"/>
                <w:i w:val="0"/>
                <w:color w:val="000000"/>
                <w:kern w:val="0"/>
                <w:sz w:val="22"/>
                <w:szCs w:val="22"/>
                <w:u w:val="none"/>
                <w:lang w:val="en-US" w:eastAsia="zh-CN" w:bidi="ar"/>
              </w:rPr>
              <w:t xml:space="preserve"> 95.07</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84.53</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53.33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3、省级专项资金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86.52</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84.53</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lang w:val="en-US" w:eastAsia="zh-CN"/>
              </w:rPr>
              <w:t>53.33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3354" w:type="dxa"/>
            <w:noWrap w:val="0"/>
            <w:vAlign w:val="center"/>
          </w:tcPr>
          <w:p>
            <w:pPr>
              <w:widowControl/>
              <w:ind w:firstLine="400" w:firstLineChars="200"/>
              <w:jc w:val="left"/>
              <w:rPr>
                <w:rFonts w:eastAsia="仿宋_GB2312"/>
                <w:kern w:val="0"/>
                <w:szCs w:val="21"/>
              </w:rPr>
            </w:pPr>
            <w:bookmarkStart w:id="5" w:name="OLE_LINK1" w:colFirst="0" w:colLast="1"/>
            <w:r>
              <w:rPr>
                <w:rFonts w:hint="eastAsia" w:ascii="Times New Roman" w:hAnsi="Times New Roman" w:eastAsia="仿宋_GB2312" w:cs="Times New Roman"/>
                <w:sz w:val="20"/>
                <w:szCs w:val="20"/>
                <w:lang w:val="en-US" w:eastAsia="zh-CN"/>
              </w:rPr>
              <w:t>现代农业发展专项</w:t>
            </w:r>
          </w:p>
        </w:tc>
        <w:tc>
          <w:tcPr>
            <w:tcW w:w="2038" w:type="dxa"/>
            <w:gridSpan w:val="2"/>
            <w:noWrap w:val="0"/>
            <w:vAlign w:val="center"/>
          </w:tcPr>
          <w:p>
            <w:pPr>
              <w:widowControl/>
              <w:jc w:val="center"/>
              <w:rPr>
                <w:rFonts w:eastAsia="仿宋_GB2312"/>
                <w:kern w:val="0"/>
                <w:szCs w:val="21"/>
              </w:rPr>
            </w:pPr>
            <w:r>
              <w:rPr>
                <w:rFonts w:hint="eastAsia" w:ascii="宋体" w:hAnsi="宋体" w:eastAsia="宋体" w:cs="宋体"/>
                <w:i w:val="0"/>
                <w:color w:val="000000"/>
                <w:kern w:val="0"/>
                <w:sz w:val="22"/>
                <w:szCs w:val="22"/>
                <w:u w:val="none"/>
                <w:lang w:val="en-US" w:eastAsia="zh-CN" w:bidi="ar"/>
              </w:rPr>
              <w:t xml:space="preserve"> 8.56</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84.53</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lang w:val="en-US" w:eastAsia="zh-CN"/>
              </w:rPr>
              <w:t>53.33</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rPr>
            </w:pPr>
            <w:r>
              <w:rPr>
                <w:rFonts w:eastAsia="仿宋_GB2312"/>
                <w:kern w:val="0"/>
                <w:szCs w:val="21"/>
              </w:rPr>
              <w:t>4、其他事业类发展资金</w:t>
            </w:r>
          </w:p>
        </w:tc>
        <w:tc>
          <w:tcPr>
            <w:tcW w:w="2038" w:type="dxa"/>
            <w:gridSpan w:val="2"/>
            <w:noWrap w:val="0"/>
            <w:vAlign w:val="center"/>
          </w:tcPr>
          <w:p>
            <w:pPr>
              <w:widowControl/>
              <w:jc w:val="center"/>
              <w:rPr>
                <w:rFonts w:eastAsia="仿宋_GB2312"/>
                <w:kern w:val="0"/>
                <w:szCs w:val="21"/>
              </w:rPr>
            </w:pPr>
            <w:r>
              <w:rPr>
                <w:rFonts w:hint="eastAsia" w:ascii="宋体" w:hAnsi="宋体" w:eastAsia="宋体" w:cs="宋体"/>
                <w:i w:val="0"/>
                <w:color w:val="000000"/>
                <w:kern w:val="0"/>
                <w:sz w:val="22"/>
                <w:szCs w:val="22"/>
                <w:u w:val="none"/>
                <w:lang w:val="en-US" w:eastAsia="zh-CN" w:bidi="ar"/>
              </w:rPr>
              <w:t xml:space="preserve"> 8.56</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1832"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1832"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1832"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20.00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（2019年完工项目）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rFonts w:hint="eastAsia" w:eastAsia="黑体"/>
          <w:sz w:val="32"/>
          <w:szCs w:val="32"/>
          <w:lang w:val="en-US" w:eastAsia="zh-CN"/>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lang w:val="en-US" w:eastAsia="zh-CN"/>
        </w:rPr>
        <w:t>2</w:t>
      </w:r>
    </w:p>
    <w:p>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2024</w:t>
      </w:r>
      <w:r>
        <w:rPr>
          <w:rFonts w:eastAsia="仿宋_GB2312"/>
          <w:color w:val="000000"/>
          <w:kern w:val="0"/>
          <w:szCs w:val="21"/>
        </w:rPr>
        <w:t>年度）</w:t>
      </w:r>
    </w:p>
    <w:tbl>
      <w:tblPr>
        <w:tblStyle w:val="9"/>
        <w:tblW w:w="10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rPr>
              <w:t>湖南省绿色食品发展中心</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2"/>
            <w:noWrap w:val="0"/>
            <w:vAlign w:val="center"/>
          </w:tcPr>
          <w:p>
            <w:pPr>
              <w:jc w:val="center"/>
              <w:rPr>
                <w:rFonts w:eastAsia="仿宋_GB2312"/>
                <w:szCs w:val="21"/>
              </w:rPr>
            </w:pPr>
          </w:p>
        </w:tc>
        <w:tc>
          <w:tcPr>
            <w:tcW w:w="111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5" w:type="dxa"/>
            <w:gridSpan w:val="2"/>
            <w:noWrap w:val="0"/>
            <w:vAlign w:val="center"/>
          </w:tcPr>
          <w:p>
            <w:pPr>
              <w:jc w:val="center"/>
              <w:rPr>
                <w:rFonts w:eastAsia="仿宋_GB2312"/>
                <w:szCs w:val="21"/>
              </w:rPr>
            </w:pPr>
            <w:r>
              <w:rPr>
                <w:rFonts w:eastAsia="仿宋_GB2312"/>
                <w:szCs w:val="21"/>
              </w:rPr>
              <w:t>全年预算数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9" w:type="dxa"/>
            <w:noWrap w:val="0"/>
            <w:vAlign w:val="center"/>
          </w:tcPr>
          <w:p>
            <w:pPr>
              <w:jc w:val="center"/>
              <w:rPr>
                <w:rFonts w:eastAsia="仿宋_GB2312"/>
                <w:szCs w:val="21"/>
              </w:rPr>
            </w:pPr>
            <w:r>
              <w:rPr>
                <w:rFonts w:eastAsia="仿宋_GB2312"/>
                <w:szCs w:val="21"/>
              </w:rPr>
              <w:t>分值</w:t>
            </w:r>
          </w:p>
        </w:tc>
        <w:tc>
          <w:tcPr>
            <w:tcW w:w="898" w:type="dxa"/>
            <w:noWrap w:val="0"/>
            <w:vAlign w:val="center"/>
          </w:tcPr>
          <w:p>
            <w:pPr>
              <w:jc w:val="center"/>
              <w:rPr>
                <w:rFonts w:eastAsia="仿宋_GB2312"/>
                <w:szCs w:val="21"/>
              </w:rPr>
            </w:pPr>
            <w:r>
              <w:rPr>
                <w:rFonts w:eastAsia="仿宋_GB2312"/>
                <w:szCs w:val="21"/>
              </w:rPr>
              <w:t>执行率</w:t>
            </w:r>
          </w:p>
        </w:tc>
        <w:tc>
          <w:tcPr>
            <w:tcW w:w="1446"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80" w:type="dxa"/>
            <w:vMerge w:val="continue"/>
            <w:noWrap w:val="0"/>
            <w:vAlign w:val="center"/>
          </w:tcPr>
          <w:p>
            <w:pPr>
              <w:widowControl/>
              <w:jc w:val="center"/>
              <w:rPr>
                <w:rFonts w:eastAsia="仿宋_GB2312"/>
                <w:color w:val="000000"/>
                <w:kern w:val="0"/>
                <w:szCs w:val="21"/>
              </w:rPr>
            </w:pPr>
          </w:p>
        </w:tc>
        <w:tc>
          <w:tcPr>
            <w:tcW w:w="2647"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4" w:type="dxa"/>
            <w:noWrap w:val="0"/>
            <w:vAlign w:val="center"/>
          </w:tcPr>
          <w:p>
            <w:pPr>
              <w:jc w:val="center"/>
              <w:rPr>
                <w:rFonts w:hint="default" w:eastAsia="仿宋_GB2312"/>
                <w:szCs w:val="21"/>
                <w:lang w:val="en-US" w:eastAsia="zh-CN"/>
              </w:rPr>
            </w:pPr>
            <w:bookmarkStart w:id="6" w:name="OLE_LINK10"/>
            <w:r>
              <w:rPr>
                <w:rFonts w:hint="eastAsia" w:eastAsia="仿宋_GB2312"/>
                <w:szCs w:val="21"/>
                <w:lang w:val="en-US" w:eastAsia="zh-CN"/>
              </w:rPr>
              <w:t>167.55</w:t>
            </w:r>
            <w:bookmarkEnd w:id="6"/>
          </w:p>
        </w:tc>
        <w:tc>
          <w:tcPr>
            <w:tcW w:w="1295" w:type="dxa"/>
            <w:gridSpan w:val="2"/>
            <w:noWrap w:val="0"/>
            <w:vAlign w:val="center"/>
          </w:tcPr>
          <w:p>
            <w:pPr>
              <w:jc w:val="center"/>
              <w:rPr>
                <w:rFonts w:hint="default" w:eastAsia="仿宋_GB2312"/>
                <w:szCs w:val="21"/>
                <w:lang w:val="en-US" w:eastAsia="zh-CN"/>
              </w:rPr>
            </w:pPr>
            <w:bookmarkStart w:id="7" w:name="OLE_LINK9"/>
            <w:r>
              <w:rPr>
                <w:rFonts w:hint="eastAsia" w:eastAsia="仿宋_GB2312"/>
                <w:szCs w:val="21"/>
                <w:lang w:val="en-US" w:eastAsia="zh-CN"/>
              </w:rPr>
              <w:t>167.55</w:t>
            </w:r>
            <w:bookmarkEnd w:id="7"/>
          </w:p>
        </w:tc>
        <w:tc>
          <w:tcPr>
            <w:tcW w:w="1134" w:type="dxa"/>
            <w:noWrap w:val="0"/>
            <w:vAlign w:val="center"/>
          </w:tcPr>
          <w:p>
            <w:pPr>
              <w:jc w:val="center"/>
              <w:rPr>
                <w:rFonts w:eastAsia="仿宋_GB2312"/>
                <w:szCs w:val="21"/>
              </w:rPr>
            </w:pPr>
            <w:r>
              <w:rPr>
                <w:rFonts w:hint="eastAsia" w:eastAsia="仿宋_GB2312"/>
                <w:szCs w:val="21"/>
                <w:lang w:val="en-US" w:eastAsia="zh-CN"/>
              </w:rPr>
              <w:t>136.35</w:t>
            </w:r>
          </w:p>
        </w:tc>
        <w:tc>
          <w:tcPr>
            <w:tcW w:w="709" w:type="dxa"/>
            <w:noWrap w:val="0"/>
            <w:vAlign w:val="center"/>
          </w:tcPr>
          <w:p>
            <w:pPr>
              <w:jc w:val="center"/>
              <w:rPr>
                <w:rFonts w:eastAsia="仿宋_GB2312"/>
                <w:szCs w:val="21"/>
              </w:rPr>
            </w:pPr>
            <w:r>
              <w:rPr>
                <w:rFonts w:eastAsia="仿宋_GB2312"/>
                <w:szCs w:val="21"/>
              </w:rPr>
              <w:t>10</w:t>
            </w:r>
          </w:p>
        </w:tc>
        <w:tc>
          <w:tcPr>
            <w:tcW w:w="898" w:type="dxa"/>
            <w:noWrap w:val="0"/>
            <w:vAlign w:val="center"/>
          </w:tcPr>
          <w:p>
            <w:pPr>
              <w:jc w:val="center"/>
              <w:rPr>
                <w:rFonts w:hint="default" w:eastAsia="仿宋_GB2312"/>
                <w:szCs w:val="21"/>
                <w:lang w:val="en-US" w:eastAsia="zh-CN"/>
              </w:rPr>
            </w:pPr>
            <w:r>
              <w:rPr>
                <w:rFonts w:hint="eastAsia" w:eastAsia="仿宋_GB2312"/>
                <w:szCs w:val="21"/>
                <w:lang w:val="en-US" w:eastAsia="zh-CN"/>
              </w:rPr>
              <w:t>81.38%</w:t>
            </w:r>
          </w:p>
        </w:tc>
        <w:tc>
          <w:tcPr>
            <w:tcW w:w="1446" w:type="dxa"/>
            <w:noWrap w:val="0"/>
            <w:vAlign w:val="center"/>
          </w:tcPr>
          <w:p>
            <w:pPr>
              <w:jc w:val="center"/>
              <w:rPr>
                <w:rFonts w:hint="default" w:eastAsia="仿宋_GB2312"/>
                <w:szCs w:val="21"/>
                <w:lang w:val="en-US" w:eastAsia="zh-CN"/>
              </w:rPr>
            </w:pPr>
            <w:r>
              <w:rPr>
                <w:rFonts w:hint="eastAsia" w:eastAsia="仿宋_GB2312"/>
                <w:szCs w:val="21"/>
                <w:lang w:val="en-US" w:eastAsia="zh-CN"/>
              </w:rPr>
              <w:t>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167.55</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83.02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53.33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加强队伍建设和内部管理，加强综合治理和文明创建相关工作；202</w:t>
            </w:r>
            <w:r>
              <w:rPr>
                <w:rFonts w:hint="eastAsia" w:eastAsia="仿宋_GB2312"/>
                <w:color w:val="000000"/>
                <w:kern w:val="0"/>
                <w:szCs w:val="21"/>
                <w:lang w:val="en-US" w:eastAsia="zh-CN"/>
              </w:rPr>
              <w:t>4</w:t>
            </w:r>
            <w:r>
              <w:rPr>
                <w:rFonts w:hint="eastAsia" w:eastAsia="仿宋_GB2312"/>
                <w:color w:val="000000"/>
                <w:kern w:val="0"/>
                <w:szCs w:val="21"/>
              </w:rPr>
              <w:t>年度在原有的基础上，再新增至少两家家湖南绿色生资认证企业；继续做好中国有机食品博览会、中国绿色食品博览会及对接厅相关行政处室的境内农业展，助推我省绿色食品“走出去”，加强本省“二品一标”尤其是绿色食品基地试验示范的推广与服务；完善制度化建设；抓好疫情防控工作</w:t>
            </w:r>
            <w:r>
              <w:rPr>
                <w:rFonts w:eastAsia="仿宋_GB2312"/>
                <w:color w:val="000000"/>
                <w:kern w:val="0"/>
                <w:szCs w:val="21"/>
              </w:rPr>
              <w:t>　</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按年初目标完成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0"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46"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bookmarkStart w:id="8" w:name="OLE_LINK12" w:colFirst="4" w:colLast="5"/>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val="en-US" w:eastAsia="zh-CN"/>
              </w:rPr>
              <w:t>参加</w:t>
            </w:r>
            <w:r>
              <w:rPr>
                <w:rFonts w:hint="eastAsia" w:ascii="仿宋_GB2312" w:hAnsi="仿宋_GB2312" w:eastAsia="仿宋_GB2312" w:cs="仿宋_GB2312"/>
                <w:color w:val="000000"/>
                <w:kern w:val="0"/>
                <w:szCs w:val="21"/>
              </w:rPr>
              <w:t>博展会</w:t>
            </w:r>
            <w:r>
              <w:rPr>
                <w:rFonts w:hint="eastAsia" w:ascii="仿宋_GB2312" w:hAnsi="仿宋_GB2312" w:eastAsia="仿宋_GB2312" w:cs="仿宋_GB2312"/>
                <w:color w:val="000000"/>
                <w:kern w:val="0"/>
                <w:szCs w:val="21"/>
                <w:lang w:val="en-US" w:eastAsia="zh-CN"/>
              </w:rPr>
              <w:t>个数</w:t>
            </w:r>
            <w:r>
              <w:rPr>
                <w:rFonts w:hint="eastAsia" w:ascii="仿宋_GB2312" w:hAnsi="仿宋_GB2312" w:eastAsia="仿宋_GB2312" w:cs="仿宋_GB2312"/>
                <w:color w:val="000000"/>
                <w:kern w:val="0"/>
                <w:szCs w:val="21"/>
              </w:rPr>
              <w:t>。</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≥3个</w:t>
            </w:r>
          </w:p>
        </w:tc>
        <w:tc>
          <w:tcPr>
            <w:tcW w:w="1134" w:type="dxa"/>
            <w:noWrap w:val="0"/>
            <w:vAlign w:val="center"/>
          </w:tcPr>
          <w:p>
            <w:pPr>
              <w:widowControl/>
              <w:jc w:val="left"/>
              <w:rPr>
                <w:rFonts w:hint="default"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val="en-US" w:eastAsia="zh-CN"/>
              </w:rPr>
              <w:t>0</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widowControl/>
              <w:jc w:val="center"/>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widowControl/>
              <w:jc w:val="left"/>
              <w:rPr>
                <w:rFonts w:hint="default" w:ascii="仿宋_GB2312" w:hAnsi="仿宋_GB2312" w:eastAsia="仿宋_GB2312" w:cs="仿宋_GB2312"/>
                <w:color w:val="000000"/>
                <w:kern w:val="0"/>
                <w:szCs w:val="21"/>
                <w:lang w:val="en-US"/>
              </w:rPr>
            </w:pPr>
            <w:r>
              <w:rPr>
                <w:rFonts w:hint="eastAsia" w:ascii="仿宋_GB2312" w:hAnsi="仿宋_GB2312" w:eastAsia="仿宋_GB2312" w:cs="仿宋_GB2312"/>
                <w:b w:val="0"/>
                <w:bCs w:val="0"/>
                <w:color w:val="000000"/>
                <w:kern w:val="0"/>
                <w:sz w:val="21"/>
                <w:szCs w:val="21"/>
                <w:lang w:eastAsia="zh-CN"/>
              </w:rPr>
              <w:t>新增获证绿色生资企业</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≥3个</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val="en-US" w:eastAsia="zh-CN"/>
              </w:rPr>
              <w:t>3个</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9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46"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bookmarkStart w:id="9" w:name="OLE_LINK13"/>
            <w:r>
              <w:rPr>
                <w:rFonts w:hint="eastAsia" w:ascii="仿宋_GB2312" w:hAnsi="仿宋_GB2312" w:eastAsia="仿宋_GB2312" w:cs="仿宋_GB2312"/>
                <w:i w:val="0"/>
                <w:color w:val="000000"/>
                <w:kern w:val="0"/>
                <w:sz w:val="21"/>
                <w:szCs w:val="21"/>
                <w:u w:val="none"/>
                <w:lang w:val="en-US" w:eastAsia="zh-CN" w:bidi="ar"/>
              </w:rPr>
              <w:t>加强</w:t>
            </w:r>
            <w:bookmarkEnd w:id="9"/>
            <w:r>
              <w:rPr>
                <w:rFonts w:hint="eastAsia" w:ascii="仿宋_GB2312" w:hAnsi="仿宋_GB2312" w:eastAsia="仿宋_GB2312" w:cs="仿宋_GB2312"/>
                <w:i w:val="0"/>
                <w:color w:val="000000"/>
                <w:kern w:val="0"/>
                <w:sz w:val="21"/>
                <w:szCs w:val="21"/>
                <w:u w:val="none"/>
                <w:lang w:val="en-US" w:eastAsia="zh-CN" w:bidi="ar"/>
              </w:rPr>
              <w:t>综合治理和文明创建相关工作</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加强</w:t>
            </w:r>
          </w:p>
        </w:tc>
        <w:tc>
          <w:tcPr>
            <w:tcW w:w="1134"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加强</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vMerge w:val="continue"/>
            <w:noWrap w:val="0"/>
            <w:vAlign w:val="center"/>
          </w:tcPr>
          <w:p>
            <w:pPr>
              <w:widowControl/>
              <w:jc w:val="center"/>
              <w:rPr>
                <w:rFonts w:eastAsia="仿宋_GB2312"/>
                <w:color w:val="000000"/>
                <w:kern w:val="0"/>
                <w:szCs w:val="21"/>
              </w:rPr>
            </w:pP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提升服务与创新意识，展会期间创新采取线上与线下同步结合的模式。</w:t>
            </w:r>
          </w:p>
        </w:tc>
        <w:tc>
          <w:tcPr>
            <w:tcW w:w="1200" w:type="dxa"/>
            <w:noWrap w:val="0"/>
            <w:vAlign w:val="center"/>
          </w:tcPr>
          <w:p>
            <w:pPr>
              <w:keepNext w:val="0"/>
              <w:keepLines w:val="0"/>
              <w:widowControl/>
              <w:suppressLineNumbers w:val="0"/>
              <w:jc w:val="left"/>
              <w:textAlignment w:val="center"/>
              <w:rPr>
                <w:rFonts w:hint="default" w:ascii="仿宋_GB2312" w:hAnsi="仿宋_GB2312" w:eastAsia="仿宋_GB2312" w:cs="仿宋_GB2312"/>
                <w:color w:val="000000"/>
                <w:kern w:val="0"/>
                <w:szCs w:val="21"/>
                <w:lang w:val="en-US"/>
              </w:rPr>
            </w:pPr>
            <w:bookmarkStart w:id="10" w:name="OLE_LINK14"/>
            <w:r>
              <w:rPr>
                <w:rFonts w:hint="eastAsia" w:ascii="仿宋_GB2312" w:hAnsi="仿宋_GB2312" w:eastAsia="仿宋_GB2312" w:cs="仿宋_GB2312"/>
                <w:i w:val="0"/>
                <w:color w:val="000000"/>
                <w:kern w:val="0"/>
                <w:sz w:val="21"/>
                <w:szCs w:val="21"/>
                <w:u w:val="none"/>
                <w:lang w:val="en-US" w:eastAsia="zh-CN" w:bidi="ar"/>
              </w:rPr>
              <w:t>有效提升</w:t>
            </w:r>
            <w:bookmarkEnd w:id="10"/>
          </w:p>
        </w:tc>
        <w:tc>
          <w:tcPr>
            <w:tcW w:w="1134"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有效提升</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default" w:ascii="仿宋_GB2312" w:hAnsi="仿宋_GB2312" w:eastAsia="仿宋_GB2312" w:cs="仿宋_GB2312"/>
                <w:color w:val="000000"/>
                <w:kern w:val="0"/>
                <w:szCs w:val="21"/>
                <w:lang w:val="en-US"/>
              </w:rPr>
            </w:pPr>
            <w:r>
              <w:rPr>
                <w:rFonts w:hint="eastAsia" w:ascii="仿宋_GB2312" w:hAnsi="仿宋_GB2312" w:eastAsia="仿宋_GB2312" w:cs="仿宋_GB2312"/>
                <w:i w:val="0"/>
                <w:color w:val="000000"/>
                <w:kern w:val="0"/>
                <w:sz w:val="21"/>
                <w:szCs w:val="21"/>
                <w:u w:val="none"/>
                <w:lang w:val="en-US" w:eastAsia="zh-CN" w:bidi="ar"/>
              </w:rPr>
              <w:t>企业年检工作完成时间</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lang w:val="en-US"/>
              </w:rPr>
            </w:pPr>
            <w:r>
              <w:rPr>
                <w:rFonts w:hint="eastAsia"/>
              </w:rPr>
              <w:t>11月30日前</w:t>
            </w:r>
          </w:p>
        </w:tc>
        <w:tc>
          <w:tcPr>
            <w:tcW w:w="1134"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rPr>
              <w:t>11月30日前</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lang w:val="en-US" w:eastAsia="zh-CN"/>
              </w:rPr>
              <w:t>各项费用支出</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控制在预算内</w:t>
            </w:r>
          </w:p>
        </w:tc>
        <w:tc>
          <w:tcPr>
            <w:tcW w:w="1134"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控制在预算内</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共同推动绿色产业发展，鼓励农户、基地使用绿色生资、遵循可持续发展要求</w:t>
            </w:r>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i w:val="0"/>
                <w:color w:val="000000"/>
                <w:kern w:val="0"/>
                <w:sz w:val="21"/>
                <w:szCs w:val="21"/>
                <w:u w:val="none"/>
                <w:lang w:val="en-US" w:eastAsia="zh-CN" w:bidi="ar"/>
              </w:rPr>
              <w:t>推动</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i w:val="0"/>
                <w:color w:val="000000"/>
                <w:kern w:val="0"/>
                <w:sz w:val="21"/>
                <w:szCs w:val="21"/>
                <w:u w:val="none"/>
                <w:lang w:val="en-US" w:eastAsia="zh-CN" w:bidi="ar"/>
              </w:rPr>
              <w:t>推动</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395" w:type="dxa"/>
            <w:vMerge w:val="continue"/>
            <w:noWrap w:val="0"/>
            <w:vAlign w:val="center"/>
          </w:tcPr>
          <w:p>
            <w:pPr>
              <w:widowControl/>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bookmarkStart w:id="11" w:name="OLE_LINK15"/>
            <w:r>
              <w:rPr>
                <w:rFonts w:hint="eastAsia" w:ascii="仿宋_GB2312" w:hAnsi="仿宋_GB2312" w:eastAsia="仿宋_GB2312" w:cs="仿宋_GB2312"/>
                <w:i w:val="0"/>
                <w:color w:val="000000"/>
                <w:kern w:val="0"/>
                <w:sz w:val="21"/>
                <w:szCs w:val="21"/>
                <w:u w:val="none"/>
                <w:lang w:val="en-US" w:eastAsia="zh-CN" w:bidi="ar"/>
              </w:rPr>
              <w:t>满足</w:t>
            </w:r>
            <w:bookmarkEnd w:id="11"/>
            <w:r>
              <w:rPr>
                <w:rFonts w:hint="eastAsia" w:ascii="仿宋_GB2312" w:hAnsi="仿宋_GB2312" w:eastAsia="仿宋_GB2312" w:cs="仿宋_GB2312"/>
                <w:i w:val="0"/>
                <w:color w:val="000000"/>
                <w:kern w:val="0"/>
                <w:sz w:val="21"/>
                <w:szCs w:val="21"/>
                <w:u w:val="none"/>
                <w:lang w:val="en-US" w:eastAsia="zh-CN" w:bidi="ar"/>
              </w:rPr>
              <w:t>城乡人民对绿色食品的消费需求</w:t>
            </w:r>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i w:val="0"/>
                <w:color w:val="000000"/>
                <w:kern w:val="0"/>
                <w:sz w:val="21"/>
                <w:szCs w:val="21"/>
                <w:u w:val="none"/>
                <w:lang w:val="en-US" w:eastAsia="zh-CN" w:bidi="ar"/>
              </w:rPr>
              <w:t>满足</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i w:val="0"/>
                <w:color w:val="000000"/>
                <w:kern w:val="0"/>
                <w:sz w:val="21"/>
                <w:szCs w:val="21"/>
                <w:u w:val="none"/>
                <w:lang w:val="en-US" w:eastAsia="zh-CN" w:bidi="ar"/>
              </w:rPr>
              <w:t>满足</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7" w:hRule="atLeast"/>
          <w:jc w:val="center"/>
        </w:trPr>
        <w:tc>
          <w:tcPr>
            <w:tcW w:w="1080" w:type="dxa"/>
            <w:vMerge w:val="continue"/>
            <w:noWrap w:val="0"/>
            <w:vAlign w:val="center"/>
          </w:tcPr>
          <w:p>
            <w:pPr>
              <w:jc w:val="left"/>
              <w:rPr>
                <w:rFonts w:eastAsia="仿宋_GB2312"/>
                <w:color w:val="000000"/>
                <w:kern w:val="0"/>
                <w:szCs w:val="21"/>
              </w:rPr>
            </w:pPr>
          </w:p>
        </w:tc>
        <w:tc>
          <w:tcPr>
            <w:tcW w:w="1395"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社会公众或服务对象的满意程度</w:t>
            </w:r>
          </w:p>
        </w:tc>
        <w:tc>
          <w:tcPr>
            <w:tcW w:w="1200" w:type="dxa"/>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rPr>
              <w:t>　≥</w:t>
            </w:r>
            <w:bookmarkStart w:id="12" w:name="OLE_LINK4"/>
            <w:r>
              <w:rPr>
                <w:rFonts w:hint="eastAsia" w:ascii="仿宋_GB2312" w:hAnsi="仿宋_GB2312" w:eastAsia="仿宋_GB2312" w:cs="仿宋_GB2312"/>
                <w:color w:val="000000"/>
                <w:kern w:val="0"/>
                <w:szCs w:val="21"/>
                <w:lang w:val="en-US" w:eastAsia="zh-CN"/>
              </w:rPr>
              <w:t>90%</w:t>
            </w:r>
            <w:bookmarkEnd w:id="12"/>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val="en-US" w:eastAsia="zh-CN"/>
              </w:rPr>
              <w:t>90%</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270"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9"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98"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93.13</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left"/>
        <w:rPr>
          <w:rFonts w:eastAsia="黑体"/>
          <w:sz w:val="32"/>
          <w:szCs w:val="32"/>
        </w:rPr>
      </w:pPr>
    </w:p>
    <w:p>
      <w:pPr>
        <w:widowControl/>
        <w:jc w:val="left"/>
        <w:rPr>
          <w:rFonts w:hint="eastAsia" w:eastAsia="黑体"/>
          <w:sz w:val="32"/>
          <w:szCs w:val="32"/>
          <w:lang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3</w:t>
      </w:r>
    </w:p>
    <w:p>
      <w:pPr>
        <w:widowControl/>
        <w:jc w:val="center"/>
        <w:rPr>
          <w:rFonts w:eastAsia="方正小标宋_GBK"/>
          <w:color w:val="000000"/>
          <w:kern w:val="0"/>
          <w:sz w:val="36"/>
          <w:szCs w:val="36"/>
        </w:rPr>
      </w:pPr>
      <w:bookmarkStart w:id="13" w:name="OLE_LINK5"/>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9"/>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现代农业发展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湖南省绿色食品发展中心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84.53</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84.53</w:t>
            </w:r>
          </w:p>
        </w:tc>
        <w:tc>
          <w:tcPr>
            <w:tcW w:w="1134" w:type="dxa"/>
            <w:noWrap w:val="0"/>
            <w:vAlign w:val="center"/>
          </w:tcPr>
          <w:p>
            <w:pPr>
              <w:keepNext w:val="0"/>
              <w:keepLines w:val="0"/>
              <w:widowControl/>
              <w:suppressLineNumbers w:val="0"/>
              <w:jc w:val="right"/>
              <w:textAlignment w:val="center"/>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53.33</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60.09%</w:t>
            </w:r>
          </w:p>
        </w:tc>
        <w:tc>
          <w:tcPr>
            <w:tcW w:w="141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80.00</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80.00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4.53</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4.53</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组织全省“三品一标”生产加工及绿色食品生产资料新技术研究与协作；承担“三品一标”基地建设试验示范与推广服务；承担“三品一标”生产操作技术规程的制订工作；负责组织全省“三品一标”项目外引内联、产业对接，承担“三品一标”的市场开拓与监管、信息服务；承办“三品一标”的行业宣传和专业培训工作。</w:t>
            </w:r>
          </w:p>
        </w:tc>
        <w:tc>
          <w:tcPr>
            <w:tcW w:w="4253" w:type="dxa"/>
            <w:gridSpan w:val="4"/>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组织全省“三品一标”生产加工及绿色食品生产资料新技术研究与协作；承担“三品一标”基地建设试验示范与推广服务；承担“三品一标”生产操作技术规程的制订工作；负责组织全省“三品一标”项目外引内联、产业对接，承担“三品一标”的市场开拓与监管、信息服务；承办“三品一标”的行业宣传和专业培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keepNext w:val="0"/>
              <w:keepLines w:val="0"/>
              <w:widowControl/>
              <w:suppressLineNumbers w:val="0"/>
              <w:jc w:val="left"/>
              <w:textAlignment w:val="auto"/>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参展个数</w:t>
            </w:r>
          </w:p>
        </w:tc>
        <w:tc>
          <w:tcPr>
            <w:tcW w:w="1209"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rPr>
              <w:t>≥</w:t>
            </w:r>
            <w:r>
              <w:rPr>
                <w:rFonts w:hint="eastAsia" w:eastAsia="仿宋_GB2312"/>
                <w:color w:val="000000"/>
                <w:kern w:val="0"/>
                <w:szCs w:val="21"/>
                <w:lang w:val="en-US" w:eastAsia="zh-CN"/>
              </w:rPr>
              <w:t>3个</w:t>
            </w:r>
          </w:p>
        </w:tc>
        <w:tc>
          <w:tcPr>
            <w:tcW w:w="1134" w:type="dxa"/>
            <w:noWrap w:val="0"/>
            <w:vAlign w:val="center"/>
          </w:tcPr>
          <w:p>
            <w:pPr>
              <w:widowControl/>
              <w:ind w:firstLine="210" w:firstLineChars="100"/>
              <w:jc w:val="left"/>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82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jc w:val="left"/>
              <w:rPr>
                <w:rFonts w:eastAsia="仿宋_GB2312"/>
                <w:color w:val="000000"/>
                <w:kern w:val="0"/>
                <w:szCs w:val="21"/>
              </w:rPr>
            </w:pPr>
            <w:r>
              <w:rPr>
                <w:rFonts w:hint="eastAsia" w:eastAsia="仿宋_GB2312"/>
                <w:color w:val="000000"/>
                <w:kern w:val="0"/>
                <w:szCs w:val="21"/>
              </w:rPr>
              <w:t>提升服务与创新意识</w:t>
            </w:r>
          </w:p>
        </w:tc>
        <w:tc>
          <w:tcPr>
            <w:tcW w:w="1209" w:type="dxa"/>
            <w:noWrap w:val="0"/>
            <w:vAlign w:val="center"/>
          </w:tcPr>
          <w:p>
            <w:pPr>
              <w:widowControl/>
              <w:jc w:val="left"/>
              <w:rPr>
                <w:rFonts w:eastAsia="仿宋_GB2312"/>
                <w:color w:val="000000"/>
                <w:kern w:val="0"/>
                <w:szCs w:val="21"/>
              </w:rPr>
            </w:pPr>
            <w:bookmarkStart w:id="14" w:name="OLE_LINK11"/>
            <w:r>
              <w:rPr>
                <w:rFonts w:hint="eastAsia" w:eastAsia="仿宋_GB2312"/>
                <w:color w:val="000000"/>
                <w:kern w:val="0"/>
                <w:szCs w:val="21"/>
                <w:lang w:val="en-US" w:eastAsia="zh-CN"/>
              </w:rPr>
              <w:t>提升</w:t>
            </w:r>
            <w:bookmarkEnd w:id="14"/>
            <w:r>
              <w:rPr>
                <w:rFonts w:eastAsia="仿宋_GB2312"/>
                <w:color w:val="000000"/>
                <w:kern w:val="0"/>
                <w:szCs w:val="21"/>
              </w:rPr>
              <w:t>　</w:t>
            </w:r>
          </w:p>
        </w:tc>
        <w:tc>
          <w:tcPr>
            <w:tcW w:w="1134"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提升</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bookmarkStart w:id="15" w:name="OLE_LINK6" w:colFirst="4" w:colLast="4"/>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keepNext w:val="0"/>
              <w:keepLines w:val="0"/>
              <w:widowControl/>
              <w:suppressLineNumbers w:val="0"/>
              <w:jc w:val="left"/>
              <w:textAlignment w:val="auto"/>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做好企业年检工作</w:t>
            </w:r>
          </w:p>
        </w:tc>
        <w:tc>
          <w:tcPr>
            <w:tcW w:w="1209" w:type="dxa"/>
            <w:noWrap w:val="0"/>
            <w:vAlign w:val="center"/>
          </w:tcPr>
          <w:p>
            <w:pPr>
              <w:keepNext w:val="0"/>
              <w:keepLines w:val="0"/>
              <w:widowControl/>
              <w:suppressLineNumbers w:val="0"/>
              <w:jc w:val="left"/>
              <w:textAlignment w:val="auto"/>
              <w:rPr>
                <w:rFonts w:eastAsia="仿宋_GB2312"/>
                <w:color w:val="000000"/>
                <w:kern w:val="0"/>
                <w:szCs w:val="21"/>
              </w:rPr>
            </w:pPr>
            <w:bookmarkStart w:id="16" w:name="OLE_LINK16"/>
            <w:r>
              <w:rPr>
                <w:rFonts w:hint="eastAsia" w:ascii="Times New Roman" w:hAnsi="Times New Roman" w:eastAsia="仿宋_GB2312" w:cs="Times New Roman"/>
                <w:i w:val="0"/>
                <w:color w:val="000000"/>
                <w:kern w:val="0"/>
                <w:sz w:val="21"/>
                <w:szCs w:val="21"/>
                <w:u w:val="none"/>
                <w:lang w:val="en-US" w:eastAsia="zh-CN" w:bidi="ar"/>
              </w:rPr>
              <w:t>11月30日前</w:t>
            </w:r>
            <w:bookmarkEnd w:id="16"/>
          </w:p>
        </w:tc>
        <w:tc>
          <w:tcPr>
            <w:tcW w:w="1134" w:type="dxa"/>
            <w:noWrap w:val="0"/>
            <w:vAlign w:val="center"/>
          </w:tcPr>
          <w:p>
            <w:pPr>
              <w:widowControl/>
              <w:jc w:val="left"/>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11月30日前</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keepNext w:val="0"/>
              <w:keepLines w:val="0"/>
              <w:widowControl/>
              <w:suppressLineNumbers w:val="0"/>
              <w:jc w:val="left"/>
              <w:textAlignment w:val="auto"/>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项目成本</w:t>
            </w:r>
          </w:p>
        </w:tc>
        <w:tc>
          <w:tcPr>
            <w:tcW w:w="1209" w:type="dxa"/>
            <w:noWrap w:val="0"/>
            <w:vAlign w:val="center"/>
          </w:tcPr>
          <w:p>
            <w:pPr>
              <w:widowControl/>
              <w:jc w:val="left"/>
              <w:rPr>
                <w:rFonts w:hint="eastAsia" w:eastAsia="仿宋_GB2312"/>
                <w:color w:val="000000"/>
                <w:kern w:val="0"/>
                <w:szCs w:val="21"/>
                <w:lang w:val="en-US" w:eastAsia="zh-CN"/>
              </w:rPr>
            </w:pPr>
            <w:bookmarkStart w:id="17" w:name="OLE_LINK3"/>
            <w:r>
              <w:rPr>
                <w:rFonts w:hint="eastAsia" w:eastAsia="仿宋_GB2312"/>
                <w:color w:val="000000"/>
                <w:kern w:val="0"/>
                <w:szCs w:val="21"/>
                <w:lang w:val="en-US" w:eastAsia="zh-CN"/>
              </w:rPr>
              <w:t>控制在预算范围内</w:t>
            </w:r>
            <w:bookmarkEnd w:id="17"/>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控制在预算范围内</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73"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keepNext w:val="0"/>
              <w:keepLines w:val="0"/>
              <w:widowControl/>
              <w:suppressLineNumbers w:val="0"/>
              <w:jc w:val="left"/>
              <w:textAlignment w:val="auto"/>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共同推动绿色产业发展</w:t>
            </w:r>
          </w:p>
        </w:tc>
        <w:tc>
          <w:tcPr>
            <w:tcW w:w="1209" w:type="dxa"/>
            <w:noWrap w:val="0"/>
            <w:vAlign w:val="center"/>
          </w:tcPr>
          <w:p>
            <w:pPr>
              <w:keepNext w:val="0"/>
              <w:keepLines w:val="0"/>
              <w:widowControl/>
              <w:suppressLineNumbers w:val="0"/>
              <w:jc w:val="left"/>
              <w:textAlignment w:val="auto"/>
              <w:rPr>
                <w:rFonts w:eastAsia="仿宋_GB2312"/>
                <w:color w:val="000000"/>
                <w:kern w:val="0"/>
                <w:szCs w:val="21"/>
              </w:rPr>
            </w:pPr>
            <w:bookmarkStart w:id="18" w:name="OLE_LINK17"/>
            <w:r>
              <w:rPr>
                <w:rFonts w:hint="eastAsia" w:ascii="Times New Roman" w:hAnsi="Times New Roman" w:eastAsia="仿宋_GB2312" w:cs="Times New Roman"/>
                <w:i w:val="0"/>
                <w:color w:val="000000"/>
                <w:kern w:val="0"/>
                <w:sz w:val="21"/>
                <w:szCs w:val="21"/>
                <w:u w:val="none"/>
                <w:lang w:val="en-US" w:eastAsia="zh-CN" w:bidi="ar"/>
              </w:rPr>
              <w:t>推动</w:t>
            </w:r>
            <w:bookmarkEnd w:id="18"/>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Times New Roman" w:hAnsi="Times New Roman" w:eastAsia="仿宋_GB2312" w:cs="Times New Roman"/>
                <w:i w:val="0"/>
                <w:color w:val="000000"/>
                <w:kern w:val="0"/>
                <w:sz w:val="21"/>
                <w:szCs w:val="21"/>
                <w:u w:val="none"/>
                <w:lang w:val="en-US" w:eastAsia="zh-CN" w:bidi="ar"/>
              </w:rPr>
              <w:t>推动</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30</w:t>
            </w:r>
          </w:p>
        </w:tc>
        <w:tc>
          <w:tcPr>
            <w:tcW w:w="873"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30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keepNext w:val="0"/>
              <w:keepLines w:val="0"/>
              <w:widowControl/>
              <w:suppressLineNumbers w:val="0"/>
              <w:jc w:val="left"/>
              <w:textAlignment w:val="auto"/>
              <w:rPr>
                <w:rFonts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参展企业满意度</w:t>
            </w:r>
          </w:p>
        </w:tc>
        <w:tc>
          <w:tcPr>
            <w:tcW w:w="1209"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w:t>
            </w:r>
            <w:r>
              <w:rPr>
                <w:rFonts w:hint="eastAsia" w:eastAsia="仿宋_GB2312"/>
                <w:color w:val="000000"/>
                <w:kern w:val="0"/>
                <w:szCs w:val="21"/>
                <w:lang w:val="en-US" w:eastAsia="zh-CN"/>
              </w:rPr>
              <w:t>90%</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86</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3"/>
    </w:tbl>
    <w:p>
      <w:pPr>
        <w:spacing w:line="560" w:lineRule="exact"/>
        <w:jc w:val="center"/>
      </w:pPr>
    </w:p>
    <w:p/>
    <w:p/>
    <w:p>
      <w:pPr>
        <w:pStyle w:val="14"/>
        <w:spacing w:line="600" w:lineRule="exact"/>
        <w:ind w:firstLine="640" w:firstLineChars="200"/>
        <w:rPr>
          <w:rFonts w:ascii="Times New Roman" w:hAnsi="Times New Roman" w:eastAsia="仿宋_GB2312" w:cs="Times New Roman"/>
          <w:sz w:val="32"/>
          <w:szCs w:val="32"/>
        </w:rPr>
      </w:pPr>
    </w:p>
    <w:p>
      <w:pPr>
        <w:pStyle w:val="14"/>
        <w:spacing w:line="600" w:lineRule="exact"/>
        <w:ind w:firstLine="640" w:firstLineChars="200"/>
        <w:rPr>
          <w:rFonts w:ascii="Times New Roman" w:hAnsi="Times New Roman" w:eastAsia="仿宋_GB2312" w:cs="Times New Roman"/>
          <w:sz w:val="32"/>
          <w:szCs w:val="3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1F00FF" w:csb1="FFFF0000"/>
  </w:font>
  <w:font w:name="Batang">
    <w:altName w:val="等线 Light"/>
    <w:panose1 w:val="02030600000101010101"/>
    <w:charset w:val="00"/>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AF900B"/>
    <w:multiLevelType w:val="singleLevel"/>
    <w:tmpl w:val="AEAF900B"/>
    <w:lvl w:ilvl="0" w:tentative="0">
      <w:start w:val="8"/>
      <w:numFmt w:val="chineseCounting"/>
      <w:suff w:val="nothing"/>
      <w:lvlText w:val="%1、"/>
      <w:lvlJc w:val="left"/>
      <w:rPr>
        <w:rFonts w:hint="eastAsia"/>
      </w:rPr>
    </w:lvl>
  </w:abstractNum>
  <w:abstractNum w:abstractNumId="1">
    <w:nsid w:val="C34CDA96"/>
    <w:multiLevelType w:val="singleLevel"/>
    <w:tmpl w:val="C34CDA96"/>
    <w:lvl w:ilvl="0" w:tentative="0">
      <w:start w:val="3"/>
      <w:numFmt w:val="chineseCounting"/>
      <w:suff w:val="nothing"/>
      <w:lvlText w:val="%1、"/>
      <w:lvlJc w:val="left"/>
      <w:rPr>
        <w:rFonts w:hint="eastAsia"/>
      </w:rPr>
    </w:lvl>
  </w:abstractNum>
  <w:abstractNum w:abstractNumId="2">
    <w:nsid w:val="61E81E30"/>
    <w:multiLevelType w:val="singleLevel"/>
    <w:tmpl w:val="61E81E30"/>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7C82852"/>
    <w:rsid w:val="0E5371B3"/>
    <w:rsid w:val="19B718CE"/>
    <w:rsid w:val="1BF568DB"/>
    <w:rsid w:val="1C4D63BF"/>
    <w:rsid w:val="1D97DEFF"/>
    <w:rsid w:val="1DFF72E5"/>
    <w:rsid w:val="1EFC6F07"/>
    <w:rsid w:val="277231B0"/>
    <w:rsid w:val="2FDF85B8"/>
    <w:rsid w:val="2FFFEE04"/>
    <w:rsid w:val="34DF85B0"/>
    <w:rsid w:val="3B602C26"/>
    <w:rsid w:val="3B8F36BC"/>
    <w:rsid w:val="3DB4392F"/>
    <w:rsid w:val="42C37C1F"/>
    <w:rsid w:val="45E46A59"/>
    <w:rsid w:val="491FF225"/>
    <w:rsid w:val="4FFD214C"/>
    <w:rsid w:val="545B2E81"/>
    <w:rsid w:val="5777D4F5"/>
    <w:rsid w:val="59DD8326"/>
    <w:rsid w:val="5CCD3038"/>
    <w:rsid w:val="5D834F49"/>
    <w:rsid w:val="5DEF592A"/>
    <w:rsid w:val="5FC6BB1E"/>
    <w:rsid w:val="5FF720F1"/>
    <w:rsid w:val="625A05C6"/>
    <w:rsid w:val="67FF5C0B"/>
    <w:rsid w:val="6EFC0924"/>
    <w:rsid w:val="6FB74722"/>
    <w:rsid w:val="6FEF8B7E"/>
    <w:rsid w:val="71A6591B"/>
    <w:rsid w:val="737D59BA"/>
    <w:rsid w:val="75BF414F"/>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Normal Indent"/>
    <w:basedOn w:val="1"/>
    <w:qFormat/>
    <w:uiPriority w:val="0"/>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uiPriority w:val="0"/>
  </w:style>
  <w:style w:type="character" w:customStyle="1" w:styleId="12">
    <w:name w:val="页眉 Char"/>
    <w:basedOn w:val="10"/>
    <w:link w:val="8"/>
    <w:qFormat/>
    <w:uiPriority w:val="99"/>
    <w:rPr>
      <w:sz w:val="18"/>
      <w:szCs w:val="18"/>
    </w:rPr>
  </w:style>
  <w:style w:type="character" w:customStyle="1" w:styleId="13">
    <w:name w:val="页脚 Char"/>
    <w:basedOn w:val="10"/>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0"/>
    <w:link w:val="6"/>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1</TotalTime>
  <ScaleCrop>false</ScaleCrop>
  <LinksUpToDate>false</LinksUpToDate>
  <CharactersWithSpaces>9786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2025-08-18T10:17:00Z</dcterms:created>
  <dc:creator>李航 null</dc:creator>
  <cp:lastModifiedBy>lenovo</cp:lastModifiedBy>
  <cp:lastPrinted>2024-08-08T18:20:00Z</cp:lastPrinted>
  <dcterms:modified xsi:type="dcterms:W3CDTF">2025-09-11T15:55:26Z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