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rFonts w:ascii="Times New Roman" w:hAnsi="Times New Roman" w:cs="Times New Roman"/>
          <w:sz w:val="56"/>
          <w:szCs w:val="56"/>
        </w:rPr>
      </w:pPr>
    </w:p>
    <w:p>
      <w:pPr>
        <w:pStyle w:val="17"/>
        <w:jc w:val="center"/>
        <w:rPr>
          <w:rFonts w:ascii="Times New Roman" w:hAnsi="Times New Roman" w:cs="Times New Roman"/>
          <w:sz w:val="56"/>
          <w:szCs w:val="56"/>
        </w:rPr>
      </w:pPr>
    </w:p>
    <w:p>
      <w:pPr>
        <w:pStyle w:val="17"/>
        <w:jc w:val="center"/>
        <w:rPr>
          <w:rFonts w:ascii="Times New Roman" w:hAnsi="Times New Roman" w:cs="Times New Roman"/>
          <w:sz w:val="84"/>
          <w:szCs w:val="84"/>
        </w:rPr>
      </w:pPr>
    </w:p>
    <w:p>
      <w:pPr>
        <w:pStyle w:val="17"/>
        <w:jc w:val="center"/>
        <w:rPr>
          <w:rFonts w:ascii="Times New Roman" w:hAnsi="Times New Roman" w:cs="Times New Roman"/>
          <w:sz w:val="84"/>
          <w:szCs w:val="84"/>
        </w:rPr>
      </w:pP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7"/>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湖南省绿色食品办公室</w:t>
      </w: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pPr>
        <w:pStyle w:val="17"/>
        <w:jc w:val="center"/>
        <w:rPr>
          <w:rFonts w:ascii="Times New Roman" w:hAnsi="Times New Roman" w:eastAsia="方正小标宋简体" w:cs="Times New Roman"/>
          <w:sz w:val="72"/>
          <w:szCs w:val="72"/>
        </w:rPr>
      </w:pPr>
    </w:p>
    <w:p>
      <w:pPr>
        <w:pStyle w:val="17"/>
        <w:jc w:val="center"/>
        <w:rPr>
          <w:rFonts w:ascii="Times New Roman" w:hAnsi="Times New Roman" w:eastAsia="方正小标宋简体" w:cs="Times New Roman"/>
          <w:sz w:val="72"/>
          <w:szCs w:val="72"/>
        </w:rPr>
      </w:pPr>
    </w:p>
    <w:p>
      <w:pPr>
        <w:pStyle w:val="17"/>
        <w:jc w:val="center"/>
        <w:rPr>
          <w:rFonts w:ascii="Times New Roman" w:hAnsi="Times New Roman" w:eastAsia="方正小标宋简体" w:cs="Times New Roman"/>
          <w:sz w:val="72"/>
          <w:szCs w:val="72"/>
        </w:rPr>
      </w:pPr>
    </w:p>
    <w:p>
      <w:pPr>
        <w:pStyle w:val="17"/>
        <w:jc w:val="center"/>
        <w:rPr>
          <w:rFonts w:ascii="Times New Roman" w:hAnsi="Times New Roman" w:eastAsia="方正小标宋简体" w:cs="Times New Roman"/>
          <w:sz w:val="72"/>
          <w:szCs w:val="72"/>
        </w:rPr>
      </w:pPr>
    </w:p>
    <w:p>
      <w:pPr>
        <w:pStyle w:val="17"/>
        <w:jc w:val="center"/>
        <w:rPr>
          <w:rFonts w:ascii="Times New Roman" w:hAnsi="Times New Roman" w:eastAsia="方正小标宋简体" w:cs="Times New Roman"/>
          <w:sz w:val="72"/>
          <w:szCs w:val="72"/>
        </w:rPr>
      </w:pPr>
    </w:p>
    <w:p>
      <w:pPr>
        <w:pStyle w:val="17"/>
        <w:jc w:val="center"/>
        <w:rPr>
          <w:rFonts w:ascii="Times New Roman" w:hAnsi="Times New Roman" w:eastAsia="方正小标宋简体" w:cs="Times New Roman"/>
          <w:sz w:val="72"/>
          <w:szCs w:val="72"/>
        </w:rPr>
      </w:pPr>
    </w:p>
    <w:p>
      <w:pPr>
        <w:pStyle w:val="17"/>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7"/>
        <w:spacing w:line="600" w:lineRule="exact"/>
        <w:jc w:val="center"/>
        <w:rPr>
          <w:rFonts w:ascii="Times New Roman" w:hAnsi="Times New Roman" w:cs="Times New Roman"/>
          <w:b/>
          <w:sz w:val="36"/>
          <w:szCs w:val="28"/>
        </w:rPr>
      </w:pPr>
    </w:p>
    <w:p>
      <w:pPr>
        <w:pStyle w:val="17"/>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湖南省绿色食品办公室</w:t>
      </w:r>
      <w:r>
        <w:rPr>
          <w:rFonts w:ascii="Times New Roman" w:hAnsi="Times New Roman" w:cs="Times New Roman"/>
          <w:bCs/>
          <w:sz w:val="32"/>
          <w:szCs w:val="32"/>
        </w:rPr>
        <w:t>概况</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7"/>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10"/>
        <w:rPr>
          <w:rFonts w:ascii="Times New Roman" w:hAnsi="Times New Roman" w:cs="Times New Roman"/>
        </w:rPr>
        <w:sectPr>
          <w:footerReference r:id="rId3" w:type="default"/>
          <w:pgSz w:w="11906" w:h="16838"/>
          <w:pgMar w:top="1417" w:right="1588" w:bottom="1417" w:left="1588" w:header="851" w:footer="992" w:gutter="0"/>
          <w:pgNumType w:start="1"/>
          <w:cols w:space="425" w:num="1"/>
          <w:docGrid w:type="lines" w:linePitch="312" w:charSpace="0"/>
        </w:sect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7"/>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湖南省绿色食品办公室</w:t>
      </w:r>
      <w:r>
        <w:rPr>
          <w:rFonts w:ascii="Times New Roman" w:hAnsi="Times New Roman" w:eastAsia="方正小标宋_GBK" w:cs="Times New Roman"/>
          <w:sz w:val="52"/>
          <w:szCs w:val="52"/>
        </w:rPr>
        <w:t>概况</w:t>
      </w:r>
    </w:p>
    <w:p>
      <w:pPr>
        <w:pStyle w:val="6"/>
        <w:ind w:left="0" w:leftChars="0" w:firstLine="0" w:firstLineChars="0"/>
        <w:rPr>
          <w:rFonts w:ascii="Times New Roman" w:hAnsi="Times New Roman" w:cs="Times New Roman"/>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hint="eastAsia" w:ascii="Times New Roman" w:hAnsi="Times New Roman" w:eastAsia="黑体" w:cs="Times New Roman"/>
          <w:sz w:val="32"/>
          <w:szCs w:val="32"/>
        </w:rPr>
      </w:pPr>
    </w:p>
    <w:p>
      <w:pPr>
        <w:pStyle w:val="18"/>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1.贯彻执行国家关于农产品质量安全认证方面的法律、法规和规章制度，服务农产品安全生产，提高我省农产品质量安全水平；</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2.负责绿色食品、有机农产品认证申请受理和初审；</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3.协助厅农产品质量安全监管处承担绿色食品、有机农产品标志和农产品地理标志使用的监督管理的事务性工作；</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4.协助拟定绿色食品、有机农产品、农产品地理标志发展目标任务，协助开展绿色优质农产品生产基地建设相关工作；</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5.参与制定绿色食品、有机农产品和地理标志农产品相关质量标准、生产加工技术规范并组织实施，开展有关国际交流与技术合作；</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6.开展绿色食品、有机农产品和地理标志农产品品牌培育和宣传推介等工作；</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7.协助开展农产品品质指标、营养功能评价鉴定等相关工作；</w:t>
      </w:r>
    </w:p>
    <w:p>
      <w:pPr>
        <w:widowControl/>
        <w:spacing w:line="600" w:lineRule="exact"/>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8.完成上级交予的其他任务。</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Cs/>
          <w:kern w:val="0"/>
          <w:sz w:val="32"/>
          <w:szCs w:val="32"/>
          <w:lang w:eastAsia="zh-CN"/>
        </w:rPr>
      </w:pPr>
      <w:r>
        <w:rPr>
          <w:rFonts w:hint="eastAsia" w:ascii="仿宋" w:hAnsi="仿宋" w:eastAsia="仿宋" w:cs="仿宋"/>
          <w:bCs/>
          <w:kern w:val="0"/>
          <w:sz w:val="32"/>
          <w:szCs w:val="32"/>
        </w:rPr>
        <w:t>（一）内设机构设置。</w:t>
      </w:r>
      <w:r>
        <w:rPr>
          <w:rFonts w:hint="eastAsia" w:ascii="仿宋" w:hAnsi="仿宋" w:eastAsia="仿宋" w:cs="仿宋"/>
          <w:color w:val="auto"/>
          <w:sz w:val="32"/>
          <w:szCs w:val="32"/>
          <w:lang w:eastAsia="zh-CN"/>
        </w:rPr>
        <w:t>湖南省绿色食品办公室</w:t>
      </w:r>
      <w:r>
        <w:rPr>
          <w:rFonts w:hint="eastAsia" w:ascii="仿宋" w:hAnsi="仿宋" w:eastAsia="仿宋" w:cs="仿宋"/>
          <w:bCs/>
          <w:kern w:val="0"/>
          <w:sz w:val="32"/>
          <w:szCs w:val="32"/>
        </w:rPr>
        <w:t>内设机构包括：</w:t>
      </w:r>
      <w:r>
        <w:rPr>
          <w:rFonts w:hint="eastAsia" w:ascii="仿宋" w:hAnsi="仿宋" w:eastAsia="仿宋" w:cs="仿宋"/>
          <w:bCs/>
          <w:kern w:val="0"/>
          <w:sz w:val="32"/>
          <w:szCs w:val="32"/>
          <w:lang w:eastAsia="zh-CN"/>
        </w:rPr>
        <w:t>综合科、农产品质量安全科、绿色食品科、有机农产品科、市场监督管理科、市场推广科六个科室。</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r>
        <w:rPr>
          <w:rFonts w:hint="eastAsia" w:ascii="仿宋" w:hAnsi="仿宋" w:eastAsia="仿宋" w:cs="仿宋"/>
          <w:bCs/>
          <w:kern w:val="0"/>
          <w:sz w:val="32"/>
          <w:szCs w:val="32"/>
        </w:rPr>
        <w:t>（二）决算单位构成。</w:t>
      </w:r>
      <w:r>
        <w:rPr>
          <w:rFonts w:hint="eastAsia" w:ascii="仿宋" w:hAnsi="仿宋" w:eastAsia="仿宋" w:cs="仿宋"/>
          <w:color w:val="auto"/>
          <w:sz w:val="32"/>
          <w:szCs w:val="32"/>
          <w:lang w:eastAsia="zh-CN"/>
        </w:rPr>
        <w:t>湖南省绿色食品办公室</w:t>
      </w:r>
      <w:r>
        <w:rPr>
          <w:rFonts w:hint="eastAsia" w:ascii="仿宋" w:hAnsi="仿宋" w:eastAsia="仿宋" w:cs="仿宋"/>
          <w:bCs/>
          <w:kern w:val="0"/>
          <w:sz w:val="32"/>
          <w:szCs w:val="32"/>
        </w:rPr>
        <w:t>202</w:t>
      </w:r>
      <w:r>
        <w:rPr>
          <w:rFonts w:hint="eastAsia" w:ascii="仿宋" w:hAnsi="仿宋" w:eastAsia="仿宋" w:cs="仿宋"/>
          <w:bCs/>
          <w:kern w:val="0"/>
          <w:sz w:val="32"/>
          <w:szCs w:val="32"/>
          <w:lang w:val="en-US" w:eastAsia="zh-CN"/>
        </w:rPr>
        <w:t>4</w:t>
      </w:r>
      <w:r>
        <w:rPr>
          <w:rFonts w:hint="eastAsia" w:ascii="仿宋" w:hAnsi="仿宋" w:eastAsia="仿宋" w:cs="仿宋"/>
          <w:bCs/>
          <w:kern w:val="0"/>
          <w:sz w:val="32"/>
          <w:szCs w:val="32"/>
        </w:rPr>
        <w:t>年部门决算汇总公开单位构成包括：</w:t>
      </w:r>
      <w:r>
        <w:rPr>
          <w:rFonts w:hint="eastAsia" w:ascii="仿宋" w:hAnsi="仿宋" w:eastAsia="仿宋" w:cs="仿宋"/>
          <w:bCs/>
          <w:kern w:val="0"/>
          <w:sz w:val="32"/>
          <w:szCs w:val="32"/>
          <w:lang w:eastAsia="zh-CN"/>
        </w:rPr>
        <w:t>湖南省绿色食品办公室</w:t>
      </w:r>
      <w:r>
        <w:rPr>
          <w:rFonts w:hint="eastAsia" w:ascii="仿宋" w:hAnsi="仿宋" w:eastAsia="仿宋" w:cs="仿宋"/>
          <w:bCs/>
          <w:kern w:val="0"/>
          <w:sz w:val="32"/>
          <w:szCs w:val="32"/>
          <w:lang w:val="en-US" w:eastAsia="zh-CN"/>
        </w:rPr>
        <w:t>本级</w:t>
      </w:r>
      <w:r>
        <w:rPr>
          <w:rFonts w:hint="eastAsia" w:ascii="仿宋" w:hAnsi="仿宋" w:eastAsia="仿宋" w:cs="仿宋"/>
          <w:bCs/>
          <w:kern w:val="0"/>
          <w:sz w:val="32"/>
          <w:szCs w:val="32"/>
          <w:lang w:eastAsia="zh-CN"/>
        </w:rPr>
        <w:t>。</w:t>
      </w:r>
    </w:p>
    <w:p>
      <w:pPr>
        <w:pStyle w:val="17"/>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湖南省绿色食品办公室</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Style w:val="12"/>
        <w:tblW w:w="142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408"/>
        <w:gridCol w:w="703"/>
        <w:gridCol w:w="1374"/>
        <w:gridCol w:w="4028"/>
        <w:gridCol w:w="464"/>
        <w:gridCol w:w="22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48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78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552.57</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163.37</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0.55</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706.32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716.50</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827.96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352.74</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7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1,069.24</w:t>
            </w:r>
          </w:p>
        </w:tc>
        <w:tc>
          <w:tcPr>
            <w:tcW w:w="40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2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1,069.24</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rPr>
        <w:t>湖南省绿色食品办公室</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2"/>
        <w:tblW w:w="15537" w:type="dxa"/>
        <w:tblInd w:w="-76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875"/>
        <w:gridCol w:w="3716"/>
        <w:gridCol w:w="1649"/>
        <w:gridCol w:w="1497"/>
        <w:gridCol w:w="1438"/>
        <w:gridCol w:w="1471"/>
        <w:gridCol w:w="1471"/>
        <w:gridCol w:w="1219"/>
        <w:gridCol w:w="1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7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7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2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2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7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ind w:left="-420" w:leftChars="-200" w:firstLine="418" w:firstLineChars="19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7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55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9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59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716.50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552.57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163.37</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53.03</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53.03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53.03</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53.03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31.92</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33.88</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33.88</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33.88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21.64</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21.64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12.24</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590.98</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427.05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163.37</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590.98</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427.05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163.37</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333.05</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333.05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94.00</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94.00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163.93</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163.37</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71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湖南省绿色食品办公室</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2"/>
        <w:tblW w:w="15400" w:type="dxa"/>
        <w:tblInd w:w="-5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06"/>
        <w:gridCol w:w="4287"/>
        <w:gridCol w:w="1649"/>
        <w:gridCol w:w="1649"/>
        <w:gridCol w:w="1649"/>
        <w:gridCol w:w="1549"/>
        <w:gridCol w:w="1361"/>
        <w:gridCol w:w="12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29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5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28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29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29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827.96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398.45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429.51</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706.32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423.51</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706.32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423.51</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100.16</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323.35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323.35</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2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公开04表</w:t>
      </w:r>
    </w:p>
    <w:p>
      <w:pPr>
        <w:widowControl/>
        <w:tabs>
          <w:tab w:val="left" w:pos="3595"/>
          <w:tab w:val="left" w:pos="4031"/>
          <w:tab w:val="left" w:pos="5109"/>
          <w:tab w:val="left" w:pos="9152"/>
          <w:tab w:val="left" w:pos="9587"/>
          <w:tab w:val="left" w:pos="11160"/>
          <w:tab w:val="left" w:pos="12554"/>
          <w:tab w:val="left" w:pos="13948"/>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湖南省绿色食品办公室</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2"/>
        <w:tblW w:w="15237" w:type="dxa"/>
        <w:tblInd w:w="-3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685"/>
        <w:gridCol w:w="523"/>
        <w:gridCol w:w="1540"/>
        <w:gridCol w:w="4240"/>
        <w:gridCol w:w="523"/>
        <w:gridCol w:w="680"/>
        <w:gridCol w:w="1540"/>
        <w:gridCol w:w="1196"/>
        <w:gridCol w:w="1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4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489"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68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2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9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31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6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552.57</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382.97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382.97</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552.57</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504.61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504.61</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6.16</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54.12</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6.16</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68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558.73</w:t>
            </w:r>
          </w:p>
        </w:tc>
        <w:tc>
          <w:tcPr>
            <w:tcW w:w="42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558.73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558.73</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rPr>
        <w:t>湖南省绿色食品办公室</w:t>
      </w:r>
      <w:r>
        <w:rPr>
          <w:rFonts w:ascii="Times New Roman" w:hAnsi="Times New Roman" w:eastAsia="仿宋_GB2312" w:cs="Times New Roman"/>
          <w:color w:val="000000"/>
          <w:kern w:val="0"/>
          <w:szCs w:val="21"/>
        </w:rPr>
        <w:t xml:space="preserve">                                                                                          单位：万元</w:t>
      </w:r>
    </w:p>
    <w:tbl>
      <w:tblPr>
        <w:tblStyle w:val="12"/>
        <w:tblW w:w="137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06"/>
        <w:gridCol w:w="4793"/>
        <w:gridCol w:w="2309"/>
        <w:gridCol w:w="2591"/>
        <w:gridCol w:w="20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7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96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79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5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06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trPr>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9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7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7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504.61</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398.45</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50.84</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20.12</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30.72</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30.72</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32.19</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19.95</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19.95</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12.24</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12.24</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382.97</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382.97</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282.81</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100.16</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0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7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3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25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32.61</w:t>
            </w:r>
          </w:p>
        </w:tc>
        <w:tc>
          <w:tcPr>
            <w:tcW w:w="20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公开06表</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湖南省绿色食品办公室</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2"/>
        <w:tblW w:w="14627" w:type="dxa"/>
        <w:jc w:val="center"/>
        <w:tblInd w:w="0" w:type="dxa"/>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329.63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48.70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69.89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72.63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0.10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79.77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11.58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0.10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30.72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19.95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12.24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5.79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32.61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0.24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20.12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19.73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0.70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3.42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13.58</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9.71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349.75</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48.70</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rPr>
        <w:t>湖南省绿色食品办公室</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20"/>
                <w:rFonts w:hint="default" w:ascii="Times New Roman" w:hAnsi="Times New Roman" w:eastAsia="仿宋_GB2312" w:cs="Times New Roman"/>
                <w:b/>
                <w:bCs/>
                <w:lang w:bidi="ar"/>
              </w:rPr>
              <w:t xml:space="preserve">   </w:t>
            </w:r>
            <w:r>
              <w:rPr>
                <w:rStyle w:val="21"/>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Cs w:val="21"/>
        </w:rPr>
        <w:t>湖南省绿色食品办公室</w:t>
      </w:r>
      <w:r>
        <w:rPr>
          <w:rFonts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Layout w:type="fixed"/>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2"/>
                <w:rFonts w:hint="default" w:ascii="Times New Roman" w:hAnsi="Times New Roman" w:eastAsia="仿宋_GB2312" w:cs="Times New Roman"/>
                <w:b/>
                <w:bCs/>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10"/>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Cs w:val="21"/>
        </w:rPr>
        <w:t>湖南省绿色食品办公室</w:t>
      </w:r>
      <w:r>
        <w:rPr>
          <w:rFonts w:ascii="Times New Roman" w:hAnsi="Times New Roman" w:eastAsia="仿宋_GB2312" w:cs="Times New Roman"/>
          <w:color w:val="000000"/>
          <w:kern w:val="0"/>
          <w:szCs w:val="21"/>
        </w:rPr>
        <w:t xml:space="preserve"> </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2"/>
        <w:tblW w:w="14544" w:type="dxa"/>
        <w:jc w:val="center"/>
        <w:tblInd w:w="0" w:type="dxa"/>
        <w:tblLayout w:type="fixed"/>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tblPrEx>
          <w:tblLayout w:type="fixed"/>
          <w:tblCellMar>
            <w:top w:w="0" w:type="dxa"/>
            <w:left w:w="108" w:type="dxa"/>
            <w:bottom w:w="0" w:type="dxa"/>
            <w:right w:w="108" w:type="dxa"/>
          </w:tblCellMar>
        </w:tblPrEx>
        <w:trPr>
          <w:trHeight w:val="606" w:hRule="atLeast"/>
          <w:jc w:val="center"/>
        </w:trPr>
        <w:tc>
          <w:tcPr>
            <w:tcW w:w="72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2.00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2.00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0.70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0.70</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1069.24</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31.32</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2.85</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项目经费减少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716.50</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552.57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77.12</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163.37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22.88</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827.96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398.45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48.12</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429.51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51.88</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558.73</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55.9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9.09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项目经费减少。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7"/>
        <w:overflowPunct w:val="0"/>
        <w:autoSpaceDE/>
        <w:autoSpaceDN/>
        <w:spacing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504.61</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60.95</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75.34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12.99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项目支出减少。</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7"/>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504.61</w:t>
      </w:r>
      <w:r>
        <w:rPr>
          <w:rFonts w:ascii="Times New Roman" w:hAnsi="Times New Roman" w:eastAsia="仿宋_GB2312" w:cs="Times New Roman"/>
          <w:sz w:val="32"/>
          <w:szCs w:val="32"/>
        </w:rPr>
        <w:t>万元，主要用于以下方面：</w:t>
      </w:r>
      <w:r>
        <w:rPr>
          <w:rFonts w:ascii="Times New Roman" w:hAnsi="Times New Roman" w:eastAsia="仿宋_GB2312" w:cs="Times New Roman"/>
          <w:color w:val="auto"/>
          <w:sz w:val="32"/>
          <w:szCs w:val="32"/>
        </w:rPr>
        <w:t>教育（类）支出</w:t>
      </w:r>
      <w:r>
        <w:rPr>
          <w:rFonts w:hint="eastAsia" w:ascii="Times New Roman" w:hAnsi="Times New Roman" w:eastAsia="仿宋_GB2312" w:cs="Times New Roman"/>
          <w:color w:val="auto"/>
          <w:sz w:val="32"/>
          <w:szCs w:val="32"/>
          <w:lang w:val="en-US" w:eastAsia="zh-CN"/>
        </w:rPr>
        <w:t>6</w:t>
      </w:r>
      <w:r>
        <w:rPr>
          <w:rFonts w:ascii="Times New Roman" w:hAnsi="Times New Roman" w:eastAsia="仿宋_GB2312" w:cs="Times New Roman"/>
          <w:color w:val="auto"/>
          <w:sz w:val="32"/>
          <w:szCs w:val="32"/>
        </w:rPr>
        <w:t>万元，占</w:t>
      </w:r>
      <w:r>
        <w:rPr>
          <w:rFonts w:hint="eastAsia" w:ascii="Times New Roman" w:hAnsi="Times New Roman" w:eastAsia="仿宋_GB2312" w:cs="Times New Roman"/>
          <w:color w:val="auto"/>
          <w:sz w:val="32"/>
          <w:szCs w:val="32"/>
          <w:lang w:val="en-US" w:eastAsia="zh-CN"/>
        </w:rPr>
        <w:t>1.19</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社会保障和就业</w:t>
      </w:r>
      <w:r>
        <w:rPr>
          <w:rFonts w:hint="eastAsia" w:ascii="Times New Roman" w:hAnsi="Times New Roman" w:eastAsia="仿宋_GB2312" w:cs="Times New Roman"/>
          <w:color w:val="auto"/>
          <w:sz w:val="32"/>
          <w:szCs w:val="32"/>
          <w:lang w:val="en-US" w:eastAsia="zh-CN"/>
        </w:rPr>
        <w:t>(类）</w:t>
      </w:r>
      <w:r>
        <w:rPr>
          <w:rFonts w:hint="eastAsia" w:ascii="Times New Roman" w:hAnsi="Times New Roman" w:eastAsia="仿宋_GB2312" w:cs="Times New Roman"/>
          <w:color w:val="auto"/>
          <w:sz w:val="32"/>
          <w:szCs w:val="32"/>
        </w:rPr>
        <w:t>支出</w:t>
      </w:r>
      <w:r>
        <w:rPr>
          <w:rFonts w:hint="eastAsia" w:ascii="Times New Roman" w:hAnsi="Times New Roman" w:eastAsia="仿宋_GB2312" w:cs="Times New Roman"/>
          <w:color w:val="auto"/>
          <w:sz w:val="32"/>
          <w:szCs w:val="32"/>
          <w:lang w:val="en-US" w:eastAsia="zh-CN"/>
        </w:rPr>
        <w:t>50.84万元，</w:t>
      </w:r>
      <w:r>
        <w:rPr>
          <w:rFonts w:ascii="Times New Roman" w:hAnsi="Times New Roman" w:eastAsia="仿宋_GB2312" w:cs="Times New Roman"/>
          <w:color w:val="auto"/>
          <w:sz w:val="32"/>
          <w:szCs w:val="32"/>
        </w:rPr>
        <w:t>占</w:t>
      </w:r>
      <w:r>
        <w:rPr>
          <w:rFonts w:hint="eastAsia" w:ascii="Times New Roman" w:hAnsi="Times New Roman" w:eastAsia="仿宋_GB2312" w:cs="Times New Roman"/>
          <w:color w:val="auto"/>
          <w:sz w:val="32"/>
          <w:szCs w:val="32"/>
          <w:lang w:val="en-US" w:eastAsia="zh-CN"/>
        </w:rPr>
        <w:t>10.08</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卫生健康</w:t>
      </w:r>
      <w:r>
        <w:rPr>
          <w:rFonts w:ascii="Times New Roman" w:hAnsi="Times New Roman" w:eastAsia="仿宋_GB2312" w:cs="Times New Roman"/>
          <w:color w:val="auto"/>
          <w:sz w:val="32"/>
          <w:szCs w:val="32"/>
        </w:rPr>
        <w:t>（类）</w:t>
      </w:r>
      <w:r>
        <w:rPr>
          <w:rFonts w:hint="eastAsia" w:ascii="Times New Roman" w:hAnsi="Times New Roman" w:eastAsia="仿宋_GB2312" w:cs="Times New Roman"/>
          <w:color w:val="auto"/>
          <w:sz w:val="32"/>
          <w:szCs w:val="32"/>
        </w:rPr>
        <w:t>支出</w:t>
      </w:r>
      <w:r>
        <w:rPr>
          <w:rFonts w:hint="eastAsia" w:ascii="Times New Roman" w:hAnsi="Times New Roman" w:eastAsia="仿宋_GB2312" w:cs="Times New Roman"/>
          <w:color w:val="auto"/>
          <w:sz w:val="32"/>
          <w:szCs w:val="32"/>
          <w:lang w:val="en-US" w:eastAsia="zh-CN"/>
        </w:rPr>
        <w:t>32.19万元，</w:t>
      </w:r>
      <w:r>
        <w:rPr>
          <w:rFonts w:ascii="Times New Roman" w:hAnsi="Times New Roman" w:eastAsia="仿宋_GB2312" w:cs="Times New Roman"/>
          <w:color w:val="auto"/>
          <w:sz w:val="32"/>
          <w:szCs w:val="32"/>
        </w:rPr>
        <w:t>占</w:t>
      </w:r>
      <w:r>
        <w:rPr>
          <w:rFonts w:hint="eastAsia" w:ascii="Times New Roman" w:hAnsi="Times New Roman" w:eastAsia="仿宋_GB2312" w:cs="Times New Roman"/>
          <w:color w:val="auto"/>
          <w:sz w:val="32"/>
          <w:szCs w:val="32"/>
          <w:lang w:val="en-US" w:eastAsia="zh-CN"/>
        </w:rPr>
        <w:t>6.38</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农林水</w:t>
      </w:r>
      <w:r>
        <w:rPr>
          <w:rFonts w:ascii="Times New Roman" w:hAnsi="Times New Roman" w:eastAsia="仿宋_GB2312" w:cs="Times New Roman"/>
          <w:color w:val="auto"/>
          <w:sz w:val="32"/>
          <w:szCs w:val="32"/>
        </w:rPr>
        <w:t>（类）</w:t>
      </w:r>
      <w:r>
        <w:rPr>
          <w:rFonts w:hint="eastAsia" w:ascii="Times New Roman" w:hAnsi="Times New Roman" w:eastAsia="仿宋_GB2312" w:cs="Times New Roman"/>
          <w:color w:val="auto"/>
          <w:sz w:val="32"/>
          <w:szCs w:val="32"/>
        </w:rPr>
        <w:t>支出</w:t>
      </w:r>
      <w:r>
        <w:rPr>
          <w:rFonts w:hint="eastAsia" w:ascii="Times New Roman" w:hAnsi="Times New Roman" w:eastAsia="仿宋_GB2312" w:cs="Times New Roman"/>
          <w:color w:val="auto"/>
          <w:sz w:val="32"/>
          <w:szCs w:val="32"/>
          <w:lang w:val="en-US" w:eastAsia="zh-CN"/>
        </w:rPr>
        <w:t>382.97万元，</w:t>
      </w:r>
      <w:r>
        <w:rPr>
          <w:rFonts w:ascii="Times New Roman" w:hAnsi="Times New Roman" w:eastAsia="仿宋_GB2312" w:cs="Times New Roman"/>
          <w:color w:val="auto"/>
          <w:sz w:val="32"/>
          <w:szCs w:val="32"/>
        </w:rPr>
        <w:t>占</w:t>
      </w:r>
      <w:r>
        <w:rPr>
          <w:rFonts w:hint="eastAsia" w:ascii="Times New Roman" w:hAnsi="Times New Roman" w:eastAsia="仿宋_GB2312" w:cs="Times New Roman"/>
          <w:color w:val="auto"/>
          <w:sz w:val="32"/>
          <w:szCs w:val="32"/>
          <w:lang w:val="en-US" w:eastAsia="zh-CN"/>
        </w:rPr>
        <w:t>75.89</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rPr>
        <w:t>住房保障</w:t>
      </w:r>
      <w:r>
        <w:rPr>
          <w:rFonts w:ascii="Times New Roman" w:hAnsi="Times New Roman" w:eastAsia="仿宋_GB2312" w:cs="Times New Roman"/>
          <w:color w:val="auto"/>
          <w:sz w:val="32"/>
          <w:szCs w:val="32"/>
        </w:rPr>
        <w:t>（类）</w:t>
      </w:r>
      <w:r>
        <w:rPr>
          <w:rFonts w:hint="eastAsia" w:ascii="Times New Roman" w:hAnsi="Times New Roman" w:eastAsia="仿宋_GB2312" w:cs="Times New Roman"/>
          <w:color w:val="auto"/>
          <w:sz w:val="32"/>
          <w:szCs w:val="32"/>
        </w:rPr>
        <w:t>支出</w:t>
      </w:r>
      <w:r>
        <w:rPr>
          <w:rFonts w:hint="eastAsia" w:ascii="Times New Roman" w:hAnsi="Times New Roman" w:eastAsia="仿宋_GB2312" w:cs="Times New Roman"/>
          <w:color w:val="auto"/>
          <w:sz w:val="32"/>
          <w:szCs w:val="32"/>
          <w:lang w:val="en-US" w:eastAsia="zh-CN"/>
        </w:rPr>
        <w:t>32.61万元，</w:t>
      </w:r>
      <w:r>
        <w:rPr>
          <w:rFonts w:ascii="Times New Roman" w:hAnsi="Times New Roman" w:eastAsia="仿宋_GB2312" w:cs="Times New Roman"/>
          <w:color w:val="auto"/>
          <w:sz w:val="32"/>
          <w:szCs w:val="32"/>
        </w:rPr>
        <w:t>占</w:t>
      </w:r>
      <w:r>
        <w:rPr>
          <w:rFonts w:hint="eastAsia" w:ascii="Times New Roman" w:hAnsi="Times New Roman" w:eastAsia="仿宋_GB2312" w:cs="Times New Roman"/>
          <w:color w:val="auto"/>
          <w:sz w:val="32"/>
          <w:szCs w:val="32"/>
          <w:lang w:val="en-US" w:eastAsia="zh-CN"/>
        </w:rPr>
        <w:t>6.46</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bCs/>
          <w:i/>
          <w:color w:val="auto"/>
          <w:sz w:val="32"/>
          <w:szCs w:val="32"/>
        </w:rPr>
        <w:t>（</w:t>
      </w:r>
      <w:r>
        <w:rPr>
          <w:rFonts w:ascii="Times New Roman" w:hAnsi="Times New Roman" w:eastAsia="楷体_GB2312" w:cs="Times New Roman"/>
          <w:b/>
          <w:sz w:val="32"/>
          <w:szCs w:val="32"/>
        </w:rPr>
        <w:t>（三）一般公共预算财政拨款支出决算具体情况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536.93</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504.61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93.98</w:t>
      </w:r>
      <w:r>
        <w:rPr>
          <w:rFonts w:ascii="Times New Roman" w:hAnsi="Times New Roman" w:eastAsia="仿宋_GB2312" w:cs="Times New Roman"/>
          <w:sz w:val="32"/>
          <w:szCs w:val="32"/>
        </w:rPr>
        <w:t>%，其中：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ascii="Times New Roman" w:hAnsi="Times New Roman" w:eastAsia="仿宋_GB2312" w:cs="Times New Roman"/>
          <w:color w:val="auto"/>
          <w:sz w:val="32"/>
          <w:szCs w:val="32"/>
        </w:rPr>
        <w:t>教育（类）</w:t>
      </w:r>
      <w:r>
        <w:rPr>
          <w:rFonts w:hint="eastAsia" w:ascii="Times New Roman" w:hAnsi="Times New Roman" w:eastAsia="仿宋_GB2312" w:cs="Times New Roman"/>
          <w:sz w:val="32"/>
          <w:szCs w:val="32"/>
          <w:lang w:eastAsia="zh-CN"/>
        </w:rPr>
        <w:t>进修及培训</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培训支出</w:t>
      </w:r>
      <w:r>
        <w:rPr>
          <w:rFonts w:ascii="Times New Roman" w:hAnsi="Times New Roman" w:eastAsia="仿宋_GB2312" w:cs="Times New Roman"/>
          <w:sz w:val="32"/>
          <w:szCs w:val="32"/>
        </w:rPr>
        <w:t>（项）。</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6.00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6.00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sz w:val="32"/>
          <w:szCs w:val="32"/>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ascii="Times New Roman" w:hAnsi="Times New Roman" w:eastAsia="仿宋_GB2312" w:cs="Times New Roman"/>
          <w:sz w:val="32"/>
          <w:szCs w:val="32"/>
        </w:rPr>
        <w:t>2、</w:t>
      </w:r>
      <w:r>
        <w:rPr>
          <w:rFonts w:hint="eastAsia" w:ascii="Times New Roman" w:hAnsi="Times New Roman" w:eastAsia="仿宋_GB2312"/>
          <w:sz w:val="32"/>
          <w:szCs w:val="32"/>
        </w:rPr>
        <w:t>社会保障和就业（类）</w:t>
      </w:r>
      <w:r>
        <w:rPr>
          <w:rFonts w:hint="eastAsia" w:ascii="Times New Roman" w:hAnsi="Times New Roman" w:eastAsia="仿宋_GB2312"/>
          <w:sz w:val="32"/>
          <w:szCs w:val="32"/>
          <w:lang w:val="en-US" w:eastAsia="zh-CN"/>
        </w:rPr>
        <w:t>行政事业单位养老支出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事业单位离退休费</w:t>
      </w:r>
      <w:r>
        <w:rPr>
          <w:rFonts w:hint="eastAsia" w:ascii="Times New Roman" w:hAnsi="Times New Roman" w:eastAsia="仿宋_GB2312"/>
          <w:sz w:val="32"/>
          <w:szCs w:val="32"/>
        </w:rPr>
        <w:t>（项）。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s="Times New Roman"/>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21.11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21.11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社会保障和就业（类）</w:t>
      </w:r>
      <w:r>
        <w:rPr>
          <w:rFonts w:hint="eastAsia" w:ascii="Times New Roman" w:hAnsi="Times New Roman" w:eastAsia="仿宋_GB2312"/>
          <w:sz w:val="32"/>
          <w:szCs w:val="32"/>
          <w:lang w:val="en-US" w:eastAsia="zh-CN"/>
        </w:rPr>
        <w:t>行政事业单位养老支出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机关事业单位基本养老保险缴费支出</w:t>
      </w:r>
      <w:r>
        <w:rPr>
          <w:rFonts w:hint="eastAsia" w:ascii="Times New Roman" w:hAnsi="Times New Roman" w:eastAsia="仿宋_GB2312"/>
          <w:sz w:val="32"/>
          <w:szCs w:val="32"/>
        </w:rPr>
        <w:t>（项）。</w:t>
      </w:r>
    </w:p>
    <w:p>
      <w:pPr>
        <w:pStyle w:val="17"/>
        <w:overflowPunct w:val="0"/>
        <w:autoSpaceDE/>
        <w:autoSpaceDN/>
        <w:spacing w:line="600" w:lineRule="exact"/>
        <w:ind w:firstLine="640" w:firstLineChars="200"/>
        <w:jc w:val="both"/>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31.92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30.72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96.24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 xml:space="preserve">人员经费有结余 </w:t>
      </w:r>
      <w:r>
        <w:rPr>
          <w:rFonts w:hint="eastAsia" w:ascii="Times New Roman" w:hAnsi="Times New Roman" w:eastAsia="仿宋_GB2312"/>
          <w:sz w:val="32"/>
          <w:szCs w:val="32"/>
          <w:lang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卫生健康（类）</w:t>
      </w:r>
      <w:r>
        <w:rPr>
          <w:rFonts w:hint="eastAsia" w:ascii="Times New Roman" w:hAnsi="Times New Roman" w:eastAsia="仿宋_GB2312"/>
          <w:sz w:val="32"/>
          <w:szCs w:val="32"/>
          <w:lang w:eastAsia="zh-CN"/>
        </w:rPr>
        <w:t>行政事业单位医疗</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行政单位医疗</w:t>
      </w:r>
      <w:r>
        <w:rPr>
          <w:rFonts w:hint="eastAsia" w:ascii="Times New Roman" w:hAnsi="Times New Roman" w:eastAsia="仿宋_GB2312"/>
          <w:sz w:val="32"/>
          <w:szCs w:val="32"/>
        </w:rPr>
        <w:t>（项）。</w:t>
      </w:r>
    </w:p>
    <w:p>
      <w:pPr>
        <w:pStyle w:val="17"/>
        <w:overflowPunct w:val="0"/>
        <w:autoSpaceDE/>
        <w:autoSpaceDN/>
        <w:spacing w:line="600" w:lineRule="exact"/>
        <w:ind w:firstLine="640" w:firstLineChars="200"/>
        <w:jc w:val="both"/>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21.64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19.95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92.19</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 xml:space="preserve">人员经费有结余 </w:t>
      </w:r>
      <w:r>
        <w:rPr>
          <w:rFonts w:hint="eastAsia" w:ascii="Times New Roman" w:hAnsi="Times New Roman" w:eastAsia="仿宋_GB2312"/>
          <w:sz w:val="32"/>
          <w:szCs w:val="32"/>
          <w:lang w:eastAsia="zh-CN"/>
        </w:rPr>
        <w:t>。</w:t>
      </w:r>
    </w:p>
    <w:p>
      <w:pPr>
        <w:pStyle w:val="17"/>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卫生健康（类）</w:t>
      </w:r>
      <w:r>
        <w:rPr>
          <w:rFonts w:hint="eastAsia" w:ascii="Times New Roman" w:hAnsi="Times New Roman" w:eastAsia="仿宋_GB2312"/>
          <w:sz w:val="32"/>
          <w:szCs w:val="32"/>
          <w:lang w:eastAsia="zh-CN"/>
        </w:rPr>
        <w:t>行政事业单位医疗</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公务员医疗补助</w:t>
      </w:r>
      <w:r>
        <w:rPr>
          <w:rFonts w:hint="eastAsia" w:ascii="Times New Roman" w:hAnsi="Times New Roman" w:eastAsia="仿宋_GB2312"/>
          <w:sz w:val="32"/>
          <w:szCs w:val="32"/>
        </w:rPr>
        <w:t>（项）</w:t>
      </w:r>
      <w:r>
        <w:rPr>
          <w:rFonts w:hint="eastAsia" w:ascii="Times New Roman" w:hAnsi="Times New Roman" w:eastAsia="仿宋_GB2312"/>
          <w:sz w:val="32"/>
          <w:szCs w:val="32"/>
          <w:lang w:eastAsia="zh-CN"/>
        </w:rPr>
        <w:t>。</w:t>
      </w:r>
    </w:p>
    <w:p>
      <w:pPr>
        <w:pStyle w:val="17"/>
        <w:keepNext w:val="0"/>
        <w:keepLines w:val="0"/>
        <w:pageBreakBefore w:val="0"/>
        <w:widowControl w:val="0"/>
        <w:numPr>
          <w:ilvl w:val="0"/>
          <w:numId w:val="0"/>
        </w:numPr>
        <w:kinsoku/>
        <w:wordWrap/>
        <w:overflowPunct/>
        <w:topLinePunct w:val="0"/>
        <w:bidi w:val="0"/>
        <w:snapToGrid/>
        <w:spacing w:line="600" w:lineRule="exact"/>
        <w:textAlignment w:val="auto"/>
        <w:rPr>
          <w:rFonts w:hint="default" w:ascii="Times New Roman" w:hAnsi="Times New Roman" w:eastAsia="仿宋_GB2312"/>
          <w:sz w:val="32"/>
          <w:szCs w:val="32"/>
          <w:lang w:val="en-US"/>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12.24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12.24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农林水（类）农业农村（款）行政运行（项）。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311.25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282.81</w:t>
      </w:r>
      <w:r>
        <w:rPr>
          <w:rFonts w:hint="eastAsia" w:ascii="Times New Roman" w:hAnsi="Times New Roman" w:eastAsia="仿宋_GB2312"/>
          <w:sz w:val="32"/>
          <w:szCs w:val="32"/>
        </w:rPr>
        <w:t>万元，完成年初预</w:t>
      </w:r>
      <w:r>
        <w:rPr>
          <w:rFonts w:hint="eastAsia" w:ascii="Times New Roman" w:hAnsi="Times New Roman" w:eastAsia="仿宋_GB2312"/>
          <w:color w:val="auto"/>
          <w:sz w:val="32"/>
          <w:szCs w:val="32"/>
        </w:rPr>
        <w:t>算的</w:t>
      </w:r>
      <w:r>
        <w:rPr>
          <w:rFonts w:hint="eastAsia" w:ascii="Times New Roman" w:hAnsi="Times New Roman" w:eastAsia="仿宋_GB2312"/>
          <w:color w:val="auto"/>
          <w:sz w:val="32"/>
          <w:szCs w:val="32"/>
          <w:highlight w:val="none"/>
          <w:lang w:val="en-US" w:eastAsia="zh-CN"/>
        </w:rPr>
        <w:t>90.87</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决算数</w:t>
      </w:r>
      <w:r>
        <w:rPr>
          <w:rFonts w:hint="eastAsia" w:ascii="Times New Roman" w:hAnsi="Times New Roman" w:eastAsia="仿宋_GB2312"/>
          <w:color w:val="auto"/>
          <w:sz w:val="32"/>
          <w:szCs w:val="32"/>
          <w:highlight w:val="none"/>
          <w:lang w:val="en-US" w:eastAsia="zh-CN"/>
        </w:rPr>
        <w:t>小</w:t>
      </w:r>
      <w:r>
        <w:rPr>
          <w:rFonts w:hint="eastAsia" w:ascii="Times New Roman" w:hAnsi="Times New Roman" w:eastAsia="仿宋_GB2312"/>
          <w:color w:val="auto"/>
          <w:sz w:val="32"/>
          <w:szCs w:val="32"/>
          <w:highlight w:val="none"/>
        </w:rPr>
        <w:t>于年初预算数的主要原因是</w:t>
      </w:r>
      <w:r>
        <w:rPr>
          <w:rFonts w:hint="eastAsia" w:ascii="Times New Roman" w:hAnsi="Times New Roman" w:eastAsia="仿宋_GB2312"/>
          <w:color w:val="auto"/>
          <w:sz w:val="32"/>
          <w:szCs w:val="32"/>
          <w:highlight w:val="none"/>
          <w:lang w:eastAsia="zh-CN"/>
        </w:rPr>
        <w:t>我办认真贯彻中央“八项规定”和厉行节约的要求，压缩各项经费支出。</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农林水（类）农业农村（款）农业生产发展（项）。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100.16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100.16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住房保障（类）</w:t>
      </w:r>
      <w:r>
        <w:rPr>
          <w:rFonts w:hint="eastAsia" w:ascii="Times New Roman" w:hAnsi="Times New Roman" w:eastAsia="仿宋_GB2312"/>
          <w:sz w:val="32"/>
          <w:szCs w:val="32"/>
          <w:lang w:eastAsia="zh-CN"/>
        </w:rPr>
        <w:t>住房改革</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住房公积金</w:t>
      </w:r>
      <w:r>
        <w:rPr>
          <w:rFonts w:hint="eastAsia" w:ascii="Times New Roman" w:hAnsi="Times New Roman" w:eastAsia="仿宋_GB2312"/>
          <w:sz w:val="32"/>
          <w:szCs w:val="32"/>
        </w:rPr>
        <w:t>（项）。</w:t>
      </w:r>
    </w:p>
    <w:p>
      <w:pPr>
        <w:pStyle w:val="17"/>
        <w:overflowPunct w:val="0"/>
        <w:autoSpaceDE/>
        <w:autoSpaceDN/>
        <w:spacing w:line="600" w:lineRule="exact"/>
        <w:ind w:firstLine="640" w:firstLineChars="200"/>
        <w:jc w:val="both"/>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32.61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32.61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398.45</w:t>
      </w:r>
      <w:r>
        <w:rPr>
          <w:rFonts w:ascii="Times New Roman" w:hAnsi="Times New Roman" w:eastAsia="仿宋_GB2312" w:cs="Times New Roman"/>
          <w:sz w:val="32"/>
          <w:szCs w:val="32"/>
        </w:rPr>
        <w:t>万元，其中：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349.75</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87.78</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、机关事业单位基本养老保险缴费、职工基本医疗保险缴费、公务员医疗补助缴费</w:t>
      </w:r>
      <w:r>
        <w:rPr>
          <w:rFonts w:hint="eastAsia" w:ascii="Times New Roman" w:hAnsi="Times New Roman" w:eastAsia="仿宋_GB2312"/>
          <w:sz w:val="32"/>
          <w:szCs w:val="32"/>
          <w:lang w:val="en-US" w:eastAsia="zh-CN"/>
        </w:rPr>
        <w:t>住房公积金、退休费、奖励金等。</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48.70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12.22</w:t>
      </w:r>
      <w:r>
        <w:rPr>
          <w:rFonts w:ascii="Times New Roman" w:hAnsi="Times New Roman" w:eastAsia="仿宋_GB2312" w:cs="Times New Roman"/>
          <w:sz w:val="32"/>
          <w:szCs w:val="32"/>
        </w:rPr>
        <w:t>%，主要包括</w:t>
      </w:r>
      <w:r>
        <w:rPr>
          <w:rFonts w:hint="eastAsia" w:ascii="Times New Roman" w:hAnsi="Times New Roman" w:eastAsia="仿宋_GB2312"/>
          <w:sz w:val="32"/>
          <w:szCs w:val="32"/>
          <w:lang w:val="en-US" w:eastAsia="zh-CN"/>
        </w:rPr>
        <w:t>办公费、水费、电费、 邮电费、</w:t>
      </w:r>
      <w:r>
        <w:rPr>
          <w:rFonts w:ascii="Times New Roman" w:hAnsi="Times New Roman" w:eastAsia="仿宋_GB2312" w:cs="Times New Roman"/>
          <w:sz w:val="32"/>
          <w:szCs w:val="32"/>
        </w:rPr>
        <w:t>印刷费、</w:t>
      </w:r>
      <w:r>
        <w:rPr>
          <w:rFonts w:hint="eastAsia" w:ascii="Times New Roman" w:hAnsi="Times New Roman" w:eastAsia="仿宋_GB2312"/>
          <w:sz w:val="32"/>
          <w:szCs w:val="32"/>
          <w:lang w:val="en-US" w:eastAsia="zh-CN"/>
        </w:rPr>
        <w:t>物业管理费、差旅费、会议费、工会经费、福利费、其他交通费用等。</w:t>
      </w:r>
    </w:p>
    <w:p>
      <w:pPr>
        <w:pStyle w:val="17"/>
        <w:numPr>
          <w:ilvl w:val="0"/>
          <w:numId w:val="2"/>
        </w:numPr>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财政拨款“三公”经费支出决算情况说明</w:t>
      </w:r>
    </w:p>
    <w:p>
      <w:pPr>
        <w:pStyle w:val="17"/>
        <w:numPr>
          <w:ilvl w:val="0"/>
          <w:numId w:val="0"/>
        </w:numPr>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2.00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0.70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35.00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0.28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28.57</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rPr>
        <w:t>于预算数的主要原因是</w:t>
      </w:r>
      <w:r>
        <w:rPr>
          <w:rFonts w:hint="eastAsia" w:ascii="Times New Roman" w:hAnsi="Times New Roman" w:eastAsia="仿宋_GB2312" w:cs="Times New Roman"/>
          <w:sz w:val="32"/>
          <w:szCs w:val="32"/>
          <w:lang w:val="en-US" w:eastAsia="zh-CN"/>
        </w:rPr>
        <w:t>我单位</w:t>
      </w:r>
      <w:r>
        <w:rPr>
          <w:rFonts w:hint="eastAsia" w:ascii="Times New Roman" w:hAnsi="Times New Roman" w:eastAsia="仿宋_GB2312"/>
          <w:color w:val="auto"/>
          <w:sz w:val="32"/>
          <w:szCs w:val="32"/>
          <w:highlight w:val="none"/>
          <w:lang w:val="en-US" w:eastAsia="zh-CN"/>
        </w:rPr>
        <w:t>认真贯彻中央八项规定和厉行节约的要求，严控“三公”经费开支</w:t>
      </w:r>
      <w:r>
        <w:rPr>
          <w:rFonts w:ascii="Times New Roman" w:hAnsi="Times New Roman" w:eastAsia="仿宋_GB2312" w:cs="Times New Roman"/>
          <w:sz w:val="32"/>
          <w:szCs w:val="32"/>
        </w:rPr>
        <w:t>。决算数大小于上年数的主要原因是</w:t>
      </w:r>
      <w:r>
        <w:rPr>
          <w:rFonts w:hint="eastAsia" w:ascii="Times New Roman" w:hAnsi="Times New Roman" w:eastAsia="仿宋_GB2312" w:cs="Times New Roman"/>
          <w:sz w:val="32"/>
          <w:szCs w:val="32"/>
          <w:lang w:val="en-US" w:eastAsia="zh-CN"/>
        </w:rPr>
        <w:t>接待任务较上年减少</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。其中：</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与上年持平。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7"/>
        <w:overflowPunct w:val="0"/>
        <w:autoSpaceDE/>
        <w:autoSpaceDN/>
        <w:spacing w:line="600" w:lineRule="exact"/>
        <w:ind w:firstLine="640" w:firstLineChars="200"/>
        <w:jc w:val="both"/>
        <w:rPr>
          <w:rFonts w:hint="eastAsia" w:ascii="Times New Roman" w:hAnsi="Times New Roman" w:eastAsia="仿宋_GB2312" w:cstheme="minorBidi"/>
          <w:color w:val="auto"/>
          <w:kern w:val="2"/>
          <w:sz w:val="32"/>
          <w:szCs w:val="32"/>
          <w:lang w:val="en-US" w:eastAsia="zh-CN" w:bidi="ar-SA"/>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0.70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35</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0.28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28.57</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于预算数的主要原因是</w:t>
      </w:r>
      <w:r>
        <w:rPr>
          <w:rFonts w:hint="eastAsia" w:ascii="Times New Roman" w:hAnsi="Times New Roman" w:eastAsia="仿宋_GB2312" w:cs="Times New Roman"/>
          <w:sz w:val="32"/>
          <w:szCs w:val="32"/>
          <w:lang w:val="en-US" w:eastAsia="zh-CN"/>
        </w:rPr>
        <w:t>我单位</w:t>
      </w:r>
      <w:r>
        <w:rPr>
          <w:rFonts w:hint="eastAsia" w:ascii="Times New Roman" w:hAnsi="Times New Roman" w:eastAsia="仿宋_GB2312"/>
          <w:color w:val="auto"/>
          <w:sz w:val="32"/>
          <w:szCs w:val="32"/>
          <w:highlight w:val="none"/>
          <w:lang w:val="en-US" w:eastAsia="zh-CN"/>
        </w:rPr>
        <w:t>认真贯彻中央八项规定和厉行节约的要求，严控“三公”经费开支</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接待任务较上年减少</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11</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49</w:t>
      </w:r>
      <w:r>
        <w:rPr>
          <w:rFonts w:ascii="Times New Roman" w:hAnsi="Times New Roman" w:eastAsia="仿宋_GB2312" w:cs="Times New Roman"/>
          <w:sz w:val="32"/>
          <w:szCs w:val="32"/>
        </w:rPr>
        <w:t>人次，主要是</w:t>
      </w:r>
      <w:r>
        <w:rPr>
          <w:rFonts w:hint="eastAsia" w:ascii="Times New Roman" w:hAnsi="Times New Roman" w:eastAsia="仿宋_GB2312" w:cstheme="minorBidi"/>
          <w:color w:val="auto"/>
          <w:kern w:val="2"/>
          <w:sz w:val="32"/>
          <w:szCs w:val="32"/>
          <w:lang w:val="en-US" w:eastAsia="zh-CN" w:bidi="ar-SA"/>
        </w:rPr>
        <w:t>主要是认证资料申报、联系工作等发生的接待支出。</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w:t>
      </w:r>
      <w:r>
        <w:rPr>
          <w:rFonts w:hint="eastAsia" w:ascii="Times New Roman" w:hAnsi="Times New Roman" w:eastAsia="仿宋_GB2312" w:cstheme="minorBidi"/>
          <w:color w:val="auto"/>
          <w:kern w:val="2"/>
          <w:sz w:val="32"/>
          <w:szCs w:val="32"/>
          <w:lang w:val="en-US" w:eastAsia="zh-CN" w:bidi="ar-SA"/>
        </w:rPr>
        <w:t>本单位无政府性基金收支。</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48.7</w:t>
      </w:r>
      <w:r>
        <w:rPr>
          <w:rFonts w:ascii="Times New Roman" w:hAnsi="Times New Roman" w:eastAsia="仿宋_GB2312" w:cs="Times New Roman"/>
          <w:sz w:val="32"/>
          <w:szCs w:val="32"/>
        </w:rPr>
        <w:t>万元，比年初预算数减少</w:t>
      </w:r>
      <w:r>
        <w:rPr>
          <w:rFonts w:hint="eastAsia" w:ascii="Times New Roman" w:hAnsi="Times New Roman" w:eastAsia="仿宋_GB2312" w:cs="Times New Roman"/>
          <w:sz w:val="32"/>
          <w:szCs w:val="32"/>
          <w:lang w:val="en-US" w:eastAsia="zh-CN"/>
        </w:rPr>
        <w:t>1.30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2.67</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val="en-US" w:eastAsia="zh-CN"/>
        </w:rPr>
        <w:t>我单位</w:t>
      </w:r>
      <w:r>
        <w:rPr>
          <w:rFonts w:hint="eastAsia" w:ascii="Times New Roman" w:hAnsi="Times New Roman" w:eastAsia="仿宋_GB2312"/>
          <w:color w:val="auto"/>
          <w:sz w:val="32"/>
          <w:szCs w:val="32"/>
          <w:highlight w:val="none"/>
          <w:lang w:val="en-US" w:eastAsia="zh-CN"/>
        </w:rPr>
        <w:t>认真贯彻中央八项规定和厉行节约的要求，严控各项经费开支</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ind w:firstLine="640" w:firstLineChars="200"/>
        <w:rPr>
          <w:rFonts w:hint="eastAsia" w:ascii="Times New Roman" w:hAnsi="Times New Roman" w:eastAsia="仿宋_GB2312"/>
          <w:color w:val="auto"/>
          <w:sz w:val="32"/>
          <w:szCs w:val="32"/>
          <w:lang w:eastAsia="zh-CN"/>
        </w:rPr>
      </w:pPr>
      <w:r>
        <w:rPr>
          <w:rFonts w:ascii="Times New Roman" w:hAnsi="Times New Roman" w:eastAsia="仿宋_GB2312" w:cs="Times New Roman"/>
          <w:sz w:val="32"/>
          <w:szCs w:val="32"/>
        </w:rPr>
        <w:t>2024年本</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万元，用于召开</w:t>
      </w:r>
      <w:r>
        <w:rPr>
          <w:rFonts w:hint="eastAsia" w:ascii="Times New Roman" w:hAnsi="Times New Roman" w:eastAsia="仿宋_GB2312" w:cs="Times New Roman"/>
          <w:sz w:val="32"/>
          <w:szCs w:val="32"/>
          <w:lang w:val="en-US" w:eastAsia="zh-CN"/>
        </w:rPr>
        <w:t>2024年绿色优质农产品高质量发展工作推进会务费会议，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65</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eastAsia="zh-CN"/>
        </w:rPr>
        <w:t>贯</w:t>
      </w:r>
      <w:r>
        <w:rPr>
          <w:rFonts w:hint="eastAsia" w:ascii="Times New Roman" w:hAnsi="Times New Roman" w:eastAsia="仿宋_GB2312" w:cs="Times New Roman"/>
          <w:sz w:val="32"/>
          <w:szCs w:val="32"/>
          <w:lang w:val="en-US" w:eastAsia="zh-CN"/>
        </w:rPr>
        <w:t>彻落实中央质量督查考核、国务院食品安全工作评议考核和农产品“三品一标”四大行动有关工作要求 ，分析当前绿色优质农产品工</w:t>
      </w:r>
      <w:r>
        <w:rPr>
          <w:rFonts w:hint="eastAsia" w:ascii="Times New Roman" w:hAnsi="Times New Roman" w:eastAsia="仿宋_GB2312" w:cs="Times New Roman"/>
          <w:color w:val="auto"/>
          <w:sz w:val="32"/>
          <w:szCs w:val="32"/>
          <w:lang w:val="en-US" w:eastAsia="zh-CN"/>
        </w:rPr>
        <w:t>作形势，研究部署推进绿色优质农产品高质量发展工作措施。</w:t>
      </w:r>
      <w:r>
        <w:rPr>
          <w:rFonts w:ascii="Times New Roman" w:hAnsi="Times New Roman" w:eastAsia="仿宋_GB2312" w:cs="Times New Roman"/>
          <w:color w:val="auto"/>
          <w:sz w:val="32"/>
          <w:szCs w:val="32"/>
        </w:rPr>
        <w:t>开支培训费</w:t>
      </w:r>
      <w:r>
        <w:rPr>
          <w:rFonts w:hint="eastAsia" w:ascii="Times New Roman" w:hAnsi="Times New Roman" w:eastAsia="仿宋_GB2312" w:cs="Times New Roman"/>
          <w:color w:val="auto"/>
          <w:sz w:val="32"/>
          <w:szCs w:val="32"/>
          <w:lang w:val="en-US" w:eastAsia="zh-CN"/>
        </w:rPr>
        <w:t>6.00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rPr>
        <w:t>用于开展2024年绿色食品检查员标志监督主管理员培训，人数125人，内容为绿色食品发展与标准体系、绿色食品标志许可审查与现场检查、绿色食品标志使用与证后监管、绿色食品原料标准化基地建设与管理、绿色食品检查员标志监督主管理员注册与管理、认证检查现场教学等。</w:t>
      </w:r>
      <w:r>
        <w:rPr>
          <w:rFonts w:hint="eastAsia" w:ascii="Times New Roman" w:hAnsi="Times New Roman" w:eastAsia="仿宋_GB2312"/>
          <w:color w:val="auto"/>
          <w:sz w:val="32"/>
          <w:szCs w:val="32"/>
          <w:lang w:val="en-US" w:eastAsia="zh-CN"/>
        </w:rPr>
        <w:t>未</w:t>
      </w:r>
      <w:r>
        <w:rPr>
          <w:rFonts w:hint="eastAsia" w:ascii="Times New Roman" w:hAnsi="Times New Roman" w:eastAsia="仿宋_GB2312"/>
          <w:color w:val="auto"/>
          <w:sz w:val="32"/>
          <w:szCs w:val="32"/>
        </w:rPr>
        <w:t>举办节庆、晚会、论坛、赛事活动</w:t>
      </w:r>
      <w:r>
        <w:rPr>
          <w:rFonts w:hint="eastAsia" w:ascii="Times New Roman" w:hAnsi="Times New Roman" w:eastAsia="仿宋_GB2312"/>
          <w:color w:val="auto"/>
          <w:sz w:val="32"/>
          <w:szCs w:val="32"/>
          <w:lang w:eastAsia="zh-CN"/>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55.2</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0.10</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55.10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55.10</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99.82</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55.10</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截至2024年12月31日，部门（单位）共有车辆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color w:val="auto"/>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组织对2024年度本部门（单位）整体支出开展绩效自评，涉及项</w:t>
      </w:r>
      <w:r>
        <w:rPr>
          <w:rFonts w:ascii="Times New Roman" w:hAnsi="Times New Roman" w:eastAsia="仿宋_GB2312" w:cs="Times New Roman"/>
          <w:color w:val="auto"/>
          <w:kern w:val="0"/>
          <w:sz w:val="32"/>
          <w:szCs w:val="32"/>
        </w:rPr>
        <w:t>目</w:t>
      </w:r>
      <w:r>
        <w:rPr>
          <w:rFonts w:hint="eastAsia" w:ascii="Times New Roman" w:hAnsi="Times New Roman" w:eastAsia="仿宋_GB2312" w:cs="Times New Roman"/>
          <w:color w:val="auto"/>
          <w:kern w:val="0"/>
          <w:sz w:val="32"/>
          <w:szCs w:val="32"/>
          <w:lang w:val="en-US" w:eastAsia="zh-CN"/>
        </w:rPr>
        <w:t>1</w:t>
      </w:r>
      <w:r>
        <w:rPr>
          <w:rFonts w:ascii="Times New Roman" w:hAnsi="Times New Roman" w:eastAsia="仿宋_GB2312" w:cs="Times New Roman"/>
          <w:color w:val="auto"/>
          <w:kern w:val="0"/>
          <w:sz w:val="32"/>
          <w:szCs w:val="32"/>
        </w:rPr>
        <w:t>个，共涉及资金</w:t>
      </w:r>
      <w:r>
        <w:rPr>
          <w:rFonts w:hint="eastAsia" w:ascii="Times New Roman" w:hAnsi="Times New Roman" w:eastAsia="仿宋_GB2312" w:cs="Times New Roman"/>
          <w:color w:val="auto"/>
          <w:kern w:val="0"/>
          <w:sz w:val="32"/>
          <w:szCs w:val="32"/>
          <w:lang w:val="en-US" w:eastAsia="zh-CN"/>
        </w:rPr>
        <w:t>106.16</w:t>
      </w:r>
      <w:r>
        <w:rPr>
          <w:rFonts w:ascii="Times New Roman" w:hAnsi="Times New Roman" w:eastAsia="仿宋_GB2312" w:cs="Times New Roman"/>
          <w:color w:val="auto"/>
          <w:kern w:val="0"/>
          <w:sz w:val="32"/>
          <w:szCs w:val="32"/>
        </w:rPr>
        <w:t>万元。其中，一般公共预算项目</w:t>
      </w:r>
      <w:r>
        <w:rPr>
          <w:rFonts w:hint="eastAsia" w:ascii="Times New Roman" w:hAnsi="Times New Roman" w:eastAsia="仿宋_GB2312" w:cs="Times New Roman"/>
          <w:color w:val="auto"/>
          <w:kern w:val="0"/>
          <w:sz w:val="32"/>
          <w:szCs w:val="32"/>
          <w:lang w:val="en-US" w:eastAsia="zh-CN"/>
        </w:rPr>
        <w:t>1</w:t>
      </w:r>
      <w:r>
        <w:rPr>
          <w:rFonts w:ascii="Times New Roman" w:hAnsi="Times New Roman" w:eastAsia="仿宋_GB2312" w:cs="Times New Roman"/>
          <w:color w:val="auto"/>
          <w:kern w:val="0"/>
          <w:sz w:val="32"/>
          <w:szCs w:val="32"/>
        </w:rPr>
        <w:t xml:space="preserve"> 个</w:t>
      </w:r>
      <w:r>
        <w:rPr>
          <w:rFonts w:hint="eastAsia" w:ascii="Times New Roman" w:hAnsi="Times New Roman" w:eastAsia="仿宋_GB2312" w:cs="Times New Roman"/>
          <w:color w:val="auto"/>
          <w:kern w:val="0"/>
          <w:sz w:val="32"/>
          <w:szCs w:val="32"/>
          <w:lang w:val="en-US" w:eastAsia="zh-CN"/>
        </w:rPr>
        <w:t>106.16</w:t>
      </w:r>
      <w:r>
        <w:rPr>
          <w:rFonts w:ascii="Times New Roman" w:hAnsi="Times New Roman" w:eastAsia="仿宋_GB2312" w:cs="Times New Roman"/>
          <w:color w:val="auto"/>
          <w:kern w:val="0"/>
          <w:sz w:val="32"/>
          <w:szCs w:val="32"/>
        </w:rPr>
        <w:t>万元，占一般公共预算支出总额的</w:t>
      </w:r>
      <w:r>
        <w:rPr>
          <w:rFonts w:hint="eastAsia" w:ascii="Times New Roman" w:hAnsi="Times New Roman" w:eastAsia="仿宋_GB2312" w:cs="Times New Roman"/>
          <w:color w:val="auto"/>
          <w:kern w:val="0"/>
          <w:sz w:val="32"/>
          <w:szCs w:val="32"/>
          <w:lang w:val="en-US" w:eastAsia="zh-CN"/>
        </w:rPr>
        <w:t>19</w:t>
      </w:r>
      <w:r>
        <w:rPr>
          <w:rFonts w:ascii="Times New Roman" w:hAnsi="Times New Roman" w:eastAsia="仿宋_GB2312" w:cs="Times New Roman"/>
          <w:color w:val="auto"/>
          <w:kern w:val="0"/>
          <w:sz w:val="32"/>
          <w:szCs w:val="32"/>
        </w:rPr>
        <w:t>%；政府性基金预算项目</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个</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万元；国有资本经营预算项目</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个</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万元；社会保险基金预算项目</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个</w:t>
      </w:r>
      <w:r>
        <w:rPr>
          <w:rFonts w:hint="eastAsia" w:ascii="Times New Roman" w:hAnsi="Times New Roman" w:eastAsia="仿宋_GB2312" w:cs="Times New Roman"/>
          <w:color w:val="auto"/>
          <w:kern w:val="0"/>
          <w:sz w:val="32"/>
          <w:szCs w:val="32"/>
          <w:lang w:val="en-US" w:eastAsia="zh-CN"/>
        </w:rPr>
        <w:t>0</w:t>
      </w:r>
      <w:r>
        <w:rPr>
          <w:rFonts w:ascii="Times New Roman" w:hAnsi="Times New Roman" w:eastAsia="仿宋_GB2312" w:cs="Times New Roman"/>
          <w:color w:val="auto"/>
          <w:kern w:val="0"/>
          <w:sz w:val="32"/>
          <w:szCs w:val="32"/>
        </w:rPr>
        <w:t xml:space="preserve"> 万元。</w:t>
      </w:r>
    </w:p>
    <w:p>
      <w:pPr>
        <w:overflowPunct w:val="0"/>
        <w:spacing w:line="600" w:lineRule="exact"/>
        <w:ind w:firstLine="640" w:firstLineChars="200"/>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（二）绩效评价结果。</w:t>
      </w:r>
    </w:p>
    <w:p>
      <w:pPr>
        <w:keepNext w:val="0"/>
        <w:keepLines w:val="0"/>
        <w:pageBreakBefore w:val="0"/>
        <w:widowControl w:val="0"/>
        <w:kinsoku/>
        <w:wordWrap/>
        <w:overflowPunct/>
        <w:topLinePunct w:val="0"/>
        <w:bidi w:val="0"/>
        <w:spacing w:line="580" w:lineRule="exact"/>
        <w:ind w:firstLine="707" w:firstLineChars="221"/>
        <w:textAlignment w:val="auto"/>
        <w:rPr>
          <w:rFonts w:hint="eastAsia" w:ascii="方正仿宋_GB2312" w:hAnsi="方正仿宋_GB2312" w:eastAsia="方正仿宋_GB2312" w:cs="方正仿宋_GB2312"/>
          <w:color w:val="333333"/>
          <w:sz w:val="32"/>
          <w:szCs w:val="32"/>
          <w:shd w:val="clear" w:color="auto" w:fill="FFFFFF"/>
        </w:rPr>
      </w:pPr>
      <w:r>
        <w:rPr>
          <w:rFonts w:ascii="Times New Roman" w:hAnsi="Times New Roman" w:eastAsia="仿宋_GB2312" w:cs="Times New Roman"/>
          <w:b/>
          <w:bCs/>
          <w:color w:val="auto"/>
          <w:kern w:val="0"/>
          <w:sz w:val="32"/>
          <w:szCs w:val="32"/>
        </w:rPr>
        <w:t>一是绩效自评结果。</w:t>
      </w:r>
      <w:r>
        <w:rPr>
          <w:rFonts w:ascii="Times New Roman" w:hAnsi="Times New Roman" w:eastAsia="仿宋_GB2312" w:cs="Times New Roman"/>
          <w:color w:val="auto"/>
          <w:kern w:val="0"/>
          <w:sz w:val="32"/>
          <w:szCs w:val="32"/>
        </w:rPr>
        <w:t>2024年度本部门（单位）整体支出</w:t>
      </w:r>
      <w:r>
        <w:rPr>
          <w:rFonts w:ascii="Times New Roman" w:hAnsi="Times New Roman" w:eastAsia="仿宋_GB2312" w:cs="Times New Roman"/>
          <w:color w:val="auto"/>
          <w:sz w:val="32"/>
          <w:szCs w:val="32"/>
        </w:rPr>
        <w:t>全年预算数</w:t>
      </w:r>
      <w:r>
        <w:rPr>
          <w:rFonts w:hint="eastAsia" w:ascii="Times New Roman" w:hAnsi="Times New Roman" w:eastAsia="仿宋_GB2312" w:cs="Times New Roman"/>
          <w:color w:val="auto"/>
          <w:sz w:val="32"/>
          <w:szCs w:val="32"/>
          <w:lang w:val="en-US" w:eastAsia="zh-CN"/>
        </w:rPr>
        <w:t>558.73</w:t>
      </w:r>
      <w:r>
        <w:rPr>
          <w:rFonts w:ascii="Times New Roman" w:hAnsi="Times New Roman" w:eastAsia="仿宋_GB2312" w:cs="Times New Roman"/>
          <w:color w:val="auto"/>
          <w:sz w:val="32"/>
          <w:szCs w:val="32"/>
        </w:rPr>
        <w:t>万元，执行数</w:t>
      </w:r>
      <w:r>
        <w:rPr>
          <w:rFonts w:hint="eastAsia" w:ascii="Times New Roman" w:hAnsi="Times New Roman" w:eastAsia="仿宋_GB2312" w:cs="Times New Roman"/>
          <w:color w:val="auto"/>
          <w:sz w:val="32"/>
          <w:szCs w:val="32"/>
          <w:lang w:val="en-US" w:eastAsia="zh-CN"/>
        </w:rPr>
        <w:t>504.61</w:t>
      </w:r>
      <w:r>
        <w:rPr>
          <w:rFonts w:ascii="Times New Roman" w:hAnsi="Times New Roman" w:eastAsia="仿宋_GB2312" w:cs="Times New Roman"/>
          <w:color w:val="auto"/>
          <w:sz w:val="32"/>
          <w:szCs w:val="32"/>
        </w:rPr>
        <w:t>万元，完成预算的</w:t>
      </w:r>
      <w:r>
        <w:rPr>
          <w:rFonts w:hint="eastAsia" w:ascii="Times New Roman" w:hAnsi="Times New Roman" w:eastAsia="仿宋_GB2312" w:cs="Times New Roman"/>
          <w:color w:val="auto"/>
          <w:sz w:val="32"/>
          <w:szCs w:val="32"/>
          <w:lang w:val="en-US" w:eastAsia="zh-CN"/>
        </w:rPr>
        <w:t>90.31</w:t>
      </w:r>
      <w:r>
        <w:rPr>
          <w:rFonts w:ascii="Times New Roman" w:hAnsi="Times New Roman" w:eastAsia="仿宋_GB2312" w:cs="Times New Roman"/>
          <w:color w:val="auto"/>
          <w:sz w:val="32"/>
          <w:szCs w:val="32"/>
        </w:rPr>
        <w:t>%</w:t>
      </w:r>
      <w:r>
        <w:rPr>
          <w:rFonts w:ascii="Times New Roman" w:hAnsi="Times New Roman" w:eastAsia="仿宋_GB2312" w:cs="Times New Roman"/>
          <w:color w:val="auto"/>
          <w:kern w:val="0"/>
          <w:sz w:val="32"/>
          <w:szCs w:val="32"/>
        </w:rPr>
        <w:t>，绩效自评得分</w:t>
      </w:r>
      <w:r>
        <w:rPr>
          <w:rFonts w:hint="eastAsia" w:ascii="Times New Roman" w:hAnsi="Times New Roman" w:eastAsia="仿宋_GB2312" w:cs="Times New Roman"/>
          <w:color w:val="auto"/>
          <w:sz w:val="32"/>
          <w:szCs w:val="32"/>
          <w:lang w:val="en-US" w:eastAsia="zh-CN"/>
        </w:rPr>
        <w:t>97</w:t>
      </w:r>
      <w:r>
        <w:rPr>
          <w:rFonts w:ascii="Times New Roman" w:hAnsi="Times New Roman" w:eastAsia="仿宋_GB2312" w:cs="Times New Roman"/>
          <w:color w:val="auto"/>
          <w:sz w:val="32"/>
          <w:szCs w:val="32"/>
        </w:rPr>
        <w:t>分</w:t>
      </w:r>
      <w:r>
        <w:rPr>
          <w:rFonts w:ascii="Times New Roman" w:hAnsi="Times New Roman" w:eastAsia="仿宋_GB2312" w:cs="Times New Roman"/>
          <w:color w:val="auto"/>
          <w:kern w:val="0"/>
          <w:sz w:val="32"/>
          <w:szCs w:val="32"/>
        </w:rPr>
        <w:t>，评价等级为</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优</w:t>
      </w:r>
      <w:r>
        <w:rPr>
          <w:rFonts w:ascii="Times New Roman" w:hAnsi="Times New Roman" w:eastAsia="仿宋_GB2312" w:cs="Times New Roman"/>
          <w:color w:val="auto"/>
          <w:sz w:val="32"/>
          <w:szCs w:val="32"/>
        </w:rPr>
        <w:t>”。</w:t>
      </w:r>
      <w:r>
        <w:rPr>
          <w:rFonts w:hint="eastAsia" w:ascii="Times New Roman" w:hAnsi="Times New Roman" w:eastAsia="仿宋_GB2312" w:cs="Times New Roman"/>
          <w:b/>
          <w:bCs/>
          <w:color w:val="auto"/>
          <w:sz w:val="32"/>
          <w:szCs w:val="32"/>
          <w:lang w:eastAsia="zh-CN"/>
        </w:rPr>
        <w:t>二是</w:t>
      </w:r>
      <w:r>
        <w:rPr>
          <w:rFonts w:ascii="Times New Roman" w:hAnsi="Times New Roman" w:eastAsia="仿宋_GB2312" w:cs="Times New Roman"/>
          <w:b/>
          <w:bCs/>
          <w:color w:val="auto"/>
          <w:sz w:val="32"/>
          <w:szCs w:val="32"/>
        </w:rPr>
        <w:t>绩效</w:t>
      </w:r>
      <w:r>
        <w:rPr>
          <w:rFonts w:ascii="Times New Roman" w:hAnsi="Times New Roman" w:eastAsia="仿宋_GB2312" w:cs="Times New Roman"/>
          <w:b/>
          <w:bCs/>
          <w:sz w:val="32"/>
          <w:szCs w:val="32"/>
        </w:rPr>
        <w:t>目标完成情况：</w:t>
      </w:r>
      <w:r>
        <w:rPr>
          <w:rFonts w:hint="eastAsia" w:ascii="Times New Roman" w:hAnsi="Times New Roman" w:eastAsia="仿宋_GB2312" w:cs="Times New Roman"/>
          <w:b/>
          <w:bCs/>
          <w:sz w:val="32"/>
          <w:szCs w:val="32"/>
          <w:lang w:val="en-US" w:eastAsia="zh-CN"/>
        </w:rPr>
        <w:t>一是</w:t>
      </w:r>
      <w:r>
        <w:rPr>
          <w:rFonts w:hint="eastAsia" w:ascii="方正仿宋_GB2312" w:hAnsi="方正仿宋_GB2312" w:eastAsia="方正仿宋_GB2312" w:cs="方正仿宋_GB2312"/>
          <w:b/>
          <w:sz w:val="32"/>
          <w:szCs w:val="32"/>
          <w:lang w:val="en-US" w:eastAsia="zh-CN"/>
        </w:rPr>
        <w:t>产品认证取得新突破。</w:t>
      </w:r>
      <w:r>
        <w:rPr>
          <w:rFonts w:hint="eastAsia" w:ascii="方正仿宋_GB2312" w:hAnsi="方正仿宋_GB2312" w:eastAsia="方正仿宋_GB2312" w:cs="方正仿宋_GB2312"/>
          <w:b/>
          <w:sz w:val="32"/>
          <w:szCs w:val="32"/>
        </w:rPr>
        <w:t>一是</w:t>
      </w:r>
      <w:r>
        <w:rPr>
          <w:rFonts w:hint="eastAsia" w:ascii="方正仿宋_GB2312" w:hAnsi="方正仿宋_GB2312" w:eastAsia="方正仿宋_GB2312" w:cs="方正仿宋_GB2312"/>
          <w:b/>
          <w:sz w:val="32"/>
          <w:szCs w:val="32"/>
          <w:lang w:val="en-US" w:eastAsia="zh-CN"/>
        </w:rPr>
        <w:t>获证产品突破四千。</w:t>
      </w:r>
      <w:r>
        <w:rPr>
          <w:rFonts w:hint="eastAsia" w:ascii="方正仿宋_GB2312" w:hAnsi="方正仿宋_GB2312" w:eastAsia="方正仿宋_GB2312" w:cs="方正仿宋_GB2312"/>
          <w:kern w:val="0"/>
          <w:sz w:val="32"/>
          <w:szCs w:val="32"/>
          <w:lang w:val="en-US" w:eastAsia="zh-CN"/>
        </w:rPr>
        <w:t>新发展218</w:t>
      </w:r>
      <w:r>
        <w:rPr>
          <w:rFonts w:hint="eastAsia" w:ascii="方正仿宋_GB2312" w:hAnsi="方正仿宋_GB2312" w:eastAsia="方正仿宋_GB2312" w:cs="方正仿宋_GB2312"/>
          <w:kern w:val="0"/>
          <w:sz w:val="32"/>
          <w:szCs w:val="32"/>
        </w:rPr>
        <w:t>家企业的</w:t>
      </w:r>
      <w:r>
        <w:rPr>
          <w:rFonts w:hint="eastAsia" w:ascii="方正仿宋_GB2312" w:hAnsi="方正仿宋_GB2312" w:eastAsia="方正仿宋_GB2312" w:cs="方正仿宋_GB2312"/>
          <w:kern w:val="0"/>
          <w:sz w:val="32"/>
          <w:szCs w:val="32"/>
          <w:lang w:val="en-US" w:eastAsia="zh-CN"/>
        </w:rPr>
        <w:t>393</w:t>
      </w:r>
      <w:r>
        <w:rPr>
          <w:rFonts w:hint="eastAsia" w:ascii="方正仿宋_GB2312" w:hAnsi="方正仿宋_GB2312" w:eastAsia="方正仿宋_GB2312" w:cs="方正仿宋_GB2312"/>
          <w:kern w:val="0"/>
          <w:sz w:val="32"/>
          <w:szCs w:val="32"/>
        </w:rPr>
        <w:t xml:space="preserve"> 个产品</w:t>
      </w:r>
      <w:r>
        <w:rPr>
          <w:rFonts w:hint="eastAsia" w:ascii="方正仿宋_GB2312" w:hAnsi="方正仿宋_GB2312" w:eastAsia="方正仿宋_GB2312" w:cs="方正仿宋_GB2312"/>
          <w:bCs/>
          <w:kern w:val="0"/>
          <w:sz w:val="32"/>
          <w:szCs w:val="32"/>
          <w:lang w:val="zh-CN"/>
        </w:rPr>
        <w:t>获</w:t>
      </w:r>
      <w:r>
        <w:rPr>
          <w:rFonts w:hint="eastAsia" w:ascii="方正仿宋_GB2312" w:hAnsi="方正仿宋_GB2312" w:eastAsia="方正仿宋_GB2312" w:cs="方正仿宋_GB2312"/>
          <w:bCs/>
          <w:kern w:val="0"/>
          <w:sz w:val="32"/>
          <w:szCs w:val="32"/>
          <w:lang w:val="en-US" w:eastAsia="zh-CN"/>
        </w:rPr>
        <w:t>得</w:t>
      </w:r>
      <w:r>
        <w:rPr>
          <w:rFonts w:hint="eastAsia" w:ascii="方正仿宋_GB2312" w:hAnsi="方正仿宋_GB2312" w:eastAsia="方正仿宋_GB2312" w:cs="方正仿宋_GB2312"/>
          <w:bCs/>
          <w:kern w:val="0"/>
          <w:sz w:val="32"/>
          <w:szCs w:val="32"/>
          <w:lang w:val="zh-CN"/>
        </w:rPr>
        <w:t>绿色食品</w:t>
      </w:r>
      <w:r>
        <w:rPr>
          <w:rFonts w:hint="eastAsia" w:ascii="方正仿宋_GB2312" w:hAnsi="方正仿宋_GB2312" w:eastAsia="方正仿宋_GB2312" w:cs="方正仿宋_GB2312"/>
          <w:bCs/>
          <w:kern w:val="0"/>
          <w:sz w:val="32"/>
          <w:szCs w:val="32"/>
          <w:lang w:val="en-US" w:eastAsia="zh-CN"/>
        </w:rPr>
        <w:t>认证</w:t>
      </w:r>
      <w:r>
        <w:rPr>
          <w:rFonts w:hint="eastAsia" w:ascii="方正仿宋_GB2312" w:hAnsi="方正仿宋_GB2312" w:eastAsia="方正仿宋_GB2312" w:cs="方正仿宋_GB2312"/>
          <w:bCs/>
          <w:kern w:val="0"/>
          <w:sz w:val="32"/>
          <w:szCs w:val="32"/>
          <w:lang w:val="zh-CN"/>
        </w:rPr>
        <w:t>，</w:t>
      </w:r>
      <w:r>
        <w:rPr>
          <w:rFonts w:hint="eastAsia" w:ascii="方正仿宋_GB2312" w:hAnsi="方正仿宋_GB2312" w:eastAsia="方正仿宋_GB2312" w:cs="方正仿宋_GB2312"/>
          <w:bCs/>
          <w:kern w:val="0"/>
          <w:sz w:val="32"/>
          <w:szCs w:val="32"/>
          <w:lang w:val="en-US" w:eastAsia="zh-CN"/>
        </w:rPr>
        <w:t>12家企业25个产品获得有机认证，</w:t>
      </w:r>
      <w:r>
        <w:rPr>
          <w:rFonts w:hint="eastAsia" w:ascii="方正仿宋_GB2312" w:hAnsi="方正仿宋_GB2312" w:eastAsia="方正仿宋_GB2312" w:cs="方正仿宋_GB2312"/>
          <w:kern w:val="0"/>
          <w:sz w:val="32"/>
          <w:szCs w:val="32"/>
          <w:lang w:val="en-US" w:eastAsia="zh-CN" w:bidi="ar-SA"/>
        </w:rPr>
        <w:t>绿色食品续展率、有机产品再认证率分别达到67%、96%，全省绿色有机地标农产品总数首次超过4000个。</w:t>
      </w:r>
      <w:r>
        <w:rPr>
          <w:rFonts w:hint="eastAsia" w:ascii="方正仿宋_GB2312" w:hAnsi="方正仿宋_GB2312" w:eastAsia="方正仿宋_GB2312" w:cs="方正仿宋_GB2312"/>
          <w:b/>
          <w:bCs/>
          <w:kern w:val="0"/>
          <w:sz w:val="32"/>
          <w:szCs w:val="32"/>
          <w:lang w:val="en-US" w:eastAsia="zh-CN" w:bidi="ar-SA"/>
        </w:rPr>
        <w:t>二是产品类别新增扩容。</w:t>
      </w:r>
      <w:r>
        <w:rPr>
          <w:rFonts w:hint="eastAsia" w:ascii="方正仿宋_GB2312" w:hAnsi="方正仿宋_GB2312" w:eastAsia="方正仿宋_GB2312" w:cs="方正仿宋_GB2312"/>
          <w:kern w:val="0"/>
          <w:sz w:val="32"/>
          <w:szCs w:val="32"/>
          <w:lang w:val="en-US" w:eastAsia="zh-CN" w:bidi="ar-SA"/>
        </w:rPr>
        <w:t>首次新增4个牛奶产品获得绿色食品认证，1个肉牛产品通过省级初审，实现牛奶和肉牛认证“零”突破。</w:t>
      </w:r>
      <w:r>
        <w:rPr>
          <w:rFonts w:hint="eastAsia" w:ascii="方正仿宋_GB2312" w:hAnsi="方正仿宋_GB2312" w:eastAsia="方正仿宋_GB2312" w:cs="方正仿宋_GB2312"/>
          <w:bCs/>
          <w:sz w:val="32"/>
          <w:szCs w:val="32"/>
          <w:lang w:val="en-US" w:eastAsia="zh-CN"/>
        </w:rPr>
        <w:t>新增1家企业2个兽药产品获得绿色生资认证，</w:t>
      </w:r>
      <w:r>
        <w:rPr>
          <w:rFonts w:hint="eastAsia" w:ascii="方正仿宋_GB2312" w:hAnsi="方正仿宋_GB2312" w:eastAsia="方正仿宋_GB2312" w:cs="方正仿宋_GB2312"/>
          <w:bCs/>
          <w:sz w:val="32"/>
          <w:szCs w:val="32"/>
          <w:lang w:val="zh-CN" w:eastAsia="zh-CN"/>
        </w:rPr>
        <w:t>新增</w:t>
      </w:r>
      <w:r>
        <w:rPr>
          <w:rFonts w:hint="eastAsia" w:ascii="方正仿宋_GB2312" w:hAnsi="方正仿宋_GB2312" w:eastAsia="方正仿宋_GB2312" w:cs="方正仿宋_GB2312"/>
          <w:bCs/>
          <w:sz w:val="32"/>
          <w:szCs w:val="32"/>
          <w:lang w:val="en-US" w:eastAsia="zh-CN"/>
        </w:rPr>
        <w:t>3</w:t>
      </w:r>
      <w:r>
        <w:rPr>
          <w:rFonts w:hint="eastAsia" w:ascii="方正仿宋_GB2312" w:hAnsi="方正仿宋_GB2312" w:eastAsia="方正仿宋_GB2312" w:cs="方正仿宋_GB2312"/>
          <w:bCs/>
          <w:sz w:val="32"/>
          <w:szCs w:val="32"/>
          <w:lang w:val="zh-CN" w:eastAsia="zh-CN"/>
        </w:rPr>
        <w:t>家肥料生产企业</w:t>
      </w:r>
      <w:r>
        <w:rPr>
          <w:rFonts w:hint="eastAsia" w:ascii="方正仿宋_GB2312" w:hAnsi="方正仿宋_GB2312" w:eastAsia="方正仿宋_GB2312" w:cs="方正仿宋_GB2312"/>
          <w:bCs/>
          <w:sz w:val="32"/>
          <w:szCs w:val="32"/>
          <w:lang w:val="en-US" w:eastAsia="zh-CN"/>
        </w:rPr>
        <w:t>有机投入品申报评估，填补了品类空白</w:t>
      </w:r>
      <w:r>
        <w:rPr>
          <w:rFonts w:hint="eastAsia" w:ascii="方正仿宋_GB2312" w:hAnsi="方正仿宋_GB2312" w:eastAsia="方正仿宋_GB2312" w:cs="方正仿宋_GB2312"/>
          <w:sz w:val="32"/>
          <w:szCs w:val="32"/>
        </w:rPr>
        <w:t>。</w:t>
      </w:r>
      <w:r>
        <w:rPr>
          <w:rFonts w:hint="eastAsia" w:ascii="方正仿宋_GB2312" w:hAnsi="方正仿宋_GB2312" w:eastAsia="方正仿宋_GB2312" w:cs="方正仿宋_GB2312"/>
          <w:sz w:val="32"/>
          <w:szCs w:val="32"/>
          <w:lang w:val="en-US" w:eastAsia="zh-CN"/>
        </w:rPr>
        <w:t>二是</w:t>
      </w:r>
      <w:r>
        <w:rPr>
          <w:rFonts w:hint="eastAsia" w:ascii="方正仿宋_GB2312" w:hAnsi="方正仿宋_GB2312" w:eastAsia="方正仿宋_GB2312" w:cs="方正仿宋_GB2312"/>
          <w:b/>
          <w:sz w:val="32"/>
          <w:szCs w:val="32"/>
          <w:lang w:val="en-US" w:eastAsia="zh-CN"/>
        </w:rPr>
        <w:t>产业发展走出新路子</w:t>
      </w:r>
      <w:r>
        <w:rPr>
          <w:rFonts w:hint="eastAsia" w:ascii="方正仿宋_GB2312" w:hAnsi="方正仿宋_GB2312" w:eastAsia="方正仿宋_GB2312" w:cs="方正仿宋_GB2312"/>
          <w:b/>
          <w:sz w:val="32"/>
          <w:szCs w:val="32"/>
        </w:rPr>
        <w:t>。</w:t>
      </w:r>
      <w:r>
        <w:rPr>
          <w:rFonts w:hint="eastAsia" w:ascii="方正仿宋_GB2312" w:hAnsi="方正仿宋_GB2312" w:eastAsia="方正仿宋_GB2312" w:cs="方正仿宋_GB2312"/>
          <w:b/>
          <w:sz w:val="32"/>
          <w:szCs w:val="32"/>
          <w:lang w:val="en-US" w:eastAsia="zh-CN"/>
        </w:rPr>
        <w:t>大力支持</w:t>
      </w:r>
      <w:r>
        <w:rPr>
          <w:rFonts w:hint="eastAsia" w:ascii="方正仿宋_GB2312" w:hAnsi="方正仿宋_GB2312" w:eastAsia="方正仿宋_GB2312" w:cs="方正仿宋_GB2312"/>
          <w:b/>
          <w:sz w:val="32"/>
          <w:szCs w:val="32"/>
        </w:rPr>
        <w:t>原料</w:t>
      </w:r>
      <w:r>
        <w:rPr>
          <w:rFonts w:hint="eastAsia" w:ascii="方正仿宋_GB2312" w:hAnsi="方正仿宋_GB2312" w:eastAsia="方正仿宋_GB2312" w:cs="方正仿宋_GB2312"/>
          <w:b/>
          <w:sz w:val="32"/>
          <w:szCs w:val="32"/>
          <w:lang w:val="en-US" w:eastAsia="zh-CN"/>
        </w:rPr>
        <w:t>标准化</w:t>
      </w:r>
      <w:r>
        <w:rPr>
          <w:rFonts w:hint="eastAsia" w:ascii="方正仿宋_GB2312" w:hAnsi="方正仿宋_GB2312" w:eastAsia="方正仿宋_GB2312" w:cs="方正仿宋_GB2312"/>
          <w:b/>
          <w:sz w:val="32"/>
          <w:szCs w:val="32"/>
        </w:rPr>
        <w:t>基地建设。</w:t>
      </w:r>
      <w:r>
        <w:rPr>
          <w:rFonts w:hint="eastAsia" w:ascii="方正仿宋_GB2312" w:hAnsi="方正仿宋_GB2312" w:eastAsia="方正仿宋_GB2312" w:cs="方正仿宋_GB2312"/>
          <w:kern w:val="0"/>
          <w:sz w:val="32"/>
          <w:szCs w:val="32"/>
          <w:lang w:val="en-US" w:eastAsia="zh-CN"/>
        </w:rPr>
        <w:t>积极协调沟通，</w:t>
      </w:r>
      <w:r>
        <w:rPr>
          <w:rFonts w:hint="eastAsia" w:ascii="方正仿宋_GB2312" w:hAnsi="方正仿宋_GB2312" w:eastAsia="方正仿宋_GB2312" w:cs="方正仿宋_GB2312"/>
          <w:bCs/>
          <w:sz w:val="32"/>
          <w:szCs w:val="32"/>
          <w:lang w:val="en-US" w:eastAsia="zh-CN"/>
        </w:rPr>
        <w:t>对</w:t>
      </w:r>
      <w:r>
        <w:rPr>
          <w:rFonts w:hint="eastAsia" w:ascii="方正仿宋_GB2312" w:hAnsi="方正仿宋_GB2312" w:eastAsia="方正仿宋_GB2312" w:cs="方正仿宋_GB2312"/>
          <w:kern w:val="0"/>
          <w:sz w:val="32"/>
          <w:szCs w:val="32"/>
          <w:lang w:val="en-US" w:eastAsia="zh-CN"/>
        </w:rPr>
        <w:t>临澧等12个县市续报和永顺县新报</w:t>
      </w:r>
      <w:r>
        <w:rPr>
          <w:rFonts w:hint="eastAsia" w:ascii="方正仿宋_GB2312" w:hAnsi="方正仿宋_GB2312" w:eastAsia="方正仿宋_GB2312" w:cs="方正仿宋_GB2312"/>
          <w:bCs/>
          <w:sz w:val="32"/>
          <w:szCs w:val="32"/>
          <w:lang w:val="en-US" w:eastAsia="zh-CN"/>
        </w:rPr>
        <w:t>全国绿色食品原料标准化生产基地给予一定</w:t>
      </w:r>
      <w:r>
        <w:rPr>
          <w:rFonts w:hint="eastAsia" w:ascii="方正仿宋_GB2312" w:hAnsi="方正仿宋_GB2312" w:eastAsia="方正仿宋_GB2312" w:cs="方正仿宋_GB2312"/>
          <w:kern w:val="0"/>
          <w:sz w:val="32"/>
          <w:szCs w:val="32"/>
          <w:lang w:val="en-US" w:eastAsia="zh-CN"/>
        </w:rPr>
        <w:t>资金支持</w:t>
      </w:r>
      <w:r>
        <w:rPr>
          <w:rFonts w:hint="eastAsia" w:ascii="方正仿宋_GB2312" w:hAnsi="方正仿宋_GB2312" w:eastAsia="方正仿宋_GB2312" w:cs="方正仿宋_GB2312"/>
          <w:bCs/>
          <w:sz w:val="32"/>
          <w:szCs w:val="32"/>
          <w:lang w:val="en-US" w:eastAsia="zh-CN"/>
        </w:rPr>
        <w:t>，</w:t>
      </w:r>
      <w:r>
        <w:rPr>
          <w:rFonts w:hint="eastAsia" w:ascii="方正仿宋_GB2312" w:hAnsi="方正仿宋_GB2312" w:eastAsia="方正仿宋_GB2312" w:cs="方正仿宋_GB2312"/>
          <w:kern w:val="0"/>
          <w:sz w:val="32"/>
          <w:szCs w:val="32"/>
          <w:lang w:val="en-US" w:eastAsia="zh-CN"/>
        </w:rPr>
        <w:t>提升绿色食品原料供应能力。 新增湖南乾坤生物科技有限公司为全国绿色食品一二三产业融合发展园区，总数达到4个（排全国第五）。</w:t>
      </w:r>
      <w:r>
        <w:rPr>
          <w:rFonts w:hint="eastAsia" w:ascii="方正仿宋_GB2312" w:hAnsi="方正仿宋_GB2312" w:eastAsia="方正仿宋_GB2312" w:cs="方正仿宋_GB2312"/>
          <w:b/>
          <w:sz w:val="32"/>
          <w:szCs w:val="32"/>
          <w:lang w:val="en-US" w:eastAsia="zh-CN"/>
        </w:rPr>
        <w:t>起草规范性文件推进绿色优质农产品基地建设。</w:t>
      </w:r>
      <w:r>
        <w:rPr>
          <w:rFonts w:hint="eastAsia" w:ascii="方正仿宋_GB2312" w:hAnsi="方正仿宋_GB2312" w:eastAsia="方正仿宋_GB2312" w:cs="方正仿宋_GB2312"/>
          <w:kern w:val="0"/>
          <w:sz w:val="32"/>
          <w:szCs w:val="32"/>
          <w:lang w:val="en-US" w:eastAsia="zh-CN"/>
        </w:rPr>
        <w:t>起草推动规范性文件《湖南省绿色优质农产品生产基地认定管理办法》（HNPR-2024-17017），由县农业农村局负责申报，选定辖区内特色主导农产品划定基地范围，整县推进绿色优质农产品供给能力。</w:t>
      </w:r>
      <w:r>
        <w:rPr>
          <w:rFonts w:hint="eastAsia" w:ascii="方正仿宋_GB2312" w:hAnsi="方正仿宋_GB2312" w:eastAsia="方正仿宋_GB2312" w:cs="方正仿宋_GB2312"/>
          <w:b/>
          <w:sz w:val="32"/>
          <w:szCs w:val="32"/>
          <w:lang w:val="en-US" w:eastAsia="zh-CN"/>
        </w:rPr>
        <w:t>构建协同推进绿色优质农产品发展格局。</w:t>
      </w:r>
      <w:r>
        <w:rPr>
          <w:rFonts w:hint="eastAsia" w:ascii="方正仿宋_GB2312" w:hAnsi="方正仿宋_GB2312" w:eastAsia="方正仿宋_GB2312" w:cs="方正仿宋_GB2312"/>
          <w:kern w:val="0"/>
          <w:sz w:val="32"/>
          <w:szCs w:val="32"/>
          <w:lang w:val="en-US" w:eastAsia="zh-CN"/>
        </w:rPr>
        <w:t>推动印发了《关于进一步提升绿色优质农产品高质量高水平发展的实施方案》，提出了加快推进基地建设、精心培育龙头企业、有力促进营销升级、不断强化质量管控、持续开展公益宣传5大举措，明确了相关处室单位支持措施，构建推动绿色优质农产品发展合力。三是</w:t>
      </w:r>
      <w:r>
        <w:rPr>
          <w:rFonts w:hint="eastAsia" w:ascii="方正仿宋_GB2312" w:hAnsi="方正仿宋_GB2312" w:eastAsia="方正仿宋_GB2312" w:cs="方正仿宋_GB2312"/>
          <w:b/>
          <w:kern w:val="0"/>
          <w:sz w:val="32"/>
          <w:szCs w:val="32"/>
          <w:lang w:val="en-US" w:eastAsia="zh-CN"/>
        </w:rPr>
        <w:t>质量管控推出新举措</w:t>
      </w:r>
      <w:r>
        <w:rPr>
          <w:rFonts w:hint="eastAsia" w:ascii="方正仿宋_GB2312" w:hAnsi="方正仿宋_GB2312" w:eastAsia="方正仿宋_GB2312" w:cs="方正仿宋_GB2312"/>
          <w:b/>
          <w:kern w:val="0"/>
          <w:sz w:val="32"/>
          <w:szCs w:val="32"/>
        </w:rPr>
        <w:t>。</w:t>
      </w:r>
      <w:r>
        <w:rPr>
          <w:rFonts w:hint="eastAsia" w:ascii="方正仿宋_GB2312" w:hAnsi="方正仿宋_GB2312" w:eastAsia="方正仿宋_GB2312" w:cs="方正仿宋_GB2312"/>
          <w:b/>
          <w:kern w:val="0"/>
          <w:sz w:val="32"/>
          <w:szCs w:val="32"/>
          <w:lang w:val="en-US" w:eastAsia="zh-CN"/>
        </w:rPr>
        <w:t>重点产品农残治理构建新模式。</w:t>
      </w:r>
      <w:r>
        <w:rPr>
          <w:rFonts w:hint="eastAsia" w:ascii="方正仿宋_GB2312" w:hAnsi="方正仿宋_GB2312" w:eastAsia="方正仿宋_GB2312" w:cs="方正仿宋_GB2312"/>
          <w:sz w:val="32"/>
          <w:szCs w:val="32"/>
          <w:lang w:val="en-US" w:eastAsia="zh-CN"/>
        </w:rPr>
        <w:t>聚焦豇豆农残治理，探索出绿色食品豇豆绿色化防控、标准化种植、制度化管理、品牌化经营、组织化生产的“五化”模式，有效提升了绿色食品豇豆质量安全水平，我省工作经验在全国推介。</w:t>
      </w:r>
      <w:r>
        <w:rPr>
          <w:rFonts w:hint="eastAsia" w:ascii="方正仿宋_GB2312" w:hAnsi="方正仿宋_GB2312" w:eastAsia="方正仿宋_GB2312" w:cs="方正仿宋_GB2312"/>
          <w:b/>
          <w:kern w:val="0"/>
          <w:sz w:val="32"/>
          <w:szCs w:val="32"/>
          <w:lang w:val="en-US" w:eastAsia="zh-CN"/>
        </w:rPr>
        <w:t>从严加强证后监管。</w:t>
      </w:r>
      <w:r>
        <w:rPr>
          <w:rFonts w:hint="eastAsia" w:ascii="方正仿宋_GB2312" w:hAnsi="方正仿宋_GB2312" w:eastAsia="方正仿宋_GB2312" w:cs="方正仿宋_GB2312"/>
          <w:b w:val="0"/>
          <w:bCs/>
          <w:kern w:val="0"/>
          <w:sz w:val="32"/>
          <w:szCs w:val="32"/>
          <w:lang w:val="en-US" w:eastAsia="zh-CN"/>
        </w:rPr>
        <w:t>进一步规范绿色食品企业年检，按月备案审查，按季邮寄材料，无需派员到省绿办盖章，既保障了年检时效性，又提高了效率，减轻了基层负担。绿色食品颁证后“双随机一公开”行政检查</w:t>
      </w:r>
      <w:r>
        <w:rPr>
          <w:rFonts w:hint="eastAsia" w:ascii="方正仿宋_GB2312" w:hAnsi="方正仿宋_GB2312" w:eastAsia="方正仿宋_GB2312" w:cs="方正仿宋_GB2312"/>
          <w:sz w:val="32"/>
          <w:szCs w:val="32"/>
        </w:rPr>
        <w:t>随机抽取1</w:t>
      </w:r>
      <w:r>
        <w:rPr>
          <w:rFonts w:hint="eastAsia" w:ascii="方正仿宋_GB2312" w:hAnsi="方正仿宋_GB2312" w:eastAsia="方正仿宋_GB2312" w:cs="方正仿宋_GB2312"/>
          <w:sz w:val="32"/>
          <w:szCs w:val="32"/>
          <w:lang w:val="en-US" w:eastAsia="zh-CN"/>
        </w:rPr>
        <w:t>6</w:t>
      </w:r>
      <w:r>
        <w:rPr>
          <w:rFonts w:hint="eastAsia" w:ascii="方正仿宋_GB2312" w:hAnsi="方正仿宋_GB2312" w:eastAsia="方正仿宋_GB2312" w:cs="方正仿宋_GB2312"/>
          <w:sz w:val="32"/>
          <w:szCs w:val="32"/>
        </w:rPr>
        <w:t>0个绿色食品证书持有人</w:t>
      </w:r>
      <w:r>
        <w:rPr>
          <w:rFonts w:hint="eastAsia" w:ascii="方正仿宋_GB2312" w:hAnsi="方正仿宋_GB2312" w:eastAsia="方正仿宋_GB2312" w:cs="方正仿宋_GB2312"/>
          <w:sz w:val="32"/>
          <w:szCs w:val="32"/>
          <w:lang w:val="en-US" w:eastAsia="zh-CN"/>
        </w:rPr>
        <w:t>160批次产品</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抽检数量为历年最多，确保认证产品质量。</w:t>
      </w:r>
      <w:r>
        <w:rPr>
          <w:rFonts w:hint="eastAsia" w:ascii="方正仿宋_GB2312" w:hAnsi="方正仿宋_GB2312" w:eastAsia="方正仿宋_GB2312" w:cs="方正仿宋_GB2312"/>
          <w:b/>
          <w:kern w:val="0"/>
          <w:sz w:val="32"/>
          <w:szCs w:val="32"/>
          <w:lang w:val="en-US" w:eastAsia="zh-CN"/>
        </w:rPr>
        <w:t>首次开展品质评价</w:t>
      </w:r>
      <w:r>
        <w:rPr>
          <w:rFonts w:hint="eastAsia" w:ascii="方正仿宋_GB2312" w:hAnsi="方正仿宋_GB2312" w:eastAsia="方正仿宋_GB2312" w:cs="方正仿宋_GB2312"/>
          <w:b/>
          <w:kern w:val="0"/>
          <w:sz w:val="32"/>
          <w:szCs w:val="32"/>
        </w:rPr>
        <w:t>。</w:t>
      </w:r>
      <w:r>
        <w:rPr>
          <w:rFonts w:hint="eastAsia" w:ascii="方正仿宋_GB2312" w:hAnsi="方正仿宋_GB2312" w:eastAsia="方正仿宋_GB2312" w:cs="方正仿宋_GB2312"/>
          <w:color w:val="000000"/>
          <w:kern w:val="0"/>
          <w:sz w:val="32"/>
          <w:szCs w:val="32"/>
          <w:lang w:val="en-US" w:eastAsia="zh-CN"/>
        </w:rPr>
        <w:t>聚焦水果类地理标志农产品，以政府购买服务的形式，委托湖南农业大学重点对</w:t>
      </w:r>
      <w:r>
        <w:rPr>
          <w:rFonts w:hint="eastAsia" w:ascii="方正仿宋_GB2312" w:hAnsi="方正仿宋_GB2312" w:eastAsia="方正仿宋_GB2312" w:cs="方正仿宋_GB2312"/>
          <w:sz w:val="32"/>
          <w:szCs w:val="32"/>
        </w:rPr>
        <w:t>崀山脐橙、东江湖蜜桔、江永香柚等3个地理标志农产品</w:t>
      </w:r>
      <w:r>
        <w:rPr>
          <w:rFonts w:hint="eastAsia" w:ascii="方正仿宋_GB2312" w:hAnsi="方正仿宋_GB2312" w:eastAsia="方正仿宋_GB2312" w:cs="方正仿宋_GB2312"/>
          <w:sz w:val="32"/>
          <w:szCs w:val="32"/>
          <w:lang w:val="en-US" w:eastAsia="zh-CN"/>
        </w:rPr>
        <w:t>的</w:t>
      </w:r>
      <w:r>
        <w:rPr>
          <w:rFonts w:hint="eastAsia" w:ascii="方正仿宋_GB2312" w:hAnsi="方正仿宋_GB2312" w:eastAsia="方正仿宋_GB2312" w:cs="方正仿宋_GB2312"/>
          <w:sz w:val="32"/>
          <w:szCs w:val="32"/>
        </w:rPr>
        <w:t>外在感官、特色品质指标、营养功能、</w:t>
      </w:r>
      <w:r>
        <w:rPr>
          <w:rFonts w:hint="eastAsia" w:ascii="方正仿宋_GB2312" w:hAnsi="方正仿宋_GB2312" w:eastAsia="方正仿宋_GB2312" w:cs="方正仿宋_GB2312"/>
          <w:sz w:val="32"/>
          <w:szCs w:val="32"/>
          <w:lang w:val="en-US" w:eastAsia="zh-CN"/>
        </w:rPr>
        <w:t>规格分等</w:t>
      </w:r>
      <w:r>
        <w:rPr>
          <w:rFonts w:hint="eastAsia" w:ascii="方正仿宋_GB2312" w:hAnsi="方正仿宋_GB2312" w:eastAsia="方正仿宋_GB2312" w:cs="方正仿宋_GB2312"/>
          <w:sz w:val="32"/>
          <w:szCs w:val="32"/>
        </w:rPr>
        <w:t>分级以及品质影响因素等方面进行</w:t>
      </w:r>
      <w:r>
        <w:rPr>
          <w:rFonts w:hint="eastAsia" w:ascii="方正仿宋_GB2312" w:hAnsi="方正仿宋_GB2312" w:eastAsia="方正仿宋_GB2312" w:cs="方正仿宋_GB2312"/>
          <w:sz w:val="32"/>
          <w:szCs w:val="32"/>
          <w:lang w:val="en-US" w:eastAsia="zh-CN"/>
        </w:rPr>
        <w:t>科学</w:t>
      </w:r>
      <w:r>
        <w:rPr>
          <w:rFonts w:hint="eastAsia" w:ascii="方正仿宋_GB2312" w:hAnsi="方正仿宋_GB2312" w:eastAsia="方正仿宋_GB2312" w:cs="方正仿宋_GB2312"/>
          <w:sz w:val="32"/>
          <w:szCs w:val="32"/>
        </w:rPr>
        <w:t>评价</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为我省“土特产”品质提供数据支撑</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b/>
          <w:sz w:val="32"/>
          <w:szCs w:val="32"/>
          <w:lang w:val="en-US" w:eastAsia="zh-CN"/>
        </w:rPr>
        <w:t>四是品牌建设开创新篇章</w:t>
      </w:r>
      <w:r>
        <w:rPr>
          <w:rFonts w:hint="eastAsia" w:ascii="方正仿宋_GB2312" w:hAnsi="方正仿宋_GB2312" w:eastAsia="方正仿宋_GB2312" w:cs="方正仿宋_GB2312"/>
          <w:b/>
          <w:sz w:val="32"/>
          <w:szCs w:val="32"/>
        </w:rPr>
        <w:t>。</w:t>
      </w:r>
      <w:r>
        <w:rPr>
          <w:rFonts w:hint="eastAsia" w:ascii="方正仿宋_GB2312" w:hAnsi="方正仿宋_GB2312" w:eastAsia="方正仿宋_GB2312" w:cs="方正仿宋_GB2312"/>
          <w:b/>
          <w:sz w:val="32"/>
          <w:szCs w:val="32"/>
          <w:lang w:val="en-US" w:eastAsia="zh-CN"/>
        </w:rPr>
        <w:t>宣传活动创设新动作。</w:t>
      </w:r>
      <w:r>
        <w:rPr>
          <w:rFonts w:hint="eastAsia" w:ascii="方正仿宋_GB2312" w:hAnsi="方正仿宋_GB2312" w:eastAsia="方正仿宋_GB2312" w:cs="方正仿宋_GB2312"/>
          <w:color w:val="333333"/>
          <w:sz w:val="32"/>
          <w:szCs w:val="32"/>
        </w:rPr>
        <w:t>首次</w:t>
      </w:r>
      <w:r>
        <w:rPr>
          <w:rFonts w:hint="eastAsia" w:ascii="方正仿宋_GB2312" w:hAnsi="方正仿宋_GB2312" w:eastAsia="方正仿宋_GB2312" w:cs="方正仿宋_GB2312"/>
          <w:color w:val="333333"/>
          <w:sz w:val="32"/>
          <w:szCs w:val="32"/>
          <w:lang w:val="en-US" w:eastAsia="zh-CN"/>
        </w:rPr>
        <w:t>组织我省</w:t>
      </w:r>
      <w:r>
        <w:rPr>
          <w:rFonts w:hint="eastAsia" w:ascii="方正仿宋_GB2312" w:hAnsi="方正仿宋_GB2312" w:eastAsia="方正仿宋_GB2312" w:cs="方正仿宋_GB2312"/>
          <w:color w:val="333333"/>
          <w:sz w:val="32"/>
          <w:szCs w:val="32"/>
        </w:rPr>
        <w:t>绿色有机地标农产品走进国家广播电视总局</w:t>
      </w:r>
      <w:r>
        <w:rPr>
          <w:rFonts w:hint="eastAsia" w:ascii="方正仿宋_GB2312" w:hAnsi="方正仿宋_GB2312" w:eastAsia="方正仿宋_GB2312" w:cs="方正仿宋_GB2312"/>
          <w:color w:val="333333"/>
          <w:sz w:val="32"/>
          <w:szCs w:val="32"/>
          <w:lang w:val="en-US" w:eastAsia="zh-CN"/>
        </w:rPr>
        <w:t>等</w:t>
      </w:r>
      <w:r>
        <w:rPr>
          <w:rFonts w:hint="eastAsia" w:ascii="方正仿宋_GB2312" w:hAnsi="方正仿宋_GB2312" w:eastAsia="方正仿宋_GB2312" w:cs="方正仿宋_GB2312"/>
          <w:color w:val="333333"/>
          <w:sz w:val="32"/>
          <w:szCs w:val="32"/>
        </w:rPr>
        <w:t>国家机关单位，保靖黄金茶、樟树港辣椒、长康菜籽油等50多个</w:t>
      </w:r>
      <w:r>
        <w:rPr>
          <w:rFonts w:hint="eastAsia" w:ascii="方正仿宋_GB2312" w:hAnsi="方正仿宋_GB2312" w:eastAsia="方正仿宋_GB2312" w:cs="方正仿宋_GB2312"/>
          <w:color w:val="333333"/>
          <w:sz w:val="32"/>
          <w:szCs w:val="32"/>
          <w:lang w:val="en-US" w:eastAsia="zh-CN"/>
        </w:rPr>
        <w:t>产品集中展示展销</w:t>
      </w:r>
      <w:r>
        <w:rPr>
          <w:rFonts w:hint="eastAsia" w:ascii="方正仿宋_GB2312" w:hAnsi="方正仿宋_GB2312" w:eastAsia="方正仿宋_GB2312" w:cs="方正仿宋_GB2312"/>
          <w:color w:val="333333"/>
          <w:sz w:val="32"/>
          <w:szCs w:val="32"/>
        </w:rPr>
        <w:t>。</w:t>
      </w:r>
      <w:r>
        <w:rPr>
          <w:rFonts w:hint="eastAsia" w:ascii="方正仿宋_GB2312" w:hAnsi="方正仿宋_GB2312" w:eastAsia="方正仿宋_GB2312" w:cs="方正仿宋_GB2312"/>
          <w:sz w:val="32"/>
          <w:szCs w:val="32"/>
          <w:lang w:val="en-US" w:eastAsia="zh-CN"/>
        </w:rPr>
        <w:t>首次组织在地铁站厅开展绿色食品公益宣传，并</w:t>
      </w:r>
      <w:r>
        <w:rPr>
          <w:rFonts w:hint="eastAsia" w:ascii="方正仿宋_GB2312" w:hAnsi="方正仿宋_GB2312" w:eastAsia="方正仿宋_GB2312" w:cs="方正仿宋_GB2312"/>
          <w:color w:val="333333"/>
          <w:sz w:val="32"/>
          <w:szCs w:val="32"/>
        </w:rPr>
        <w:t>优选高桥银峰、三红蜜柚等33个</w:t>
      </w:r>
      <w:r>
        <w:rPr>
          <w:rFonts w:hint="eastAsia" w:ascii="方正仿宋_GB2312" w:hAnsi="方正仿宋_GB2312" w:eastAsia="方正仿宋_GB2312" w:cs="方正仿宋_GB2312"/>
          <w:color w:val="333333"/>
          <w:sz w:val="32"/>
          <w:szCs w:val="32"/>
          <w:lang w:val="en-US" w:eastAsia="zh-CN"/>
        </w:rPr>
        <w:t>认证</w:t>
      </w:r>
      <w:r>
        <w:rPr>
          <w:rFonts w:hint="eastAsia" w:ascii="方正仿宋_GB2312" w:hAnsi="方正仿宋_GB2312" w:eastAsia="方正仿宋_GB2312" w:cs="方正仿宋_GB2312"/>
          <w:color w:val="333333"/>
          <w:sz w:val="32"/>
          <w:szCs w:val="32"/>
        </w:rPr>
        <w:t>产品登陆地铁2号线溁湾镇站站厅和地铁6号线车厢</w:t>
      </w:r>
      <w:r>
        <w:rPr>
          <w:rFonts w:hint="eastAsia" w:ascii="方正仿宋_GB2312" w:hAnsi="方正仿宋_GB2312" w:eastAsia="方正仿宋_GB2312" w:cs="方正仿宋_GB2312"/>
          <w:sz w:val="32"/>
          <w:szCs w:val="32"/>
          <w:lang w:val="en-US" w:eastAsia="zh-CN"/>
        </w:rPr>
        <w:t>宣传推介。组织</w:t>
      </w:r>
      <w:r>
        <w:rPr>
          <w:rFonts w:hint="eastAsia" w:ascii="方正仿宋_GB2312" w:hAnsi="方正仿宋_GB2312" w:eastAsia="方正仿宋_GB2312" w:cs="方正仿宋_GB2312"/>
          <w:sz w:val="32"/>
          <w:szCs w:val="32"/>
        </w:rPr>
        <w:t>开展了</w:t>
      </w:r>
      <w:r>
        <w:rPr>
          <w:rFonts w:hint="eastAsia" w:ascii="方正仿宋_GB2312" w:hAnsi="方正仿宋_GB2312" w:eastAsia="方正仿宋_GB2312" w:cs="方正仿宋_GB2312"/>
          <w:sz w:val="32"/>
          <w:szCs w:val="32"/>
          <w:lang w:val="en-US" w:eastAsia="zh-CN"/>
        </w:rPr>
        <w:t>多</w:t>
      </w:r>
      <w:r>
        <w:rPr>
          <w:rFonts w:hint="eastAsia" w:ascii="方正仿宋_GB2312" w:hAnsi="方正仿宋_GB2312" w:eastAsia="方正仿宋_GB2312" w:cs="方正仿宋_GB2312"/>
          <w:sz w:val="32"/>
          <w:szCs w:val="32"/>
        </w:rPr>
        <w:t>场次绿色食品进社区、进学校、进</w:t>
      </w:r>
      <w:r>
        <w:rPr>
          <w:rFonts w:hint="eastAsia" w:ascii="方正仿宋_GB2312" w:hAnsi="方正仿宋_GB2312" w:eastAsia="方正仿宋_GB2312" w:cs="方正仿宋_GB2312"/>
          <w:sz w:val="32"/>
          <w:szCs w:val="32"/>
          <w:lang w:val="en-US" w:eastAsia="zh-CN"/>
        </w:rPr>
        <w:t>商</w:t>
      </w:r>
      <w:r>
        <w:rPr>
          <w:rFonts w:hint="eastAsia" w:ascii="方正仿宋_GB2312" w:hAnsi="方正仿宋_GB2312" w:eastAsia="方正仿宋_GB2312" w:cs="方正仿宋_GB2312"/>
          <w:sz w:val="32"/>
          <w:szCs w:val="32"/>
        </w:rPr>
        <w:t>超</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lang w:val="en-US" w:eastAsia="zh-CN"/>
        </w:rPr>
        <w:t>进机关食堂等</w:t>
      </w:r>
      <w:r>
        <w:rPr>
          <w:rFonts w:hint="eastAsia" w:ascii="方正仿宋_GB2312" w:hAnsi="方正仿宋_GB2312" w:eastAsia="方正仿宋_GB2312" w:cs="方正仿宋_GB2312"/>
          <w:sz w:val="32"/>
          <w:szCs w:val="32"/>
        </w:rPr>
        <w:t>活动</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b/>
          <w:sz w:val="32"/>
          <w:szCs w:val="32"/>
          <w:lang w:val="en-US" w:eastAsia="zh-CN"/>
        </w:rPr>
        <w:t>媒体宣传呈现新矩阵。</w:t>
      </w:r>
      <w:r>
        <w:rPr>
          <w:rFonts w:hint="eastAsia" w:ascii="方正仿宋_GB2312" w:hAnsi="方正仿宋_GB2312" w:eastAsia="方正仿宋_GB2312" w:cs="方正仿宋_GB2312"/>
          <w:color w:val="333333"/>
          <w:sz w:val="32"/>
          <w:szCs w:val="32"/>
        </w:rPr>
        <w:t>联合</w:t>
      </w:r>
      <w:r>
        <w:rPr>
          <w:rFonts w:hint="eastAsia" w:ascii="方正仿宋_GB2312" w:hAnsi="方正仿宋_GB2312" w:eastAsia="方正仿宋_GB2312" w:cs="方正仿宋_GB2312"/>
          <w:sz w:val="32"/>
          <w:szCs w:val="32"/>
        </w:rPr>
        <w:t>《湖南日报》</w:t>
      </w:r>
      <w:r>
        <w:rPr>
          <w:rFonts w:hint="eastAsia" w:ascii="方正仿宋_GB2312" w:hAnsi="方正仿宋_GB2312" w:eastAsia="方正仿宋_GB2312" w:cs="方正仿宋_GB2312"/>
          <w:color w:val="333333"/>
          <w:sz w:val="32"/>
          <w:szCs w:val="32"/>
        </w:rPr>
        <w:t>《红网》《湖南农业》</w:t>
      </w:r>
      <w:r>
        <w:rPr>
          <w:rFonts w:hint="eastAsia" w:ascii="方正仿宋_GB2312" w:hAnsi="方正仿宋_GB2312" w:eastAsia="方正仿宋_GB2312" w:cs="方正仿宋_GB2312"/>
          <w:color w:val="333333"/>
          <w:sz w:val="32"/>
          <w:szCs w:val="32"/>
          <w:lang w:val="en-US" w:eastAsia="zh-CN"/>
        </w:rPr>
        <w:t>等对绿色有机地标农产品进行系列</w:t>
      </w:r>
      <w:r>
        <w:rPr>
          <w:rFonts w:hint="eastAsia" w:ascii="方正仿宋_GB2312" w:hAnsi="方正仿宋_GB2312" w:eastAsia="方正仿宋_GB2312" w:cs="方正仿宋_GB2312"/>
          <w:color w:val="333333"/>
          <w:sz w:val="32"/>
          <w:szCs w:val="32"/>
        </w:rPr>
        <w:t>采编宣传报道</w:t>
      </w:r>
      <w:r>
        <w:rPr>
          <w:rFonts w:hint="eastAsia" w:ascii="方正仿宋_GB2312" w:hAnsi="方正仿宋_GB2312" w:eastAsia="方正仿宋_GB2312" w:cs="方正仿宋_GB2312"/>
          <w:color w:val="333333"/>
          <w:sz w:val="32"/>
          <w:szCs w:val="32"/>
          <w:lang w:eastAsia="zh-CN"/>
        </w:rPr>
        <w:t>，</w:t>
      </w:r>
      <w:r>
        <w:rPr>
          <w:rFonts w:hint="eastAsia" w:ascii="方正仿宋_GB2312" w:hAnsi="方正仿宋_GB2312" w:eastAsia="方正仿宋_GB2312" w:cs="方正仿宋_GB2312"/>
          <w:sz w:val="32"/>
          <w:szCs w:val="32"/>
        </w:rPr>
        <w:t>《首批中国农耕农品记忆名录发布 湖南12个品牌农产品入选》，浏览量40.2万+</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color w:val="333333"/>
          <w:sz w:val="32"/>
          <w:szCs w:val="32"/>
        </w:rPr>
        <w:t>《岳阳平江：用绿色绘就农业发展底色》</w:t>
      </w:r>
      <w:r>
        <w:rPr>
          <w:rFonts w:hint="eastAsia" w:ascii="方正仿宋_GB2312" w:hAnsi="方正仿宋_GB2312" w:eastAsia="方正仿宋_GB2312" w:cs="方正仿宋_GB2312"/>
          <w:color w:val="333333"/>
          <w:sz w:val="32"/>
          <w:szCs w:val="32"/>
          <w:lang w:val="en-US" w:eastAsia="zh-CN"/>
        </w:rPr>
        <w:t>等多篇报道浏览量超过10万。首次</w:t>
      </w:r>
      <w:r>
        <w:rPr>
          <w:rFonts w:hint="eastAsia" w:ascii="方正仿宋_GB2312" w:hAnsi="方正仿宋_GB2312" w:eastAsia="方正仿宋_GB2312" w:cs="方正仿宋_GB2312"/>
          <w:color w:val="333333"/>
          <w:sz w:val="32"/>
          <w:szCs w:val="32"/>
        </w:rPr>
        <w:t>联合湖南省气象台在《湖南都市》</w:t>
      </w:r>
      <w:r>
        <w:rPr>
          <w:rFonts w:hint="eastAsia" w:ascii="方正仿宋_GB2312" w:hAnsi="方正仿宋_GB2312" w:eastAsia="方正仿宋_GB2312" w:cs="方正仿宋_GB2312"/>
          <w:color w:val="333333"/>
          <w:sz w:val="32"/>
          <w:szCs w:val="32"/>
          <w:lang w:eastAsia="zh-CN"/>
        </w:rPr>
        <w:t>“</w:t>
      </w:r>
      <w:r>
        <w:rPr>
          <w:rFonts w:hint="eastAsia" w:ascii="方正仿宋_GB2312" w:hAnsi="方正仿宋_GB2312" w:eastAsia="方正仿宋_GB2312" w:cs="方正仿宋_GB2312"/>
          <w:color w:val="333333"/>
          <w:sz w:val="32"/>
          <w:szCs w:val="32"/>
        </w:rPr>
        <w:t>天气预报</w:t>
      </w:r>
      <w:r>
        <w:rPr>
          <w:rFonts w:hint="eastAsia" w:ascii="方正仿宋_GB2312" w:hAnsi="方正仿宋_GB2312" w:eastAsia="方正仿宋_GB2312" w:cs="方正仿宋_GB2312"/>
          <w:color w:val="333333"/>
          <w:sz w:val="32"/>
          <w:szCs w:val="32"/>
          <w:lang w:eastAsia="zh-CN"/>
        </w:rPr>
        <w:t>”</w:t>
      </w:r>
      <w:r>
        <w:rPr>
          <w:rFonts w:hint="eastAsia" w:ascii="方正仿宋_GB2312" w:hAnsi="方正仿宋_GB2312" w:eastAsia="方正仿宋_GB2312" w:cs="方正仿宋_GB2312"/>
          <w:color w:val="333333"/>
          <w:sz w:val="32"/>
          <w:szCs w:val="32"/>
          <w:lang w:val="en-US" w:eastAsia="zh-CN"/>
        </w:rPr>
        <w:t>栏</w:t>
      </w:r>
      <w:r>
        <w:rPr>
          <w:rFonts w:hint="eastAsia" w:ascii="方正仿宋_GB2312" w:hAnsi="方正仿宋_GB2312" w:eastAsia="方正仿宋_GB2312" w:cs="方正仿宋_GB2312"/>
          <w:color w:val="333333"/>
          <w:sz w:val="32"/>
          <w:szCs w:val="32"/>
        </w:rPr>
        <w:t>目中开展绿色</w:t>
      </w:r>
      <w:r>
        <w:rPr>
          <w:rFonts w:hint="eastAsia" w:ascii="方正仿宋_GB2312" w:hAnsi="方正仿宋_GB2312" w:eastAsia="方正仿宋_GB2312" w:cs="方正仿宋_GB2312"/>
          <w:color w:val="333333"/>
          <w:sz w:val="32"/>
          <w:szCs w:val="32"/>
          <w:lang w:val="en-US" w:eastAsia="zh-CN"/>
        </w:rPr>
        <w:t>食品</w:t>
      </w:r>
      <w:r>
        <w:rPr>
          <w:rFonts w:hint="eastAsia" w:ascii="方正仿宋_GB2312" w:hAnsi="方正仿宋_GB2312" w:eastAsia="方正仿宋_GB2312" w:cs="方正仿宋_GB2312"/>
          <w:color w:val="333333"/>
          <w:sz w:val="32"/>
          <w:szCs w:val="32"/>
        </w:rPr>
        <w:t>公益宣传推广</w:t>
      </w:r>
      <w:r>
        <w:rPr>
          <w:rFonts w:hint="eastAsia" w:ascii="方正仿宋_GB2312" w:hAnsi="方正仿宋_GB2312" w:eastAsia="方正仿宋_GB2312" w:cs="方正仿宋_GB2312"/>
          <w:color w:val="333333"/>
          <w:sz w:val="32"/>
          <w:szCs w:val="32"/>
          <w:lang w:eastAsia="zh-CN"/>
        </w:rPr>
        <w:t>。</w:t>
      </w:r>
      <w:r>
        <w:rPr>
          <w:rFonts w:hint="eastAsia" w:ascii="方正仿宋_GB2312" w:hAnsi="方正仿宋_GB2312" w:eastAsia="方正仿宋_GB2312" w:cs="方正仿宋_GB2312"/>
          <w:b/>
          <w:bCs/>
          <w:color w:val="333333"/>
          <w:sz w:val="32"/>
          <w:szCs w:val="32"/>
          <w:lang w:val="en-US" w:eastAsia="zh-CN"/>
        </w:rPr>
        <w:t>品牌培育拓展新渠道。</w:t>
      </w:r>
      <w:r>
        <w:rPr>
          <w:rFonts w:hint="eastAsia" w:ascii="方正仿宋_GB2312" w:hAnsi="方正仿宋_GB2312" w:eastAsia="方正仿宋_GB2312" w:cs="方正仿宋_GB2312"/>
          <w:color w:val="333333"/>
          <w:sz w:val="32"/>
          <w:szCs w:val="32"/>
          <w:lang w:val="en-US" w:eastAsia="zh-CN"/>
        </w:rPr>
        <w:t>积极开展中国农耕农品记忆索引名录和中国农产品品牌索引名录征集工作，目前共有鹤龙湖螃蟹、安化黄精等25个产品纳入农耕农品记忆索引名录；湘潭湘莲、常德香米等14个知名农产品品牌及其核心生产经营主体纳入中国农产品品牌索引名录。</w:t>
      </w:r>
      <w:r>
        <w:rPr>
          <w:rFonts w:hint="eastAsia" w:ascii="方正仿宋_GB2312" w:hAnsi="方正仿宋_GB2312" w:eastAsia="方正仿宋_GB2312" w:cs="方正仿宋_GB2312"/>
          <w:b/>
          <w:bCs/>
          <w:color w:val="333333"/>
          <w:sz w:val="32"/>
          <w:szCs w:val="32"/>
          <w:lang w:val="en-US" w:eastAsia="zh-CN"/>
        </w:rPr>
        <w:t>产销对接搭建新载体。与省绿色食品协会协作，</w:t>
      </w:r>
      <w:r>
        <w:rPr>
          <w:rFonts w:hint="eastAsia" w:ascii="方正仿宋_GB2312" w:hAnsi="方正仿宋_GB2312" w:eastAsia="方正仿宋_GB2312" w:cs="方正仿宋_GB2312"/>
          <w:color w:val="333333"/>
          <w:sz w:val="32"/>
          <w:szCs w:val="32"/>
          <w:lang w:val="en-US" w:eastAsia="zh-CN"/>
        </w:rPr>
        <w:t>搭建</w:t>
      </w:r>
      <w:r>
        <w:rPr>
          <w:rFonts w:hint="eastAsia" w:ascii="方正仿宋_GB2312" w:hAnsi="方正仿宋_GB2312" w:eastAsia="方正仿宋_GB2312" w:cs="方正仿宋_GB2312"/>
          <w:color w:val="333333"/>
          <w:sz w:val="32"/>
          <w:szCs w:val="32"/>
        </w:rPr>
        <w:t>湖南绿色有机地标农产品小程序商城“湘绿优选”，现已初步完成上线运营</w:t>
      </w:r>
      <w:r>
        <w:rPr>
          <w:rFonts w:hint="eastAsia" w:ascii="方正仿宋_GB2312" w:hAnsi="方正仿宋_GB2312" w:eastAsia="方正仿宋_GB2312" w:cs="方正仿宋_GB2312"/>
          <w:color w:val="333333"/>
          <w:sz w:val="32"/>
          <w:szCs w:val="32"/>
          <w:lang w:val="en-US" w:eastAsia="zh-CN"/>
        </w:rPr>
        <w:t>。联合浏阳河农业集团等企业在抖音平台开设认证产品直播销售专场，反响很好。积极组织参加</w:t>
      </w:r>
      <w:r>
        <w:rPr>
          <w:rFonts w:hint="eastAsia" w:ascii="方正仿宋_GB2312" w:hAnsi="方正仿宋_GB2312" w:eastAsia="方正仿宋_GB2312" w:cs="方正仿宋_GB2312"/>
          <w:color w:val="333333"/>
          <w:sz w:val="32"/>
          <w:szCs w:val="32"/>
          <w:shd w:val="clear" w:color="auto" w:fill="FFFFFF"/>
        </w:rPr>
        <w:t>第二十一届中国国际农产品交易会</w:t>
      </w:r>
      <w:r>
        <w:rPr>
          <w:rFonts w:hint="eastAsia" w:ascii="方正仿宋_GB2312" w:hAnsi="方正仿宋_GB2312" w:eastAsia="方正仿宋_GB2312" w:cs="方正仿宋_GB2312"/>
          <w:color w:val="333333"/>
          <w:sz w:val="32"/>
          <w:szCs w:val="32"/>
          <w:shd w:val="clear" w:color="auto" w:fill="FFFFFF"/>
          <w:lang w:val="en-US" w:eastAsia="zh-CN"/>
        </w:rPr>
        <w:t>湖南绿色有机地标农产品专展，</w:t>
      </w:r>
      <w:r>
        <w:rPr>
          <w:rFonts w:hint="eastAsia" w:ascii="方正仿宋_GB2312" w:hAnsi="方正仿宋_GB2312" w:eastAsia="方正仿宋_GB2312" w:cs="方正仿宋_GB2312"/>
          <w:color w:val="333333"/>
          <w:sz w:val="32"/>
          <w:szCs w:val="32"/>
          <w:shd w:val="clear" w:color="auto" w:fill="FFFFFF"/>
        </w:rPr>
        <w:t>24家生产经营主体80余</w:t>
      </w:r>
      <w:r>
        <w:rPr>
          <w:rFonts w:hint="eastAsia" w:ascii="方正仿宋_GB2312" w:hAnsi="方正仿宋_GB2312" w:eastAsia="方正仿宋_GB2312" w:cs="方正仿宋_GB2312"/>
          <w:color w:val="333333"/>
          <w:sz w:val="32"/>
          <w:szCs w:val="32"/>
          <w:shd w:val="clear" w:color="auto" w:fill="FFFFFF"/>
          <w:lang w:val="en-US" w:eastAsia="zh-CN"/>
        </w:rPr>
        <w:t>个产品参展，</w:t>
      </w:r>
      <w:r>
        <w:rPr>
          <w:rFonts w:hint="eastAsia" w:ascii="方正仿宋_GB2312" w:hAnsi="方正仿宋_GB2312" w:eastAsia="方正仿宋_GB2312" w:cs="方正仿宋_GB2312"/>
          <w:color w:val="333333"/>
          <w:sz w:val="32"/>
          <w:szCs w:val="32"/>
          <w:shd w:val="clear" w:color="auto" w:fill="FFFFFF"/>
        </w:rPr>
        <w:t>现场销售</w:t>
      </w:r>
      <w:r>
        <w:rPr>
          <w:rFonts w:hint="eastAsia" w:ascii="方正仿宋_GB2312" w:hAnsi="方正仿宋_GB2312" w:eastAsia="方正仿宋_GB2312" w:cs="方正仿宋_GB2312"/>
          <w:color w:val="333333"/>
          <w:sz w:val="32"/>
          <w:szCs w:val="32"/>
          <w:shd w:val="clear" w:color="auto" w:fill="FFFFFF"/>
          <w:lang w:val="en-US" w:eastAsia="zh-CN"/>
        </w:rPr>
        <w:t>和</w:t>
      </w:r>
      <w:r>
        <w:rPr>
          <w:rFonts w:hint="eastAsia" w:ascii="方正仿宋_GB2312" w:hAnsi="方正仿宋_GB2312" w:eastAsia="方正仿宋_GB2312" w:cs="方正仿宋_GB2312"/>
          <w:color w:val="333333"/>
          <w:sz w:val="32"/>
          <w:szCs w:val="32"/>
          <w:shd w:val="clear" w:color="auto" w:fill="FFFFFF"/>
        </w:rPr>
        <w:t>意向签约成果丰硕。</w:t>
      </w:r>
    </w:p>
    <w:p>
      <w:pPr>
        <w:pStyle w:val="17"/>
        <w:overflowPunct w:val="0"/>
        <w:autoSpaceDE/>
        <w:autoSpaceDN/>
        <w:spacing w:line="600" w:lineRule="exact"/>
        <w:ind w:firstLine="640" w:firstLineChars="200"/>
        <w:jc w:val="both"/>
        <w:rPr>
          <w:rFonts w:ascii="Times New Roman" w:hAnsi="Times New Roman" w:eastAsia="仿宋_GB2312" w:cs="Times New Roman"/>
          <w:b/>
          <w:bCs/>
          <w:i/>
          <w:iCs/>
          <w:color w:val="auto"/>
          <w:sz w:val="32"/>
          <w:szCs w:val="32"/>
        </w:rPr>
      </w:pPr>
      <w:r>
        <w:rPr>
          <w:rFonts w:ascii="Times New Roman" w:hAnsi="Times New Roman" w:eastAsia="楷体_GB2312" w:cs="Times New Roman"/>
          <w:b/>
          <w:bCs/>
          <w:color w:val="auto"/>
          <w:kern w:val="2"/>
          <w:sz w:val="32"/>
          <w:szCs w:val="32"/>
        </w:rPr>
        <w:t>（三）评价结果应用情况。</w:t>
      </w:r>
    </w:p>
    <w:p>
      <w:pPr>
        <w:keepNext w:val="0"/>
        <w:keepLines w:val="0"/>
        <w:pageBreakBefore w:val="0"/>
        <w:widowControl w:val="0"/>
        <w:numPr>
          <w:ilvl w:val="0"/>
          <w:numId w:val="0"/>
        </w:numPr>
        <w:kinsoku/>
        <w:wordWrap/>
        <w:overflowPunct/>
        <w:topLinePunct w:val="0"/>
        <w:bidi w:val="0"/>
        <w:spacing w:line="580" w:lineRule="exact"/>
        <w:ind w:firstLine="640" w:firstLineChars="200"/>
        <w:textAlignment w:val="auto"/>
        <w:rPr>
          <w:rFonts w:hint="eastAsia" w:ascii="方正仿宋_GB2312" w:hAnsi="方正仿宋_GB2312" w:eastAsia="方正仿宋_GB2312" w:cs="方正仿宋_GB2312"/>
          <w:color w:val="auto"/>
          <w:sz w:val="32"/>
          <w:szCs w:val="32"/>
          <w:lang w:eastAsia="zh-CN"/>
        </w:rPr>
      </w:pPr>
      <w:r>
        <w:rPr>
          <w:rFonts w:hint="eastAsia" w:ascii="方正仿宋_GB2312" w:hAnsi="方正仿宋_GB2312" w:eastAsia="方正仿宋_GB2312" w:cs="方正仿宋_GB2312"/>
          <w:color w:val="auto"/>
          <w:sz w:val="32"/>
          <w:szCs w:val="32"/>
        </w:rPr>
        <w:t>我办</w:t>
      </w:r>
      <w:r>
        <w:rPr>
          <w:rFonts w:hint="eastAsia" w:ascii="方正仿宋_GB2312" w:hAnsi="方正仿宋_GB2312" w:eastAsia="方正仿宋_GB2312" w:cs="方正仿宋_GB2312"/>
          <w:color w:val="auto"/>
          <w:sz w:val="32"/>
          <w:szCs w:val="32"/>
          <w:lang w:val="en-US" w:eastAsia="zh-CN"/>
        </w:rPr>
        <w:t>根据2024年绩效自评情况</w:t>
      </w:r>
      <w:r>
        <w:rPr>
          <w:rFonts w:hint="eastAsia" w:ascii="方正仿宋_GB2312" w:hAnsi="方正仿宋_GB2312" w:eastAsia="方正仿宋_GB2312" w:cs="方正仿宋_GB2312"/>
          <w:color w:val="auto"/>
          <w:sz w:val="32"/>
          <w:szCs w:val="32"/>
        </w:rPr>
        <w:t>，制定了三条工作举措</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一是稳步增加绿色优质农产品规模。扎实做好绿色食品续展和有机农产品再认证工作，续展率稳定在70%左右，再认证率稳定在90%以上，加大养殖业产品认证力度。二是有序推进绿色优质农产品基地建设。积极推进《湖南省绿色优质农产品生产基地认定管理办法》。三是不断强化产品质量控制。落实落细企业年检工作，切实掌握认证企业产地环境保护、生产质量控制等情况，继续开展绿色食品颁证后跟踪检查，加大产品质量抽检力度</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p>
    <w:p>
      <w:pPr>
        <w:pStyle w:val="17"/>
        <w:spacing w:line="360" w:lineRule="auto"/>
        <w:jc w:val="center"/>
        <w:rPr>
          <w:rFonts w:ascii="Times New Roman" w:hAnsi="Times New Roman" w:eastAsia="方正小标宋_GBK" w:cs="Times New Roman"/>
          <w:color w:val="auto"/>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ind w:firstLine="1560" w:firstLineChars="300"/>
        <w:jc w:val="both"/>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widowControl/>
        <w:spacing w:line="600" w:lineRule="exact"/>
        <w:ind w:firstLine="66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一、</w:t>
      </w:r>
      <w:r>
        <w:rPr>
          <w:rFonts w:hint="eastAsia" w:ascii="Times New Roman" w:hAnsi="Times New Roman" w:eastAsia="仿宋_GB2312" w:cs="黑体"/>
          <w:color w:val="000000"/>
          <w:kern w:val="0"/>
          <w:sz w:val="32"/>
          <w:szCs w:val="32"/>
          <w:lang w:val="en-US" w:eastAsia="zh-CN" w:bidi="ar-SA"/>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7"/>
        <w:ind w:firstLine="640" w:firstLineChars="200"/>
        <w:rPr>
          <w:rFonts w:ascii="Times New Roman" w:hAnsi="Times New Roman" w:cs="Times New Roman" w:eastAsiaTheme="minorEastAsia"/>
          <w:sz w:val="32"/>
          <w:szCs w:val="32"/>
        </w:rPr>
      </w:pPr>
      <w:r>
        <w:rPr>
          <w:rFonts w:ascii="Times New Roman" w:hAnsi="Times New Roman" w:eastAsia="仿宋_GB2312" w:cs="Times New Roman"/>
          <w:color w:val="000000"/>
          <w:kern w:val="0"/>
          <w:sz w:val="32"/>
          <w:szCs w:val="32"/>
        </w:rPr>
        <w:t>二、</w:t>
      </w:r>
      <w:r>
        <w:rPr>
          <w:rFonts w:hint="eastAsia" w:ascii="Times New Roman" w:hAnsi="Times New Roman" w:eastAsia="仿宋_GB2312" w:cs="黑体"/>
          <w:color w:val="000000"/>
          <w:kern w:val="0"/>
          <w:sz w:val="32"/>
          <w:szCs w:val="32"/>
          <w:lang w:val="en-US" w:eastAsia="zh-CN" w:bidi="ar-SA"/>
        </w:rPr>
        <w:t>“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pStyle w:val="17"/>
        <w:jc w:val="center"/>
        <w:rPr>
          <w:rFonts w:hint="eastAsia" w:eastAsia="黑体"/>
          <w:sz w:val="52"/>
          <w:szCs w:val="52"/>
          <w:lang w:eastAsia="zh-CN"/>
        </w:rPr>
      </w:pPr>
    </w:p>
    <w:p>
      <w:pPr>
        <w:pStyle w:val="17"/>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pPr>
        <w:rPr>
          <w:rFonts w:ascii="Times New Roman" w:hAnsi="Times New Roman" w:cs="Times New Roman"/>
          <w:sz w:val="72"/>
          <w:szCs w:val="72"/>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spacing w:line="640" w:lineRule="exact"/>
        <w:jc w:val="center"/>
        <w:rPr>
          <w:rFonts w:hint="eastAsia" w:ascii="黑体" w:eastAsia="黑体"/>
          <w:sz w:val="44"/>
          <w:szCs w:val="44"/>
        </w:rPr>
      </w:pPr>
    </w:p>
    <w:p>
      <w:pPr>
        <w:ind w:firstLine="0" w:firstLineChars="0"/>
        <w:jc w:val="center"/>
        <w:rPr>
          <w:rFonts w:hint="eastAsia" w:ascii="方正仿宋_GB2312" w:hAnsi="方正仿宋_GB2312" w:eastAsia="方正仿宋_GB2312" w:cs="方正仿宋_GB2312"/>
          <w:b/>
          <w:bCs/>
          <w:color w:val="000000"/>
          <w:sz w:val="40"/>
          <w:szCs w:val="40"/>
          <w:lang w:val="en-US" w:eastAsia="zh-CN"/>
        </w:rPr>
      </w:pPr>
      <w:r>
        <w:rPr>
          <w:rFonts w:hint="eastAsia" w:ascii="方正仿宋_GB2312" w:hAnsi="方正仿宋_GB2312" w:eastAsia="方正仿宋_GB2312" w:cs="方正仿宋_GB2312"/>
          <w:b/>
          <w:bCs/>
          <w:sz w:val="40"/>
          <w:szCs w:val="40"/>
          <w:lang w:val="en-US" w:eastAsia="zh-CN"/>
        </w:rPr>
        <w:t>2024</w:t>
      </w:r>
      <w:r>
        <w:rPr>
          <w:rFonts w:hint="eastAsia" w:ascii="方正仿宋_GB2312" w:hAnsi="方正仿宋_GB2312" w:eastAsia="方正仿宋_GB2312" w:cs="方正仿宋_GB2312"/>
          <w:b/>
          <w:bCs/>
          <w:sz w:val="40"/>
          <w:szCs w:val="40"/>
        </w:rPr>
        <w:t>年度</w:t>
      </w:r>
      <w:r>
        <w:rPr>
          <w:rFonts w:hint="eastAsia" w:ascii="方正仿宋_GB2312" w:hAnsi="方正仿宋_GB2312" w:eastAsia="方正仿宋_GB2312" w:cs="方正仿宋_GB2312"/>
          <w:b/>
          <w:bCs/>
          <w:color w:val="000000"/>
          <w:sz w:val="40"/>
          <w:szCs w:val="40"/>
          <w:lang w:val="en-US" w:eastAsia="zh-CN"/>
        </w:rPr>
        <w:t>湖南省绿色食品办公室</w:t>
      </w:r>
    </w:p>
    <w:p>
      <w:pPr>
        <w:ind w:firstLine="0" w:firstLineChars="0"/>
        <w:jc w:val="center"/>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 xml:space="preserve">整体支出绩效自评报告 </w:t>
      </w:r>
    </w:p>
    <w:p>
      <w:pPr>
        <w:pStyle w:val="3"/>
        <w:keepNext w:val="0"/>
        <w:keepLines w:val="0"/>
        <w:pageBreakBefore w:val="0"/>
        <w:widowControl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val="0"/>
          <w:sz w:val="32"/>
          <w:szCs w:val="32"/>
        </w:rPr>
        <w:t>一、基本情况</w:t>
      </w:r>
    </w:p>
    <w:p>
      <w:pPr>
        <w:keepNext w:val="0"/>
        <w:keepLines w:val="0"/>
        <w:pageBreakBefore w:val="0"/>
        <w:widowControl w:val="0"/>
        <w:kinsoku/>
        <w:wordWrap/>
        <w:overflowPunct/>
        <w:topLinePunct w:val="0"/>
        <w:bidi w:val="0"/>
        <w:spacing w:line="580" w:lineRule="exact"/>
        <w:ind w:firstLine="643"/>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（一）单位基本情况</w:t>
      </w:r>
    </w:p>
    <w:p>
      <w:pPr>
        <w:keepNext w:val="0"/>
        <w:keepLines w:val="0"/>
        <w:pageBreakBefore w:val="0"/>
        <w:widowControl w:val="0"/>
        <w:kinsoku/>
        <w:wordWrap/>
        <w:overflowPunct/>
        <w:topLinePunct w:val="0"/>
        <w:autoSpaceDE/>
        <w:autoSpaceDN/>
        <w:bidi w:val="0"/>
        <w:spacing w:line="580" w:lineRule="exact"/>
        <w:textAlignment w:val="auto"/>
        <w:rPr>
          <w:rFonts w:hint="eastAsia" w:ascii="方正仿宋_GB2312" w:hAnsi="方正仿宋_GB2312" w:eastAsia="方正仿宋_GB2312" w:cs="方正仿宋_GB2312"/>
          <w:b/>
          <w:sz w:val="32"/>
          <w:szCs w:val="32"/>
          <w:lang w:eastAsia="zh-CN"/>
        </w:rPr>
      </w:pPr>
      <w:r>
        <w:rPr>
          <w:rFonts w:hint="eastAsia" w:ascii="方正仿宋_GB2312" w:hAnsi="方正仿宋_GB2312" w:eastAsia="方正仿宋_GB2312" w:cs="方正仿宋_GB2312"/>
          <w:bCs/>
          <w:sz w:val="32"/>
          <w:szCs w:val="32"/>
          <w:u w:val="none"/>
          <w:lang w:eastAsia="zh-CN"/>
        </w:rPr>
        <w:t>湖南省绿色食品办公室</w:t>
      </w:r>
      <w:r>
        <w:rPr>
          <w:rFonts w:hint="eastAsia" w:ascii="方正仿宋_GB2312" w:hAnsi="方正仿宋_GB2312" w:eastAsia="方正仿宋_GB2312" w:cs="方正仿宋_GB2312"/>
          <w:color w:val="000000"/>
          <w:sz w:val="32"/>
          <w:szCs w:val="32"/>
          <w:u w:val="none"/>
        </w:rPr>
        <w:t>成立</w:t>
      </w:r>
      <w:r>
        <w:rPr>
          <w:rFonts w:hint="eastAsia" w:ascii="方正仿宋_GB2312" w:hAnsi="方正仿宋_GB2312" w:eastAsia="方正仿宋_GB2312" w:cs="方正仿宋_GB2312"/>
          <w:color w:val="000000"/>
          <w:sz w:val="32"/>
          <w:szCs w:val="32"/>
          <w:u w:val="none"/>
          <w:lang w:val="en-US" w:eastAsia="zh-CN"/>
        </w:rPr>
        <w:t>1993</w:t>
      </w:r>
      <w:r>
        <w:rPr>
          <w:rFonts w:hint="eastAsia" w:ascii="方正仿宋_GB2312" w:hAnsi="方正仿宋_GB2312" w:eastAsia="方正仿宋_GB2312" w:cs="方正仿宋_GB2312"/>
          <w:color w:val="000000"/>
          <w:sz w:val="32"/>
          <w:szCs w:val="32"/>
          <w:u w:val="none"/>
        </w:rPr>
        <w:t>年，单位性质</w:t>
      </w:r>
      <w:r>
        <w:rPr>
          <w:rFonts w:hint="eastAsia" w:ascii="方正仿宋_GB2312" w:hAnsi="方正仿宋_GB2312" w:eastAsia="方正仿宋_GB2312" w:cs="方正仿宋_GB2312"/>
          <w:color w:val="000000"/>
          <w:sz w:val="32"/>
          <w:szCs w:val="32"/>
          <w:u w:val="none"/>
          <w:lang w:eastAsia="zh-CN"/>
        </w:rPr>
        <w:t>为全额事业单位</w:t>
      </w:r>
      <w:r>
        <w:rPr>
          <w:rFonts w:hint="eastAsia" w:ascii="方正仿宋_GB2312" w:hAnsi="方正仿宋_GB2312" w:eastAsia="方正仿宋_GB2312" w:cs="方正仿宋_GB2312"/>
          <w:color w:val="000000"/>
          <w:sz w:val="32"/>
          <w:szCs w:val="32"/>
          <w:u w:val="none"/>
        </w:rPr>
        <w:t>，</w:t>
      </w:r>
      <w:r>
        <w:rPr>
          <w:rFonts w:hint="eastAsia" w:ascii="方正仿宋_GB2312" w:hAnsi="方正仿宋_GB2312" w:eastAsia="方正仿宋_GB2312" w:cs="方正仿宋_GB2312"/>
          <w:color w:val="000000"/>
          <w:sz w:val="32"/>
          <w:szCs w:val="32"/>
          <w:u w:val="none"/>
          <w:lang w:eastAsia="zh-CN"/>
        </w:rPr>
        <w:t>其</w:t>
      </w:r>
      <w:r>
        <w:rPr>
          <w:rFonts w:hint="eastAsia" w:ascii="方正仿宋_GB2312" w:hAnsi="方正仿宋_GB2312" w:eastAsia="方正仿宋_GB2312" w:cs="方正仿宋_GB2312"/>
          <w:b w:val="0"/>
          <w:bCs/>
          <w:sz w:val="32"/>
          <w:szCs w:val="32"/>
        </w:rPr>
        <w:t>职能职责</w:t>
      </w:r>
      <w:r>
        <w:rPr>
          <w:rFonts w:hint="eastAsia" w:ascii="方正仿宋_GB2312" w:hAnsi="方正仿宋_GB2312" w:eastAsia="方正仿宋_GB2312" w:cs="方正仿宋_GB2312"/>
          <w:b w:val="0"/>
          <w:bCs/>
          <w:sz w:val="32"/>
          <w:szCs w:val="32"/>
          <w:lang w:eastAsia="zh-CN"/>
        </w:rPr>
        <w:t>为：</w:t>
      </w:r>
    </w:p>
    <w:p>
      <w:pPr>
        <w:pStyle w:val="18"/>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1.贯彻执行国家关于农产品质量安全认证方面的法律、法规和规章制度，服务农产品安全生产，提高我省农产品质量安全水平； </w:t>
      </w:r>
    </w:p>
    <w:p>
      <w:pPr>
        <w:pStyle w:val="18"/>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2.负责绿色食品、有机农产品认证申请受理和初审； </w:t>
      </w:r>
    </w:p>
    <w:p>
      <w:pPr>
        <w:pStyle w:val="18"/>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3.协助厅农产品质量安全监管处承担绿色食品、有机农产品标志和农产品地理标志使用的监督管理的事务性工作； </w:t>
      </w:r>
    </w:p>
    <w:p>
      <w:pPr>
        <w:pStyle w:val="18"/>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4.协助拟定绿色食品、有机农产品、农产品地理标志发展目标任务，协助开展绿色优质农产品生产基地建设相关工作； </w:t>
      </w:r>
    </w:p>
    <w:p>
      <w:pPr>
        <w:pStyle w:val="18"/>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sz w:val="32"/>
          <w:szCs w:val="32"/>
        </w:rPr>
        <w:t>5.参与制定绿色食品、有机农产品和地理标志农产品相关质量标准、生产加工技术规范并组织实施，开展有关国际交流与技术合作；</w:t>
      </w:r>
    </w:p>
    <w:p>
      <w:pPr>
        <w:pStyle w:val="18"/>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6.开展绿色食品、有机农产品和地理标志农产品品牌培育和宣传推介等工作；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7.协助开展农产品品质指标、营养功能评价鉴定等相关工作；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8.完成上级交予的其他任务。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color w:val="auto"/>
          <w:kern w:val="0"/>
          <w:sz w:val="32"/>
          <w:szCs w:val="32"/>
          <w:lang w:eastAsia="zh-CN"/>
        </w:rPr>
        <w:t>机构情况：湖南省绿色食品办公室</w:t>
      </w:r>
      <w:r>
        <w:rPr>
          <w:rFonts w:hint="eastAsia" w:ascii="方正仿宋_GB2312" w:hAnsi="方正仿宋_GB2312" w:eastAsia="方正仿宋_GB2312" w:cs="方正仿宋_GB2312"/>
          <w:bCs/>
          <w:color w:val="auto"/>
          <w:kern w:val="0"/>
          <w:sz w:val="32"/>
          <w:szCs w:val="32"/>
          <w:lang w:val="en-US" w:eastAsia="zh-CN"/>
        </w:rPr>
        <w:t>内</w:t>
      </w:r>
      <w:r>
        <w:rPr>
          <w:rFonts w:hint="eastAsia" w:ascii="方正仿宋_GB2312" w:hAnsi="方正仿宋_GB2312" w:eastAsia="方正仿宋_GB2312" w:cs="方正仿宋_GB2312"/>
          <w:bCs/>
          <w:color w:val="auto"/>
          <w:kern w:val="0"/>
          <w:sz w:val="32"/>
          <w:szCs w:val="32"/>
          <w:lang w:eastAsia="zh-CN"/>
        </w:rPr>
        <w:t>设有</w:t>
      </w:r>
      <w:r>
        <w:rPr>
          <w:rFonts w:hint="eastAsia" w:ascii="方正仿宋_GB2312" w:hAnsi="方正仿宋_GB2312" w:eastAsia="方正仿宋_GB2312" w:cs="方正仿宋_GB2312"/>
          <w:bCs/>
          <w:color w:val="auto"/>
          <w:kern w:val="0"/>
          <w:sz w:val="32"/>
          <w:szCs w:val="32"/>
        </w:rPr>
        <w:t>：</w:t>
      </w:r>
      <w:r>
        <w:rPr>
          <w:rFonts w:hint="eastAsia" w:ascii="方正仿宋_GB2312" w:hAnsi="方正仿宋_GB2312" w:eastAsia="方正仿宋_GB2312" w:cs="方正仿宋_GB2312"/>
          <w:bCs/>
          <w:color w:val="auto"/>
          <w:kern w:val="0"/>
          <w:sz w:val="32"/>
          <w:szCs w:val="32"/>
          <w:lang w:eastAsia="zh-CN"/>
        </w:rPr>
        <w:t>综合科、农产品质量安全科、绿色食品科、有机农产品科、市场监督管理科、市场推广科六个科室。</w:t>
      </w:r>
    </w:p>
    <w:p>
      <w:pPr>
        <w:keepNext w:val="0"/>
        <w:keepLines w:val="0"/>
        <w:pageBreakBefore w:val="0"/>
        <w:widowControl w:val="0"/>
        <w:kinsoku/>
        <w:wordWrap/>
        <w:overflowPunct/>
        <w:topLinePunct w:val="0"/>
        <w:autoSpaceDE/>
        <w:autoSpaceDN/>
        <w:bidi w:val="0"/>
        <w:spacing w:line="580" w:lineRule="exact"/>
        <w:ind w:firstLine="800" w:firstLineChars="250"/>
        <w:textAlignment w:val="auto"/>
        <w:rPr>
          <w:rFonts w:hint="eastAsia" w:ascii="方正仿宋_GB2312" w:hAnsi="方正仿宋_GB2312" w:eastAsia="方正仿宋_GB2312" w:cs="方正仿宋_GB2312"/>
          <w:color w:val="000000"/>
          <w:sz w:val="32"/>
          <w:szCs w:val="32"/>
          <w:u w:val="none"/>
          <w:lang w:val="en-US" w:eastAsia="zh-CN"/>
        </w:rPr>
      </w:pPr>
      <w:r>
        <w:rPr>
          <w:rFonts w:hint="eastAsia" w:ascii="方正仿宋_GB2312" w:hAnsi="方正仿宋_GB2312" w:eastAsia="方正仿宋_GB2312" w:cs="方正仿宋_GB2312"/>
          <w:color w:val="000000"/>
          <w:sz w:val="32"/>
          <w:szCs w:val="32"/>
          <w:u w:val="none"/>
          <w:lang w:val="en-US" w:eastAsia="zh-CN"/>
        </w:rPr>
        <w:t>人员情况：</w:t>
      </w:r>
    </w:p>
    <w:p>
      <w:pPr>
        <w:keepNext w:val="0"/>
        <w:keepLines w:val="0"/>
        <w:pageBreakBefore w:val="0"/>
        <w:widowControl w:val="0"/>
        <w:kinsoku/>
        <w:wordWrap/>
        <w:overflowPunct/>
        <w:topLinePunct w:val="0"/>
        <w:autoSpaceDE/>
        <w:autoSpaceDN/>
        <w:bidi w:val="0"/>
        <w:spacing w:line="580" w:lineRule="exact"/>
        <w:ind w:firstLine="800" w:firstLineChars="250"/>
        <w:textAlignment w:val="auto"/>
        <w:rPr>
          <w:rFonts w:hint="eastAsia" w:ascii="方正仿宋_GB2312" w:hAnsi="方正仿宋_GB2312" w:eastAsia="方正仿宋_GB2312" w:cs="方正仿宋_GB2312"/>
          <w:color w:val="000000"/>
          <w:sz w:val="32"/>
          <w:szCs w:val="32"/>
          <w:u w:val="none"/>
        </w:rPr>
      </w:pPr>
      <w:r>
        <w:rPr>
          <w:rFonts w:hint="eastAsia" w:ascii="方正仿宋_GB2312" w:hAnsi="方正仿宋_GB2312" w:eastAsia="方正仿宋_GB2312" w:cs="方正仿宋_GB2312"/>
          <w:color w:val="000000"/>
          <w:sz w:val="32"/>
          <w:szCs w:val="32"/>
          <w:u w:val="none"/>
          <w:lang w:eastAsia="zh-CN"/>
        </w:rPr>
        <w:t>省</w:t>
      </w:r>
      <w:r>
        <w:rPr>
          <w:rFonts w:hint="eastAsia" w:ascii="方正仿宋_GB2312" w:hAnsi="方正仿宋_GB2312" w:eastAsia="方正仿宋_GB2312" w:cs="方正仿宋_GB2312"/>
          <w:color w:val="000000"/>
          <w:sz w:val="32"/>
          <w:szCs w:val="32"/>
          <w:u w:val="none"/>
        </w:rPr>
        <w:t xml:space="preserve">机构编制管理部门核定编制人数 </w:t>
      </w:r>
      <w:r>
        <w:rPr>
          <w:rFonts w:hint="eastAsia" w:ascii="方正仿宋_GB2312" w:hAnsi="方正仿宋_GB2312" w:eastAsia="方正仿宋_GB2312" w:cs="方正仿宋_GB2312"/>
          <w:color w:val="000000"/>
          <w:sz w:val="32"/>
          <w:szCs w:val="32"/>
          <w:u w:val="none"/>
          <w:lang w:val="en-US" w:eastAsia="zh-CN"/>
        </w:rPr>
        <w:t>16</w:t>
      </w:r>
      <w:r>
        <w:rPr>
          <w:rFonts w:hint="eastAsia" w:ascii="方正仿宋_GB2312" w:hAnsi="方正仿宋_GB2312" w:eastAsia="方正仿宋_GB2312" w:cs="方正仿宋_GB2312"/>
          <w:color w:val="000000"/>
          <w:sz w:val="32"/>
          <w:szCs w:val="32"/>
          <w:u w:val="none"/>
        </w:rPr>
        <w:t>人，截止</w:t>
      </w:r>
      <w:r>
        <w:rPr>
          <w:rFonts w:hint="eastAsia" w:ascii="方正仿宋_GB2312" w:hAnsi="方正仿宋_GB2312" w:eastAsia="方正仿宋_GB2312" w:cs="方正仿宋_GB2312"/>
          <w:sz w:val="32"/>
          <w:szCs w:val="32"/>
          <w:u w:val="none"/>
          <w:lang w:val="en-US" w:eastAsia="zh-CN"/>
        </w:rPr>
        <w:t>2024</w:t>
      </w:r>
      <w:r>
        <w:rPr>
          <w:rFonts w:hint="eastAsia" w:ascii="方正仿宋_GB2312" w:hAnsi="方正仿宋_GB2312" w:eastAsia="方正仿宋_GB2312" w:cs="方正仿宋_GB2312"/>
          <w:sz w:val="32"/>
          <w:szCs w:val="32"/>
          <w:u w:val="none"/>
        </w:rPr>
        <w:t>年</w:t>
      </w:r>
      <w:r>
        <w:rPr>
          <w:rFonts w:hint="eastAsia" w:ascii="方正仿宋_GB2312" w:hAnsi="方正仿宋_GB2312" w:eastAsia="方正仿宋_GB2312" w:cs="方正仿宋_GB2312"/>
          <w:sz w:val="32"/>
          <w:szCs w:val="32"/>
          <w:u w:val="none"/>
          <w:lang w:val="en-US" w:eastAsia="zh-CN"/>
        </w:rPr>
        <w:t>12</w:t>
      </w:r>
      <w:r>
        <w:rPr>
          <w:rFonts w:hint="eastAsia" w:ascii="方正仿宋_GB2312" w:hAnsi="方正仿宋_GB2312" w:eastAsia="方正仿宋_GB2312" w:cs="方正仿宋_GB2312"/>
          <w:sz w:val="32"/>
          <w:szCs w:val="32"/>
          <w:u w:val="none"/>
        </w:rPr>
        <w:t>月</w:t>
      </w:r>
      <w:r>
        <w:rPr>
          <w:rFonts w:hint="eastAsia" w:ascii="方正仿宋_GB2312" w:hAnsi="方正仿宋_GB2312" w:eastAsia="方正仿宋_GB2312" w:cs="方正仿宋_GB2312"/>
          <w:sz w:val="32"/>
          <w:szCs w:val="32"/>
          <w:u w:val="none"/>
          <w:lang w:val="en-US" w:eastAsia="zh-CN"/>
        </w:rPr>
        <w:t>31</w:t>
      </w:r>
      <w:r>
        <w:rPr>
          <w:rFonts w:hint="eastAsia" w:ascii="方正仿宋_GB2312" w:hAnsi="方正仿宋_GB2312" w:eastAsia="方正仿宋_GB2312" w:cs="方正仿宋_GB2312"/>
          <w:sz w:val="32"/>
          <w:szCs w:val="32"/>
          <w:u w:val="none"/>
        </w:rPr>
        <w:t>日</w:t>
      </w:r>
      <w:r>
        <w:rPr>
          <w:rFonts w:hint="eastAsia" w:ascii="方正仿宋_GB2312" w:hAnsi="方正仿宋_GB2312" w:eastAsia="方正仿宋_GB2312" w:cs="方正仿宋_GB2312"/>
          <w:color w:val="000000"/>
          <w:sz w:val="32"/>
          <w:szCs w:val="32"/>
          <w:u w:val="none"/>
        </w:rPr>
        <w:t>止</w:t>
      </w:r>
      <w:r>
        <w:rPr>
          <w:rFonts w:hint="eastAsia" w:ascii="方正仿宋_GB2312" w:hAnsi="方正仿宋_GB2312" w:eastAsia="方正仿宋_GB2312" w:cs="方正仿宋_GB2312"/>
          <w:color w:val="000000"/>
          <w:sz w:val="32"/>
          <w:szCs w:val="32"/>
          <w:u w:val="none"/>
          <w:lang w:eastAsia="zh-CN"/>
        </w:rPr>
        <w:t>在职</w:t>
      </w:r>
      <w:r>
        <w:rPr>
          <w:rFonts w:hint="eastAsia" w:ascii="方正仿宋_GB2312" w:hAnsi="方正仿宋_GB2312" w:eastAsia="方正仿宋_GB2312" w:cs="方正仿宋_GB2312"/>
          <w:color w:val="000000"/>
          <w:sz w:val="32"/>
          <w:szCs w:val="32"/>
          <w:u w:val="none"/>
        </w:rPr>
        <w:t>职工</w:t>
      </w:r>
      <w:r>
        <w:rPr>
          <w:rFonts w:hint="eastAsia" w:ascii="方正仿宋_GB2312" w:hAnsi="方正仿宋_GB2312" w:eastAsia="方正仿宋_GB2312" w:cs="方正仿宋_GB2312"/>
          <w:color w:val="000000"/>
          <w:sz w:val="32"/>
          <w:szCs w:val="32"/>
          <w:u w:val="none"/>
          <w:lang w:val="en-US" w:eastAsia="zh-CN"/>
        </w:rPr>
        <w:t>14</w:t>
      </w:r>
      <w:r>
        <w:rPr>
          <w:rFonts w:hint="eastAsia" w:ascii="方正仿宋_GB2312" w:hAnsi="方正仿宋_GB2312" w:eastAsia="方正仿宋_GB2312" w:cs="方正仿宋_GB2312"/>
          <w:color w:val="000000"/>
          <w:sz w:val="32"/>
          <w:szCs w:val="32"/>
          <w:u w:val="none"/>
        </w:rPr>
        <w:t>人</w:t>
      </w:r>
      <w:r>
        <w:rPr>
          <w:rFonts w:hint="eastAsia" w:ascii="方正仿宋_GB2312" w:hAnsi="方正仿宋_GB2312" w:eastAsia="方正仿宋_GB2312" w:cs="方正仿宋_GB2312"/>
          <w:color w:val="000000"/>
          <w:sz w:val="32"/>
          <w:szCs w:val="32"/>
          <w:u w:val="none"/>
          <w:lang w:eastAsia="zh-CN"/>
        </w:rPr>
        <w:t>，退休</w:t>
      </w:r>
      <w:r>
        <w:rPr>
          <w:rFonts w:hint="eastAsia" w:ascii="方正仿宋_GB2312" w:hAnsi="方正仿宋_GB2312" w:eastAsia="方正仿宋_GB2312" w:cs="方正仿宋_GB2312"/>
          <w:color w:val="000000"/>
          <w:sz w:val="32"/>
          <w:szCs w:val="32"/>
          <w:u w:val="none"/>
          <w:lang w:val="en-US" w:eastAsia="zh-CN"/>
        </w:rPr>
        <w:t>5人</w:t>
      </w:r>
      <w:r>
        <w:rPr>
          <w:rFonts w:hint="eastAsia" w:ascii="方正仿宋_GB2312" w:hAnsi="方正仿宋_GB2312" w:eastAsia="方正仿宋_GB2312" w:cs="方正仿宋_GB2312"/>
          <w:color w:val="000000"/>
          <w:sz w:val="32"/>
          <w:szCs w:val="32"/>
          <w:u w:val="none"/>
        </w:rPr>
        <w:t>。</w:t>
      </w:r>
    </w:p>
    <w:p>
      <w:pPr>
        <w:keepNext w:val="0"/>
        <w:keepLines w:val="0"/>
        <w:pageBreakBefore w:val="0"/>
        <w:widowControl w:val="0"/>
        <w:numPr>
          <w:ilvl w:val="0"/>
          <w:numId w:val="3"/>
        </w:numPr>
        <w:kinsoku/>
        <w:wordWrap/>
        <w:overflowPunct/>
        <w:topLinePunct w:val="0"/>
        <w:bidi w:val="0"/>
        <w:spacing w:line="580" w:lineRule="exact"/>
        <w:ind w:firstLine="643"/>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bCs w:val="0"/>
          <w:sz w:val="32"/>
          <w:szCs w:val="32"/>
          <w:highlight w:val="none"/>
          <w:u w:val="none"/>
          <w:lang w:eastAsia="zh-CN"/>
        </w:rPr>
        <w:t>湖南省绿色食品办公室</w:t>
      </w:r>
      <w:r>
        <w:rPr>
          <w:rFonts w:hint="eastAsia" w:ascii="方正仿宋_GB2312" w:hAnsi="方正仿宋_GB2312" w:eastAsia="方正仿宋_GB2312" w:cs="方正仿宋_GB2312"/>
          <w:b/>
          <w:sz w:val="32"/>
          <w:szCs w:val="32"/>
        </w:rPr>
        <w:t>年度整体支出绩效目标</w:t>
      </w:r>
      <w:r>
        <w:rPr>
          <w:rFonts w:hint="eastAsia" w:ascii="方正仿宋_GB2312" w:hAnsi="方正仿宋_GB2312" w:eastAsia="方正仿宋_GB2312" w:cs="方正仿宋_GB2312"/>
          <w:b/>
          <w:sz w:val="32"/>
          <w:szCs w:val="32"/>
          <w:lang w:eastAsia="zh-CN"/>
        </w:rPr>
        <w:t>：</w:t>
      </w:r>
      <w:r>
        <w:rPr>
          <w:rFonts w:hint="eastAsia" w:ascii="方正仿宋_GB2312" w:hAnsi="方正仿宋_GB2312" w:eastAsia="方正仿宋_GB2312" w:cs="方正仿宋_GB2312"/>
          <w:b/>
          <w:sz w:val="32"/>
          <w:szCs w:val="32"/>
          <w:lang w:val="en-US" w:eastAsia="zh-CN"/>
        </w:rPr>
        <w:t xml:space="preserve">     </w:t>
      </w:r>
    </w:p>
    <w:p>
      <w:pPr>
        <w:keepNext w:val="0"/>
        <w:keepLines w:val="0"/>
        <w:pageBreakBefore w:val="0"/>
        <w:widowControl w:val="0"/>
        <w:numPr>
          <w:ilvl w:val="0"/>
          <w:numId w:val="0"/>
        </w:numPr>
        <w:kinsoku/>
        <w:wordWrap/>
        <w:overflowPunct/>
        <w:topLinePunct w:val="0"/>
        <w:bidi w:val="0"/>
        <w:spacing w:line="580" w:lineRule="exact"/>
        <w:ind w:firstLine="640" w:firstLineChars="200"/>
        <w:textAlignment w:val="auto"/>
        <w:rPr>
          <w:rFonts w:hint="eastAsia" w:ascii="方正仿宋_GB2312" w:hAnsi="方正仿宋_GB2312" w:eastAsia="方正仿宋_GB2312" w:cs="方正仿宋_GB2312"/>
          <w:color w:val="000000"/>
          <w:kern w:val="0"/>
          <w:sz w:val="32"/>
          <w:szCs w:val="32"/>
          <w:highlight w:val="none"/>
        </w:rPr>
      </w:pPr>
      <w:r>
        <w:rPr>
          <w:rFonts w:hint="eastAsia" w:ascii="方正仿宋_GB2312" w:hAnsi="方正仿宋_GB2312" w:eastAsia="方正仿宋_GB2312" w:cs="方正仿宋_GB2312"/>
          <w:b w:val="0"/>
          <w:bCs/>
          <w:sz w:val="32"/>
          <w:szCs w:val="32"/>
          <w:highlight w:val="none"/>
          <w:lang w:eastAsia="zh-CN"/>
        </w:rPr>
        <w:t>年初</w:t>
      </w:r>
      <w:r>
        <w:rPr>
          <w:rFonts w:hint="eastAsia" w:ascii="方正仿宋_GB2312" w:hAnsi="方正仿宋_GB2312" w:eastAsia="方正仿宋_GB2312" w:cs="方正仿宋_GB2312"/>
          <w:b w:val="0"/>
          <w:bCs/>
          <w:sz w:val="32"/>
          <w:szCs w:val="32"/>
          <w:highlight w:val="none"/>
        </w:rPr>
        <w:t>整体支出绩效目标</w:t>
      </w:r>
      <w:r>
        <w:rPr>
          <w:rFonts w:hint="eastAsia" w:ascii="方正仿宋_GB2312" w:hAnsi="方正仿宋_GB2312" w:eastAsia="方正仿宋_GB2312" w:cs="方正仿宋_GB2312"/>
          <w:b w:val="0"/>
          <w:bCs/>
          <w:sz w:val="32"/>
          <w:szCs w:val="32"/>
          <w:highlight w:val="none"/>
          <w:lang w:eastAsia="zh-CN"/>
        </w:rPr>
        <w:t>：</w:t>
      </w:r>
      <w:r>
        <w:rPr>
          <w:rFonts w:hint="eastAsia" w:ascii="方正仿宋_GB2312" w:hAnsi="方正仿宋_GB2312" w:eastAsia="方正仿宋_GB2312" w:cs="方正仿宋_GB2312"/>
          <w:color w:val="000000"/>
          <w:kern w:val="0"/>
          <w:sz w:val="32"/>
          <w:szCs w:val="32"/>
          <w:highlight w:val="none"/>
        </w:rPr>
        <w:t>加强绿色食品有机食品认证，强化质量监管，着力品牌宣传打造，年底全省二品一标总数4100个以上，开展特色农产品品质鉴评，抓好优质农产品基地建设和产业持续健康发展。</w:t>
      </w:r>
    </w:p>
    <w:p>
      <w:pPr>
        <w:keepNext w:val="0"/>
        <w:keepLines w:val="0"/>
        <w:pageBreakBefore w:val="0"/>
        <w:widowControl w:val="0"/>
        <w:numPr>
          <w:ilvl w:val="0"/>
          <w:numId w:val="0"/>
        </w:numPr>
        <w:kinsoku/>
        <w:wordWrap/>
        <w:overflowPunct/>
        <w:topLinePunct w:val="0"/>
        <w:bidi w:val="0"/>
        <w:spacing w:line="580" w:lineRule="exact"/>
        <w:ind w:firstLine="640"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val="0"/>
          <w:bCs w:val="0"/>
          <w:color w:val="000000"/>
          <w:kern w:val="0"/>
          <w:sz w:val="32"/>
          <w:szCs w:val="32"/>
          <w:highlight w:val="none"/>
          <w:lang w:eastAsia="zh-CN"/>
        </w:rPr>
        <w:t>根据农业部中心的工作安排，</w:t>
      </w:r>
      <w:r>
        <w:rPr>
          <w:rFonts w:hint="eastAsia" w:ascii="方正仿宋_GB2312" w:hAnsi="方正仿宋_GB2312" w:eastAsia="方正仿宋_GB2312" w:cs="方正仿宋_GB2312"/>
          <w:b w:val="0"/>
          <w:bCs w:val="0"/>
          <w:sz w:val="32"/>
          <w:szCs w:val="32"/>
          <w:highlight w:val="none"/>
        </w:rPr>
        <w:t>年度整体支出绩效目标</w:t>
      </w:r>
      <w:r>
        <w:rPr>
          <w:rFonts w:hint="eastAsia" w:ascii="方正仿宋_GB2312" w:hAnsi="方正仿宋_GB2312" w:eastAsia="方正仿宋_GB2312" w:cs="方正仿宋_GB2312"/>
          <w:b w:val="0"/>
          <w:bCs w:val="0"/>
          <w:color w:val="000000"/>
          <w:kern w:val="0"/>
          <w:sz w:val="32"/>
          <w:szCs w:val="32"/>
          <w:highlight w:val="none"/>
          <w:lang w:eastAsia="zh-CN"/>
        </w:rPr>
        <w:t>有所调整：</w:t>
      </w:r>
      <w:r>
        <w:rPr>
          <w:rFonts w:hint="eastAsia" w:ascii="方正仿宋_GB2312" w:hAnsi="方正仿宋_GB2312" w:eastAsia="方正仿宋_GB2312" w:cs="方正仿宋_GB2312"/>
          <w:b w:val="0"/>
          <w:bCs w:val="0"/>
          <w:color w:val="000000"/>
          <w:kern w:val="0"/>
          <w:sz w:val="32"/>
          <w:szCs w:val="32"/>
          <w:highlight w:val="none"/>
          <w:lang w:val="en-US" w:eastAsia="zh-CN"/>
        </w:rPr>
        <w:t>将抓好优质农产品基地调整为</w:t>
      </w:r>
      <w:r>
        <w:rPr>
          <w:rFonts w:hint="eastAsia" w:ascii="方正仿宋_GB2312" w:hAnsi="方正仿宋_GB2312" w:eastAsia="方正仿宋_GB2312" w:cs="方正仿宋_GB2312"/>
          <w:color w:val="000000"/>
          <w:kern w:val="0"/>
          <w:sz w:val="32"/>
          <w:szCs w:val="32"/>
        </w:rPr>
        <w:t>新获证绿色食品有机农产品数1500个以上</w:t>
      </w:r>
      <w:r>
        <w:rPr>
          <w:rFonts w:hint="eastAsia" w:ascii="方正仿宋_GB2312" w:hAnsi="方正仿宋_GB2312" w:eastAsia="方正仿宋_GB2312" w:cs="方正仿宋_GB2312"/>
          <w:color w:val="000000"/>
          <w:kern w:val="0"/>
          <w:sz w:val="32"/>
          <w:szCs w:val="32"/>
          <w:lang w:eastAsia="zh-CN"/>
        </w:rPr>
        <w:t>，</w:t>
      </w:r>
      <w:r>
        <w:rPr>
          <w:rFonts w:hint="eastAsia" w:ascii="方正仿宋_GB2312" w:hAnsi="方正仿宋_GB2312" w:eastAsia="方正仿宋_GB2312" w:cs="方正仿宋_GB2312"/>
          <w:color w:val="000000"/>
          <w:kern w:val="0"/>
          <w:sz w:val="32"/>
          <w:szCs w:val="32"/>
        </w:rPr>
        <w:t>强化质量监管，全省绿色食品“双随机一公开”颁证后跟踪检查和产品质量监督抽检（140-160个产品），保证认证产品抽检合格率在9</w:t>
      </w:r>
      <w:r>
        <w:rPr>
          <w:rFonts w:hint="eastAsia" w:ascii="方正仿宋_GB2312" w:hAnsi="方正仿宋_GB2312" w:eastAsia="方正仿宋_GB2312" w:cs="方正仿宋_GB2312"/>
          <w:color w:val="000000"/>
          <w:kern w:val="0"/>
          <w:sz w:val="32"/>
          <w:szCs w:val="32"/>
          <w:lang w:val="en-US" w:eastAsia="zh-CN"/>
        </w:rPr>
        <w:t>5</w:t>
      </w:r>
      <w:r>
        <w:rPr>
          <w:rFonts w:hint="eastAsia" w:ascii="方正仿宋_GB2312" w:hAnsi="方正仿宋_GB2312" w:eastAsia="方正仿宋_GB2312" w:cs="方正仿宋_GB2312"/>
          <w:color w:val="000000"/>
          <w:kern w:val="0"/>
          <w:sz w:val="32"/>
          <w:szCs w:val="32"/>
        </w:rPr>
        <w:t>%以上；开展</w:t>
      </w:r>
      <w:r>
        <w:rPr>
          <w:rFonts w:hint="eastAsia" w:ascii="方正仿宋_GB2312" w:hAnsi="方正仿宋_GB2312" w:eastAsia="方正仿宋_GB2312" w:cs="方正仿宋_GB2312"/>
          <w:color w:val="000000"/>
          <w:kern w:val="0"/>
          <w:sz w:val="32"/>
          <w:szCs w:val="32"/>
          <w:lang w:val="en-US" w:eastAsia="zh-CN"/>
        </w:rPr>
        <w:t>2</w:t>
      </w:r>
      <w:r>
        <w:rPr>
          <w:rFonts w:hint="eastAsia" w:ascii="方正仿宋_GB2312" w:hAnsi="方正仿宋_GB2312" w:eastAsia="方正仿宋_GB2312" w:cs="方正仿宋_GB2312"/>
          <w:color w:val="000000"/>
          <w:kern w:val="0"/>
          <w:sz w:val="32"/>
          <w:szCs w:val="32"/>
        </w:rPr>
        <w:t>个以上特色农产品品质评价。着力品牌宣传打造，常态化开展公益宣传活动及信息服务。</w:t>
      </w:r>
    </w:p>
    <w:p>
      <w:pPr>
        <w:keepNext w:val="0"/>
        <w:keepLines w:val="0"/>
        <w:pageBreakBefore w:val="0"/>
        <w:widowControl w:val="0"/>
        <w:numPr>
          <w:ilvl w:val="0"/>
          <w:numId w:val="3"/>
        </w:numPr>
        <w:kinsoku/>
        <w:wordWrap/>
        <w:overflowPunct/>
        <w:topLinePunct w:val="0"/>
        <w:bidi w:val="0"/>
        <w:spacing w:line="580" w:lineRule="exact"/>
        <w:ind w:firstLine="643"/>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省级专项资金绩效目标</w:t>
      </w:r>
      <w:r>
        <w:rPr>
          <w:rFonts w:hint="eastAsia" w:ascii="方正仿宋_GB2312" w:hAnsi="方正仿宋_GB2312" w:eastAsia="方正仿宋_GB2312" w:cs="方正仿宋_GB2312"/>
          <w:b/>
          <w:sz w:val="32"/>
          <w:szCs w:val="32"/>
          <w:lang w:eastAsia="zh-CN"/>
        </w:rPr>
        <w:t>：</w:t>
      </w:r>
      <w:r>
        <w:rPr>
          <w:rFonts w:hint="eastAsia" w:ascii="方正仿宋_GB2312" w:hAnsi="方正仿宋_GB2312" w:eastAsia="方正仿宋_GB2312" w:cs="方正仿宋_GB2312"/>
          <w:color w:val="000000"/>
          <w:kern w:val="0"/>
          <w:sz w:val="32"/>
          <w:szCs w:val="32"/>
        </w:rPr>
        <w:t>强化质量监管，全省绿色食品“双随机一公开”颁证后跟踪检查和产品质量监督抽检（140-160个产品），保证认证产品抽检合格率在9</w:t>
      </w:r>
      <w:r>
        <w:rPr>
          <w:rFonts w:hint="eastAsia" w:ascii="方正仿宋_GB2312" w:hAnsi="方正仿宋_GB2312" w:eastAsia="方正仿宋_GB2312" w:cs="方正仿宋_GB2312"/>
          <w:color w:val="000000"/>
          <w:kern w:val="0"/>
          <w:sz w:val="32"/>
          <w:szCs w:val="32"/>
          <w:lang w:val="en-US" w:eastAsia="zh-CN"/>
        </w:rPr>
        <w:t>5</w:t>
      </w:r>
      <w:r>
        <w:rPr>
          <w:rFonts w:hint="eastAsia" w:ascii="方正仿宋_GB2312" w:hAnsi="方正仿宋_GB2312" w:eastAsia="方正仿宋_GB2312" w:cs="方正仿宋_GB2312"/>
          <w:color w:val="000000"/>
          <w:kern w:val="0"/>
          <w:sz w:val="32"/>
          <w:szCs w:val="32"/>
        </w:rPr>
        <w:t>%以上；开展</w:t>
      </w:r>
      <w:r>
        <w:rPr>
          <w:rFonts w:hint="eastAsia" w:ascii="方正仿宋_GB2312" w:hAnsi="方正仿宋_GB2312" w:eastAsia="方正仿宋_GB2312" w:cs="方正仿宋_GB2312"/>
          <w:color w:val="000000"/>
          <w:kern w:val="0"/>
          <w:sz w:val="32"/>
          <w:szCs w:val="32"/>
          <w:lang w:val="en-US" w:eastAsia="zh-CN"/>
        </w:rPr>
        <w:t>2</w:t>
      </w:r>
      <w:r>
        <w:rPr>
          <w:rFonts w:hint="eastAsia" w:ascii="方正仿宋_GB2312" w:hAnsi="方正仿宋_GB2312" w:eastAsia="方正仿宋_GB2312" w:cs="方正仿宋_GB2312"/>
          <w:color w:val="000000"/>
          <w:kern w:val="0"/>
          <w:sz w:val="32"/>
          <w:szCs w:val="32"/>
        </w:rPr>
        <w:t>个以上特色农产品品质评价。</w:t>
      </w:r>
    </w:p>
    <w:p>
      <w:pPr>
        <w:keepNext w:val="0"/>
        <w:keepLines w:val="0"/>
        <w:pageBreakBefore w:val="0"/>
        <w:widowControl w:val="0"/>
        <w:numPr>
          <w:ilvl w:val="0"/>
          <w:numId w:val="3"/>
        </w:numPr>
        <w:kinsoku/>
        <w:wordWrap/>
        <w:overflowPunct/>
        <w:topLinePunct w:val="0"/>
        <w:bidi w:val="0"/>
        <w:spacing w:line="580" w:lineRule="exact"/>
        <w:ind w:firstLine="643"/>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其他项目支出（除省级专项资金以外）绩效目标</w:t>
      </w:r>
      <w:r>
        <w:rPr>
          <w:rFonts w:hint="eastAsia" w:ascii="方正仿宋_GB2312" w:hAnsi="方正仿宋_GB2312" w:eastAsia="方正仿宋_GB2312" w:cs="方正仿宋_GB2312"/>
          <w:b/>
          <w:sz w:val="32"/>
          <w:szCs w:val="32"/>
          <w:lang w:eastAsia="zh-CN"/>
        </w:rPr>
        <w:t>：</w:t>
      </w:r>
      <w:r>
        <w:rPr>
          <w:rFonts w:hint="eastAsia" w:ascii="方正仿宋_GB2312" w:hAnsi="方正仿宋_GB2312" w:eastAsia="方正仿宋_GB2312" w:cs="方正仿宋_GB2312"/>
          <w:color w:val="000000"/>
          <w:kern w:val="0"/>
          <w:sz w:val="32"/>
          <w:szCs w:val="32"/>
        </w:rPr>
        <w:t>加强绿色食品有机农产品认证，确保数量稳定增长，年底全省</w:t>
      </w:r>
      <w:r>
        <w:rPr>
          <w:rFonts w:hint="eastAsia" w:ascii="方正仿宋_GB2312" w:hAnsi="方正仿宋_GB2312" w:eastAsia="方正仿宋_GB2312" w:cs="方正仿宋_GB2312"/>
          <w:color w:val="000000"/>
          <w:kern w:val="0"/>
          <w:sz w:val="32"/>
          <w:szCs w:val="32"/>
          <w:lang w:val="en-US" w:eastAsia="zh-CN"/>
        </w:rPr>
        <w:t>绿色有机产品</w:t>
      </w:r>
      <w:r>
        <w:rPr>
          <w:rFonts w:hint="eastAsia" w:ascii="方正仿宋_GB2312" w:hAnsi="方正仿宋_GB2312" w:eastAsia="方正仿宋_GB2312" w:cs="方正仿宋_GB2312"/>
          <w:color w:val="000000"/>
          <w:kern w:val="0"/>
          <w:sz w:val="32"/>
          <w:szCs w:val="32"/>
        </w:rPr>
        <w:t>总数达3</w:t>
      </w:r>
      <w:r>
        <w:rPr>
          <w:rFonts w:hint="eastAsia" w:ascii="方正仿宋_GB2312" w:hAnsi="方正仿宋_GB2312" w:eastAsia="方正仿宋_GB2312" w:cs="方正仿宋_GB2312"/>
          <w:color w:val="000000"/>
          <w:kern w:val="0"/>
          <w:sz w:val="32"/>
          <w:szCs w:val="32"/>
          <w:lang w:val="en-US" w:eastAsia="zh-CN"/>
        </w:rPr>
        <w:t>9</w:t>
      </w:r>
      <w:r>
        <w:rPr>
          <w:rFonts w:hint="eastAsia" w:ascii="方正仿宋_GB2312" w:hAnsi="方正仿宋_GB2312" w:eastAsia="方正仿宋_GB2312" w:cs="方正仿宋_GB2312"/>
          <w:color w:val="000000"/>
          <w:kern w:val="0"/>
          <w:sz w:val="32"/>
          <w:szCs w:val="32"/>
        </w:rPr>
        <w:t>00个以上；新获证绿色食品有机农产品数1500个以上</w:t>
      </w:r>
      <w:r>
        <w:rPr>
          <w:rFonts w:hint="eastAsia" w:ascii="方正仿宋_GB2312" w:hAnsi="方正仿宋_GB2312" w:eastAsia="方正仿宋_GB2312" w:cs="方正仿宋_GB2312"/>
          <w:color w:val="000000"/>
          <w:kern w:val="0"/>
          <w:sz w:val="32"/>
          <w:szCs w:val="32"/>
          <w:lang w:eastAsia="zh-CN"/>
        </w:rPr>
        <w:t>；</w:t>
      </w:r>
      <w:r>
        <w:rPr>
          <w:rFonts w:hint="eastAsia" w:ascii="方正仿宋_GB2312" w:hAnsi="方正仿宋_GB2312" w:eastAsia="方正仿宋_GB2312" w:cs="方正仿宋_GB2312"/>
          <w:color w:val="000000"/>
          <w:kern w:val="0"/>
          <w:sz w:val="32"/>
          <w:szCs w:val="32"/>
        </w:rPr>
        <w:t>着力品牌宣传打造，常态化开展公益宣传活动及信息服务。</w:t>
      </w:r>
    </w:p>
    <w:p>
      <w:pPr>
        <w:pStyle w:val="23"/>
        <w:keepNext w:val="0"/>
        <w:keepLines w:val="0"/>
        <w:pageBreakBefore w:val="0"/>
        <w:widowControl w:val="0"/>
        <w:kinsoku/>
        <w:wordWrap/>
        <w:overflowPunct/>
        <w:topLinePunct w:val="0"/>
        <w:bidi w:val="0"/>
        <w:snapToGrid w:val="0"/>
        <w:spacing w:line="580" w:lineRule="exact"/>
        <w:ind w:firstLine="64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二、一般公共预算支出情况</w:t>
      </w:r>
    </w:p>
    <w:p>
      <w:pPr>
        <w:pStyle w:val="23"/>
        <w:keepNext w:val="0"/>
        <w:keepLines w:val="0"/>
        <w:pageBreakBefore w:val="0"/>
        <w:widowControl w:val="0"/>
        <w:kinsoku/>
        <w:wordWrap/>
        <w:overflowPunct/>
        <w:topLinePunct w:val="0"/>
        <w:bidi w:val="0"/>
        <w:snapToGrid w:val="0"/>
        <w:spacing w:line="580" w:lineRule="exact"/>
        <w:ind w:firstLine="643"/>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（一）基本支出情况</w:t>
      </w:r>
    </w:p>
    <w:p>
      <w:pPr>
        <w:pStyle w:val="17"/>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202</w:t>
      </w:r>
      <w:r>
        <w:rPr>
          <w:rFonts w:hint="eastAsia" w:ascii="方正仿宋_GB2312" w:hAnsi="方正仿宋_GB2312" w:eastAsia="方正仿宋_GB2312"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rPr>
        <w:t>年度</w:t>
      </w:r>
      <w:r>
        <w:rPr>
          <w:rFonts w:hint="eastAsia" w:ascii="方正仿宋_GB2312" w:hAnsi="方正仿宋_GB2312" w:eastAsia="方正仿宋_GB2312" w:cs="方正仿宋_GB2312"/>
          <w:b w:val="0"/>
          <w:bCs/>
          <w:color w:val="auto"/>
          <w:sz w:val="32"/>
          <w:szCs w:val="32"/>
        </w:rPr>
        <w:t>一般公共预算</w:t>
      </w:r>
      <w:r>
        <w:rPr>
          <w:rFonts w:hint="eastAsia" w:ascii="方正仿宋_GB2312" w:hAnsi="方正仿宋_GB2312" w:eastAsia="方正仿宋_GB2312" w:cs="方正仿宋_GB2312"/>
          <w:color w:val="auto"/>
          <w:sz w:val="32"/>
          <w:szCs w:val="32"/>
        </w:rPr>
        <w:t>财政拨款基本支出</w:t>
      </w:r>
      <w:r>
        <w:rPr>
          <w:rFonts w:hint="eastAsia" w:ascii="方正仿宋_GB2312" w:hAnsi="方正仿宋_GB2312" w:eastAsia="方正仿宋_GB2312" w:cs="方正仿宋_GB2312"/>
          <w:color w:val="auto"/>
          <w:sz w:val="32"/>
          <w:szCs w:val="32"/>
          <w:lang w:val="en-US" w:eastAsia="zh-CN"/>
        </w:rPr>
        <w:t>398.45</w:t>
      </w:r>
      <w:r>
        <w:rPr>
          <w:rFonts w:hint="eastAsia" w:ascii="方正仿宋_GB2312" w:hAnsi="方正仿宋_GB2312" w:eastAsia="方正仿宋_GB2312" w:cs="方正仿宋_GB2312"/>
          <w:color w:val="auto"/>
          <w:sz w:val="32"/>
          <w:szCs w:val="32"/>
        </w:rPr>
        <w:t>万元，其中：</w:t>
      </w:r>
    </w:p>
    <w:p>
      <w:pPr>
        <w:pStyle w:val="17"/>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方正仿宋_GB2312" w:hAnsi="方正仿宋_GB2312" w:eastAsia="方正仿宋_GB2312" w:cs="方正仿宋_GB2312"/>
          <w:color w:val="auto"/>
          <w:sz w:val="32"/>
          <w:szCs w:val="32"/>
          <w:lang w:val="en-US" w:eastAsia="zh-CN"/>
        </w:rPr>
      </w:pPr>
      <w:r>
        <w:rPr>
          <w:rFonts w:hint="eastAsia" w:ascii="方正仿宋_GB2312" w:hAnsi="方正仿宋_GB2312" w:eastAsia="方正仿宋_GB2312" w:cs="方正仿宋_GB2312"/>
          <w:b w:val="0"/>
          <w:bCs w:val="0"/>
          <w:color w:val="auto"/>
          <w:sz w:val="32"/>
          <w:szCs w:val="32"/>
        </w:rPr>
        <w:t>人员经费</w:t>
      </w:r>
      <w:r>
        <w:rPr>
          <w:rFonts w:hint="eastAsia" w:ascii="方正仿宋_GB2312" w:hAnsi="方正仿宋_GB2312" w:eastAsia="方正仿宋_GB2312" w:cs="方正仿宋_GB2312"/>
          <w:b w:val="0"/>
          <w:bCs w:val="0"/>
          <w:color w:val="auto"/>
          <w:sz w:val="32"/>
          <w:szCs w:val="32"/>
          <w:lang w:val="en-US" w:eastAsia="zh-CN"/>
        </w:rPr>
        <w:t>349.75</w:t>
      </w:r>
      <w:r>
        <w:rPr>
          <w:rFonts w:hint="eastAsia" w:ascii="方正仿宋_GB2312" w:hAnsi="方正仿宋_GB2312" w:eastAsia="方正仿宋_GB2312" w:cs="方正仿宋_GB2312"/>
          <w:color w:val="auto"/>
          <w:sz w:val="32"/>
          <w:szCs w:val="32"/>
        </w:rPr>
        <w:t>万元，占基本支出的</w:t>
      </w:r>
      <w:r>
        <w:rPr>
          <w:rFonts w:hint="eastAsia" w:ascii="方正仿宋_GB2312" w:hAnsi="方正仿宋_GB2312" w:eastAsia="方正仿宋_GB2312" w:cs="方正仿宋_GB2312"/>
          <w:color w:val="auto"/>
          <w:sz w:val="32"/>
          <w:szCs w:val="32"/>
          <w:lang w:val="en-US" w:eastAsia="zh-CN"/>
        </w:rPr>
        <w:t>87.78</w:t>
      </w:r>
      <w:r>
        <w:rPr>
          <w:rFonts w:hint="eastAsia" w:ascii="方正仿宋_GB2312" w:hAnsi="方正仿宋_GB2312" w:eastAsia="方正仿宋_GB2312" w:cs="方正仿宋_GB2312"/>
          <w:color w:val="auto"/>
          <w:sz w:val="32"/>
          <w:szCs w:val="32"/>
        </w:rPr>
        <w:t>%,主要根据国家规定安排的工资福利支出</w:t>
      </w:r>
      <w:r>
        <w:rPr>
          <w:rFonts w:hint="eastAsia" w:ascii="方正仿宋_GB2312" w:hAnsi="方正仿宋_GB2312" w:eastAsia="方正仿宋_GB2312" w:cs="方正仿宋_GB2312"/>
          <w:color w:val="auto"/>
          <w:sz w:val="32"/>
          <w:szCs w:val="32"/>
          <w:lang w:eastAsia="zh-CN"/>
        </w:rPr>
        <w:t>、对个人和家庭补助的人员经费支出。</w:t>
      </w:r>
      <w:r>
        <w:rPr>
          <w:rFonts w:hint="eastAsia" w:ascii="方正仿宋_GB2312" w:hAnsi="方正仿宋_GB2312" w:eastAsia="方正仿宋_GB2312" w:cs="方正仿宋_GB2312"/>
          <w:color w:val="auto"/>
          <w:sz w:val="32"/>
          <w:szCs w:val="32"/>
        </w:rPr>
        <w:t>包括基本工资、津贴补贴、奖金、伙食</w:t>
      </w:r>
      <w:r>
        <w:rPr>
          <w:rFonts w:hint="eastAsia" w:ascii="方正仿宋_GB2312" w:hAnsi="方正仿宋_GB2312" w:eastAsia="方正仿宋_GB2312" w:cs="方正仿宋_GB2312"/>
          <w:color w:val="auto"/>
          <w:sz w:val="32"/>
          <w:szCs w:val="32"/>
          <w:lang w:val="en-US" w:eastAsia="zh-CN"/>
        </w:rPr>
        <w:t>补助费、住房公积金、退休费、奖励金等。</w:t>
      </w:r>
    </w:p>
    <w:p>
      <w:pPr>
        <w:pStyle w:val="17"/>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方正仿宋_GB2312" w:hAnsi="方正仿宋_GB2312" w:eastAsia="方正仿宋_GB2312" w:cs="方正仿宋_GB2312"/>
          <w:b/>
          <w:color w:val="auto"/>
          <w:sz w:val="32"/>
          <w:szCs w:val="32"/>
        </w:rPr>
      </w:pPr>
      <w:r>
        <w:rPr>
          <w:rFonts w:hint="eastAsia" w:ascii="方正仿宋_GB2312" w:hAnsi="方正仿宋_GB2312" w:eastAsia="方正仿宋_GB2312" w:cs="方正仿宋_GB2312"/>
          <w:b w:val="0"/>
          <w:bCs w:val="0"/>
          <w:color w:val="auto"/>
          <w:sz w:val="32"/>
          <w:szCs w:val="32"/>
        </w:rPr>
        <w:t>公用经费</w:t>
      </w:r>
      <w:r>
        <w:rPr>
          <w:rFonts w:hint="eastAsia" w:ascii="方正仿宋_GB2312" w:hAnsi="方正仿宋_GB2312" w:eastAsia="方正仿宋_GB2312" w:cs="方正仿宋_GB2312"/>
          <w:color w:val="auto"/>
          <w:sz w:val="32"/>
          <w:szCs w:val="32"/>
          <w:lang w:val="en-US" w:eastAsia="zh-CN"/>
        </w:rPr>
        <w:t>48.7</w:t>
      </w:r>
      <w:r>
        <w:rPr>
          <w:rFonts w:hint="eastAsia" w:ascii="方正仿宋_GB2312" w:hAnsi="方正仿宋_GB2312" w:eastAsia="方正仿宋_GB2312" w:cs="方正仿宋_GB2312"/>
          <w:color w:val="auto"/>
          <w:sz w:val="32"/>
          <w:szCs w:val="32"/>
        </w:rPr>
        <w:t>万元，占基本支出的</w:t>
      </w:r>
      <w:r>
        <w:rPr>
          <w:rFonts w:hint="eastAsia" w:ascii="方正仿宋_GB2312" w:hAnsi="方正仿宋_GB2312" w:eastAsia="方正仿宋_GB2312" w:cs="方正仿宋_GB2312"/>
          <w:color w:val="auto"/>
          <w:sz w:val="32"/>
          <w:szCs w:val="32"/>
          <w:lang w:val="en-US" w:eastAsia="zh-CN"/>
        </w:rPr>
        <w:t>12.22</w:t>
      </w:r>
      <w:r>
        <w:rPr>
          <w:rFonts w:hint="eastAsia" w:ascii="方正仿宋_GB2312" w:hAnsi="方正仿宋_GB2312" w:eastAsia="方正仿宋_GB2312" w:cs="方正仿宋_GB2312"/>
          <w:color w:val="auto"/>
          <w:sz w:val="32"/>
          <w:szCs w:val="32"/>
        </w:rPr>
        <w:t>%，主要为保障单位管理工作正常运转而发生的必要费用</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包括</w:t>
      </w:r>
      <w:r>
        <w:rPr>
          <w:rFonts w:hint="eastAsia" w:ascii="方正仿宋_GB2312" w:hAnsi="方正仿宋_GB2312" w:eastAsia="方正仿宋_GB2312" w:cs="方正仿宋_GB2312"/>
          <w:color w:val="auto"/>
          <w:sz w:val="32"/>
          <w:szCs w:val="32"/>
          <w:lang w:val="en-US" w:eastAsia="zh-CN"/>
        </w:rPr>
        <w:t>办公费、水费、电费、 邮电费、物业管理费、差旅费、会议费、其他交通费用等。</w:t>
      </w:r>
    </w:p>
    <w:p>
      <w:pPr>
        <w:pStyle w:val="23"/>
        <w:keepNext w:val="0"/>
        <w:keepLines w:val="0"/>
        <w:pageBreakBefore w:val="0"/>
        <w:widowControl w:val="0"/>
        <w:kinsoku/>
        <w:wordWrap/>
        <w:overflowPunct/>
        <w:topLinePunct w:val="0"/>
        <w:bidi w:val="0"/>
        <w:snapToGrid w:val="0"/>
        <w:spacing w:line="580" w:lineRule="exact"/>
        <w:ind w:firstLine="643"/>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（二）项目支出情况</w:t>
      </w:r>
    </w:p>
    <w:p>
      <w:pPr>
        <w:keepNext w:val="0"/>
        <w:keepLines w:val="0"/>
        <w:pageBreakBefore w:val="0"/>
        <w:widowControl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b/>
          <w:bCs/>
          <w:sz w:val="32"/>
          <w:szCs w:val="32"/>
          <w:lang w:val="en-US"/>
        </w:rPr>
      </w:pPr>
      <w:r>
        <w:rPr>
          <w:rFonts w:hint="eastAsia" w:ascii="方正仿宋_GB2312" w:hAnsi="方正仿宋_GB2312" w:eastAsia="方正仿宋_GB2312" w:cs="方正仿宋_GB2312"/>
          <w:sz w:val="32"/>
          <w:szCs w:val="32"/>
          <w:lang w:val="en-US" w:eastAsia="zh-CN"/>
        </w:rPr>
        <w:t>2024年度我单位项目支出429.51万元，其中：</w:t>
      </w:r>
    </w:p>
    <w:p>
      <w:pPr>
        <w:keepNext w:val="0"/>
        <w:keepLines w:val="0"/>
        <w:pageBreakBefore w:val="0"/>
        <w:widowControl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1、2024年度我单位省级专项资金为现代农业发展专项106.16万元，主要用于认证产品监管能力建设和品牌建设的印刷费、差旅费、租赁费、委托业务费、其他交通费用、</w:t>
      </w:r>
      <w:r>
        <w:rPr>
          <w:rFonts w:hint="eastAsia" w:ascii="方正仿宋_GB2312" w:hAnsi="方正仿宋_GB2312" w:eastAsia="方正仿宋_GB2312" w:cs="方正仿宋_GB2312"/>
          <w:b w:val="0"/>
          <w:bCs w:val="0"/>
          <w:sz w:val="32"/>
          <w:szCs w:val="32"/>
          <w:lang w:val="en-US" w:eastAsia="zh-CN"/>
        </w:rPr>
        <w:t>其他商品和服务支出、</w:t>
      </w:r>
      <w:r>
        <w:rPr>
          <w:rFonts w:hint="eastAsia" w:ascii="方正仿宋_GB2312" w:hAnsi="方正仿宋_GB2312" w:eastAsia="方正仿宋_GB2312" w:cs="方正仿宋_GB2312"/>
          <w:sz w:val="32"/>
          <w:szCs w:val="32"/>
          <w:lang w:val="en-US" w:eastAsia="zh-CN"/>
        </w:rPr>
        <w:t>培训支出等。</w:t>
      </w:r>
    </w:p>
    <w:p>
      <w:pPr>
        <w:keepNext w:val="0"/>
        <w:keepLines w:val="0"/>
        <w:pageBreakBefore w:val="0"/>
        <w:widowControl w:val="0"/>
        <w:numPr>
          <w:ilvl w:val="0"/>
          <w:numId w:val="0"/>
        </w:numPr>
        <w:kinsoku/>
        <w:wordWrap/>
        <w:overflowPunct/>
        <w:topLinePunct w:val="0"/>
        <w:bidi w:val="0"/>
        <w:spacing w:line="580" w:lineRule="exact"/>
        <w:ind w:firstLine="640" w:firstLineChars="200"/>
        <w:textAlignment w:val="auto"/>
        <w:rPr>
          <w:rFonts w:hint="eastAsia" w:ascii="方正仿宋_GB2312" w:hAnsi="方正仿宋_GB2312" w:eastAsia="方正仿宋_GB2312" w:cs="方正仿宋_GB2312"/>
          <w:b w:val="0"/>
          <w:bCs w:val="0"/>
          <w:sz w:val="32"/>
          <w:szCs w:val="32"/>
          <w:lang w:val="en-US" w:eastAsia="zh-CN"/>
        </w:rPr>
      </w:pPr>
      <w:r>
        <w:rPr>
          <w:rFonts w:hint="eastAsia" w:ascii="方正仿宋_GB2312" w:hAnsi="方正仿宋_GB2312" w:eastAsia="方正仿宋_GB2312" w:cs="方正仿宋_GB2312"/>
          <w:sz w:val="32"/>
          <w:szCs w:val="32"/>
          <w:lang w:val="en-US" w:eastAsia="zh-CN"/>
        </w:rPr>
        <w:t>2、2024年度我单位</w:t>
      </w:r>
      <w:r>
        <w:rPr>
          <w:rFonts w:hint="eastAsia" w:ascii="方正仿宋_GB2312" w:hAnsi="方正仿宋_GB2312" w:eastAsia="方正仿宋_GB2312" w:cs="方正仿宋_GB2312"/>
          <w:b w:val="0"/>
          <w:bCs w:val="0"/>
          <w:sz w:val="32"/>
          <w:szCs w:val="32"/>
          <w:lang w:val="en-US" w:eastAsia="zh-CN"/>
        </w:rPr>
        <w:t>业务工作经费323.35万元，主要为其他农业农村支出的差旅费、培训费、劳务费、委托业务费、其他商品和服务支出等。</w:t>
      </w:r>
    </w:p>
    <w:p>
      <w:pPr>
        <w:pStyle w:val="23"/>
        <w:keepNext w:val="0"/>
        <w:keepLines w:val="0"/>
        <w:pageBreakBefore w:val="0"/>
        <w:widowControl w:val="0"/>
        <w:numPr>
          <w:ilvl w:val="0"/>
          <w:numId w:val="4"/>
        </w:numPr>
        <w:kinsoku/>
        <w:wordWrap/>
        <w:overflowPunct/>
        <w:topLinePunct w:val="0"/>
        <w:bidi w:val="0"/>
        <w:snapToGrid w:val="0"/>
        <w:spacing w:line="580" w:lineRule="exact"/>
        <w:ind w:firstLine="64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政府性基金预算支出情况</w:t>
      </w:r>
    </w:p>
    <w:p>
      <w:pPr>
        <w:pStyle w:val="23"/>
        <w:keepNext w:val="0"/>
        <w:keepLines w:val="0"/>
        <w:pageBreakBefore w:val="0"/>
        <w:widowControl w:val="0"/>
        <w:numPr>
          <w:ilvl w:val="0"/>
          <w:numId w:val="0"/>
        </w:numPr>
        <w:kinsoku/>
        <w:wordWrap/>
        <w:overflowPunct/>
        <w:topLinePunct w:val="0"/>
        <w:bidi w:val="0"/>
        <w:snapToGrid w:val="0"/>
        <w:spacing w:line="580" w:lineRule="exact"/>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color w:val="auto"/>
          <w:kern w:val="2"/>
          <w:sz w:val="32"/>
          <w:szCs w:val="32"/>
          <w:lang w:val="en-US" w:eastAsia="zh-CN" w:bidi="ar-SA"/>
        </w:rPr>
        <w:t>本单位2024年无政府性基金收支</w:t>
      </w:r>
    </w:p>
    <w:p>
      <w:pPr>
        <w:pStyle w:val="23"/>
        <w:keepNext w:val="0"/>
        <w:keepLines w:val="0"/>
        <w:pageBreakBefore w:val="0"/>
        <w:widowControl w:val="0"/>
        <w:numPr>
          <w:ilvl w:val="0"/>
          <w:numId w:val="4"/>
        </w:numPr>
        <w:kinsoku/>
        <w:wordWrap/>
        <w:overflowPunct/>
        <w:topLinePunct w:val="0"/>
        <w:bidi w:val="0"/>
        <w:snapToGrid w:val="0"/>
        <w:spacing w:line="580" w:lineRule="exact"/>
        <w:ind w:left="0" w:leftChars="0" w:firstLine="640"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国有资本经营预算支出情况</w:t>
      </w:r>
    </w:p>
    <w:p>
      <w:pPr>
        <w:pStyle w:val="23"/>
        <w:keepNext w:val="0"/>
        <w:keepLines w:val="0"/>
        <w:pageBreakBefore w:val="0"/>
        <w:widowControl w:val="0"/>
        <w:numPr>
          <w:ilvl w:val="0"/>
          <w:numId w:val="0"/>
        </w:numPr>
        <w:kinsoku/>
        <w:wordWrap/>
        <w:overflowPunct/>
        <w:topLinePunct w:val="0"/>
        <w:bidi w:val="0"/>
        <w:snapToGrid w:val="0"/>
        <w:spacing w:line="580" w:lineRule="exact"/>
        <w:ind w:left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color w:val="auto"/>
          <w:kern w:val="2"/>
          <w:sz w:val="32"/>
          <w:szCs w:val="32"/>
          <w:lang w:val="en-US" w:eastAsia="zh-CN" w:bidi="ar-SA"/>
        </w:rPr>
        <w:t>本单位2024年无</w:t>
      </w:r>
      <w:r>
        <w:rPr>
          <w:rFonts w:hint="eastAsia" w:ascii="方正仿宋_GB2312" w:hAnsi="方正仿宋_GB2312" w:eastAsia="方正仿宋_GB2312" w:cs="方正仿宋_GB2312"/>
          <w:sz w:val="32"/>
          <w:szCs w:val="32"/>
        </w:rPr>
        <w:t>国有资本经营预算支出</w:t>
      </w:r>
    </w:p>
    <w:p>
      <w:pPr>
        <w:pStyle w:val="23"/>
        <w:keepNext w:val="0"/>
        <w:keepLines w:val="0"/>
        <w:pageBreakBefore w:val="0"/>
        <w:widowControl w:val="0"/>
        <w:numPr>
          <w:ilvl w:val="0"/>
          <w:numId w:val="4"/>
        </w:numPr>
        <w:kinsoku/>
        <w:wordWrap/>
        <w:overflowPunct/>
        <w:topLinePunct w:val="0"/>
        <w:bidi w:val="0"/>
        <w:snapToGrid w:val="0"/>
        <w:spacing w:line="580" w:lineRule="exact"/>
        <w:ind w:left="0" w:leftChars="0" w:firstLine="640" w:firstLineChars="20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社会保险基金预算支出情况</w:t>
      </w:r>
    </w:p>
    <w:p>
      <w:pPr>
        <w:pStyle w:val="23"/>
        <w:keepNext w:val="0"/>
        <w:keepLines w:val="0"/>
        <w:pageBreakBefore w:val="0"/>
        <w:widowControl w:val="0"/>
        <w:numPr>
          <w:ilvl w:val="0"/>
          <w:numId w:val="0"/>
        </w:numPr>
        <w:kinsoku/>
        <w:wordWrap/>
        <w:overflowPunct/>
        <w:topLinePunct w:val="0"/>
        <w:bidi w:val="0"/>
        <w:snapToGrid w:val="0"/>
        <w:spacing w:line="580" w:lineRule="exact"/>
        <w:ind w:left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color w:val="auto"/>
          <w:kern w:val="2"/>
          <w:sz w:val="32"/>
          <w:szCs w:val="32"/>
          <w:lang w:val="en-US" w:eastAsia="zh-CN" w:bidi="ar-SA"/>
        </w:rPr>
        <w:t>本单位2024年无</w:t>
      </w:r>
      <w:r>
        <w:rPr>
          <w:rFonts w:hint="eastAsia" w:ascii="方正仿宋_GB2312" w:hAnsi="方正仿宋_GB2312" w:eastAsia="方正仿宋_GB2312" w:cs="方正仿宋_GB2312"/>
          <w:sz w:val="32"/>
          <w:szCs w:val="32"/>
        </w:rPr>
        <w:t>国有资本经营预算支出</w:t>
      </w:r>
    </w:p>
    <w:p>
      <w:pPr>
        <w:keepNext w:val="0"/>
        <w:keepLines w:val="0"/>
        <w:pageBreakBefore w:val="0"/>
        <w:widowControl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六、部门整体支出绩效情况</w:t>
      </w:r>
    </w:p>
    <w:p>
      <w:pPr>
        <w:pStyle w:val="24"/>
        <w:pBdr>
          <w:bottom w:val="single" w:color="FFFFFF" w:sz="4" w:space="31"/>
        </w:pBdr>
        <w:tabs>
          <w:tab w:val="left" w:pos="1440"/>
        </w:tabs>
        <w:adjustRightInd w:val="0"/>
        <w:spacing w:line="580" w:lineRule="exact"/>
        <w:ind w:firstLine="640" w:firstLineChars="200"/>
        <w:rPr>
          <w:rFonts w:hint="eastAsia" w:ascii="Times New Roman" w:hAnsi="Times New Roman" w:eastAsia="仿宋_GB2312" w:cs="Times New Roman"/>
          <w:color w:val="auto"/>
          <w:sz w:val="32"/>
          <w:szCs w:val="32"/>
        </w:rPr>
      </w:pPr>
      <w:r>
        <w:rPr>
          <w:rFonts w:ascii="Times New Roman" w:hAnsi="Times New Roman" w:eastAsia="仿宋_GB2312" w:cs="Times New Roman"/>
          <w:color w:val="auto"/>
          <w:kern w:val="0"/>
          <w:sz w:val="32"/>
          <w:szCs w:val="32"/>
        </w:rPr>
        <w:t>2024年度</w:t>
      </w:r>
      <w:r>
        <w:rPr>
          <w:rFonts w:hint="eastAsia" w:ascii="Times New Roman" w:hAnsi="Times New Roman" w:eastAsia="仿宋_GB2312" w:cs="Times New Roman"/>
          <w:color w:val="auto"/>
          <w:kern w:val="0"/>
          <w:sz w:val="32"/>
          <w:szCs w:val="32"/>
          <w:lang w:val="en-US" w:eastAsia="zh-CN"/>
        </w:rPr>
        <w:t>,</w:t>
      </w:r>
      <w:r>
        <w:rPr>
          <w:rFonts w:hint="eastAsia" w:ascii="Times New Roman" w:hAnsi="Times New Roman" w:eastAsia="仿宋_GB2312" w:cs="Times New Roman"/>
          <w:color w:val="auto"/>
          <w:sz w:val="32"/>
          <w:szCs w:val="32"/>
        </w:rPr>
        <w:t>我</w:t>
      </w:r>
      <w:r>
        <w:rPr>
          <w:rFonts w:hint="eastAsia" w:ascii="Times New Roman" w:hAnsi="Times New Roman" w:eastAsia="仿宋_GB2312" w:cs="Times New Roman"/>
          <w:color w:val="auto"/>
          <w:sz w:val="32"/>
          <w:szCs w:val="32"/>
          <w:lang w:val="en-US" w:eastAsia="zh-CN"/>
        </w:rPr>
        <w:t>办</w:t>
      </w:r>
      <w:r>
        <w:rPr>
          <w:rFonts w:hint="eastAsia" w:ascii="Times New Roman" w:hAnsi="Times New Roman" w:eastAsia="仿宋_GB2312" w:cs="Times New Roman"/>
          <w:color w:val="auto"/>
          <w:sz w:val="32"/>
          <w:szCs w:val="32"/>
        </w:rPr>
        <w:t>严格按照厅党组的决策部署，</w:t>
      </w:r>
      <w:r>
        <w:rPr>
          <w:rFonts w:hint="eastAsia" w:ascii="仿宋" w:hAnsi="仿宋" w:eastAsia="仿宋" w:cs="仿宋"/>
          <w:color w:val="auto"/>
          <w:sz w:val="32"/>
          <w:szCs w:val="32"/>
          <w:lang w:val="en-US" w:eastAsia="zh-CN"/>
        </w:rPr>
        <w:t>坚持</w:t>
      </w:r>
      <w:r>
        <w:rPr>
          <w:rFonts w:hint="eastAsia" w:ascii="仿宋" w:hAnsi="仿宋" w:eastAsia="仿宋" w:cs="仿宋"/>
          <w:color w:val="auto"/>
          <w:sz w:val="32"/>
          <w:szCs w:val="32"/>
        </w:rPr>
        <w:t>“扩规模、提品质、育品牌、强产业”基本思路，</w:t>
      </w:r>
      <w:r>
        <w:rPr>
          <w:rFonts w:hint="eastAsia" w:ascii="仿宋" w:hAnsi="仿宋" w:eastAsia="仿宋" w:cs="仿宋"/>
          <w:color w:val="auto"/>
          <w:sz w:val="32"/>
          <w:szCs w:val="32"/>
          <w:lang w:val="en-US" w:eastAsia="zh-CN"/>
        </w:rPr>
        <w:t>突出一个“新”字，大力为</w:t>
      </w:r>
      <w:r>
        <w:rPr>
          <w:rFonts w:ascii="仿宋_GB2312" w:hAnsi="仿宋_GB2312" w:eastAsia="仿宋_GB2312" w:cs="仿宋_GB2312"/>
          <w:color w:val="auto"/>
          <w:kern w:val="0"/>
          <w:sz w:val="31"/>
          <w:szCs w:val="31"/>
          <w:lang w:val="en-US" w:eastAsia="zh-CN" w:bidi="ar"/>
        </w:rPr>
        <w:t>绿色农产品及食品加工产业链发展</w:t>
      </w:r>
      <w:r>
        <w:rPr>
          <w:rFonts w:hint="eastAsia" w:ascii="仿宋_GB2312" w:hAnsi="仿宋_GB2312" w:eastAsia="仿宋_GB2312" w:cs="仿宋_GB2312"/>
          <w:color w:val="auto"/>
          <w:kern w:val="0"/>
          <w:sz w:val="31"/>
          <w:szCs w:val="31"/>
          <w:lang w:val="en-US" w:eastAsia="zh-CN" w:bidi="ar"/>
        </w:rPr>
        <w:t>提供优质原料和质量品牌支撑</w:t>
      </w:r>
      <w:r>
        <w:rPr>
          <w:rFonts w:hint="eastAsia" w:ascii="Times New Roman" w:hAnsi="Times New Roman" w:eastAsia="仿宋_GB2312" w:cs="Times New Roman"/>
          <w:color w:val="auto"/>
          <w:sz w:val="32"/>
          <w:szCs w:val="32"/>
        </w:rPr>
        <w:t>，较好地完成了全年目标任务。</w:t>
      </w:r>
    </w:p>
    <w:p>
      <w:pPr>
        <w:pStyle w:val="24"/>
        <w:pBdr>
          <w:bottom w:val="single" w:color="FFFFFF" w:sz="4" w:space="31"/>
        </w:pBdr>
        <w:tabs>
          <w:tab w:val="left" w:pos="1440"/>
        </w:tabs>
        <w:adjustRightInd w:val="0"/>
        <w:spacing w:line="580" w:lineRule="exact"/>
        <w:ind w:firstLine="640" w:firstLineChars="200"/>
        <w:rPr>
          <w:rFonts w:ascii="Times New Roman" w:hAnsi="Times New Roman" w:eastAsia="仿宋_GB2312"/>
          <w:color w:val="auto"/>
          <w:sz w:val="32"/>
          <w:szCs w:val="32"/>
          <w:shd w:val="clear" w:color="auto" w:fill="FFFFFF"/>
        </w:rPr>
      </w:pPr>
      <w:r>
        <w:rPr>
          <w:rFonts w:hint="eastAsia" w:ascii="楷体_GB2312" w:hAnsi="楷体_GB2312" w:eastAsia="楷体_GB2312" w:cs="楷体_GB2312"/>
          <w:b/>
          <w:color w:val="auto"/>
          <w:sz w:val="32"/>
          <w:szCs w:val="32"/>
          <w:lang w:eastAsia="zh-CN"/>
        </w:rPr>
        <w:t>（一）</w:t>
      </w:r>
      <w:r>
        <w:rPr>
          <w:rFonts w:hint="eastAsia" w:ascii="楷体_GB2312" w:hAnsi="楷体_GB2312" w:eastAsia="楷体_GB2312" w:cs="楷体_GB2312"/>
          <w:b/>
          <w:color w:val="auto"/>
          <w:sz w:val="32"/>
          <w:szCs w:val="32"/>
        </w:rPr>
        <w:t>严控运行成本</w:t>
      </w:r>
      <w:r>
        <w:rPr>
          <w:rFonts w:hint="eastAsia" w:ascii="楷体_GB2312" w:hAnsi="楷体_GB2312" w:eastAsia="楷体_GB2312" w:cs="楷体_GB2312"/>
          <w:b/>
          <w:color w:val="auto"/>
          <w:sz w:val="32"/>
          <w:szCs w:val="32"/>
          <w:lang w:eastAsia="zh-CN"/>
        </w:rPr>
        <w:t>，节约经费支出</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ascii="Times New Roman" w:hAnsi="Times New Roman" w:eastAsia="仿宋_GB2312"/>
          <w:color w:val="auto"/>
          <w:sz w:val="32"/>
          <w:szCs w:val="32"/>
          <w:shd w:val="clear" w:color="auto" w:fill="FFFFFF"/>
        </w:rPr>
      </w:pPr>
      <w:r>
        <w:rPr>
          <w:rFonts w:hint="eastAsia" w:ascii="Times New Roman" w:hAnsi="Times New Roman" w:eastAsia="仿宋_GB2312"/>
          <w:color w:val="auto"/>
          <w:sz w:val="32"/>
          <w:szCs w:val="32"/>
          <w:shd w:val="clear" w:color="auto" w:fill="FFFFFF"/>
        </w:rPr>
        <w:t>2024年“三公”经费支出</w:t>
      </w:r>
      <w:r>
        <w:rPr>
          <w:rFonts w:hint="eastAsia" w:ascii="Times New Roman" w:hAnsi="Times New Roman" w:eastAsia="仿宋_GB2312"/>
          <w:color w:val="auto"/>
          <w:sz w:val="32"/>
          <w:szCs w:val="32"/>
          <w:shd w:val="clear" w:color="auto" w:fill="FFFFFF"/>
          <w:lang w:val="en-US" w:eastAsia="zh-CN"/>
        </w:rPr>
        <w:t>0.7</w:t>
      </w:r>
      <w:r>
        <w:rPr>
          <w:rFonts w:hint="eastAsia" w:ascii="Times New Roman" w:hAnsi="Times New Roman" w:eastAsia="仿宋_GB2312"/>
          <w:color w:val="auto"/>
          <w:sz w:val="32"/>
          <w:szCs w:val="32"/>
          <w:shd w:val="clear" w:color="auto" w:fill="FFFFFF"/>
        </w:rPr>
        <w:t>万元。其中公务接待费</w:t>
      </w:r>
      <w:r>
        <w:rPr>
          <w:rFonts w:hint="eastAsia" w:ascii="Times New Roman" w:hAnsi="Times New Roman" w:eastAsia="仿宋_GB2312"/>
          <w:color w:val="auto"/>
          <w:sz w:val="32"/>
          <w:szCs w:val="32"/>
          <w:shd w:val="clear" w:color="auto" w:fill="FFFFFF"/>
          <w:lang w:val="en-US" w:eastAsia="zh-CN"/>
        </w:rPr>
        <w:t>0.7</w:t>
      </w:r>
      <w:r>
        <w:rPr>
          <w:rFonts w:hint="eastAsia" w:ascii="Times New Roman" w:hAnsi="Times New Roman" w:eastAsia="仿宋_GB2312"/>
          <w:color w:val="auto"/>
          <w:sz w:val="32"/>
          <w:szCs w:val="32"/>
          <w:shd w:val="clear" w:color="auto" w:fill="FFFFFF"/>
        </w:rPr>
        <w:t>万元、公务用车运行维护费0万元、车辆购置费支出0万元，较年初预算</w:t>
      </w:r>
      <w:r>
        <w:rPr>
          <w:rFonts w:hint="eastAsia" w:ascii="Times New Roman" w:hAnsi="Times New Roman" w:eastAsia="仿宋_GB2312"/>
          <w:color w:val="auto"/>
          <w:sz w:val="32"/>
          <w:szCs w:val="32"/>
          <w:shd w:val="clear" w:color="auto" w:fill="FFFFFF"/>
          <w:lang w:val="en-US" w:eastAsia="zh-CN"/>
        </w:rPr>
        <w:t>2</w:t>
      </w:r>
      <w:r>
        <w:rPr>
          <w:rFonts w:hint="eastAsia" w:ascii="Times New Roman" w:hAnsi="Times New Roman" w:eastAsia="仿宋_GB2312"/>
          <w:color w:val="auto"/>
          <w:sz w:val="32"/>
          <w:szCs w:val="32"/>
          <w:shd w:val="clear" w:color="auto" w:fill="FFFFFF"/>
        </w:rPr>
        <w:t>万元节约</w:t>
      </w:r>
      <w:r>
        <w:rPr>
          <w:rFonts w:hint="eastAsia" w:ascii="Times New Roman" w:hAnsi="Times New Roman" w:eastAsia="仿宋_GB2312"/>
          <w:color w:val="auto"/>
          <w:sz w:val="32"/>
          <w:szCs w:val="32"/>
          <w:shd w:val="clear" w:color="auto" w:fill="FFFFFF"/>
          <w:lang w:val="en-US" w:eastAsia="zh-CN"/>
        </w:rPr>
        <w:t>1.3</w:t>
      </w:r>
      <w:r>
        <w:rPr>
          <w:rFonts w:hint="eastAsia" w:ascii="Times New Roman" w:hAnsi="Times New Roman" w:eastAsia="仿宋_GB2312"/>
          <w:color w:val="auto"/>
          <w:sz w:val="32"/>
          <w:szCs w:val="32"/>
          <w:shd w:val="clear" w:color="auto" w:fill="FFFFFF"/>
        </w:rPr>
        <w:t>万元，节约比为</w:t>
      </w:r>
      <w:r>
        <w:rPr>
          <w:rFonts w:hint="eastAsia" w:ascii="Times New Roman" w:hAnsi="Times New Roman" w:eastAsia="仿宋_GB2312"/>
          <w:color w:val="auto"/>
          <w:sz w:val="32"/>
          <w:szCs w:val="32"/>
          <w:shd w:val="clear" w:color="auto" w:fill="FFFFFF"/>
          <w:lang w:val="en-US" w:eastAsia="zh-CN"/>
        </w:rPr>
        <w:t>65</w:t>
      </w:r>
      <w:r>
        <w:rPr>
          <w:rFonts w:hint="eastAsia" w:ascii="Times New Roman" w:hAnsi="Times New Roman" w:eastAsia="仿宋_GB2312"/>
          <w:color w:val="auto"/>
          <w:sz w:val="32"/>
          <w:szCs w:val="32"/>
          <w:shd w:val="clear" w:color="auto" w:fill="FFFFFF"/>
        </w:rPr>
        <w:t>%。基本支出中水费、电费和差旅费等公用经费年初预算为</w:t>
      </w:r>
      <w:r>
        <w:rPr>
          <w:rFonts w:hint="eastAsia" w:ascii="Times New Roman" w:hAnsi="Times New Roman" w:eastAsia="仿宋_GB2312"/>
          <w:color w:val="auto"/>
          <w:sz w:val="32"/>
          <w:szCs w:val="32"/>
          <w:shd w:val="clear" w:color="auto" w:fill="FFFFFF"/>
          <w:lang w:val="en-US" w:eastAsia="zh-CN"/>
        </w:rPr>
        <w:t>50</w:t>
      </w:r>
      <w:r>
        <w:rPr>
          <w:rFonts w:hint="eastAsia" w:ascii="Times New Roman" w:hAnsi="Times New Roman" w:eastAsia="仿宋_GB2312"/>
          <w:color w:val="auto"/>
          <w:sz w:val="32"/>
          <w:szCs w:val="32"/>
          <w:shd w:val="clear" w:color="auto" w:fill="FFFFFF"/>
        </w:rPr>
        <w:t>万元，决算数为</w:t>
      </w:r>
      <w:r>
        <w:rPr>
          <w:rFonts w:hint="eastAsia" w:ascii="Times New Roman" w:hAnsi="Times New Roman" w:eastAsia="仿宋_GB2312"/>
          <w:color w:val="auto"/>
          <w:sz w:val="32"/>
          <w:szCs w:val="32"/>
          <w:shd w:val="clear" w:color="auto" w:fill="FFFFFF"/>
          <w:lang w:val="en-US" w:eastAsia="zh-CN"/>
        </w:rPr>
        <w:t>48.7</w:t>
      </w:r>
      <w:r>
        <w:rPr>
          <w:rFonts w:hint="eastAsia" w:ascii="Times New Roman" w:hAnsi="Times New Roman" w:eastAsia="仿宋_GB2312"/>
          <w:color w:val="auto"/>
          <w:sz w:val="32"/>
          <w:szCs w:val="32"/>
          <w:shd w:val="clear" w:color="auto" w:fill="FFFFFF"/>
        </w:rPr>
        <w:t>万元，</w:t>
      </w:r>
      <w:r>
        <w:rPr>
          <w:rFonts w:hint="eastAsia" w:ascii="Times New Roman" w:hAnsi="Times New Roman" w:eastAsia="仿宋_GB2312"/>
          <w:color w:val="auto"/>
          <w:sz w:val="32"/>
          <w:szCs w:val="32"/>
          <w:shd w:val="clear" w:color="auto" w:fill="FFFFFF"/>
          <w:lang w:eastAsia="zh-CN"/>
        </w:rPr>
        <w:t>节约</w:t>
      </w:r>
      <w:r>
        <w:rPr>
          <w:rFonts w:hint="eastAsia" w:ascii="Times New Roman" w:hAnsi="Times New Roman" w:eastAsia="仿宋_GB2312"/>
          <w:color w:val="auto"/>
          <w:sz w:val="32"/>
          <w:szCs w:val="32"/>
          <w:shd w:val="clear" w:color="auto" w:fill="FFFFFF"/>
          <w:lang w:val="en-US" w:eastAsia="zh-CN"/>
        </w:rPr>
        <w:t>1.3万元，</w:t>
      </w:r>
      <w:r>
        <w:rPr>
          <w:rFonts w:hint="eastAsia" w:ascii="Times New Roman" w:hAnsi="Times New Roman" w:eastAsia="仿宋_GB2312"/>
          <w:color w:val="auto"/>
          <w:sz w:val="32"/>
          <w:szCs w:val="32"/>
          <w:shd w:val="clear" w:color="auto" w:fill="FFFFFF"/>
        </w:rPr>
        <w:t>节约比为</w:t>
      </w:r>
      <w:r>
        <w:rPr>
          <w:rFonts w:hint="eastAsia" w:ascii="Times New Roman" w:hAnsi="Times New Roman" w:eastAsia="仿宋_GB2312"/>
          <w:color w:val="auto"/>
          <w:sz w:val="32"/>
          <w:szCs w:val="32"/>
          <w:shd w:val="clear" w:color="auto" w:fill="FFFFFF"/>
          <w:lang w:val="en-US" w:eastAsia="zh-CN"/>
        </w:rPr>
        <w:t>2.6</w:t>
      </w:r>
      <w:r>
        <w:rPr>
          <w:rFonts w:hint="eastAsia" w:ascii="Times New Roman" w:hAnsi="Times New Roman" w:eastAsia="仿宋_GB2312"/>
          <w:color w:val="auto"/>
          <w:sz w:val="32"/>
          <w:szCs w:val="32"/>
          <w:shd w:val="clear" w:color="auto" w:fill="FFFFFF"/>
        </w:rPr>
        <w:t>%。会议费和培训费年初预算为</w:t>
      </w:r>
      <w:r>
        <w:rPr>
          <w:rFonts w:hint="eastAsia" w:ascii="Times New Roman" w:hAnsi="Times New Roman" w:eastAsia="仿宋_GB2312"/>
          <w:color w:val="auto"/>
          <w:sz w:val="32"/>
          <w:szCs w:val="32"/>
          <w:shd w:val="clear" w:color="auto" w:fill="FFFFFF"/>
          <w:lang w:val="en-US" w:eastAsia="zh-CN"/>
        </w:rPr>
        <w:t>30.4</w:t>
      </w:r>
      <w:r>
        <w:rPr>
          <w:rFonts w:hint="eastAsia" w:ascii="Times New Roman" w:hAnsi="Times New Roman" w:eastAsia="仿宋_GB2312"/>
          <w:color w:val="auto"/>
          <w:sz w:val="32"/>
          <w:szCs w:val="32"/>
          <w:shd w:val="clear" w:color="auto" w:fill="FFFFFF"/>
        </w:rPr>
        <w:t>万元，决算数为</w:t>
      </w:r>
      <w:r>
        <w:rPr>
          <w:rFonts w:hint="eastAsia" w:ascii="Times New Roman" w:hAnsi="Times New Roman" w:eastAsia="仿宋_GB2312"/>
          <w:color w:val="auto"/>
          <w:sz w:val="32"/>
          <w:szCs w:val="32"/>
          <w:shd w:val="clear" w:color="auto" w:fill="FFFFFF"/>
          <w:lang w:val="en-US" w:eastAsia="zh-CN"/>
        </w:rPr>
        <w:t>17.14</w:t>
      </w:r>
      <w:r>
        <w:rPr>
          <w:rFonts w:hint="eastAsia" w:ascii="Times New Roman" w:hAnsi="Times New Roman" w:eastAsia="仿宋_GB2312"/>
          <w:color w:val="auto"/>
          <w:sz w:val="32"/>
          <w:szCs w:val="32"/>
          <w:shd w:val="clear" w:color="auto" w:fill="FFFFFF"/>
        </w:rPr>
        <w:t>万元，</w:t>
      </w:r>
      <w:r>
        <w:rPr>
          <w:rFonts w:hint="eastAsia" w:ascii="Times New Roman" w:hAnsi="Times New Roman" w:eastAsia="仿宋_GB2312"/>
          <w:color w:val="auto"/>
          <w:sz w:val="32"/>
          <w:szCs w:val="32"/>
          <w:shd w:val="clear" w:color="auto" w:fill="FFFFFF"/>
          <w:lang w:eastAsia="zh-CN"/>
        </w:rPr>
        <w:t>节约</w:t>
      </w:r>
      <w:r>
        <w:rPr>
          <w:rFonts w:hint="eastAsia" w:ascii="Times New Roman" w:hAnsi="Times New Roman" w:eastAsia="仿宋_GB2312"/>
          <w:color w:val="auto"/>
          <w:sz w:val="32"/>
          <w:szCs w:val="32"/>
          <w:shd w:val="clear" w:color="auto" w:fill="FFFFFF"/>
          <w:lang w:val="en-US" w:eastAsia="zh-CN"/>
        </w:rPr>
        <w:t>13.26万元，</w:t>
      </w:r>
      <w:r>
        <w:rPr>
          <w:rFonts w:hint="eastAsia" w:ascii="Times New Roman" w:hAnsi="Times New Roman" w:eastAsia="仿宋_GB2312"/>
          <w:color w:val="auto"/>
          <w:sz w:val="32"/>
          <w:szCs w:val="32"/>
          <w:shd w:val="clear" w:color="auto" w:fill="FFFFFF"/>
        </w:rPr>
        <w:t>节约比为</w:t>
      </w:r>
      <w:r>
        <w:rPr>
          <w:rFonts w:hint="eastAsia" w:ascii="Times New Roman" w:hAnsi="Times New Roman" w:eastAsia="仿宋_GB2312"/>
          <w:color w:val="auto"/>
          <w:sz w:val="32"/>
          <w:szCs w:val="32"/>
          <w:shd w:val="clear" w:color="auto" w:fill="FFFFFF"/>
          <w:lang w:val="en-US" w:eastAsia="zh-CN"/>
        </w:rPr>
        <w:t>43.62</w:t>
      </w:r>
      <w:r>
        <w:rPr>
          <w:rFonts w:hint="eastAsia" w:ascii="Times New Roman" w:hAnsi="Times New Roman" w:eastAsia="仿宋_GB2312"/>
          <w:color w:val="auto"/>
          <w:sz w:val="32"/>
          <w:szCs w:val="32"/>
          <w:shd w:val="clear" w:color="auto" w:fill="FFFFFF"/>
        </w:rPr>
        <w:t>%，均合理控制在预算以内。</w:t>
      </w:r>
      <w:r>
        <w:rPr>
          <w:rFonts w:ascii="Times New Roman" w:hAnsi="Times New Roman" w:eastAsia="仿宋_GB2312" w:cs="Times New Roman"/>
          <w:color w:val="auto"/>
          <w:sz w:val="32"/>
          <w:szCs w:val="32"/>
        </w:rPr>
        <w:t>2024年度政府采购支出总额</w:t>
      </w:r>
      <w:r>
        <w:rPr>
          <w:rFonts w:hint="eastAsia" w:ascii="Times New Roman" w:hAnsi="Times New Roman" w:eastAsia="仿宋_GB2312" w:cs="Times New Roman"/>
          <w:color w:val="auto"/>
          <w:sz w:val="32"/>
          <w:szCs w:val="32"/>
          <w:lang w:val="en-US" w:eastAsia="zh-CN"/>
        </w:rPr>
        <w:t>55.1</w:t>
      </w:r>
      <w:r>
        <w:rPr>
          <w:rFonts w:ascii="Times New Roman" w:hAnsi="Times New Roman" w:eastAsia="仿宋_GB2312" w:cs="Times New Roman"/>
          <w:color w:val="auto"/>
          <w:sz w:val="32"/>
          <w:szCs w:val="32"/>
        </w:rPr>
        <w:t>万元，其中：政府采购货物支出</w:t>
      </w:r>
      <w:r>
        <w:rPr>
          <w:rFonts w:hint="eastAsia" w:ascii="Times New Roman" w:hAnsi="Times New Roman" w:eastAsia="仿宋_GB2312" w:cs="Times New Roman"/>
          <w:color w:val="auto"/>
          <w:sz w:val="32"/>
          <w:szCs w:val="32"/>
          <w:lang w:val="en-US" w:eastAsia="zh-CN"/>
        </w:rPr>
        <w:t>0.1</w:t>
      </w:r>
      <w:r>
        <w:rPr>
          <w:rFonts w:ascii="Times New Roman" w:hAnsi="Times New Roman" w:eastAsia="仿宋_GB2312" w:cs="Times New Roman"/>
          <w:color w:val="auto"/>
          <w:sz w:val="32"/>
          <w:szCs w:val="32"/>
        </w:rPr>
        <w:t>万元、政府采购工程支出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万元、政府采购服务支出</w:t>
      </w:r>
      <w:r>
        <w:rPr>
          <w:rFonts w:hint="eastAsia" w:ascii="Times New Roman" w:hAnsi="Times New Roman" w:eastAsia="仿宋_GB2312" w:cs="Times New Roman"/>
          <w:color w:val="auto"/>
          <w:sz w:val="32"/>
          <w:szCs w:val="32"/>
          <w:lang w:val="en-US" w:eastAsia="zh-CN"/>
        </w:rPr>
        <w:t>55</w:t>
      </w:r>
      <w:r>
        <w:rPr>
          <w:rFonts w:ascii="Times New Roman" w:hAnsi="Times New Roman" w:eastAsia="仿宋_GB2312" w:cs="Times New Roman"/>
          <w:color w:val="auto"/>
          <w:sz w:val="32"/>
          <w:szCs w:val="32"/>
        </w:rPr>
        <w:t>万元。授予中小企业合同金额</w:t>
      </w:r>
      <w:r>
        <w:rPr>
          <w:rFonts w:hint="eastAsia" w:ascii="Times New Roman" w:hAnsi="Times New Roman" w:eastAsia="仿宋_GB2312" w:cs="Times New Roman"/>
          <w:color w:val="auto"/>
          <w:sz w:val="32"/>
          <w:szCs w:val="32"/>
          <w:lang w:val="en-US" w:eastAsia="zh-CN"/>
        </w:rPr>
        <w:t>55.1</w:t>
      </w:r>
      <w:r>
        <w:rPr>
          <w:rFonts w:ascii="Times New Roman" w:hAnsi="Times New Roman" w:eastAsia="仿宋_GB2312" w:cs="Times New Roman"/>
          <w:color w:val="auto"/>
          <w:sz w:val="32"/>
          <w:szCs w:val="32"/>
        </w:rPr>
        <w:t>万元，占政府采购支出总额的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val="0"/>
        <w:snapToGrid w:val="0"/>
        <w:spacing w:line="580" w:lineRule="exact"/>
        <w:ind w:firstLine="640" w:firstLineChars="200"/>
        <w:textAlignment w:val="auto"/>
        <w:rPr>
          <w:rFonts w:ascii="Times New Roman" w:hAnsi="Times New Roman" w:eastAsia="仿宋_GB2312"/>
          <w:color w:val="auto"/>
          <w:kern w:val="0"/>
          <w:sz w:val="32"/>
          <w:szCs w:val="32"/>
          <w:shd w:val="clear" w:color="auto" w:fill="FFFFFF"/>
          <w:lang w:bidi="ar"/>
        </w:rPr>
      </w:pPr>
      <w:r>
        <w:rPr>
          <w:rFonts w:ascii="Times New Roman" w:hAnsi="Times New Roman" w:eastAsia="仿宋_GB2312"/>
          <w:bCs/>
          <w:color w:val="auto"/>
          <w:sz w:val="32"/>
          <w:szCs w:val="32"/>
          <w:shd w:val="clear" w:color="auto" w:fill="FFFFFF"/>
        </w:rPr>
        <w:t>规范资产管理。</w:t>
      </w:r>
      <w:r>
        <w:rPr>
          <w:rFonts w:ascii="Times New Roman" w:hAnsi="Times New Roman" w:eastAsia="仿宋_GB2312"/>
          <w:color w:val="auto"/>
          <w:sz w:val="32"/>
          <w:szCs w:val="32"/>
          <w:shd w:val="clear" w:color="auto" w:fill="FFFFFF"/>
        </w:rPr>
        <w:t>定期开展资产清查</w:t>
      </w:r>
      <w:r>
        <w:rPr>
          <w:rFonts w:hint="eastAsia" w:ascii="Times New Roman" w:hAnsi="Times New Roman" w:eastAsia="仿宋_GB2312"/>
          <w:color w:val="auto"/>
          <w:sz w:val="32"/>
          <w:szCs w:val="32"/>
          <w:shd w:val="clear" w:color="auto" w:fill="FFFFFF"/>
          <w:lang w:eastAsia="zh-CN"/>
        </w:rPr>
        <w:t>，</w:t>
      </w:r>
      <w:r>
        <w:rPr>
          <w:rFonts w:ascii="Times New Roman" w:hAnsi="Times New Roman" w:eastAsia="仿宋_GB2312"/>
          <w:color w:val="auto"/>
          <w:sz w:val="32"/>
          <w:szCs w:val="32"/>
          <w:shd w:val="clear" w:color="auto" w:fill="FFFFFF"/>
        </w:rPr>
        <w:t>严格按照国有资产配置限额和标准，做好资产预算编制和政府采购工作，</w:t>
      </w:r>
      <w:r>
        <w:rPr>
          <w:rFonts w:ascii="Times New Roman" w:hAnsi="Times New Roman" w:eastAsia="仿宋_GB2312"/>
          <w:color w:val="auto"/>
          <w:kern w:val="0"/>
          <w:sz w:val="32"/>
          <w:szCs w:val="32"/>
          <w:shd w:val="clear" w:color="auto" w:fill="FFFFFF"/>
          <w:lang w:bidi="ar"/>
        </w:rPr>
        <w:t>及时更新资产管理系统信息，</w:t>
      </w:r>
      <w:r>
        <w:rPr>
          <w:rFonts w:ascii="Times New Roman" w:hAnsi="Times New Roman" w:eastAsia="仿宋_GB2312"/>
          <w:color w:val="auto"/>
          <w:sz w:val="32"/>
          <w:szCs w:val="32"/>
          <w:shd w:val="clear" w:color="auto" w:fill="FFFFFF"/>
        </w:rPr>
        <w:t>做到资产账账相符、账实相符</w:t>
      </w:r>
      <w:r>
        <w:rPr>
          <w:rFonts w:hint="eastAsia" w:ascii="Times New Roman" w:hAnsi="Times New Roman" w:eastAsia="仿宋_GB2312"/>
          <w:color w:val="auto"/>
          <w:sz w:val="32"/>
          <w:szCs w:val="32"/>
          <w:shd w:val="clear" w:color="auto" w:fill="FFFFFF"/>
        </w:rPr>
        <w:t>，</w:t>
      </w:r>
      <w:r>
        <w:rPr>
          <w:rFonts w:ascii="Times New Roman" w:hAnsi="Times New Roman" w:eastAsia="仿宋_GB2312"/>
          <w:color w:val="auto"/>
          <w:kern w:val="0"/>
          <w:sz w:val="32"/>
          <w:szCs w:val="32"/>
          <w:shd w:val="clear" w:color="auto" w:fill="FFFFFF"/>
          <w:lang w:bidi="ar"/>
        </w:rPr>
        <w:t>全面反映实物资产情况。</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val="0"/>
        <w:snapToGrid w:val="0"/>
        <w:spacing w:line="580" w:lineRule="exact"/>
        <w:ind w:firstLine="640" w:firstLineChars="200"/>
        <w:textAlignment w:val="auto"/>
        <w:rPr>
          <w:rFonts w:hint="eastAsia" w:ascii="楷体_GB2312" w:hAnsi="楷体_GB2312" w:eastAsia="楷体_GB2312" w:cs="楷体_GB2312"/>
          <w:b/>
          <w:color w:val="auto"/>
          <w:sz w:val="32"/>
          <w:szCs w:val="32"/>
          <w:lang w:eastAsia="zh-CN"/>
        </w:rPr>
      </w:pPr>
      <w:r>
        <w:rPr>
          <w:rFonts w:hint="eastAsia" w:ascii="楷体_GB2312" w:hAnsi="楷体_GB2312" w:eastAsia="楷体_GB2312" w:cs="楷体_GB2312"/>
          <w:b/>
          <w:color w:val="auto"/>
          <w:sz w:val="32"/>
          <w:szCs w:val="32"/>
          <w:lang w:eastAsia="zh-CN"/>
        </w:rPr>
        <w:t>（二）提升</w:t>
      </w:r>
      <w:r>
        <w:rPr>
          <w:rFonts w:ascii="楷体_GB2312" w:hAnsi="楷体_GB2312" w:eastAsia="楷体_GB2312" w:cs="楷体_GB2312"/>
          <w:b/>
          <w:color w:val="auto"/>
          <w:sz w:val="32"/>
          <w:szCs w:val="32"/>
        </w:rPr>
        <w:t>管理效率</w:t>
      </w:r>
      <w:r>
        <w:rPr>
          <w:rFonts w:hint="eastAsia" w:ascii="楷体_GB2312" w:hAnsi="楷体_GB2312" w:eastAsia="楷体_GB2312" w:cs="楷体_GB2312"/>
          <w:b/>
          <w:color w:val="auto"/>
          <w:sz w:val="32"/>
          <w:szCs w:val="32"/>
          <w:lang w:eastAsia="zh-CN"/>
        </w:rPr>
        <w:t>，工作成效突出</w:t>
      </w:r>
    </w:p>
    <w:p>
      <w:pPr>
        <w:keepNext w:val="0"/>
        <w:keepLines w:val="0"/>
        <w:pageBreakBefore w:val="0"/>
        <w:widowControl w:val="0"/>
        <w:pBdr>
          <w:bottom w:val="single" w:color="FFFFFF" w:sz="4" w:space="31"/>
        </w:pBdr>
        <w:tabs>
          <w:tab w:val="left" w:pos="1440"/>
        </w:tabs>
        <w:kinsoku/>
        <w:wordWrap/>
        <w:overflowPunct/>
        <w:topLinePunct w:val="0"/>
        <w:autoSpaceDE/>
        <w:autoSpaceDN/>
        <w:bidi w:val="0"/>
        <w:adjustRightInd w:val="0"/>
        <w:snapToGrid w:val="0"/>
        <w:spacing w:line="580" w:lineRule="exact"/>
        <w:ind w:firstLine="640" w:firstLineChars="200"/>
        <w:textAlignment w:val="auto"/>
        <w:rPr>
          <w:rFonts w:hint="eastAsia" w:ascii="仿宋" w:hAnsi="仿宋" w:eastAsia="仿宋" w:cs="仿宋"/>
          <w:color w:val="auto"/>
          <w:sz w:val="32"/>
          <w:szCs w:val="32"/>
          <w:lang w:val="en-US" w:eastAsia="zh-CN"/>
        </w:rPr>
      </w:pPr>
      <w:r>
        <w:rPr>
          <w:rFonts w:hint="eastAsia" w:ascii="方正仿宋_GB2312" w:hAnsi="方正仿宋_GB2312" w:eastAsia="方正仿宋_GB2312" w:cs="方正仿宋_GB2312"/>
          <w:color w:val="auto"/>
          <w:sz w:val="32"/>
          <w:szCs w:val="32"/>
        </w:rPr>
        <w:t>我办围绕促进农业绿色发展，全面提升绿色有机地标农产品产业规模和产业水平的工作目标，较好地运用部门整体支出资金，精心组织和督促落实各项工作和目标任务完成，有力地推动了全省绿色优质农产品发展，实现了速度、质量、效益的同步增长，为提高全省农产品质量安全水平，树立湖南农产品品牌形象，促进农民增收起到了积极的作用。</w:t>
      </w:r>
      <w:r>
        <w:rPr>
          <w:rFonts w:hint="eastAsia" w:ascii="方正仿宋_GB2312" w:hAnsi="方正仿宋_GB2312" w:eastAsia="方正仿宋_GB2312" w:cs="方正仿宋_GB2312"/>
          <w:bCs/>
          <w:color w:val="auto"/>
          <w:sz w:val="32"/>
          <w:szCs w:val="32"/>
        </w:rPr>
        <w:t>至</w:t>
      </w:r>
      <w:r>
        <w:rPr>
          <w:rFonts w:hint="eastAsia" w:ascii="方正仿宋_GB2312" w:hAnsi="方正仿宋_GB2312" w:eastAsia="方正仿宋_GB2312" w:cs="方正仿宋_GB2312"/>
          <w:color w:val="auto"/>
          <w:sz w:val="32"/>
          <w:szCs w:val="32"/>
        </w:rPr>
        <w:t>202</w:t>
      </w:r>
      <w:r>
        <w:rPr>
          <w:rFonts w:hint="eastAsia" w:ascii="方正仿宋_GB2312" w:hAnsi="方正仿宋_GB2312" w:eastAsia="方正仿宋_GB2312"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rPr>
        <w:t>年底，全省“绿色食品、有机食品、地理标志农产品”有效认证总数达</w:t>
      </w:r>
      <w:r>
        <w:rPr>
          <w:rFonts w:hint="eastAsia" w:ascii="方正仿宋_GB2312" w:hAnsi="方正仿宋_GB2312" w:eastAsia="方正仿宋_GB2312" w:cs="方正仿宋_GB2312"/>
          <w:color w:val="auto"/>
          <w:sz w:val="32"/>
          <w:szCs w:val="32"/>
          <w:lang w:val="en-US" w:eastAsia="zh-CN"/>
        </w:rPr>
        <w:t>4033</w:t>
      </w:r>
      <w:r>
        <w:rPr>
          <w:rFonts w:hint="eastAsia" w:ascii="方正仿宋_GB2312" w:hAnsi="方正仿宋_GB2312" w:eastAsia="方正仿宋_GB2312" w:cs="方正仿宋_GB2312"/>
          <w:color w:val="auto"/>
          <w:sz w:val="32"/>
          <w:szCs w:val="32"/>
        </w:rPr>
        <w:t>个，比上年增长</w:t>
      </w:r>
      <w:r>
        <w:rPr>
          <w:rFonts w:hint="eastAsia" w:ascii="方正仿宋_GB2312" w:hAnsi="方正仿宋_GB2312" w:eastAsia="方正仿宋_GB2312" w:cs="方正仿宋_GB2312"/>
          <w:color w:val="auto"/>
          <w:sz w:val="32"/>
          <w:szCs w:val="32"/>
          <w:lang w:val="en-US" w:eastAsia="zh-CN"/>
        </w:rPr>
        <w:t>0.95</w:t>
      </w:r>
      <w:r>
        <w:rPr>
          <w:rFonts w:hint="eastAsia" w:ascii="方正仿宋_GB2312" w:hAnsi="方正仿宋_GB2312" w:eastAsia="方正仿宋_GB2312" w:cs="方正仿宋_GB2312"/>
          <w:color w:val="auto"/>
          <w:sz w:val="32"/>
          <w:szCs w:val="32"/>
        </w:rPr>
        <w:t>%，其中绿色食品35</w:t>
      </w:r>
      <w:r>
        <w:rPr>
          <w:rFonts w:hint="eastAsia" w:ascii="方正仿宋_GB2312" w:hAnsi="方正仿宋_GB2312" w:eastAsia="方正仿宋_GB2312" w:cs="方正仿宋_GB2312"/>
          <w:color w:val="auto"/>
          <w:sz w:val="32"/>
          <w:szCs w:val="32"/>
          <w:lang w:val="en-US" w:eastAsia="zh-CN"/>
        </w:rPr>
        <w:t>88</w:t>
      </w:r>
      <w:r>
        <w:rPr>
          <w:rFonts w:hint="eastAsia" w:ascii="方正仿宋_GB2312" w:hAnsi="方正仿宋_GB2312" w:eastAsia="方正仿宋_GB2312" w:cs="方正仿宋_GB2312"/>
          <w:color w:val="auto"/>
          <w:sz w:val="32"/>
          <w:szCs w:val="32"/>
        </w:rPr>
        <w:t>个，稳居</w:t>
      </w:r>
      <w:r>
        <w:rPr>
          <w:rFonts w:hint="eastAsia" w:ascii="方正仿宋_GB2312" w:hAnsi="方正仿宋_GB2312" w:eastAsia="方正仿宋_GB2312" w:cs="方正仿宋_GB2312"/>
          <w:color w:val="auto"/>
          <w:sz w:val="32"/>
          <w:szCs w:val="32"/>
          <w:lang w:eastAsia="zh-CN"/>
        </w:rPr>
        <w:t>全</w:t>
      </w:r>
      <w:r>
        <w:rPr>
          <w:rFonts w:hint="eastAsia" w:ascii="方正仿宋_GB2312" w:hAnsi="方正仿宋_GB2312" w:eastAsia="方正仿宋_GB2312" w:cs="方正仿宋_GB2312"/>
          <w:color w:val="auto"/>
          <w:sz w:val="32"/>
          <w:szCs w:val="32"/>
        </w:rPr>
        <w:t>国第</w:t>
      </w:r>
      <w:r>
        <w:rPr>
          <w:rFonts w:hint="eastAsia" w:ascii="方正仿宋_GB2312" w:hAnsi="方正仿宋_GB2312" w:eastAsia="方正仿宋_GB2312"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rPr>
        <w:t>位，有机食品</w:t>
      </w:r>
      <w:r>
        <w:rPr>
          <w:rFonts w:hint="eastAsia" w:ascii="方正仿宋_GB2312" w:hAnsi="方正仿宋_GB2312" w:eastAsia="方正仿宋_GB2312" w:cs="方正仿宋_GB2312"/>
          <w:color w:val="auto"/>
          <w:sz w:val="32"/>
          <w:szCs w:val="32"/>
          <w:lang w:val="en-US" w:eastAsia="zh-CN"/>
        </w:rPr>
        <w:t>317</w:t>
      </w:r>
      <w:r>
        <w:rPr>
          <w:rFonts w:hint="eastAsia" w:ascii="方正仿宋_GB2312" w:hAnsi="方正仿宋_GB2312" w:eastAsia="方正仿宋_GB2312" w:cs="方正仿宋_GB2312"/>
          <w:color w:val="auto"/>
          <w:sz w:val="32"/>
          <w:szCs w:val="32"/>
        </w:rPr>
        <w:t>个，居全国第</w:t>
      </w:r>
      <w:r>
        <w:rPr>
          <w:rFonts w:hint="eastAsia" w:ascii="方正仿宋_GB2312" w:hAnsi="方正仿宋_GB2312" w:eastAsia="方正仿宋_GB2312" w:cs="方正仿宋_GB2312"/>
          <w:color w:val="auto"/>
          <w:sz w:val="32"/>
          <w:szCs w:val="32"/>
          <w:lang w:val="en-US" w:eastAsia="zh-CN"/>
        </w:rPr>
        <w:t>3</w:t>
      </w:r>
      <w:r>
        <w:rPr>
          <w:rFonts w:hint="eastAsia" w:ascii="方正仿宋_GB2312" w:hAnsi="方正仿宋_GB2312" w:eastAsia="方正仿宋_GB2312" w:cs="方正仿宋_GB2312"/>
          <w:color w:val="auto"/>
          <w:sz w:val="32"/>
          <w:szCs w:val="32"/>
        </w:rPr>
        <w:t>位，农产品地理标志登记128个。</w:t>
      </w:r>
      <w:r>
        <w:rPr>
          <w:rFonts w:hint="eastAsia" w:ascii="方正仿宋_GB2312" w:hAnsi="方正仿宋_GB2312" w:eastAsia="方正仿宋_GB2312" w:cs="方正仿宋_GB2312"/>
          <w:bCs/>
          <w:color w:val="auto"/>
          <w:sz w:val="32"/>
          <w:szCs w:val="32"/>
          <w:lang w:val="en-US" w:eastAsia="zh-CN"/>
        </w:rPr>
        <w:t>全国绿色食品原料标准化生产基地达</w:t>
      </w:r>
      <w:r>
        <w:rPr>
          <w:rFonts w:hint="eastAsia" w:ascii="方正仿宋_GB2312" w:hAnsi="方正仿宋_GB2312" w:eastAsia="方正仿宋_GB2312" w:cs="方正仿宋_GB2312"/>
          <w:color w:val="auto"/>
          <w:kern w:val="0"/>
          <w:sz w:val="32"/>
          <w:szCs w:val="32"/>
          <w:lang w:val="en-US" w:eastAsia="zh-CN"/>
        </w:rPr>
        <w:t>37个，面积514万亩</w:t>
      </w:r>
      <w:r>
        <w:rPr>
          <w:rFonts w:hint="eastAsia" w:ascii="方正仿宋_GB2312" w:hAnsi="方正仿宋_GB2312" w:eastAsia="方正仿宋_GB2312"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rPr>
        <w:t>全年“三品一标”新获证产品1</w:t>
      </w:r>
      <w:r>
        <w:rPr>
          <w:rFonts w:hint="eastAsia" w:ascii="方正仿宋_GB2312" w:hAnsi="方正仿宋_GB2312" w:eastAsia="方正仿宋_GB2312" w:cs="方正仿宋_GB2312"/>
          <w:color w:val="auto"/>
          <w:sz w:val="32"/>
          <w:szCs w:val="32"/>
          <w:lang w:val="en-US" w:eastAsia="zh-CN"/>
        </w:rPr>
        <w:t>475</w:t>
      </w:r>
      <w:r>
        <w:rPr>
          <w:rFonts w:hint="eastAsia" w:ascii="方正仿宋_GB2312" w:hAnsi="方正仿宋_GB2312" w:eastAsia="方正仿宋_GB2312" w:cs="方正仿宋_GB2312"/>
          <w:color w:val="auto"/>
          <w:sz w:val="32"/>
          <w:szCs w:val="32"/>
        </w:rPr>
        <w:t>个，</w:t>
      </w:r>
      <w:r>
        <w:rPr>
          <w:rFonts w:hint="eastAsia" w:ascii="方正仿宋_GB2312" w:hAnsi="方正仿宋_GB2312" w:eastAsia="方正仿宋_GB2312" w:cs="方正仿宋_GB2312"/>
          <w:color w:val="auto"/>
          <w:sz w:val="32"/>
          <w:szCs w:val="32"/>
          <w:lang w:val="en-US" w:eastAsia="zh-CN"/>
        </w:rPr>
        <w:t>基本</w:t>
      </w:r>
      <w:r>
        <w:rPr>
          <w:rFonts w:hint="eastAsia" w:ascii="方正仿宋_GB2312" w:hAnsi="方正仿宋_GB2312" w:eastAsia="方正仿宋_GB2312" w:cs="方正仿宋_GB2312"/>
          <w:color w:val="auto"/>
          <w:sz w:val="32"/>
          <w:szCs w:val="32"/>
        </w:rPr>
        <w:t>完成年初工作目标1500个任务的。绿色有机地标农产品产业得到持续健康发展，绿色优质农产品总产值287.4亿元（绿色、有机），比上年增长</w:t>
      </w:r>
      <w:r>
        <w:rPr>
          <w:rFonts w:hint="eastAsia" w:ascii="方正仿宋_GB2312" w:hAnsi="方正仿宋_GB2312" w:eastAsia="方正仿宋_GB2312" w:cs="方正仿宋_GB2312"/>
          <w:color w:val="auto"/>
          <w:sz w:val="32"/>
          <w:szCs w:val="32"/>
          <w:lang w:val="en-US" w:eastAsia="zh-CN"/>
        </w:rPr>
        <w:t>5.6</w:t>
      </w:r>
      <w:r>
        <w:rPr>
          <w:rFonts w:hint="eastAsia" w:ascii="方正仿宋_GB2312" w:hAnsi="方正仿宋_GB2312" w:eastAsia="方正仿宋_GB2312" w:cs="方正仿宋_GB2312"/>
          <w:color w:val="auto"/>
          <w:sz w:val="32"/>
          <w:szCs w:val="32"/>
        </w:rPr>
        <w:t>%。开展绿色有机地标农产品监督抽检，抽检产品</w:t>
      </w:r>
      <w:r>
        <w:rPr>
          <w:rFonts w:hint="eastAsia" w:ascii="方正仿宋_GB2312" w:hAnsi="方正仿宋_GB2312" w:eastAsia="方正仿宋_GB2312" w:cs="方正仿宋_GB2312"/>
          <w:color w:val="auto"/>
          <w:sz w:val="32"/>
          <w:szCs w:val="32"/>
          <w:lang w:val="en-US" w:eastAsia="zh-CN"/>
        </w:rPr>
        <w:t>356</w:t>
      </w:r>
      <w:r>
        <w:rPr>
          <w:rFonts w:hint="eastAsia" w:ascii="方正仿宋_GB2312" w:hAnsi="方正仿宋_GB2312" w:eastAsia="方正仿宋_GB2312" w:cs="方正仿宋_GB2312"/>
          <w:color w:val="auto"/>
          <w:sz w:val="32"/>
          <w:szCs w:val="32"/>
        </w:rPr>
        <w:t>个，产品综合抽检合格率为</w:t>
      </w:r>
      <w:r>
        <w:rPr>
          <w:rFonts w:hint="eastAsia" w:ascii="方正仿宋_GB2312" w:hAnsi="方正仿宋_GB2312" w:eastAsia="方正仿宋_GB2312" w:cs="方正仿宋_GB2312"/>
          <w:color w:val="auto"/>
          <w:sz w:val="32"/>
          <w:szCs w:val="32"/>
          <w:lang w:val="en-US" w:eastAsia="zh-CN"/>
        </w:rPr>
        <w:t>93.25</w:t>
      </w:r>
      <w:r>
        <w:rPr>
          <w:rFonts w:hint="eastAsia" w:ascii="方正仿宋_GB2312" w:hAnsi="方正仿宋_GB2312" w:eastAsia="方正仿宋_GB2312" w:cs="方正仿宋_GB2312"/>
          <w:color w:val="auto"/>
          <w:sz w:val="32"/>
          <w:szCs w:val="32"/>
        </w:rPr>
        <w:t>%。</w:t>
      </w:r>
      <w:r>
        <w:rPr>
          <w:rFonts w:hint="eastAsia" w:ascii="仿宋" w:hAnsi="仿宋" w:eastAsia="仿宋" w:cs="仿宋"/>
          <w:color w:val="auto"/>
          <w:sz w:val="32"/>
          <w:szCs w:val="32"/>
          <w:lang w:val="en-US" w:eastAsia="zh-CN"/>
        </w:rPr>
        <w:t>《湖南省构建“五化”模式 提升绿色食品豇豆质量安全水平》工作经验在部农产品质量安全工作简报(2024年第57期)上刊登推介。</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hint="eastAsia" w:ascii="Times New Roman" w:hAnsi="Times New Roman" w:eastAsia="仿宋_GB2312"/>
          <w:b/>
          <w:bCs/>
          <w:color w:val="auto"/>
          <w:sz w:val="32"/>
          <w:szCs w:val="32"/>
        </w:rPr>
      </w:pPr>
      <w:r>
        <w:rPr>
          <w:rFonts w:hint="eastAsia" w:ascii="Times New Roman" w:hAnsi="Times New Roman" w:eastAsia="仿宋_GB2312"/>
          <w:b/>
          <w:bCs/>
          <w:color w:val="auto"/>
          <w:sz w:val="32"/>
          <w:szCs w:val="32"/>
          <w:lang w:eastAsia="zh-CN"/>
        </w:rPr>
        <w:t>（三）积极主动作为，</w:t>
      </w:r>
      <w:r>
        <w:rPr>
          <w:rFonts w:hint="eastAsia" w:ascii="Times New Roman" w:hAnsi="Times New Roman" w:eastAsia="仿宋_GB2312"/>
          <w:b/>
          <w:bCs/>
          <w:color w:val="auto"/>
          <w:sz w:val="32"/>
          <w:szCs w:val="32"/>
        </w:rPr>
        <w:t>提升履职效能</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1.产品认证取得新突破。</w:t>
      </w:r>
      <w:r>
        <w:rPr>
          <w:rFonts w:hint="eastAsia" w:ascii="仿宋" w:hAnsi="仿宋" w:eastAsia="仿宋" w:cs="仿宋"/>
          <w:b/>
          <w:color w:val="auto"/>
          <w:sz w:val="32"/>
          <w:szCs w:val="32"/>
        </w:rPr>
        <w:t>一是</w:t>
      </w:r>
      <w:r>
        <w:rPr>
          <w:rFonts w:hint="eastAsia" w:ascii="仿宋" w:hAnsi="仿宋" w:eastAsia="仿宋" w:cs="仿宋"/>
          <w:b/>
          <w:color w:val="auto"/>
          <w:sz w:val="32"/>
          <w:szCs w:val="32"/>
          <w:lang w:val="en-US" w:eastAsia="zh-CN"/>
        </w:rPr>
        <w:t>获证产品突破四千。</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hint="eastAsia" w:ascii="仿宋" w:hAnsi="仿宋" w:eastAsia="仿宋" w:cs="仿宋"/>
          <w:bCs/>
          <w:color w:val="auto"/>
          <w:sz w:val="32"/>
          <w:szCs w:val="32"/>
          <w:lang w:val="en-US" w:eastAsia="zh-CN"/>
        </w:rPr>
      </w:pPr>
      <w:r>
        <w:rPr>
          <w:rFonts w:hint="eastAsia" w:ascii="仿宋" w:hAnsi="仿宋" w:eastAsia="仿宋" w:cs="仿宋_GB2312"/>
          <w:color w:val="auto"/>
          <w:kern w:val="0"/>
          <w:sz w:val="32"/>
          <w:szCs w:val="32"/>
          <w:lang w:val="en-US" w:eastAsia="zh-CN"/>
        </w:rPr>
        <w:t>新发展218</w:t>
      </w:r>
      <w:r>
        <w:rPr>
          <w:rFonts w:hint="eastAsia" w:ascii="仿宋" w:hAnsi="仿宋" w:eastAsia="仿宋" w:cs="仿宋_GB2312"/>
          <w:color w:val="auto"/>
          <w:kern w:val="0"/>
          <w:sz w:val="32"/>
          <w:szCs w:val="32"/>
        </w:rPr>
        <w:t>家企业的</w:t>
      </w:r>
      <w:r>
        <w:rPr>
          <w:rFonts w:hint="eastAsia" w:ascii="仿宋" w:hAnsi="仿宋" w:eastAsia="仿宋" w:cs="仿宋_GB2312"/>
          <w:color w:val="auto"/>
          <w:kern w:val="0"/>
          <w:sz w:val="32"/>
          <w:szCs w:val="32"/>
          <w:lang w:val="en-US" w:eastAsia="zh-CN"/>
        </w:rPr>
        <w:t>393</w:t>
      </w:r>
      <w:r>
        <w:rPr>
          <w:rFonts w:hint="eastAsia" w:ascii="仿宋" w:hAnsi="仿宋" w:eastAsia="仿宋" w:cs="仿宋_GB2312"/>
          <w:color w:val="auto"/>
          <w:kern w:val="0"/>
          <w:sz w:val="32"/>
          <w:szCs w:val="32"/>
        </w:rPr>
        <w:t xml:space="preserve"> 个产品</w:t>
      </w:r>
      <w:r>
        <w:rPr>
          <w:rFonts w:hint="eastAsia" w:ascii="华文仿宋" w:hAnsi="华文仿宋" w:eastAsia="华文仿宋" w:cs="仿宋_GB2312"/>
          <w:bCs/>
          <w:color w:val="auto"/>
          <w:kern w:val="0"/>
          <w:sz w:val="32"/>
          <w:szCs w:val="32"/>
          <w:lang w:val="zh-CN"/>
        </w:rPr>
        <w:t>获</w:t>
      </w:r>
      <w:r>
        <w:rPr>
          <w:rFonts w:hint="eastAsia" w:ascii="华文仿宋" w:hAnsi="华文仿宋" w:eastAsia="华文仿宋" w:cs="仿宋_GB2312"/>
          <w:bCs/>
          <w:color w:val="auto"/>
          <w:kern w:val="0"/>
          <w:sz w:val="32"/>
          <w:szCs w:val="32"/>
          <w:lang w:val="en-US" w:eastAsia="zh-CN"/>
        </w:rPr>
        <w:t>得</w:t>
      </w:r>
      <w:r>
        <w:rPr>
          <w:rFonts w:hint="eastAsia" w:ascii="华文仿宋" w:hAnsi="华文仿宋" w:eastAsia="华文仿宋" w:cs="仿宋_GB2312"/>
          <w:bCs/>
          <w:color w:val="auto"/>
          <w:kern w:val="0"/>
          <w:sz w:val="32"/>
          <w:szCs w:val="32"/>
          <w:lang w:val="zh-CN"/>
        </w:rPr>
        <w:t>绿色食品</w:t>
      </w:r>
      <w:r>
        <w:rPr>
          <w:rFonts w:hint="eastAsia" w:ascii="华文仿宋" w:hAnsi="华文仿宋" w:eastAsia="华文仿宋" w:cs="仿宋_GB2312"/>
          <w:bCs/>
          <w:color w:val="auto"/>
          <w:kern w:val="0"/>
          <w:sz w:val="32"/>
          <w:szCs w:val="32"/>
          <w:lang w:val="en-US" w:eastAsia="zh-CN"/>
        </w:rPr>
        <w:t>认证</w:t>
      </w:r>
      <w:r>
        <w:rPr>
          <w:rFonts w:hint="eastAsia" w:ascii="华文仿宋" w:hAnsi="华文仿宋" w:eastAsia="华文仿宋" w:cs="仿宋_GB2312"/>
          <w:bCs/>
          <w:color w:val="auto"/>
          <w:kern w:val="0"/>
          <w:sz w:val="32"/>
          <w:szCs w:val="32"/>
          <w:lang w:val="zh-CN"/>
        </w:rPr>
        <w:t>，</w:t>
      </w:r>
      <w:r>
        <w:rPr>
          <w:rFonts w:hint="eastAsia" w:ascii="华文仿宋" w:hAnsi="华文仿宋" w:eastAsia="华文仿宋" w:cs="仿宋_GB2312"/>
          <w:bCs/>
          <w:color w:val="auto"/>
          <w:kern w:val="0"/>
          <w:sz w:val="32"/>
          <w:szCs w:val="32"/>
          <w:lang w:val="en-US" w:eastAsia="zh-CN"/>
        </w:rPr>
        <w:t>12家企业25个产品获得有机认证，</w:t>
      </w:r>
      <w:r>
        <w:rPr>
          <w:rFonts w:hint="eastAsia" w:ascii="仿宋" w:hAnsi="仿宋" w:eastAsia="仿宋" w:cs="仿宋"/>
          <w:color w:val="auto"/>
          <w:kern w:val="0"/>
          <w:sz w:val="32"/>
          <w:szCs w:val="32"/>
          <w:lang w:val="en-US" w:eastAsia="zh-CN" w:bidi="ar-SA"/>
        </w:rPr>
        <w:t>绿色食品续展率、有机产品再认证率分别达到67%、96%，全省绿色有机地标农产品总数首次超过4000个。</w:t>
      </w:r>
      <w:r>
        <w:rPr>
          <w:rFonts w:hint="eastAsia" w:ascii="仿宋" w:hAnsi="仿宋" w:eastAsia="仿宋" w:cs="仿宋"/>
          <w:b/>
          <w:bCs/>
          <w:color w:val="auto"/>
          <w:kern w:val="0"/>
          <w:sz w:val="32"/>
          <w:szCs w:val="32"/>
          <w:lang w:val="en-US" w:eastAsia="zh-CN" w:bidi="ar-SA"/>
        </w:rPr>
        <w:t>二是产品类别新增扩容。</w:t>
      </w:r>
      <w:r>
        <w:rPr>
          <w:rFonts w:hint="eastAsia" w:ascii="仿宋" w:hAnsi="仿宋" w:eastAsia="仿宋" w:cs="仿宋"/>
          <w:color w:val="auto"/>
          <w:kern w:val="0"/>
          <w:sz w:val="32"/>
          <w:szCs w:val="32"/>
          <w:lang w:val="en-US" w:eastAsia="zh-CN" w:bidi="ar-SA"/>
        </w:rPr>
        <w:t>首次新增4个牛奶产品获得绿色食品认证，1个肉牛产品通过省级初审，实现牛奶和肉牛认证“零”突破。</w:t>
      </w:r>
      <w:r>
        <w:rPr>
          <w:rFonts w:hint="eastAsia" w:ascii="仿宋" w:hAnsi="仿宋" w:eastAsia="仿宋" w:cs="仿宋"/>
          <w:bCs/>
          <w:color w:val="auto"/>
          <w:sz w:val="32"/>
          <w:szCs w:val="32"/>
          <w:lang w:val="en-US" w:eastAsia="zh-CN"/>
        </w:rPr>
        <w:t>新增1家企业2个兽药产品获得绿色生资认证，</w:t>
      </w:r>
      <w:r>
        <w:rPr>
          <w:rFonts w:hint="eastAsia" w:ascii="仿宋" w:hAnsi="仿宋" w:eastAsia="仿宋" w:cs="仿宋"/>
          <w:bCs/>
          <w:color w:val="auto"/>
          <w:sz w:val="32"/>
          <w:szCs w:val="32"/>
          <w:lang w:val="zh-CN" w:eastAsia="zh-CN"/>
        </w:rPr>
        <w:t>新增</w:t>
      </w:r>
      <w:r>
        <w:rPr>
          <w:rFonts w:hint="eastAsia" w:ascii="仿宋" w:hAnsi="仿宋" w:eastAsia="仿宋" w:cs="仿宋"/>
          <w:bCs/>
          <w:color w:val="auto"/>
          <w:sz w:val="32"/>
          <w:szCs w:val="32"/>
          <w:lang w:val="en-US" w:eastAsia="zh-CN"/>
        </w:rPr>
        <w:t>3</w:t>
      </w:r>
      <w:r>
        <w:rPr>
          <w:rFonts w:hint="eastAsia" w:ascii="仿宋" w:hAnsi="仿宋" w:eastAsia="仿宋" w:cs="仿宋"/>
          <w:bCs/>
          <w:color w:val="auto"/>
          <w:sz w:val="32"/>
          <w:szCs w:val="32"/>
          <w:lang w:val="zh-CN" w:eastAsia="zh-CN"/>
        </w:rPr>
        <w:t>家肥料生产企业</w:t>
      </w:r>
      <w:r>
        <w:rPr>
          <w:rFonts w:hint="eastAsia" w:ascii="仿宋" w:hAnsi="仿宋" w:eastAsia="仿宋" w:cs="仿宋"/>
          <w:bCs/>
          <w:color w:val="auto"/>
          <w:sz w:val="32"/>
          <w:szCs w:val="32"/>
          <w:lang w:val="en-US" w:eastAsia="zh-CN"/>
        </w:rPr>
        <w:t>有机投入品申报评估，填补了品类空白</w:t>
      </w:r>
      <w:r>
        <w:rPr>
          <w:rFonts w:hint="eastAsia" w:ascii="仿宋" w:hAnsi="仿宋" w:eastAsia="仿宋" w:cs="仿宋"/>
          <w:color w:val="auto"/>
          <w:sz w:val="32"/>
          <w:szCs w:val="32"/>
        </w:rPr>
        <w:t>。</w:t>
      </w:r>
      <w:r>
        <w:rPr>
          <w:rFonts w:hint="eastAsia" w:ascii="仿宋" w:hAnsi="仿宋" w:eastAsia="仿宋" w:cs="仿宋"/>
          <w:b/>
          <w:color w:val="auto"/>
          <w:sz w:val="32"/>
          <w:szCs w:val="32"/>
          <w:lang w:val="en-US" w:eastAsia="zh-CN"/>
        </w:rPr>
        <w:t>三</w:t>
      </w:r>
      <w:r>
        <w:rPr>
          <w:rFonts w:hint="eastAsia" w:ascii="仿宋" w:hAnsi="仿宋" w:eastAsia="仿宋" w:cs="仿宋"/>
          <w:b/>
          <w:color w:val="auto"/>
          <w:sz w:val="32"/>
          <w:szCs w:val="32"/>
        </w:rPr>
        <w:t>是</w:t>
      </w:r>
      <w:r>
        <w:rPr>
          <w:rFonts w:hint="eastAsia" w:ascii="仿宋" w:hAnsi="仿宋" w:eastAsia="仿宋" w:cs="仿宋"/>
          <w:b/>
          <w:color w:val="auto"/>
          <w:sz w:val="32"/>
          <w:szCs w:val="32"/>
          <w:lang w:val="en-US" w:eastAsia="zh-CN"/>
        </w:rPr>
        <w:t>养殖业绿色食品认证争得新政策</w:t>
      </w:r>
      <w:r>
        <w:rPr>
          <w:rFonts w:hint="eastAsia" w:ascii="仿宋" w:hAnsi="仿宋" w:eastAsia="仿宋" w:cs="仿宋"/>
          <w:b/>
          <w:color w:val="auto"/>
          <w:sz w:val="32"/>
          <w:szCs w:val="32"/>
        </w:rPr>
        <w:t>。</w:t>
      </w:r>
      <w:r>
        <w:rPr>
          <w:rFonts w:hint="eastAsia" w:ascii="仿宋" w:hAnsi="仿宋" w:eastAsia="仿宋" w:cs="仿宋"/>
          <w:bCs/>
          <w:color w:val="auto"/>
          <w:sz w:val="32"/>
          <w:szCs w:val="32"/>
          <w:lang w:val="en-US" w:eastAsia="zh-CN"/>
        </w:rPr>
        <w:t xml:space="preserve">以畜禽水产品绿色食品占比偏低为问题导向，加大部门联动，组织省内有关专家研讨咨询，召开养殖业负责人座谈会，形成专家意见建议，积极与中国绿色食品发展中心沟通，争取到部中心对我省养殖业认证规模进行适当调整的政策，为养殖业产品绿色食品认证提供有利条件。  </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hint="eastAsia" w:ascii="仿宋" w:hAnsi="仿宋" w:eastAsia="仿宋" w:cs="仿宋_GB2312"/>
          <w:color w:val="auto"/>
          <w:kern w:val="0"/>
          <w:sz w:val="32"/>
          <w:szCs w:val="32"/>
          <w:lang w:val="en-US" w:eastAsia="zh-CN"/>
        </w:rPr>
      </w:pPr>
      <w:r>
        <w:rPr>
          <w:rFonts w:hint="eastAsia" w:ascii="仿宋" w:hAnsi="仿宋" w:eastAsia="仿宋" w:cs="仿宋"/>
          <w:b/>
          <w:color w:val="auto"/>
          <w:sz w:val="32"/>
          <w:szCs w:val="32"/>
          <w:lang w:val="en-US" w:eastAsia="zh-CN"/>
        </w:rPr>
        <w:t>2.产业发展走出新路子</w:t>
      </w:r>
      <w:r>
        <w:rPr>
          <w:rFonts w:hint="eastAsia" w:ascii="仿宋" w:hAnsi="仿宋" w:eastAsia="仿宋" w:cs="仿宋"/>
          <w:b/>
          <w:color w:val="auto"/>
          <w:sz w:val="32"/>
          <w:szCs w:val="32"/>
        </w:rPr>
        <w:t>。一是</w:t>
      </w:r>
      <w:r>
        <w:rPr>
          <w:rFonts w:hint="eastAsia" w:ascii="仿宋" w:hAnsi="仿宋" w:eastAsia="仿宋" w:cs="仿宋"/>
          <w:b/>
          <w:color w:val="auto"/>
          <w:sz w:val="32"/>
          <w:szCs w:val="32"/>
          <w:lang w:val="en-US" w:eastAsia="zh-CN"/>
        </w:rPr>
        <w:t>大力支持</w:t>
      </w:r>
      <w:r>
        <w:rPr>
          <w:rFonts w:hint="eastAsia" w:ascii="仿宋" w:hAnsi="仿宋" w:eastAsia="仿宋" w:cs="仿宋"/>
          <w:b/>
          <w:color w:val="auto"/>
          <w:sz w:val="32"/>
          <w:szCs w:val="32"/>
        </w:rPr>
        <w:t>原料</w:t>
      </w:r>
      <w:r>
        <w:rPr>
          <w:rFonts w:hint="eastAsia" w:ascii="仿宋" w:hAnsi="仿宋" w:eastAsia="仿宋" w:cs="仿宋"/>
          <w:b/>
          <w:color w:val="auto"/>
          <w:sz w:val="32"/>
          <w:szCs w:val="32"/>
          <w:lang w:val="en-US" w:eastAsia="zh-CN"/>
        </w:rPr>
        <w:t>标准化</w:t>
      </w:r>
      <w:r>
        <w:rPr>
          <w:rFonts w:hint="eastAsia" w:ascii="仿宋" w:hAnsi="仿宋" w:eastAsia="仿宋" w:cs="仿宋"/>
          <w:b/>
          <w:color w:val="auto"/>
          <w:sz w:val="32"/>
          <w:szCs w:val="32"/>
        </w:rPr>
        <w:t>基地建设。</w:t>
      </w:r>
      <w:r>
        <w:rPr>
          <w:rFonts w:hint="eastAsia" w:ascii="仿宋" w:hAnsi="仿宋" w:eastAsia="仿宋" w:cs="仿宋_GB2312"/>
          <w:color w:val="auto"/>
          <w:kern w:val="0"/>
          <w:sz w:val="32"/>
          <w:szCs w:val="32"/>
          <w:lang w:val="en-US" w:eastAsia="zh-CN"/>
        </w:rPr>
        <w:t>积极协调沟通，</w:t>
      </w:r>
      <w:r>
        <w:rPr>
          <w:rFonts w:hint="eastAsia" w:ascii="仿宋" w:hAnsi="仿宋" w:eastAsia="仿宋" w:cs="仿宋"/>
          <w:bCs/>
          <w:color w:val="auto"/>
          <w:sz w:val="32"/>
          <w:szCs w:val="32"/>
          <w:lang w:val="en-US" w:eastAsia="zh-CN"/>
        </w:rPr>
        <w:t>对</w:t>
      </w:r>
      <w:r>
        <w:rPr>
          <w:rFonts w:hint="eastAsia" w:ascii="仿宋" w:hAnsi="仿宋" w:eastAsia="仿宋" w:cs="仿宋_GB2312"/>
          <w:color w:val="auto"/>
          <w:kern w:val="0"/>
          <w:sz w:val="32"/>
          <w:szCs w:val="32"/>
          <w:lang w:val="en-US" w:eastAsia="zh-CN"/>
        </w:rPr>
        <w:t>临澧等12个县市续报和永顺县新报</w:t>
      </w:r>
      <w:r>
        <w:rPr>
          <w:rFonts w:hint="eastAsia" w:ascii="仿宋" w:hAnsi="仿宋" w:eastAsia="仿宋" w:cs="仿宋"/>
          <w:bCs/>
          <w:color w:val="auto"/>
          <w:sz w:val="32"/>
          <w:szCs w:val="32"/>
          <w:lang w:val="en-US" w:eastAsia="zh-CN"/>
        </w:rPr>
        <w:t>全国绿色食品原料标准化生产基地给予一定</w:t>
      </w:r>
      <w:r>
        <w:rPr>
          <w:rFonts w:hint="eastAsia" w:ascii="仿宋" w:hAnsi="仿宋" w:eastAsia="仿宋" w:cs="仿宋_GB2312"/>
          <w:color w:val="auto"/>
          <w:kern w:val="0"/>
          <w:sz w:val="32"/>
          <w:szCs w:val="32"/>
          <w:lang w:val="en-US" w:eastAsia="zh-CN"/>
        </w:rPr>
        <w:t>资金支持</w:t>
      </w:r>
      <w:r>
        <w:rPr>
          <w:rFonts w:hint="eastAsia" w:ascii="仿宋" w:hAnsi="仿宋" w:eastAsia="仿宋" w:cs="仿宋"/>
          <w:bCs/>
          <w:color w:val="auto"/>
          <w:sz w:val="32"/>
          <w:szCs w:val="32"/>
          <w:lang w:val="en-US" w:eastAsia="zh-CN"/>
        </w:rPr>
        <w:t>，</w:t>
      </w:r>
      <w:r>
        <w:rPr>
          <w:rFonts w:hint="eastAsia" w:ascii="仿宋" w:hAnsi="仿宋" w:eastAsia="仿宋" w:cs="仿宋_GB2312"/>
          <w:color w:val="auto"/>
          <w:kern w:val="0"/>
          <w:sz w:val="32"/>
          <w:szCs w:val="32"/>
          <w:lang w:val="en-US" w:eastAsia="zh-CN"/>
        </w:rPr>
        <w:t>提升绿色食品原料供应能力。 新增湖南乾坤生物科技有限公司为全国绿色食品一二三产业融合发展园区，总数达到4个（排全国第五）。</w:t>
      </w:r>
      <w:r>
        <w:rPr>
          <w:rFonts w:hint="eastAsia" w:ascii="仿宋" w:hAnsi="仿宋" w:eastAsia="仿宋" w:cs="仿宋"/>
          <w:b/>
          <w:color w:val="auto"/>
          <w:sz w:val="32"/>
          <w:szCs w:val="32"/>
        </w:rPr>
        <w:t>二是</w:t>
      </w:r>
      <w:r>
        <w:rPr>
          <w:rFonts w:hint="eastAsia" w:ascii="仿宋" w:hAnsi="仿宋" w:eastAsia="仿宋" w:cs="仿宋"/>
          <w:b/>
          <w:color w:val="auto"/>
          <w:sz w:val="32"/>
          <w:szCs w:val="32"/>
          <w:lang w:val="en-US" w:eastAsia="zh-CN"/>
        </w:rPr>
        <w:t>起草规范性文件推进绿色优质农产品基地建设。</w:t>
      </w:r>
      <w:r>
        <w:rPr>
          <w:rFonts w:hint="eastAsia" w:ascii="仿宋" w:hAnsi="仿宋" w:eastAsia="仿宋" w:cs="仿宋_GB2312"/>
          <w:color w:val="auto"/>
          <w:kern w:val="0"/>
          <w:sz w:val="32"/>
          <w:szCs w:val="32"/>
          <w:lang w:val="en-US" w:eastAsia="zh-CN"/>
        </w:rPr>
        <w:t>起草推动规范性文件《湖南省绿色优质农产品生产基地认定管理办法》</w:t>
      </w:r>
      <w:r>
        <w:rPr>
          <w:rFonts w:hint="eastAsia" w:ascii="仿宋" w:hAnsi="仿宋" w:eastAsia="仿宋" w:cs="仿宋_GB2312"/>
          <w:color w:val="auto"/>
          <w:kern w:val="0"/>
          <w:sz w:val="28"/>
          <w:szCs w:val="28"/>
          <w:lang w:val="en-US" w:eastAsia="zh-CN"/>
        </w:rPr>
        <w:t>（</w:t>
      </w:r>
      <w:r>
        <w:rPr>
          <w:rFonts w:hint="default" w:ascii="仿宋" w:hAnsi="仿宋" w:eastAsia="仿宋" w:cs="仿宋_GB2312"/>
          <w:color w:val="auto"/>
          <w:kern w:val="0"/>
          <w:sz w:val="28"/>
          <w:szCs w:val="28"/>
          <w:lang w:val="en-US" w:eastAsia="zh-CN"/>
        </w:rPr>
        <w:t>HNPR-2024-17017</w:t>
      </w:r>
      <w:r>
        <w:rPr>
          <w:rFonts w:hint="eastAsia" w:ascii="仿宋" w:hAnsi="仿宋" w:eastAsia="仿宋" w:cs="仿宋_GB2312"/>
          <w:color w:val="auto"/>
          <w:kern w:val="0"/>
          <w:sz w:val="28"/>
          <w:szCs w:val="28"/>
          <w:lang w:val="en-US" w:eastAsia="zh-CN"/>
        </w:rPr>
        <w:t>）</w:t>
      </w:r>
      <w:r>
        <w:rPr>
          <w:rFonts w:hint="eastAsia" w:ascii="仿宋" w:hAnsi="仿宋" w:eastAsia="仿宋" w:cs="仿宋_GB2312"/>
          <w:color w:val="auto"/>
          <w:kern w:val="0"/>
          <w:sz w:val="32"/>
          <w:szCs w:val="32"/>
          <w:lang w:val="en-US" w:eastAsia="zh-CN"/>
        </w:rPr>
        <w:t>，由县农业农村局负责申报，选定辖区内特色主导农产品划定基地范围，整县推进绿色优质农产品供给能力。</w:t>
      </w:r>
      <w:r>
        <w:rPr>
          <w:rFonts w:hint="eastAsia" w:ascii="仿宋" w:hAnsi="仿宋" w:eastAsia="仿宋" w:cs="仿宋"/>
          <w:b/>
          <w:color w:val="auto"/>
          <w:sz w:val="32"/>
          <w:szCs w:val="32"/>
          <w:lang w:val="en-US" w:eastAsia="zh-CN"/>
        </w:rPr>
        <w:t>三是构建协同推进绿色优质农产品发展格局。</w:t>
      </w:r>
      <w:r>
        <w:rPr>
          <w:rFonts w:hint="eastAsia" w:ascii="仿宋" w:hAnsi="仿宋" w:eastAsia="仿宋" w:cs="仿宋_GB2312"/>
          <w:color w:val="auto"/>
          <w:kern w:val="0"/>
          <w:sz w:val="32"/>
          <w:szCs w:val="32"/>
          <w:lang w:val="en-US" w:eastAsia="zh-CN"/>
        </w:rPr>
        <w:t>推动印发了《关于进一步提升绿色优质农产品高质量高水平发展的实施方案》，提出了加快推进基地建设、精心培育龙头企业、有力促进营销升级、不断强化质量管控、持续开展公益宣传5大举措，明确了相关处室单位支持措施，构建推动绿色优质农产品发展合力。</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ascii="楷体_GB2312" w:hAnsi="楷体_GB2312" w:eastAsia="楷体_GB2312" w:cs="楷体_GB2312"/>
          <w:b/>
          <w:color w:val="auto"/>
          <w:sz w:val="32"/>
          <w:szCs w:val="32"/>
        </w:rPr>
      </w:pPr>
      <w:r>
        <w:rPr>
          <w:rFonts w:hint="eastAsia" w:ascii="楷体_GB2312" w:hAnsi="楷体_GB2312" w:eastAsia="楷体_GB2312" w:cs="楷体_GB2312"/>
          <w:b/>
          <w:color w:val="auto"/>
          <w:kern w:val="2"/>
          <w:sz w:val="32"/>
          <w:szCs w:val="32"/>
          <w:lang w:val="en-US" w:eastAsia="zh-CN" w:bidi="ar-SA"/>
        </w:rPr>
        <w:t>（四）</w:t>
      </w:r>
      <w:r>
        <w:rPr>
          <w:rFonts w:hint="eastAsia" w:ascii="楷体_GB2312" w:hAnsi="楷体_GB2312" w:eastAsia="楷体_GB2312" w:cs="楷体_GB2312"/>
          <w:b/>
          <w:color w:val="auto"/>
          <w:sz w:val="32"/>
          <w:szCs w:val="32"/>
          <w:lang w:eastAsia="zh-CN"/>
        </w:rPr>
        <w:t>打造绿色品牌，</w:t>
      </w:r>
      <w:r>
        <w:rPr>
          <w:rFonts w:hint="eastAsia" w:ascii="楷体_GB2312" w:hAnsi="楷体_GB2312" w:eastAsia="楷体_GB2312" w:cs="楷体_GB2312"/>
          <w:b/>
          <w:color w:val="auto"/>
          <w:sz w:val="32"/>
          <w:szCs w:val="32"/>
        </w:rPr>
        <w:t>社会效应显著</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ascii="仿宋_GB2312" w:hAnsi="微软雅黑" w:eastAsia="仿宋_GB2312"/>
          <w:color w:val="auto"/>
          <w:sz w:val="32"/>
          <w:szCs w:val="32"/>
          <w:shd w:val="clear" w:color="auto" w:fill="FFFFFF"/>
        </w:rPr>
      </w:pPr>
      <w:r>
        <w:rPr>
          <w:rFonts w:hint="eastAsia" w:ascii="仿宋" w:hAnsi="仿宋" w:eastAsia="仿宋"/>
          <w:b/>
          <w:color w:val="auto"/>
          <w:sz w:val="32"/>
          <w:szCs w:val="32"/>
        </w:rPr>
        <w:t>一是</w:t>
      </w:r>
      <w:r>
        <w:rPr>
          <w:rFonts w:hint="eastAsia" w:ascii="仿宋" w:hAnsi="仿宋" w:eastAsia="仿宋"/>
          <w:b/>
          <w:color w:val="auto"/>
          <w:sz w:val="32"/>
          <w:szCs w:val="32"/>
          <w:lang w:val="en-US" w:eastAsia="zh-CN"/>
        </w:rPr>
        <w:t>宣传活动创设新动作。</w:t>
      </w:r>
      <w:r>
        <w:rPr>
          <w:rFonts w:hint="eastAsia" w:ascii="仿宋_GB2312" w:hAnsi="微软雅黑" w:eastAsia="仿宋_GB2312"/>
          <w:color w:val="auto"/>
          <w:sz w:val="32"/>
          <w:szCs w:val="32"/>
        </w:rPr>
        <w:t>首次</w:t>
      </w:r>
      <w:r>
        <w:rPr>
          <w:rFonts w:hint="eastAsia" w:ascii="仿宋_GB2312" w:hAnsi="微软雅黑" w:eastAsia="仿宋_GB2312"/>
          <w:color w:val="auto"/>
          <w:sz w:val="32"/>
          <w:szCs w:val="32"/>
          <w:lang w:val="en-US" w:eastAsia="zh-CN"/>
        </w:rPr>
        <w:t>组织我省</w:t>
      </w:r>
      <w:r>
        <w:rPr>
          <w:rFonts w:hint="eastAsia" w:ascii="仿宋_GB2312" w:hAnsi="微软雅黑" w:eastAsia="仿宋_GB2312"/>
          <w:color w:val="auto"/>
          <w:sz w:val="32"/>
          <w:szCs w:val="32"/>
        </w:rPr>
        <w:t>绿色有机地标农产品走进国家广播电视总局</w:t>
      </w:r>
      <w:r>
        <w:rPr>
          <w:rFonts w:hint="eastAsia" w:ascii="仿宋_GB2312" w:hAnsi="微软雅黑" w:eastAsia="仿宋_GB2312"/>
          <w:color w:val="auto"/>
          <w:sz w:val="32"/>
          <w:szCs w:val="32"/>
          <w:lang w:val="en-US" w:eastAsia="zh-CN"/>
        </w:rPr>
        <w:t>等</w:t>
      </w:r>
      <w:r>
        <w:rPr>
          <w:rFonts w:hint="eastAsia" w:ascii="仿宋_GB2312" w:hAnsi="微软雅黑" w:eastAsia="仿宋_GB2312"/>
          <w:color w:val="auto"/>
          <w:sz w:val="32"/>
          <w:szCs w:val="32"/>
        </w:rPr>
        <w:t>国家机关单位，保靖黄金茶、樟树港辣椒、长康菜籽油等50多个</w:t>
      </w:r>
      <w:r>
        <w:rPr>
          <w:rFonts w:hint="eastAsia" w:ascii="仿宋_GB2312" w:hAnsi="微软雅黑" w:eastAsia="仿宋_GB2312"/>
          <w:color w:val="auto"/>
          <w:sz w:val="32"/>
          <w:szCs w:val="32"/>
          <w:lang w:val="en-US" w:eastAsia="zh-CN"/>
        </w:rPr>
        <w:t>产品集中展示展销</w:t>
      </w:r>
      <w:r>
        <w:rPr>
          <w:rFonts w:hint="eastAsia" w:ascii="仿宋_GB2312" w:hAnsi="微软雅黑" w:eastAsia="仿宋_GB2312"/>
          <w:color w:val="auto"/>
          <w:sz w:val="32"/>
          <w:szCs w:val="32"/>
        </w:rPr>
        <w:t>。</w:t>
      </w:r>
      <w:r>
        <w:rPr>
          <w:rFonts w:hint="eastAsia" w:ascii="Times New Roman" w:hAnsi="Times New Roman" w:eastAsia="仿宋_GB2312" w:cs="Times New Roman"/>
          <w:color w:val="auto"/>
          <w:sz w:val="32"/>
          <w:szCs w:val="32"/>
          <w:lang w:val="en-US" w:eastAsia="zh-CN"/>
        </w:rPr>
        <w:t>首次组织在地铁站厅开展绿色食品公益宣传，并</w:t>
      </w:r>
      <w:r>
        <w:rPr>
          <w:rFonts w:hint="eastAsia" w:ascii="仿宋_GB2312" w:hAnsi="微软雅黑" w:eastAsia="仿宋_GB2312"/>
          <w:color w:val="auto"/>
          <w:sz w:val="32"/>
          <w:szCs w:val="32"/>
        </w:rPr>
        <w:t>优选高桥银峰、三红蜜柚等33个</w:t>
      </w:r>
      <w:r>
        <w:rPr>
          <w:rFonts w:hint="eastAsia" w:ascii="仿宋_GB2312" w:hAnsi="微软雅黑" w:eastAsia="仿宋_GB2312"/>
          <w:color w:val="auto"/>
          <w:sz w:val="32"/>
          <w:szCs w:val="32"/>
          <w:lang w:val="en-US" w:eastAsia="zh-CN"/>
        </w:rPr>
        <w:t>认证</w:t>
      </w:r>
      <w:r>
        <w:rPr>
          <w:rFonts w:hint="eastAsia" w:ascii="仿宋_GB2312" w:hAnsi="微软雅黑" w:eastAsia="仿宋_GB2312"/>
          <w:color w:val="auto"/>
          <w:sz w:val="32"/>
          <w:szCs w:val="32"/>
        </w:rPr>
        <w:t>产品登陆地铁2号线溁湾镇站站厅和地铁6号线车厢</w:t>
      </w:r>
      <w:r>
        <w:rPr>
          <w:rFonts w:hint="eastAsia" w:ascii="Times New Roman" w:hAnsi="Times New Roman" w:eastAsia="仿宋_GB2312" w:cs="Times New Roman"/>
          <w:color w:val="auto"/>
          <w:sz w:val="32"/>
          <w:szCs w:val="32"/>
          <w:lang w:val="en-US" w:eastAsia="zh-CN"/>
        </w:rPr>
        <w:t>宣传推介。</w:t>
      </w:r>
      <w:r>
        <w:rPr>
          <w:rFonts w:hint="eastAsia" w:ascii="仿宋" w:hAnsi="仿宋" w:eastAsia="仿宋" w:cs="仿宋"/>
          <w:color w:val="auto"/>
          <w:sz w:val="32"/>
          <w:szCs w:val="32"/>
          <w:lang w:val="en-US" w:eastAsia="zh-CN"/>
        </w:rPr>
        <w:t>组织</w:t>
      </w:r>
      <w:r>
        <w:rPr>
          <w:rFonts w:hint="eastAsia" w:ascii="Times New Roman" w:hAnsi="Times New Roman" w:eastAsia="仿宋_GB2312" w:cs="Times New Roman"/>
          <w:color w:val="auto"/>
          <w:sz w:val="32"/>
          <w:szCs w:val="32"/>
        </w:rPr>
        <w:t>开展了</w:t>
      </w:r>
      <w:r>
        <w:rPr>
          <w:rFonts w:hint="eastAsia" w:ascii="Times New Roman" w:hAnsi="Times New Roman" w:eastAsia="仿宋_GB2312" w:cs="Times New Roman"/>
          <w:color w:val="auto"/>
          <w:sz w:val="32"/>
          <w:szCs w:val="32"/>
          <w:lang w:val="en-US" w:eastAsia="zh-CN"/>
        </w:rPr>
        <w:t>多</w:t>
      </w:r>
      <w:r>
        <w:rPr>
          <w:rFonts w:hint="eastAsia" w:ascii="Times New Roman" w:hAnsi="Times New Roman" w:eastAsia="仿宋_GB2312" w:cs="Times New Roman"/>
          <w:color w:val="auto"/>
          <w:sz w:val="32"/>
          <w:szCs w:val="32"/>
        </w:rPr>
        <w:t>场次绿色食品进社区、进学校、进</w:t>
      </w:r>
      <w:r>
        <w:rPr>
          <w:rFonts w:hint="eastAsia" w:ascii="Times New Roman" w:hAnsi="Times New Roman" w:eastAsia="仿宋_GB2312" w:cs="Times New Roman"/>
          <w:color w:val="auto"/>
          <w:sz w:val="32"/>
          <w:szCs w:val="32"/>
          <w:lang w:val="en-US" w:eastAsia="zh-CN"/>
        </w:rPr>
        <w:t>商</w:t>
      </w:r>
      <w:r>
        <w:rPr>
          <w:rFonts w:hint="eastAsia" w:ascii="Times New Roman" w:hAnsi="Times New Roman" w:eastAsia="仿宋_GB2312" w:cs="Times New Roman"/>
          <w:color w:val="auto"/>
          <w:sz w:val="32"/>
          <w:szCs w:val="32"/>
        </w:rPr>
        <w:t>超</w:t>
      </w:r>
      <w:r>
        <w:rPr>
          <w:rFonts w:hint="eastAsia"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auto"/>
          <w:sz w:val="32"/>
          <w:szCs w:val="32"/>
          <w:lang w:val="en-US" w:eastAsia="zh-CN"/>
        </w:rPr>
        <w:t>进机关食堂等</w:t>
      </w:r>
      <w:r>
        <w:rPr>
          <w:rFonts w:hint="eastAsia" w:ascii="Times New Roman" w:hAnsi="Times New Roman" w:eastAsia="仿宋_GB2312" w:cs="Times New Roman"/>
          <w:color w:val="auto"/>
          <w:sz w:val="32"/>
          <w:szCs w:val="32"/>
        </w:rPr>
        <w:t>活动</w:t>
      </w:r>
      <w:r>
        <w:rPr>
          <w:rFonts w:hint="eastAsia" w:ascii="Times New Roman" w:hAnsi="Times New Roman" w:eastAsia="仿宋_GB2312" w:cs="Times New Roman"/>
          <w:color w:val="auto"/>
          <w:sz w:val="32"/>
          <w:szCs w:val="32"/>
          <w:lang w:eastAsia="zh-CN"/>
        </w:rPr>
        <w:t>。</w:t>
      </w:r>
      <w:r>
        <w:rPr>
          <w:rFonts w:hint="eastAsia" w:ascii="仿宋" w:hAnsi="仿宋" w:eastAsia="仿宋"/>
          <w:b/>
          <w:color w:val="auto"/>
          <w:sz w:val="32"/>
          <w:szCs w:val="32"/>
        </w:rPr>
        <w:t>二是</w:t>
      </w:r>
      <w:r>
        <w:rPr>
          <w:rFonts w:hint="eastAsia" w:ascii="仿宋" w:hAnsi="仿宋" w:eastAsia="仿宋"/>
          <w:b/>
          <w:color w:val="auto"/>
          <w:sz w:val="32"/>
          <w:szCs w:val="32"/>
          <w:lang w:val="en-US" w:eastAsia="zh-CN"/>
        </w:rPr>
        <w:t>媒体宣传呈现新矩阵。</w:t>
      </w:r>
      <w:r>
        <w:rPr>
          <w:rFonts w:hint="eastAsia" w:ascii="仿宋_GB2312" w:hAnsi="微软雅黑" w:eastAsia="仿宋_GB2312"/>
          <w:color w:val="auto"/>
          <w:sz w:val="32"/>
          <w:szCs w:val="32"/>
        </w:rPr>
        <w:t>联合</w:t>
      </w:r>
      <w:r>
        <w:rPr>
          <w:rFonts w:hint="eastAsia" w:ascii="仿宋_GB2312" w:eastAsia="仿宋_GB2312"/>
          <w:color w:val="auto"/>
          <w:sz w:val="32"/>
          <w:szCs w:val="32"/>
        </w:rPr>
        <w:t>《湖南日报》</w:t>
      </w:r>
      <w:r>
        <w:rPr>
          <w:rFonts w:hint="eastAsia" w:ascii="仿宋_GB2312" w:hAnsi="微软雅黑" w:eastAsia="仿宋_GB2312"/>
          <w:color w:val="auto"/>
          <w:sz w:val="32"/>
          <w:szCs w:val="32"/>
        </w:rPr>
        <w:t>《红网》《湖南农业》</w:t>
      </w:r>
      <w:r>
        <w:rPr>
          <w:rFonts w:hint="eastAsia" w:ascii="仿宋_GB2312" w:hAnsi="微软雅黑" w:eastAsia="仿宋_GB2312"/>
          <w:color w:val="auto"/>
          <w:sz w:val="32"/>
          <w:szCs w:val="32"/>
          <w:lang w:val="en-US" w:eastAsia="zh-CN"/>
        </w:rPr>
        <w:t>等对绿色有机地标农产品进行系列</w:t>
      </w:r>
      <w:r>
        <w:rPr>
          <w:rFonts w:hint="eastAsia" w:ascii="仿宋_GB2312" w:hAnsi="微软雅黑" w:eastAsia="仿宋_GB2312"/>
          <w:color w:val="auto"/>
          <w:sz w:val="32"/>
          <w:szCs w:val="32"/>
        </w:rPr>
        <w:t>采编宣传报道</w:t>
      </w:r>
      <w:r>
        <w:rPr>
          <w:rFonts w:hint="eastAsia" w:ascii="仿宋_GB2312" w:hAnsi="微软雅黑" w:eastAsia="仿宋_GB2312"/>
          <w:color w:val="auto"/>
          <w:sz w:val="32"/>
          <w:szCs w:val="32"/>
          <w:lang w:eastAsia="zh-CN"/>
        </w:rPr>
        <w:t>，</w:t>
      </w:r>
      <w:r>
        <w:rPr>
          <w:rFonts w:hint="eastAsia" w:ascii="仿宋_GB2312" w:eastAsia="仿宋_GB2312"/>
          <w:color w:val="auto"/>
          <w:sz w:val="32"/>
          <w:szCs w:val="32"/>
        </w:rPr>
        <w:t>《首批中国农耕农品记忆名录发布 湖南12个品牌农产品入选》，浏览量40.2万+</w:t>
      </w:r>
      <w:r>
        <w:rPr>
          <w:rFonts w:hint="eastAsia" w:ascii="仿宋_GB2312" w:eastAsia="仿宋_GB2312"/>
          <w:color w:val="auto"/>
          <w:sz w:val="32"/>
          <w:szCs w:val="32"/>
          <w:lang w:eastAsia="zh-CN"/>
        </w:rPr>
        <w:t>，</w:t>
      </w:r>
      <w:r>
        <w:rPr>
          <w:rFonts w:hint="eastAsia" w:ascii="仿宋_GB2312" w:hAnsi="微软雅黑" w:eastAsia="仿宋_GB2312"/>
          <w:color w:val="auto"/>
          <w:sz w:val="32"/>
          <w:szCs w:val="32"/>
        </w:rPr>
        <w:t>《</w:t>
      </w:r>
      <w:r>
        <w:rPr>
          <w:rFonts w:ascii="仿宋_GB2312" w:hAnsi="微软雅黑" w:eastAsia="仿宋_GB2312"/>
          <w:color w:val="auto"/>
          <w:sz w:val="32"/>
          <w:szCs w:val="32"/>
        </w:rPr>
        <w:t>岳阳平江：用绿色绘就农业发展底色</w:t>
      </w:r>
      <w:r>
        <w:rPr>
          <w:rFonts w:hint="eastAsia" w:ascii="仿宋_GB2312" w:hAnsi="微软雅黑" w:eastAsia="仿宋_GB2312"/>
          <w:color w:val="auto"/>
          <w:sz w:val="32"/>
          <w:szCs w:val="32"/>
        </w:rPr>
        <w:t>》</w:t>
      </w:r>
      <w:r>
        <w:rPr>
          <w:rFonts w:hint="eastAsia" w:ascii="仿宋_GB2312" w:hAnsi="微软雅黑" w:eastAsia="仿宋_GB2312"/>
          <w:color w:val="auto"/>
          <w:sz w:val="32"/>
          <w:szCs w:val="32"/>
          <w:lang w:val="en-US" w:eastAsia="zh-CN"/>
        </w:rPr>
        <w:t>等多篇报道浏览量超过10万。首次</w:t>
      </w:r>
      <w:r>
        <w:rPr>
          <w:rFonts w:hint="eastAsia" w:ascii="仿宋_GB2312" w:hAnsi="微软雅黑" w:eastAsia="仿宋_GB2312"/>
          <w:color w:val="auto"/>
          <w:sz w:val="32"/>
          <w:szCs w:val="32"/>
        </w:rPr>
        <w:t>联合湖南省气象台在《湖南都市》</w:t>
      </w:r>
      <w:r>
        <w:rPr>
          <w:rFonts w:hint="eastAsia" w:ascii="仿宋_GB2312" w:hAnsi="微软雅黑" w:eastAsia="仿宋_GB2312"/>
          <w:color w:val="auto"/>
          <w:sz w:val="32"/>
          <w:szCs w:val="32"/>
          <w:lang w:eastAsia="zh-CN"/>
        </w:rPr>
        <w:t>“</w:t>
      </w:r>
      <w:r>
        <w:rPr>
          <w:rFonts w:hint="eastAsia" w:ascii="仿宋_GB2312" w:hAnsi="微软雅黑" w:eastAsia="仿宋_GB2312"/>
          <w:color w:val="auto"/>
          <w:sz w:val="32"/>
          <w:szCs w:val="32"/>
        </w:rPr>
        <w:t>天气预报</w:t>
      </w:r>
      <w:r>
        <w:rPr>
          <w:rFonts w:hint="eastAsia" w:ascii="仿宋_GB2312" w:hAnsi="微软雅黑" w:eastAsia="仿宋_GB2312"/>
          <w:color w:val="auto"/>
          <w:sz w:val="32"/>
          <w:szCs w:val="32"/>
          <w:lang w:eastAsia="zh-CN"/>
        </w:rPr>
        <w:t>”</w:t>
      </w:r>
      <w:r>
        <w:rPr>
          <w:rFonts w:hint="eastAsia" w:ascii="仿宋_GB2312" w:hAnsi="微软雅黑" w:eastAsia="仿宋_GB2312"/>
          <w:color w:val="auto"/>
          <w:sz w:val="32"/>
          <w:szCs w:val="32"/>
          <w:lang w:val="en-US" w:eastAsia="zh-CN"/>
        </w:rPr>
        <w:t>栏</w:t>
      </w:r>
      <w:r>
        <w:rPr>
          <w:rFonts w:hint="eastAsia" w:ascii="仿宋_GB2312" w:hAnsi="微软雅黑" w:eastAsia="仿宋_GB2312"/>
          <w:color w:val="auto"/>
          <w:sz w:val="32"/>
          <w:szCs w:val="32"/>
        </w:rPr>
        <w:t>目中开展绿色</w:t>
      </w:r>
      <w:r>
        <w:rPr>
          <w:rFonts w:hint="eastAsia" w:ascii="仿宋_GB2312" w:hAnsi="微软雅黑" w:eastAsia="仿宋_GB2312"/>
          <w:color w:val="auto"/>
          <w:sz w:val="32"/>
          <w:szCs w:val="32"/>
          <w:lang w:val="en-US" w:eastAsia="zh-CN"/>
        </w:rPr>
        <w:t>食品</w:t>
      </w:r>
      <w:r>
        <w:rPr>
          <w:rFonts w:hint="eastAsia" w:ascii="仿宋_GB2312" w:hAnsi="微软雅黑" w:eastAsia="仿宋_GB2312"/>
          <w:color w:val="auto"/>
          <w:sz w:val="32"/>
          <w:szCs w:val="32"/>
        </w:rPr>
        <w:t>公益宣传推广</w:t>
      </w:r>
      <w:r>
        <w:rPr>
          <w:rFonts w:hint="eastAsia" w:ascii="仿宋_GB2312" w:hAnsi="微软雅黑" w:eastAsia="仿宋_GB2312"/>
          <w:color w:val="auto"/>
          <w:sz w:val="32"/>
          <w:szCs w:val="32"/>
          <w:lang w:eastAsia="zh-CN"/>
        </w:rPr>
        <w:t>。</w:t>
      </w:r>
      <w:r>
        <w:rPr>
          <w:rFonts w:hint="eastAsia" w:ascii="仿宋_GB2312" w:hAnsi="微软雅黑" w:eastAsia="仿宋_GB2312"/>
          <w:b/>
          <w:bCs/>
          <w:color w:val="auto"/>
          <w:sz w:val="32"/>
          <w:szCs w:val="32"/>
          <w:lang w:val="en-US" w:eastAsia="zh-CN"/>
        </w:rPr>
        <w:t>三是品牌培育拓展新渠道。</w:t>
      </w:r>
      <w:r>
        <w:rPr>
          <w:rFonts w:hint="eastAsia" w:ascii="仿宋_GB2312" w:hAnsi="微软雅黑" w:eastAsia="仿宋_GB2312" w:cs="Times New Roman"/>
          <w:color w:val="auto"/>
          <w:sz w:val="32"/>
          <w:szCs w:val="32"/>
          <w:lang w:val="en-US" w:eastAsia="zh-CN"/>
        </w:rPr>
        <w:t>积极开展中国农耕农品记忆索引名录和中国农产品品牌索引名录征集工作，目前共有鹤龙湖螃蟹、安化黄精等25个产品纳入农耕农品记忆索引名录；湘潭湘莲、常德香米等14个知名农产品品牌及其核心生产经营主体纳入中国农产品品牌索引名录。</w:t>
      </w:r>
      <w:r>
        <w:rPr>
          <w:rFonts w:hint="eastAsia" w:ascii="仿宋_GB2312" w:hAnsi="微软雅黑" w:eastAsia="仿宋_GB2312"/>
          <w:b/>
          <w:bCs/>
          <w:color w:val="auto"/>
          <w:sz w:val="32"/>
          <w:szCs w:val="32"/>
          <w:lang w:val="en-US" w:eastAsia="zh-CN"/>
        </w:rPr>
        <w:t>四是产销对接搭建新载体。</w:t>
      </w:r>
      <w:r>
        <w:rPr>
          <w:rFonts w:hint="eastAsia" w:ascii="仿宋_GB2312" w:hAnsi="微软雅黑" w:eastAsia="仿宋_GB2312" w:cs="Times New Roman"/>
          <w:color w:val="auto"/>
          <w:sz w:val="32"/>
          <w:szCs w:val="32"/>
          <w:lang w:val="en-US" w:eastAsia="zh-CN"/>
        </w:rPr>
        <w:t>与省绿色食品协会协作</w:t>
      </w:r>
      <w:r>
        <w:rPr>
          <w:rFonts w:hint="eastAsia" w:ascii="仿宋_GB2312" w:hAnsi="微软雅黑" w:eastAsia="仿宋_GB2312"/>
          <w:color w:val="auto"/>
          <w:sz w:val="32"/>
          <w:szCs w:val="32"/>
          <w:lang w:val="en-US" w:eastAsia="zh-CN"/>
        </w:rPr>
        <w:t>搭建</w:t>
      </w:r>
      <w:r>
        <w:rPr>
          <w:rFonts w:hint="eastAsia" w:ascii="仿宋_GB2312" w:hAnsi="微软雅黑" w:eastAsia="仿宋_GB2312"/>
          <w:color w:val="auto"/>
          <w:sz w:val="32"/>
          <w:szCs w:val="32"/>
        </w:rPr>
        <w:t>湖南绿色有机地标农产品小程序商城“湘绿优选”，现已初步完成上线运营</w:t>
      </w:r>
      <w:r>
        <w:rPr>
          <w:rFonts w:hint="eastAsia" w:ascii="仿宋_GB2312" w:hAnsi="微软雅黑" w:eastAsia="仿宋_GB2312"/>
          <w:color w:val="auto"/>
          <w:sz w:val="32"/>
          <w:szCs w:val="32"/>
          <w:lang w:val="en-US" w:eastAsia="zh-CN"/>
        </w:rPr>
        <w:t>。联合浏阳河农业集团等企业在抖音平台开设认证产品直播销售专场，反响很好。积极组织参加</w:t>
      </w:r>
      <w:r>
        <w:rPr>
          <w:rFonts w:hint="eastAsia" w:ascii="仿宋_GB2312" w:hAnsi="微软雅黑" w:eastAsia="仿宋_GB2312"/>
          <w:color w:val="auto"/>
          <w:sz w:val="32"/>
          <w:szCs w:val="32"/>
          <w:shd w:val="clear" w:color="auto" w:fill="FFFFFF"/>
        </w:rPr>
        <w:t>第二十一届中国国际农产品交易会</w:t>
      </w:r>
      <w:r>
        <w:rPr>
          <w:rFonts w:hint="eastAsia" w:ascii="仿宋_GB2312" w:hAnsi="微软雅黑" w:eastAsia="仿宋_GB2312"/>
          <w:color w:val="auto"/>
          <w:sz w:val="32"/>
          <w:szCs w:val="32"/>
          <w:shd w:val="clear" w:color="auto" w:fill="FFFFFF"/>
          <w:lang w:val="en-US" w:eastAsia="zh-CN"/>
        </w:rPr>
        <w:t>湖南绿色有机地标农产品专展，</w:t>
      </w:r>
      <w:r>
        <w:rPr>
          <w:rFonts w:hint="eastAsia" w:ascii="仿宋_GB2312" w:hAnsi="微软雅黑" w:eastAsia="仿宋_GB2312"/>
          <w:color w:val="auto"/>
          <w:sz w:val="32"/>
          <w:szCs w:val="32"/>
          <w:shd w:val="clear" w:color="auto" w:fill="FFFFFF"/>
        </w:rPr>
        <w:t>24家生产经营主体80余</w:t>
      </w:r>
      <w:r>
        <w:rPr>
          <w:rFonts w:hint="eastAsia" w:ascii="仿宋_GB2312" w:hAnsi="微软雅黑" w:eastAsia="仿宋_GB2312"/>
          <w:color w:val="auto"/>
          <w:sz w:val="32"/>
          <w:szCs w:val="32"/>
          <w:shd w:val="clear" w:color="auto" w:fill="FFFFFF"/>
          <w:lang w:val="en-US" w:eastAsia="zh-CN"/>
        </w:rPr>
        <w:t>个产品参展，</w:t>
      </w:r>
      <w:r>
        <w:rPr>
          <w:rFonts w:ascii="仿宋_GB2312" w:hAnsi="微软雅黑" w:eastAsia="仿宋_GB2312"/>
          <w:color w:val="auto"/>
          <w:sz w:val="32"/>
          <w:szCs w:val="32"/>
          <w:shd w:val="clear" w:color="auto" w:fill="FFFFFF"/>
        </w:rPr>
        <w:t>现场销售</w:t>
      </w:r>
      <w:r>
        <w:rPr>
          <w:rFonts w:hint="eastAsia" w:ascii="仿宋_GB2312" w:hAnsi="微软雅黑" w:eastAsia="仿宋_GB2312"/>
          <w:color w:val="auto"/>
          <w:sz w:val="32"/>
          <w:szCs w:val="32"/>
          <w:shd w:val="clear" w:color="auto" w:fill="FFFFFF"/>
          <w:lang w:val="en-US" w:eastAsia="zh-CN"/>
        </w:rPr>
        <w:t>和</w:t>
      </w:r>
      <w:r>
        <w:rPr>
          <w:rFonts w:ascii="仿宋_GB2312" w:hAnsi="微软雅黑" w:eastAsia="仿宋_GB2312"/>
          <w:color w:val="auto"/>
          <w:sz w:val="32"/>
          <w:szCs w:val="32"/>
          <w:shd w:val="clear" w:color="auto" w:fill="FFFFFF"/>
        </w:rPr>
        <w:t>意向签约成果丰硕。</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hint="eastAsia" w:ascii="楷体_GB2312" w:hAnsi="楷体_GB2312" w:eastAsia="楷体_GB2312" w:cs="楷体_GB2312"/>
          <w:b/>
          <w:color w:val="auto"/>
          <w:kern w:val="2"/>
          <w:sz w:val="32"/>
          <w:szCs w:val="32"/>
          <w:lang w:val="en-US" w:eastAsia="zh-CN" w:bidi="ar-SA"/>
        </w:rPr>
      </w:pPr>
      <w:r>
        <w:rPr>
          <w:rFonts w:hint="eastAsia" w:ascii="楷体_GB2312" w:hAnsi="楷体_GB2312" w:eastAsia="楷体_GB2312" w:cs="楷体_GB2312"/>
          <w:b/>
          <w:color w:val="auto"/>
          <w:kern w:val="2"/>
          <w:sz w:val="32"/>
          <w:szCs w:val="32"/>
          <w:lang w:val="en-US" w:eastAsia="zh-CN" w:bidi="ar-SA"/>
        </w:rPr>
        <w:t>（五）提升产品品质，推动持续发展</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hint="eastAsia" w:ascii="仿宋" w:hAnsi="仿宋" w:eastAsia="仿宋" w:cs="仿宋"/>
          <w:color w:val="auto"/>
          <w:sz w:val="32"/>
          <w:szCs w:val="32"/>
          <w:lang w:eastAsia="zh-CN"/>
        </w:rPr>
      </w:pPr>
      <w:r>
        <w:rPr>
          <w:rFonts w:hint="eastAsia" w:ascii="仿宋" w:hAnsi="仿宋" w:eastAsia="仿宋" w:cs="仿宋_GB2312"/>
          <w:b/>
          <w:color w:val="auto"/>
          <w:kern w:val="0"/>
          <w:sz w:val="32"/>
          <w:szCs w:val="32"/>
        </w:rPr>
        <w:t>一是</w:t>
      </w:r>
      <w:r>
        <w:rPr>
          <w:rFonts w:hint="eastAsia" w:ascii="仿宋" w:hAnsi="仿宋" w:eastAsia="仿宋" w:cs="仿宋_GB2312"/>
          <w:b/>
          <w:color w:val="auto"/>
          <w:kern w:val="0"/>
          <w:sz w:val="32"/>
          <w:szCs w:val="32"/>
          <w:lang w:val="en-US" w:eastAsia="zh-CN"/>
        </w:rPr>
        <w:t>重点产品农残治理构建新模式。</w:t>
      </w:r>
      <w:r>
        <w:rPr>
          <w:rFonts w:hint="eastAsia" w:ascii="仿宋" w:hAnsi="仿宋" w:eastAsia="仿宋" w:cs="仿宋"/>
          <w:color w:val="auto"/>
          <w:sz w:val="32"/>
          <w:szCs w:val="32"/>
          <w:lang w:val="en-US" w:eastAsia="zh-CN"/>
        </w:rPr>
        <w:t>聚焦豇豆农残治理，探索出绿色食品豇豆绿色化防控、标准化种植、制度化管理、品牌化经营、组织化生产的“五化”模式，有效提升了绿色食品豇豆质量安全水平，我省工作经验在全国推介。</w:t>
      </w:r>
      <w:r>
        <w:rPr>
          <w:rFonts w:hint="eastAsia" w:ascii="仿宋" w:hAnsi="仿宋" w:eastAsia="仿宋" w:cs="仿宋_GB2312"/>
          <w:b/>
          <w:color w:val="auto"/>
          <w:kern w:val="0"/>
          <w:sz w:val="32"/>
          <w:szCs w:val="32"/>
        </w:rPr>
        <w:t>二是</w:t>
      </w:r>
      <w:r>
        <w:rPr>
          <w:rFonts w:hint="eastAsia" w:ascii="仿宋" w:hAnsi="仿宋" w:eastAsia="仿宋" w:cs="仿宋_GB2312"/>
          <w:b/>
          <w:color w:val="auto"/>
          <w:kern w:val="0"/>
          <w:sz w:val="32"/>
          <w:szCs w:val="32"/>
          <w:lang w:val="en-US" w:eastAsia="zh-CN"/>
        </w:rPr>
        <w:t>从严加强证后监管。</w:t>
      </w:r>
      <w:r>
        <w:rPr>
          <w:rFonts w:hint="eastAsia" w:ascii="仿宋" w:hAnsi="仿宋" w:eastAsia="仿宋" w:cs="仿宋_GB2312"/>
          <w:b w:val="0"/>
          <w:bCs/>
          <w:color w:val="auto"/>
          <w:kern w:val="0"/>
          <w:sz w:val="32"/>
          <w:szCs w:val="32"/>
          <w:lang w:val="en-US" w:eastAsia="zh-CN"/>
        </w:rPr>
        <w:t>进一步规范绿色食品企业年检，按月备案审查，按季邮寄材料，无需派员到省绿办盖章，既保障了年检时效性，又提高了效率，减轻了基层负担。绿色食品颁证后“双随机一公开”行政检查</w:t>
      </w:r>
      <w:r>
        <w:rPr>
          <w:rFonts w:hint="eastAsia" w:ascii="Times New Roman" w:hAnsi="Times New Roman" w:eastAsia="仿宋_GB2312" w:cs="仿宋_GB2312"/>
          <w:color w:val="auto"/>
          <w:sz w:val="32"/>
          <w:szCs w:val="32"/>
        </w:rPr>
        <w:t>随机抽取1</w:t>
      </w:r>
      <w:r>
        <w:rPr>
          <w:rFonts w:hint="eastAsia" w:ascii="Times New Roman" w:hAnsi="Times New Roman" w:eastAsia="仿宋_GB2312" w:cs="仿宋_GB2312"/>
          <w:color w:val="auto"/>
          <w:sz w:val="32"/>
          <w:szCs w:val="32"/>
          <w:lang w:val="en-US" w:eastAsia="zh-CN"/>
        </w:rPr>
        <w:t>6</w:t>
      </w:r>
      <w:r>
        <w:rPr>
          <w:rFonts w:hint="eastAsia" w:ascii="Times New Roman" w:hAnsi="Times New Roman" w:eastAsia="仿宋_GB2312" w:cs="仿宋_GB2312"/>
          <w:color w:val="auto"/>
          <w:sz w:val="32"/>
          <w:szCs w:val="32"/>
        </w:rPr>
        <w:t>0个绿色食品证书持有人</w:t>
      </w:r>
      <w:r>
        <w:rPr>
          <w:rFonts w:hint="eastAsia" w:ascii="Times New Roman" w:hAnsi="Times New Roman" w:eastAsia="仿宋_GB2312" w:cs="仿宋_GB2312"/>
          <w:color w:val="auto"/>
          <w:sz w:val="32"/>
          <w:szCs w:val="32"/>
          <w:lang w:val="en-US" w:eastAsia="zh-CN"/>
        </w:rPr>
        <w:t>160批次产品</w:t>
      </w:r>
      <w:r>
        <w:rPr>
          <w:rFonts w:hint="eastAsia" w:ascii="Times New Roman" w:hAnsi="Times New Roman" w:eastAsia="仿宋_GB2312" w:cs="仿宋_GB2312"/>
          <w:color w:val="auto"/>
          <w:sz w:val="32"/>
          <w:szCs w:val="32"/>
          <w:lang w:eastAsia="zh-CN"/>
        </w:rPr>
        <w:t>，</w:t>
      </w:r>
      <w:r>
        <w:rPr>
          <w:rFonts w:hint="eastAsia" w:ascii="Times New Roman" w:hAnsi="Times New Roman" w:eastAsia="仿宋_GB2312" w:cs="仿宋_GB2312"/>
          <w:color w:val="auto"/>
          <w:sz w:val="32"/>
          <w:szCs w:val="32"/>
          <w:lang w:val="en-US" w:eastAsia="zh-CN"/>
        </w:rPr>
        <w:t>抽检数量为历年最多，确保认证产品质量。</w:t>
      </w:r>
      <w:r>
        <w:rPr>
          <w:rFonts w:hint="eastAsia" w:ascii="仿宋" w:hAnsi="仿宋" w:eastAsia="仿宋" w:cs="仿宋_GB2312"/>
          <w:b/>
          <w:color w:val="auto"/>
          <w:kern w:val="0"/>
          <w:sz w:val="32"/>
          <w:szCs w:val="32"/>
        </w:rPr>
        <w:t>三是</w:t>
      </w:r>
      <w:r>
        <w:rPr>
          <w:rFonts w:hint="eastAsia" w:ascii="仿宋" w:hAnsi="仿宋" w:eastAsia="仿宋" w:cs="仿宋_GB2312"/>
          <w:b/>
          <w:color w:val="auto"/>
          <w:kern w:val="0"/>
          <w:sz w:val="32"/>
          <w:szCs w:val="32"/>
          <w:lang w:val="en-US" w:eastAsia="zh-CN"/>
        </w:rPr>
        <w:t>首次开展品质评价</w:t>
      </w:r>
      <w:r>
        <w:rPr>
          <w:rFonts w:hint="eastAsia" w:ascii="仿宋" w:hAnsi="仿宋" w:eastAsia="仿宋" w:cs="仿宋_GB2312"/>
          <w:b/>
          <w:color w:val="auto"/>
          <w:kern w:val="0"/>
          <w:sz w:val="32"/>
          <w:szCs w:val="32"/>
        </w:rPr>
        <w:t>。</w:t>
      </w:r>
      <w:r>
        <w:rPr>
          <w:rFonts w:hint="eastAsia" w:ascii="仿宋_GB2312" w:hAnsi="仿宋_GB2312" w:eastAsia="仿宋_GB2312" w:cs="仿宋_GB2312"/>
          <w:color w:val="auto"/>
          <w:kern w:val="0"/>
          <w:sz w:val="31"/>
          <w:szCs w:val="31"/>
          <w:lang w:val="en-US" w:eastAsia="zh-CN"/>
        </w:rPr>
        <w:t>聚焦水果类地理标志农产品，以政府购买服务的形式，委托湖南农业大学重点对</w:t>
      </w:r>
      <w:r>
        <w:rPr>
          <w:rFonts w:hint="eastAsia" w:ascii="仿宋" w:hAnsi="仿宋" w:eastAsia="仿宋" w:cs="仿宋"/>
          <w:color w:val="auto"/>
          <w:sz w:val="32"/>
          <w:szCs w:val="32"/>
        </w:rPr>
        <w:t>崀山脐橙、东江湖蜜桔、江永香柚等3个地理标志农产品</w:t>
      </w:r>
      <w:r>
        <w:rPr>
          <w:rFonts w:hint="eastAsia" w:ascii="仿宋" w:hAnsi="仿宋" w:eastAsia="仿宋" w:cs="仿宋"/>
          <w:color w:val="auto"/>
          <w:sz w:val="32"/>
          <w:szCs w:val="32"/>
          <w:lang w:val="en-US" w:eastAsia="zh-CN"/>
        </w:rPr>
        <w:t>的</w:t>
      </w:r>
      <w:r>
        <w:rPr>
          <w:rFonts w:hint="eastAsia" w:ascii="仿宋" w:hAnsi="仿宋" w:eastAsia="仿宋" w:cs="仿宋"/>
          <w:color w:val="auto"/>
          <w:sz w:val="32"/>
          <w:szCs w:val="32"/>
        </w:rPr>
        <w:t>外在感官、特色品质指标、营养功能、</w:t>
      </w:r>
      <w:r>
        <w:rPr>
          <w:rFonts w:hint="eastAsia" w:ascii="仿宋" w:hAnsi="仿宋" w:eastAsia="仿宋" w:cs="仿宋"/>
          <w:color w:val="auto"/>
          <w:sz w:val="32"/>
          <w:szCs w:val="32"/>
          <w:lang w:val="en-US" w:eastAsia="zh-CN"/>
        </w:rPr>
        <w:t>规格分等</w:t>
      </w:r>
      <w:r>
        <w:rPr>
          <w:rFonts w:hint="eastAsia" w:ascii="仿宋" w:hAnsi="仿宋" w:eastAsia="仿宋" w:cs="仿宋"/>
          <w:color w:val="auto"/>
          <w:sz w:val="32"/>
          <w:szCs w:val="32"/>
        </w:rPr>
        <w:t>分级以及品质影响因素等方面进行</w:t>
      </w:r>
      <w:r>
        <w:rPr>
          <w:rFonts w:hint="eastAsia" w:ascii="仿宋" w:hAnsi="仿宋" w:eastAsia="仿宋" w:cs="仿宋"/>
          <w:color w:val="auto"/>
          <w:sz w:val="32"/>
          <w:szCs w:val="32"/>
          <w:lang w:val="en-US" w:eastAsia="zh-CN"/>
        </w:rPr>
        <w:t>科学</w:t>
      </w:r>
      <w:r>
        <w:rPr>
          <w:rFonts w:hint="eastAsia" w:ascii="仿宋" w:hAnsi="仿宋" w:eastAsia="仿宋" w:cs="仿宋"/>
          <w:color w:val="auto"/>
          <w:sz w:val="32"/>
          <w:szCs w:val="32"/>
        </w:rPr>
        <w:t>评价</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为我省“土特产”品质提供数据支撑</w:t>
      </w:r>
      <w:r>
        <w:rPr>
          <w:rFonts w:hint="eastAsia" w:ascii="仿宋" w:hAnsi="仿宋" w:eastAsia="仿宋" w:cs="仿宋"/>
          <w:color w:val="auto"/>
          <w:sz w:val="32"/>
          <w:szCs w:val="32"/>
          <w:lang w:eastAsia="zh-CN"/>
        </w:rPr>
        <w:t>。</w:t>
      </w:r>
    </w:p>
    <w:p>
      <w:pPr>
        <w:pStyle w:val="24"/>
        <w:numPr>
          <w:ilvl w:val="0"/>
          <w:numId w:val="0"/>
        </w:numPr>
        <w:pBdr>
          <w:bottom w:val="single" w:color="FFFFFF" w:sz="4" w:space="31"/>
        </w:pBdr>
        <w:tabs>
          <w:tab w:val="left" w:pos="1440"/>
        </w:tabs>
        <w:adjustRightInd w:val="0"/>
        <w:snapToGrid w:val="0"/>
        <w:spacing w:line="580" w:lineRule="exact"/>
        <w:ind w:firstLine="640" w:firstLineChars="200"/>
        <w:outlineLvl w:val="1"/>
        <w:rPr>
          <w:rFonts w:ascii="楷体_GB2312" w:hAnsi="楷体_GB2312" w:eastAsia="楷体_GB2312" w:cs="楷体_GB2312"/>
          <w:b/>
          <w:color w:val="auto"/>
          <w:sz w:val="32"/>
          <w:szCs w:val="32"/>
        </w:rPr>
      </w:pPr>
      <w:r>
        <w:rPr>
          <w:rFonts w:hint="eastAsia" w:ascii="Times New Roman" w:hAnsi="Times New Roman" w:eastAsia="仿宋_GB2312"/>
          <w:b/>
          <w:bCs/>
          <w:color w:val="auto"/>
          <w:sz w:val="32"/>
          <w:szCs w:val="32"/>
          <w:lang w:eastAsia="zh-CN"/>
        </w:rPr>
        <w:t>（六）积极履职尽责，群众</w:t>
      </w:r>
      <w:r>
        <w:rPr>
          <w:rFonts w:hint="eastAsia" w:ascii="Times New Roman" w:hAnsi="Times New Roman" w:eastAsia="仿宋_GB2312"/>
          <w:b/>
          <w:bCs/>
          <w:color w:val="auto"/>
          <w:sz w:val="32"/>
          <w:szCs w:val="32"/>
        </w:rPr>
        <w:t>满意度高</w:t>
      </w:r>
    </w:p>
    <w:p>
      <w:pPr>
        <w:pBdr>
          <w:bottom w:val="single" w:color="FFFFFF" w:sz="4" w:space="31"/>
        </w:pBdr>
        <w:tabs>
          <w:tab w:val="left" w:pos="1440"/>
        </w:tabs>
        <w:adjustRightInd w:val="0"/>
        <w:snapToGrid w:val="0"/>
        <w:spacing w:line="580" w:lineRule="exact"/>
        <w:ind w:firstLine="640" w:firstLineChars="200"/>
        <w:rPr>
          <w:color w:val="auto"/>
        </w:rPr>
      </w:pPr>
      <w:r>
        <w:rPr>
          <w:rFonts w:hint="eastAsia" w:ascii="方正仿宋_GB2312" w:hAnsi="方正仿宋_GB2312" w:eastAsia="方正仿宋_GB2312" w:cs="方正仿宋_GB2312"/>
          <w:bCs/>
          <w:color w:val="auto"/>
          <w:sz w:val="32"/>
          <w:szCs w:val="32"/>
        </w:rPr>
        <w:t>至</w:t>
      </w:r>
      <w:r>
        <w:rPr>
          <w:rFonts w:hint="eastAsia" w:ascii="方正仿宋_GB2312" w:hAnsi="方正仿宋_GB2312" w:eastAsia="方正仿宋_GB2312" w:cs="方正仿宋_GB2312"/>
          <w:color w:val="auto"/>
          <w:sz w:val="32"/>
          <w:szCs w:val="32"/>
        </w:rPr>
        <w:t>202</w:t>
      </w:r>
      <w:r>
        <w:rPr>
          <w:rFonts w:hint="eastAsia" w:ascii="方正仿宋_GB2312" w:hAnsi="方正仿宋_GB2312" w:eastAsia="方正仿宋_GB2312"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rPr>
        <w:t>年底，全省“绿色食品、有机食品、地理标志农产品”有效认证总数达</w:t>
      </w:r>
      <w:r>
        <w:rPr>
          <w:rFonts w:hint="eastAsia" w:ascii="方正仿宋_GB2312" w:hAnsi="方正仿宋_GB2312" w:eastAsia="方正仿宋_GB2312" w:cs="方正仿宋_GB2312"/>
          <w:color w:val="auto"/>
          <w:sz w:val="32"/>
          <w:szCs w:val="32"/>
          <w:lang w:val="en-US" w:eastAsia="zh-CN"/>
        </w:rPr>
        <w:t>4033</w:t>
      </w:r>
      <w:r>
        <w:rPr>
          <w:rFonts w:hint="eastAsia" w:ascii="方正仿宋_GB2312" w:hAnsi="方正仿宋_GB2312" w:eastAsia="方正仿宋_GB2312" w:cs="方正仿宋_GB2312"/>
          <w:color w:val="auto"/>
          <w:sz w:val="32"/>
          <w:szCs w:val="32"/>
        </w:rPr>
        <w:t>个，比上年增长</w:t>
      </w:r>
      <w:r>
        <w:rPr>
          <w:rFonts w:hint="eastAsia" w:ascii="方正仿宋_GB2312" w:hAnsi="方正仿宋_GB2312" w:eastAsia="方正仿宋_GB2312" w:cs="方正仿宋_GB2312"/>
          <w:color w:val="auto"/>
          <w:sz w:val="32"/>
          <w:szCs w:val="32"/>
          <w:lang w:val="en-US" w:eastAsia="zh-CN"/>
        </w:rPr>
        <w:t>0.95</w:t>
      </w:r>
      <w:r>
        <w:rPr>
          <w:rFonts w:hint="eastAsia" w:ascii="方正仿宋_GB2312" w:hAnsi="方正仿宋_GB2312" w:eastAsia="方正仿宋_GB2312" w:cs="方正仿宋_GB2312"/>
          <w:color w:val="auto"/>
          <w:sz w:val="32"/>
          <w:szCs w:val="32"/>
        </w:rPr>
        <w:t>%，其中绿色食品35</w:t>
      </w:r>
      <w:r>
        <w:rPr>
          <w:rFonts w:hint="eastAsia" w:ascii="方正仿宋_GB2312" w:hAnsi="方正仿宋_GB2312" w:eastAsia="方正仿宋_GB2312" w:cs="方正仿宋_GB2312"/>
          <w:color w:val="auto"/>
          <w:sz w:val="32"/>
          <w:szCs w:val="32"/>
          <w:lang w:val="en-US" w:eastAsia="zh-CN"/>
        </w:rPr>
        <w:t>88</w:t>
      </w:r>
      <w:r>
        <w:rPr>
          <w:rFonts w:hint="eastAsia" w:ascii="方正仿宋_GB2312" w:hAnsi="方正仿宋_GB2312" w:eastAsia="方正仿宋_GB2312" w:cs="方正仿宋_GB2312"/>
          <w:color w:val="auto"/>
          <w:sz w:val="32"/>
          <w:szCs w:val="32"/>
        </w:rPr>
        <w:t>个，稳居</w:t>
      </w:r>
      <w:r>
        <w:rPr>
          <w:rFonts w:hint="eastAsia" w:ascii="方正仿宋_GB2312" w:hAnsi="方正仿宋_GB2312" w:eastAsia="方正仿宋_GB2312" w:cs="方正仿宋_GB2312"/>
          <w:color w:val="auto"/>
          <w:sz w:val="32"/>
          <w:szCs w:val="32"/>
          <w:lang w:eastAsia="zh-CN"/>
        </w:rPr>
        <w:t>全</w:t>
      </w:r>
      <w:r>
        <w:rPr>
          <w:rFonts w:hint="eastAsia" w:ascii="方正仿宋_GB2312" w:hAnsi="方正仿宋_GB2312" w:eastAsia="方正仿宋_GB2312" w:cs="方正仿宋_GB2312"/>
          <w:color w:val="auto"/>
          <w:sz w:val="32"/>
          <w:szCs w:val="32"/>
        </w:rPr>
        <w:t>国第</w:t>
      </w:r>
      <w:r>
        <w:rPr>
          <w:rFonts w:hint="eastAsia" w:ascii="方正仿宋_GB2312" w:hAnsi="方正仿宋_GB2312" w:eastAsia="方正仿宋_GB2312" w:cs="方正仿宋_GB2312"/>
          <w:color w:val="auto"/>
          <w:sz w:val="32"/>
          <w:szCs w:val="32"/>
          <w:lang w:val="en-US" w:eastAsia="zh-CN"/>
        </w:rPr>
        <w:t>4</w:t>
      </w:r>
      <w:r>
        <w:rPr>
          <w:rFonts w:hint="eastAsia" w:ascii="方正仿宋_GB2312" w:hAnsi="方正仿宋_GB2312" w:eastAsia="方正仿宋_GB2312" w:cs="方正仿宋_GB2312"/>
          <w:color w:val="auto"/>
          <w:sz w:val="32"/>
          <w:szCs w:val="32"/>
        </w:rPr>
        <w:t>位，有机食品</w:t>
      </w:r>
      <w:r>
        <w:rPr>
          <w:rFonts w:hint="eastAsia" w:ascii="方正仿宋_GB2312" w:hAnsi="方正仿宋_GB2312" w:eastAsia="方正仿宋_GB2312" w:cs="方正仿宋_GB2312"/>
          <w:color w:val="auto"/>
          <w:sz w:val="32"/>
          <w:szCs w:val="32"/>
          <w:lang w:val="en-US" w:eastAsia="zh-CN"/>
        </w:rPr>
        <w:t>317</w:t>
      </w:r>
      <w:r>
        <w:rPr>
          <w:rFonts w:hint="eastAsia" w:ascii="方正仿宋_GB2312" w:hAnsi="方正仿宋_GB2312" w:eastAsia="方正仿宋_GB2312" w:cs="方正仿宋_GB2312"/>
          <w:color w:val="auto"/>
          <w:sz w:val="32"/>
          <w:szCs w:val="32"/>
        </w:rPr>
        <w:t>个，居全国第</w:t>
      </w:r>
      <w:r>
        <w:rPr>
          <w:rFonts w:hint="eastAsia" w:ascii="方正仿宋_GB2312" w:hAnsi="方正仿宋_GB2312" w:eastAsia="方正仿宋_GB2312" w:cs="方正仿宋_GB2312"/>
          <w:color w:val="auto"/>
          <w:sz w:val="32"/>
          <w:szCs w:val="32"/>
          <w:lang w:val="en-US" w:eastAsia="zh-CN"/>
        </w:rPr>
        <w:t>3</w:t>
      </w:r>
      <w:r>
        <w:rPr>
          <w:rFonts w:hint="eastAsia" w:ascii="方正仿宋_GB2312" w:hAnsi="方正仿宋_GB2312" w:eastAsia="方正仿宋_GB2312" w:cs="方正仿宋_GB2312"/>
          <w:color w:val="auto"/>
          <w:sz w:val="32"/>
          <w:szCs w:val="32"/>
        </w:rPr>
        <w:t>位，农产品地理标志登记128个。</w:t>
      </w:r>
      <w:r>
        <w:rPr>
          <w:rFonts w:hint="eastAsia" w:ascii="仿宋" w:hAnsi="仿宋" w:eastAsia="仿宋" w:cs="仿宋"/>
          <w:color w:val="auto"/>
          <w:sz w:val="32"/>
          <w:szCs w:val="32"/>
          <w:lang w:val="en-US" w:eastAsia="zh-CN"/>
        </w:rPr>
        <w:t>稳步增加绿</w:t>
      </w:r>
      <w:r>
        <w:rPr>
          <w:rFonts w:hint="eastAsia" w:ascii="方正仿宋_GB2312" w:hAnsi="方正仿宋_GB2312" w:eastAsia="方正仿宋_GB2312" w:cs="方正仿宋_GB2312"/>
          <w:color w:val="auto"/>
          <w:sz w:val="32"/>
          <w:szCs w:val="32"/>
          <w:lang w:val="en-US" w:eastAsia="zh-CN"/>
        </w:rPr>
        <w:t>色优质农产品供给，有序推进绿色优质农产品基地建设，不断强化产品质量控制，持续扩大绿色优质农产品影响力，做好“土特产”文章，</w:t>
      </w:r>
      <w:r>
        <w:rPr>
          <w:rFonts w:hint="eastAsia" w:ascii="仿宋" w:hAnsi="仿宋" w:eastAsia="仿宋" w:cs="仿宋"/>
          <w:color w:val="auto"/>
          <w:sz w:val="32"/>
          <w:szCs w:val="32"/>
          <w:lang w:val="en-US" w:eastAsia="zh-CN"/>
        </w:rPr>
        <w:t>有效促进农业增效农民增收，通过对服务对象的定期回访，群众满意度不断增加。</w:t>
      </w:r>
      <w:r>
        <w:rPr>
          <w:rFonts w:hint="eastAsia" w:ascii="Times New Roman" w:hAnsi="Times New Roman" w:eastAsia="仿宋_GB2312"/>
          <w:bCs/>
          <w:color w:val="auto"/>
          <w:sz w:val="32"/>
          <w:szCs w:val="32"/>
        </w:rPr>
        <w:t>2024年我单位服务对象满意度为90%以上。</w:t>
      </w:r>
    </w:p>
    <w:p>
      <w:pPr>
        <w:pBdr>
          <w:bottom w:val="single" w:color="FFFFFF" w:sz="4" w:space="31"/>
        </w:pBdr>
        <w:tabs>
          <w:tab w:val="left" w:pos="1440"/>
        </w:tabs>
        <w:adjustRightInd w:val="0"/>
        <w:snapToGrid w:val="0"/>
        <w:spacing w:line="580" w:lineRule="exact"/>
        <w:ind w:firstLine="640" w:firstLineChars="200"/>
        <w:rPr>
          <w:rFonts w:hint="eastAsia" w:ascii="Times New Roman" w:hAnsi="Times New Roman" w:eastAsia="方正公文黑体"/>
          <w:color w:val="auto"/>
          <w:sz w:val="32"/>
          <w:szCs w:val="32"/>
          <w:lang w:val="en-US" w:eastAsia="zh-CN"/>
        </w:rPr>
      </w:pPr>
      <w:r>
        <w:rPr>
          <w:rFonts w:ascii="Times New Roman" w:hAnsi="Times New Roman" w:eastAsia="仿宋_GB2312"/>
          <w:bCs/>
          <w:color w:val="auto"/>
          <w:sz w:val="32"/>
          <w:szCs w:val="32"/>
        </w:rPr>
        <w:t>综上，我</w:t>
      </w:r>
      <w:r>
        <w:rPr>
          <w:rFonts w:hint="eastAsia" w:ascii="Times New Roman" w:hAnsi="Times New Roman" w:eastAsia="仿宋_GB2312"/>
          <w:bCs/>
          <w:color w:val="auto"/>
          <w:sz w:val="32"/>
          <w:szCs w:val="32"/>
          <w:lang w:eastAsia="zh-CN"/>
        </w:rPr>
        <w:t>办</w:t>
      </w:r>
      <w:r>
        <w:rPr>
          <w:rFonts w:ascii="Times New Roman" w:hAnsi="Times New Roman" w:eastAsia="仿宋_GB2312"/>
          <w:bCs/>
          <w:color w:val="auto"/>
          <w:sz w:val="32"/>
          <w:szCs w:val="32"/>
        </w:rPr>
        <w:t>202</w:t>
      </w:r>
      <w:r>
        <w:rPr>
          <w:rFonts w:hint="eastAsia" w:ascii="Times New Roman" w:hAnsi="Times New Roman" w:eastAsia="仿宋_GB2312"/>
          <w:bCs/>
          <w:color w:val="auto"/>
          <w:sz w:val="32"/>
          <w:szCs w:val="32"/>
        </w:rPr>
        <w:t>4</w:t>
      </w:r>
      <w:r>
        <w:rPr>
          <w:rFonts w:ascii="Times New Roman" w:hAnsi="Times New Roman" w:eastAsia="仿宋_GB2312"/>
          <w:bCs/>
          <w:color w:val="auto"/>
          <w:sz w:val="32"/>
          <w:szCs w:val="32"/>
        </w:rPr>
        <w:t>年运行成本控制得当，管理效率高，积极提升履职效能，社会效应显著，可持续发展能力增强，</w:t>
      </w:r>
      <w:r>
        <w:rPr>
          <w:rFonts w:hint="eastAsia" w:ascii="Times New Roman" w:hAnsi="Times New Roman" w:eastAsia="仿宋_GB2312"/>
          <w:bCs/>
          <w:color w:val="auto"/>
          <w:sz w:val="32"/>
          <w:szCs w:val="32"/>
        </w:rPr>
        <w:t>服务对象</w:t>
      </w:r>
      <w:r>
        <w:rPr>
          <w:rFonts w:ascii="Times New Roman" w:hAnsi="Times New Roman" w:eastAsia="仿宋_GB2312"/>
          <w:bCs/>
          <w:color w:val="auto"/>
          <w:sz w:val="32"/>
          <w:szCs w:val="32"/>
        </w:rPr>
        <w:t>满意度高。</w:t>
      </w:r>
      <w:r>
        <w:rPr>
          <w:rFonts w:ascii="Times New Roman" w:hAnsi="Times New Roman" w:eastAsia="仿宋_GB2312"/>
          <w:color w:val="auto"/>
          <w:sz w:val="32"/>
          <w:szCs w:val="32"/>
        </w:rPr>
        <w:t>202</w:t>
      </w:r>
      <w:r>
        <w:rPr>
          <w:rFonts w:hint="eastAsia" w:ascii="Times New Roman" w:hAnsi="Times New Roman" w:eastAsia="仿宋_GB2312"/>
          <w:color w:val="auto"/>
          <w:sz w:val="32"/>
          <w:szCs w:val="32"/>
        </w:rPr>
        <w:t>4</w:t>
      </w:r>
      <w:r>
        <w:rPr>
          <w:rFonts w:ascii="Times New Roman" w:hAnsi="Times New Roman" w:eastAsia="仿宋_GB2312"/>
          <w:color w:val="auto"/>
          <w:sz w:val="32"/>
          <w:szCs w:val="32"/>
        </w:rPr>
        <w:t>年部门整体支出绩效评价自评得分为</w:t>
      </w:r>
      <w:r>
        <w:rPr>
          <w:rFonts w:hint="eastAsia" w:ascii="Times New Roman" w:hAnsi="Times New Roman" w:eastAsia="仿宋_GB2312"/>
          <w:color w:val="auto"/>
          <w:sz w:val="32"/>
          <w:szCs w:val="32"/>
          <w:lang w:val="en-US" w:eastAsia="zh-CN"/>
        </w:rPr>
        <w:t>94</w:t>
      </w:r>
      <w:r>
        <w:rPr>
          <w:rFonts w:ascii="Times New Roman" w:hAnsi="Times New Roman" w:eastAsia="仿宋_GB2312"/>
          <w:color w:val="auto"/>
          <w:sz w:val="32"/>
          <w:szCs w:val="32"/>
          <w:highlight w:val="none"/>
        </w:rPr>
        <w:t>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 xml:space="preserve">    </w:t>
      </w:r>
      <w:r>
        <w:rPr>
          <w:rFonts w:hint="eastAsia" w:ascii="Times New Roman" w:hAnsi="Times New Roman" w:eastAsia="方正公文黑体"/>
          <w:color w:val="auto"/>
          <w:sz w:val="32"/>
          <w:szCs w:val="32"/>
          <w:lang w:val="en-US" w:eastAsia="zh-CN"/>
        </w:rPr>
        <w:t xml:space="preserve">    </w:t>
      </w:r>
    </w:p>
    <w:p>
      <w:pPr>
        <w:pBdr>
          <w:bottom w:val="single" w:color="FFFFFF" w:sz="4" w:space="31"/>
        </w:pBdr>
        <w:tabs>
          <w:tab w:val="left" w:pos="1440"/>
        </w:tabs>
        <w:adjustRightInd w:val="0"/>
        <w:snapToGrid w:val="0"/>
        <w:spacing w:line="580" w:lineRule="exact"/>
        <w:ind w:firstLine="640" w:firstLineChars="200"/>
        <w:rPr>
          <w:rFonts w:hint="eastAsia" w:ascii="仿宋" w:hAnsi="仿宋" w:eastAsia="仿宋"/>
          <w:color w:val="auto"/>
          <w:sz w:val="32"/>
          <w:szCs w:val="32"/>
          <w:lang w:val="en-US" w:eastAsia="zh-CN"/>
        </w:rPr>
      </w:pPr>
      <w:r>
        <w:rPr>
          <w:rFonts w:hint="eastAsia" w:ascii="Times New Roman" w:hAnsi="Times New Roman" w:eastAsia="方正公文黑体"/>
          <w:color w:val="auto"/>
          <w:sz w:val="32"/>
          <w:szCs w:val="32"/>
          <w:lang w:val="en-US" w:eastAsia="zh-CN"/>
        </w:rPr>
        <w:t>七、</w:t>
      </w:r>
      <w:r>
        <w:rPr>
          <w:rFonts w:ascii="Times New Roman" w:hAnsi="Times New Roman" w:eastAsia="方正公文黑体"/>
          <w:color w:val="auto"/>
          <w:sz w:val="32"/>
          <w:szCs w:val="32"/>
        </w:rPr>
        <w:t>存在的问题及原因分析</w:t>
      </w:r>
      <w:r>
        <w:rPr>
          <w:rFonts w:hint="eastAsia" w:ascii="Times New Roman" w:hAnsi="Times New Roman" w:eastAsia="方正公文黑体"/>
          <w:color w:val="auto"/>
          <w:sz w:val="32"/>
          <w:szCs w:val="32"/>
          <w:lang w:val="en-US" w:eastAsia="zh-CN"/>
        </w:rPr>
        <w:t xml:space="preserve">                       </w:t>
      </w:r>
    </w:p>
    <w:p>
      <w:pPr>
        <w:numPr>
          <w:ilvl w:val="0"/>
          <w:numId w:val="0"/>
        </w:numPr>
        <w:pBdr>
          <w:bottom w:val="single" w:color="FFFFFF" w:sz="4" w:space="31"/>
        </w:pBdr>
        <w:tabs>
          <w:tab w:val="left" w:pos="1440"/>
        </w:tabs>
        <w:adjustRightInd w:val="0"/>
        <w:snapToGrid w:val="0"/>
        <w:spacing w:line="580" w:lineRule="exact"/>
        <w:ind w:firstLine="640" w:firstLineChars="200"/>
        <w:outlineLvl w:val="0"/>
        <w:rPr>
          <w:rFonts w:hint="eastAsia" w:ascii="仿宋" w:hAnsi="仿宋" w:eastAsia="仿宋"/>
          <w:color w:val="auto"/>
          <w:sz w:val="32"/>
          <w:szCs w:val="32"/>
          <w:lang w:val="en-US" w:eastAsia="zh-CN"/>
        </w:rPr>
      </w:pPr>
      <w:r>
        <w:rPr>
          <w:rFonts w:hint="eastAsia" w:ascii="Times New Roman" w:hAnsi="Times New Roman" w:eastAsia="仿宋_GB2312"/>
          <w:bCs/>
          <w:color w:val="auto"/>
          <w:sz w:val="32"/>
          <w:szCs w:val="32"/>
          <w:lang w:eastAsia="zh-CN"/>
        </w:rPr>
        <w:t>一是</w:t>
      </w:r>
      <w:r>
        <w:rPr>
          <w:rFonts w:ascii="Times New Roman" w:hAnsi="Times New Roman" w:eastAsia="仿宋_GB2312"/>
          <w:bCs/>
          <w:color w:val="auto"/>
          <w:sz w:val="32"/>
          <w:szCs w:val="32"/>
        </w:rPr>
        <w:t>预算执行率有待继续提高。</w:t>
      </w:r>
      <w:r>
        <w:rPr>
          <w:rFonts w:hint="eastAsia" w:ascii="Times New Roman" w:hAnsi="Times New Roman" w:eastAsia="仿宋_GB2312"/>
          <w:bCs/>
          <w:color w:val="auto"/>
          <w:sz w:val="32"/>
          <w:szCs w:val="32"/>
        </w:rPr>
        <w:t>全年预算执行率</w:t>
      </w:r>
      <w:r>
        <w:rPr>
          <w:rFonts w:hint="eastAsia" w:ascii="Times New Roman" w:hAnsi="Times New Roman" w:eastAsia="仿宋_GB2312"/>
          <w:bCs/>
          <w:color w:val="auto"/>
          <w:sz w:val="32"/>
          <w:szCs w:val="32"/>
          <w:lang w:val="en-US" w:eastAsia="zh-CN"/>
        </w:rPr>
        <w:t>90.34</w:t>
      </w:r>
      <w:r>
        <w:rPr>
          <w:rFonts w:hint="eastAsia" w:ascii="Times New Roman" w:hAnsi="Times New Roman" w:eastAsia="仿宋_GB2312"/>
          <w:bCs/>
          <w:color w:val="auto"/>
          <w:sz w:val="32"/>
          <w:szCs w:val="32"/>
          <w:highlight w:val="none"/>
        </w:rPr>
        <w:t>%</w:t>
      </w:r>
      <w:r>
        <w:rPr>
          <w:rFonts w:hint="eastAsia" w:ascii="Times New Roman" w:hAnsi="Times New Roman" w:eastAsia="仿宋_GB2312"/>
          <w:bCs/>
          <w:color w:val="auto"/>
          <w:sz w:val="32"/>
          <w:szCs w:val="32"/>
        </w:rPr>
        <w:t>，预算执行有待进一步加强。</w:t>
      </w:r>
      <w:r>
        <w:rPr>
          <w:rFonts w:ascii="Times New Roman" w:hAnsi="Times New Roman" w:eastAsia="仿宋_GB2312"/>
          <w:color w:val="auto"/>
          <w:sz w:val="32"/>
          <w:szCs w:val="32"/>
        </w:rPr>
        <w:t>预算执行进度落后于预算绩效目标完成情况，项目开支往往是在项目完成到一定阶段后才进行经费支出，部分项目</w:t>
      </w:r>
      <w:r>
        <w:rPr>
          <w:rFonts w:hint="eastAsia" w:ascii="Times New Roman" w:hAnsi="Times New Roman" w:eastAsia="仿宋_GB2312"/>
          <w:color w:val="auto"/>
          <w:sz w:val="32"/>
          <w:szCs w:val="32"/>
          <w:lang w:eastAsia="zh-CN"/>
        </w:rPr>
        <w:t>需要到农产品收获季节才能实施，因此部分预算执行进度</w:t>
      </w:r>
      <w:r>
        <w:rPr>
          <w:rFonts w:ascii="Times New Roman" w:hAnsi="Times New Roman" w:eastAsia="仿宋_GB2312"/>
          <w:color w:val="auto"/>
          <w:sz w:val="32"/>
          <w:szCs w:val="32"/>
        </w:rPr>
        <w:t>较慢。</w:t>
      </w:r>
      <w:r>
        <w:rPr>
          <w:rFonts w:hint="eastAsia" w:ascii="方正仿宋_GB2312" w:hAnsi="方正仿宋_GB2312" w:eastAsia="方正仿宋_GB2312" w:cs="方正仿宋_GB2312"/>
          <w:color w:val="auto"/>
          <w:sz w:val="32"/>
          <w:szCs w:val="32"/>
          <w:lang w:eastAsia="zh-CN"/>
        </w:rPr>
        <w:t>二是</w:t>
      </w:r>
      <w:r>
        <w:rPr>
          <w:rFonts w:hint="eastAsia" w:ascii="方正仿宋_GB2312" w:hAnsi="方正仿宋_GB2312" w:eastAsia="方正仿宋_GB2312" w:cs="方正仿宋_GB2312"/>
          <w:color w:val="auto"/>
          <w:sz w:val="32"/>
          <w:szCs w:val="32"/>
        </w:rPr>
        <w:t>在</w:t>
      </w:r>
      <w:r>
        <w:rPr>
          <w:rFonts w:hint="eastAsia" w:ascii="方正仿宋_GB2312" w:hAnsi="方正仿宋_GB2312" w:eastAsia="方正仿宋_GB2312" w:cs="方正仿宋_GB2312"/>
          <w:color w:val="auto"/>
          <w:sz w:val="32"/>
          <w:szCs w:val="32"/>
          <w:lang w:val="en-US" w:eastAsia="zh-CN"/>
        </w:rPr>
        <w:t>2023年底编制2024年</w:t>
      </w:r>
      <w:r>
        <w:rPr>
          <w:rFonts w:hint="eastAsia" w:ascii="方正仿宋_GB2312" w:hAnsi="方正仿宋_GB2312" w:eastAsia="方正仿宋_GB2312" w:cs="方正仿宋_GB2312"/>
          <w:color w:val="auto"/>
          <w:sz w:val="32"/>
          <w:szCs w:val="32"/>
        </w:rPr>
        <w:t>预算科目和资金时，有</w:t>
      </w:r>
      <w:r>
        <w:rPr>
          <w:rFonts w:hint="eastAsia" w:ascii="方正仿宋_GB2312" w:hAnsi="方正仿宋_GB2312" w:eastAsia="方正仿宋_GB2312" w:cs="方正仿宋_GB2312"/>
          <w:color w:val="auto"/>
          <w:sz w:val="32"/>
          <w:szCs w:val="32"/>
          <w:lang w:val="en-US" w:eastAsia="zh-CN"/>
        </w:rPr>
        <w:t>些方面</w:t>
      </w:r>
      <w:r>
        <w:rPr>
          <w:rFonts w:hint="eastAsia" w:ascii="方正仿宋_GB2312" w:hAnsi="方正仿宋_GB2312" w:eastAsia="方正仿宋_GB2312" w:cs="方正仿宋_GB2312"/>
          <w:color w:val="auto"/>
          <w:sz w:val="32"/>
          <w:szCs w:val="32"/>
        </w:rPr>
        <w:t>预测不准，实际支出与年初预算有一些差距</w:t>
      </w:r>
      <w:r>
        <w:rPr>
          <w:rFonts w:hint="eastAsia" w:ascii="方正仿宋_GB2312" w:hAnsi="方正仿宋_GB2312" w:eastAsia="方正仿宋_GB2312" w:cs="方正仿宋_GB2312"/>
          <w:color w:val="auto"/>
          <w:sz w:val="32"/>
          <w:szCs w:val="32"/>
          <w:lang w:val="en-US" w:eastAsia="zh-CN"/>
        </w:rPr>
        <w:t>。</w:t>
      </w:r>
      <w:r>
        <w:rPr>
          <w:rFonts w:hint="eastAsia" w:ascii="仿宋" w:hAnsi="仿宋" w:eastAsia="仿宋"/>
          <w:color w:val="auto"/>
          <w:sz w:val="32"/>
          <w:szCs w:val="32"/>
          <w:lang w:val="en-US" w:eastAsia="zh-CN"/>
        </w:rPr>
        <w:t xml:space="preserve">   </w:t>
      </w:r>
    </w:p>
    <w:p>
      <w:p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color w:val="auto"/>
          <w:sz w:val="32"/>
          <w:szCs w:val="32"/>
        </w:rPr>
      </w:pPr>
      <w:r>
        <w:rPr>
          <w:rFonts w:hint="eastAsia" w:ascii="Times New Roman" w:hAnsi="Times New Roman" w:eastAsia="方正公文黑体"/>
          <w:color w:val="auto"/>
          <w:sz w:val="32"/>
          <w:szCs w:val="32"/>
        </w:rPr>
        <w:t>八、</w:t>
      </w:r>
      <w:r>
        <w:rPr>
          <w:rFonts w:ascii="Times New Roman" w:hAnsi="Times New Roman" w:eastAsia="方正公文黑体"/>
          <w:color w:val="auto"/>
          <w:sz w:val="32"/>
          <w:szCs w:val="32"/>
        </w:rPr>
        <w:t>下一步改进措施</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color w:val="auto"/>
          <w:sz w:val="32"/>
          <w:szCs w:val="32"/>
          <w:shd w:val="clear" w:color="auto" w:fill="FFFFFF"/>
        </w:rPr>
      </w:pPr>
      <w:r>
        <w:rPr>
          <w:rFonts w:hint="eastAsia" w:ascii="Times New Roman" w:hAnsi="Times New Roman" w:eastAsia="仿宋_GB2312"/>
          <w:bCs/>
          <w:color w:val="auto"/>
          <w:sz w:val="32"/>
          <w:szCs w:val="32"/>
          <w:lang w:eastAsia="zh-CN"/>
        </w:rPr>
        <w:t>一是</w:t>
      </w:r>
      <w:r>
        <w:rPr>
          <w:rFonts w:ascii="Times New Roman" w:hAnsi="Times New Roman" w:eastAsia="仿宋_GB2312"/>
          <w:bCs/>
          <w:color w:val="auto"/>
          <w:sz w:val="32"/>
          <w:szCs w:val="32"/>
        </w:rPr>
        <w:t>进一步</w:t>
      </w:r>
      <w:r>
        <w:rPr>
          <w:rFonts w:ascii="Times New Roman" w:hAnsi="Times New Roman" w:eastAsia="仿宋_GB2312"/>
          <w:bCs/>
          <w:color w:val="auto"/>
          <w:sz w:val="32"/>
          <w:szCs w:val="32"/>
          <w:shd w:val="clear" w:color="auto" w:fill="FFFFFF"/>
        </w:rPr>
        <w:t>加强预算管理，</w:t>
      </w:r>
      <w:r>
        <w:rPr>
          <w:rFonts w:ascii="Times New Roman" w:hAnsi="Times New Roman" w:eastAsia="仿宋_GB2312"/>
          <w:bCs/>
          <w:color w:val="auto"/>
          <w:sz w:val="32"/>
          <w:szCs w:val="32"/>
        </w:rPr>
        <w:t>提高预算执行率。</w:t>
      </w:r>
      <w:r>
        <w:rPr>
          <w:rFonts w:ascii="Times New Roman" w:hAnsi="Times New Roman" w:eastAsia="仿宋_GB2312"/>
          <w:color w:val="auto"/>
          <w:sz w:val="32"/>
          <w:szCs w:val="32"/>
          <w:shd w:val="clear" w:color="auto" w:fill="FFFFFF"/>
        </w:rPr>
        <w:t>预算编制与相关</w:t>
      </w:r>
      <w:r>
        <w:rPr>
          <w:rFonts w:hint="eastAsia" w:ascii="Times New Roman" w:hAnsi="Times New Roman" w:eastAsia="仿宋_GB2312"/>
          <w:color w:val="auto"/>
          <w:sz w:val="32"/>
          <w:szCs w:val="32"/>
          <w:shd w:val="clear" w:color="auto" w:fill="FFFFFF"/>
        </w:rPr>
        <w:t>科</w:t>
      </w:r>
      <w:r>
        <w:rPr>
          <w:rFonts w:ascii="Times New Roman" w:hAnsi="Times New Roman" w:eastAsia="仿宋_GB2312"/>
          <w:color w:val="auto"/>
          <w:sz w:val="32"/>
          <w:szCs w:val="32"/>
          <w:shd w:val="clear" w:color="auto" w:fill="FFFFFF"/>
        </w:rPr>
        <w:t>室科学分析预算的必要性、可行性，测算所需资金，将预算细化，保证整体支出预算的准确性。实施过程中，</w:t>
      </w:r>
      <w:r>
        <w:rPr>
          <w:rFonts w:ascii="Times New Roman" w:hAnsi="Times New Roman" w:eastAsia="仿宋_GB2312"/>
          <w:color w:val="auto"/>
          <w:sz w:val="32"/>
          <w:szCs w:val="32"/>
        </w:rPr>
        <w:t>加强动态分析，</w:t>
      </w:r>
      <w:r>
        <w:rPr>
          <w:rFonts w:ascii="Times New Roman" w:hAnsi="Times New Roman" w:eastAsia="仿宋_GB2312"/>
          <w:color w:val="auto"/>
          <w:sz w:val="32"/>
          <w:szCs w:val="32"/>
          <w:shd w:val="clear" w:color="auto" w:fill="FFFFFF"/>
        </w:rPr>
        <w:t>依据执行进度及时调整应对措施，以确保预算有效执行，提高年度预算执行率。</w:t>
      </w:r>
      <w:r>
        <w:rPr>
          <w:rFonts w:hint="eastAsia" w:ascii="Times New Roman" w:hAnsi="Times New Roman" w:eastAsia="仿宋_GB2312"/>
          <w:color w:val="auto"/>
          <w:sz w:val="32"/>
          <w:szCs w:val="32"/>
          <w:shd w:val="clear" w:color="auto" w:fill="FFFFFF"/>
          <w:lang w:eastAsia="zh-CN"/>
        </w:rPr>
        <w:t>二是</w:t>
      </w:r>
      <w:r>
        <w:rPr>
          <w:rFonts w:ascii="Times New Roman" w:hAnsi="Times New Roman" w:eastAsia="仿宋_GB2312"/>
          <w:bCs/>
          <w:color w:val="auto"/>
          <w:sz w:val="32"/>
          <w:szCs w:val="32"/>
          <w:shd w:val="clear" w:color="auto" w:fill="FFFFFF"/>
        </w:rPr>
        <w:t>优化指标设置，</w:t>
      </w:r>
      <w:r>
        <w:rPr>
          <w:rFonts w:hint="eastAsia" w:ascii="Times New Roman" w:hAnsi="Times New Roman" w:eastAsia="仿宋_GB2312"/>
          <w:bCs/>
          <w:color w:val="auto"/>
          <w:sz w:val="32"/>
          <w:szCs w:val="32"/>
          <w:shd w:val="clear" w:color="auto" w:fill="FFFFFF"/>
          <w:lang w:eastAsia="zh-CN"/>
        </w:rPr>
        <w:t>进一步</w:t>
      </w:r>
      <w:r>
        <w:rPr>
          <w:rFonts w:ascii="Times New Roman" w:hAnsi="Times New Roman" w:eastAsia="仿宋_GB2312"/>
          <w:bCs/>
          <w:color w:val="auto"/>
          <w:sz w:val="32"/>
          <w:szCs w:val="32"/>
          <w:shd w:val="clear" w:color="auto" w:fill="FFFFFF"/>
        </w:rPr>
        <w:t>提高绩效管理水平。</w:t>
      </w:r>
      <w:r>
        <w:rPr>
          <w:rFonts w:ascii="Times New Roman" w:hAnsi="Times New Roman" w:eastAsia="仿宋_GB2312"/>
          <w:color w:val="auto"/>
          <w:sz w:val="32"/>
          <w:szCs w:val="32"/>
          <w:shd w:val="clear" w:color="auto" w:fill="FFFFFF"/>
        </w:rPr>
        <w:t>科学制定绩效目标</w:t>
      </w:r>
      <w:r>
        <w:rPr>
          <w:rFonts w:hint="eastAsia" w:ascii="Times New Roman" w:hAnsi="Times New Roman" w:eastAsia="仿宋_GB2312"/>
          <w:color w:val="auto"/>
          <w:sz w:val="32"/>
          <w:szCs w:val="32"/>
          <w:shd w:val="clear" w:color="auto" w:fill="FFFFFF"/>
          <w:lang w:eastAsia="zh-CN"/>
        </w:rPr>
        <w:t>。</w:t>
      </w:r>
    </w:p>
    <w:p>
      <w:pPr>
        <w:numPr>
          <w:ilvl w:val="0"/>
          <w:numId w:val="5"/>
        </w:numPr>
        <w:pBdr>
          <w:bottom w:val="single" w:color="FFFFFF" w:sz="4" w:space="31"/>
        </w:pBdr>
        <w:tabs>
          <w:tab w:val="left" w:pos="1440"/>
        </w:tabs>
        <w:adjustRightInd w:val="0"/>
        <w:snapToGrid w:val="0"/>
        <w:spacing w:line="580" w:lineRule="exact"/>
        <w:ind w:firstLine="640" w:firstLineChars="200"/>
        <w:outlineLvl w:val="0"/>
        <w:rPr>
          <w:rFonts w:ascii="Times New Roman" w:hAnsi="Times New Roman" w:eastAsia="方正公文黑体"/>
          <w:color w:val="auto"/>
          <w:sz w:val="32"/>
          <w:szCs w:val="32"/>
        </w:rPr>
      </w:pPr>
      <w:r>
        <w:rPr>
          <w:rFonts w:ascii="Times New Roman" w:hAnsi="Times New Roman" w:eastAsia="方正公文黑体"/>
          <w:color w:val="auto"/>
          <w:sz w:val="32"/>
          <w:szCs w:val="32"/>
        </w:rPr>
        <w:t>整体支出绩效自评结果公开</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根据财政相关部门统一部署</w:t>
      </w:r>
      <w:r>
        <w:rPr>
          <w:rFonts w:hint="eastAsia" w:ascii="Times New Roman" w:hAnsi="Times New Roman" w:eastAsia="仿宋_GB2312"/>
          <w:color w:val="auto"/>
          <w:sz w:val="32"/>
          <w:szCs w:val="32"/>
          <w:lang w:eastAsia="zh-CN"/>
        </w:rPr>
        <w:t>，</w:t>
      </w:r>
      <w:r>
        <w:rPr>
          <w:rFonts w:ascii="Times New Roman" w:hAnsi="Times New Roman" w:eastAsia="仿宋_GB2312"/>
          <w:color w:val="auto"/>
          <w:sz w:val="32"/>
          <w:szCs w:val="32"/>
        </w:rPr>
        <w:t>按要求将部门整体支出绩效自评报告在</w:t>
      </w:r>
      <w:r>
        <w:rPr>
          <w:rFonts w:hint="eastAsia" w:ascii="Times New Roman" w:hAnsi="Times New Roman" w:eastAsia="仿宋_GB2312"/>
          <w:color w:val="auto"/>
          <w:sz w:val="32"/>
          <w:szCs w:val="32"/>
        </w:rPr>
        <w:t>省农业农村厅</w:t>
      </w:r>
      <w:r>
        <w:rPr>
          <w:rFonts w:ascii="Times New Roman" w:hAnsi="Times New Roman" w:eastAsia="仿宋_GB2312"/>
          <w:color w:val="auto"/>
          <w:sz w:val="32"/>
          <w:szCs w:val="32"/>
        </w:rPr>
        <w:t>门户官网上公开，接受社会监督。</w:t>
      </w:r>
    </w:p>
    <w:p>
      <w:pPr>
        <w:pBdr>
          <w:bottom w:val="single" w:color="FFFFFF" w:sz="4" w:space="31"/>
        </w:pBdr>
        <w:tabs>
          <w:tab w:val="left" w:pos="1440"/>
        </w:tabs>
        <w:adjustRightInd w:val="0"/>
        <w:snapToGrid w:val="0"/>
        <w:spacing w:line="580" w:lineRule="exact"/>
        <w:ind w:firstLine="640" w:firstLineChars="200"/>
        <w:outlineLvl w:val="0"/>
        <w:rPr>
          <w:rFonts w:hint="eastAsia" w:ascii="Times New Roman" w:hAnsi="Times New Roman" w:eastAsia="方正公文黑体" w:cs="Times New Roman"/>
          <w:color w:val="auto"/>
          <w:sz w:val="32"/>
          <w:szCs w:val="32"/>
          <w:lang w:val="en-US" w:eastAsia="zh-CN"/>
        </w:rPr>
      </w:pPr>
      <w:r>
        <w:rPr>
          <w:rFonts w:hint="eastAsia" w:ascii="Times New Roman" w:hAnsi="Times New Roman" w:eastAsia="方正公文黑体" w:cs="Times New Roman"/>
          <w:color w:val="auto"/>
          <w:sz w:val="32"/>
          <w:szCs w:val="32"/>
          <w:lang w:val="en-US" w:eastAsia="zh-CN"/>
        </w:rPr>
        <w:t>其他需要说明的情况</w:t>
      </w:r>
    </w:p>
    <w:p>
      <w:pPr>
        <w:pBdr>
          <w:bottom w:val="single" w:color="FFFFFF" w:sz="4" w:space="31"/>
        </w:pBdr>
        <w:tabs>
          <w:tab w:val="left" w:pos="1440"/>
        </w:tabs>
        <w:adjustRightInd w:val="0"/>
        <w:snapToGrid w:val="0"/>
        <w:spacing w:line="580" w:lineRule="exact"/>
        <w:ind w:firstLine="640" w:firstLineChars="200"/>
        <w:rPr>
          <w:rFonts w:ascii="Times New Roman" w:hAnsi="Times New Roman" w:eastAsia="仿宋_GB2312"/>
          <w:color w:val="auto"/>
          <w:sz w:val="32"/>
          <w:szCs w:val="32"/>
        </w:rPr>
      </w:pPr>
      <w:r>
        <w:rPr>
          <w:rFonts w:hint="eastAsia" w:ascii="Times New Roman" w:hAnsi="Times New Roman" w:eastAsia="方正公文黑体" w:cs="Times New Roman"/>
          <w:color w:val="auto"/>
          <w:sz w:val="32"/>
          <w:szCs w:val="32"/>
          <w:lang w:val="en-US" w:eastAsia="zh-CN"/>
        </w:rPr>
        <w:t>无</w:t>
      </w:r>
    </w:p>
    <w:p>
      <w:pPr>
        <w:keepNext w:val="0"/>
        <w:keepLines w:val="0"/>
        <w:pageBreakBefore w:val="0"/>
        <w:widowControl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color w:val="auto"/>
          <w:sz w:val="32"/>
          <w:szCs w:val="32"/>
          <w:lang w:eastAsia="zh-CN"/>
        </w:rPr>
      </w:pPr>
    </w:p>
    <w:p>
      <w:pPr>
        <w:pStyle w:val="4"/>
        <w:rPr>
          <w:rFonts w:hint="eastAsia"/>
          <w:lang w:eastAsia="zh-CN"/>
        </w:rPr>
      </w:pPr>
    </w:p>
    <w:p>
      <w:pPr>
        <w:keepNext w:val="0"/>
        <w:keepLines w:val="0"/>
        <w:pageBreakBefore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附件：</w:t>
      </w:r>
    </w:p>
    <w:p>
      <w:pPr>
        <w:keepNext w:val="0"/>
        <w:keepLines w:val="0"/>
        <w:pageBreakBefore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1、部门整体支出绩效评价基础数据表</w:t>
      </w:r>
    </w:p>
    <w:p>
      <w:pPr>
        <w:keepNext w:val="0"/>
        <w:keepLines w:val="0"/>
        <w:pageBreakBefore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2、部门整体支出绩效自评表</w:t>
      </w:r>
    </w:p>
    <w:p>
      <w:pPr>
        <w:keepNext w:val="0"/>
        <w:keepLines w:val="0"/>
        <w:pageBreakBefore w:val="0"/>
        <w:kinsoku/>
        <w:wordWrap/>
        <w:overflowPunct/>
        <w:topLinePunct w:val="0"/>
        <w:bidi w:val="0"/>
        <w:spacing w:line="580" w:lineRule="exact"/>
        <w:ind w:firstLine="64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3、项目支出绩效自评表（</w:t>
      </w:r>
      <w:r>
        <w:rPr>
          <w:rFonts w:hint="eastAsia" w:ascii="方正仿宋_GB2312" w:hAnsi="方正仿宋_GB2312" w:eastAsia="方正仿宋_GB2312" w:cs="方正仿宋_GB2312"/>
          <w:sz w:val="32"/>
          <w:szCs w:val="32"/>
          <w:highlight w:val="none"/>
          <w:lang w:eastAsia="zh-CN"/>
        </w:rPr>
        <w:t>现代农业发展专项</w:t>
      </w:r>
      <w:r>
        <w:rPr>
          <w:rFonts w:hint="eastAsia" w:ascii="方正仿宋_GB2312" w:hAnsi="方正仿宋_GB2312" w:eastAsia="方正仿宋_GB2312" w:cs="方正仿宋_GB2312"/>
          <w:sz w:val="32"/>
          <w:szCs w:val="32"/>
          <w:highlight w:val="none"/>
        </w:rPr>
        <w:t>）</w:t>
      </w:r>
    </w:p>
    <w:p>
      <w:pPr>
        <w:pStyle w:val="3"/>
        <w:ind w:firstLine="0" w:firstLineChars="0"/>
        <w:rPr>
          <w:rFonts w:hint="eastAsia" w:ascii="方正仿宋_GB2312" w:hAnsi="方正仿宋_GB2312" w:eastAsia="方正仿宋_GB2312" w:cs="方正仿宋_GB2312"/>
          <w:sz w:val="32"/>
          <w:szCs w:val="32"/>
          <w:highlight w:val="red"/>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pStyle w:val="3"/>
        <w:ind w:firstLine="0" w:firstLineChars="0"/>
        <w:rPr>
          <w:rFonts w:hint="eastAsia" w:ascii="方正仿宋_GB2312" w:hAnsi="方正仿宋_GB2312" w:eastAsia="方正仿宋_GB2312" w:cs="方正仿宋_GB2312"/>
        </w:rPr>
      </w:pPr>
    </w:p>
    <w:p>
      <w:pPr>
        <w:pStyle w:val="3"/>
        <w:ind w:firstLine="0" w:firstLineChars="0"/>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pStyle w:val="2"/>
        <w:spacing w:before="144" w:beforeLines="25" w:after="144" w:afterLines="25" w:line="500" w:lineRule="exact"/>
        <w:rPr>
          <w:rFonts w:hint="eastAsia" w:ascii="方正仿宋_GB2312" w:hAnsi="方正仿宋_GB2312" w:eastAsia="方正仿宋_GB2312" w:cs="方正仿宋_GB2312"/>
          <w:b/>
          <w:bCs w:val="0"/>
          <w:sz w:val="36"/>
          <w:szCs w:val="36"/>
        </w:rPr>
      </w:pPr>
      <w:r>
        <w:rPr>
          <w:rFonts w:hint="eastAsia" w:ascii="方正仿宋_GB2312" w:hAnsi="方正仿宋_GB2312" w:eastAsia="方正仿宋_GB2312" w:cs="方正仿宋_GB2312"/>
          <w:b/>
          <w:bCs w:val="0"/>
          <w:sz w:val="36"/>
          <w:szCs w:val="36"/>
        </w:rPr>
        <w:t>部门整体支出绩效评价基础数据表</w:t>
      </w:r>
    </w:p>
    <w:tbl>
      <w:tblPr>
        <w:tblStyle w:val="12"/>
        <w:tblW w:w="96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
                <w:bCs/>
                <w:kern w:val="0"/>
                <w:sz w:val="21"/>
                <w:szCs w:val="21"/>
              </w:rPr>
            </w:pPr>
            <w:r>
              <w:rPr>
                <w:rFonts w:hint="eastAsia" w:ascii="方正仿宋_GB2312" w:hAnsi="方正仿宋_GB2312" w:eastAsia="方正仿宋_GB2312" w:cs="方正仿宋_GB2312"/>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
                <w:bCs/>
                <w:kern w:val="0"/>
                <w:sz w:val="21"/>
                <w:szCs w:val="21"/>
              </w:rPr>
            </w:pPr>
            <w:r>
              <w:rPr>
                <w:rFonts w:hint="eastAsia" w:ascii="方正仿宋_GB2312" w:hAnsi="方正仿宋_GB2312" w:eastAsia="方正仿宋_GB2312" w:cs="方正仿宋_GB2312"/>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
                <w:bCs/>
                <w:kern w:val="0"/>
                <w:sz w:val="21"/>
                <w:szCs w:val="21"/>
              </w:rPr>
            </w:pPr>
            <w:r>
              <w:rPr>
                <w:rFonts w:hint="eastAsia" w:ascii="方正仿宋_GB2312" w:hAnsi="方正仿宋_GB2312" w:eastAsia="方正仿宋_GB2312" w:cs="方正仿宋_GB2312"/>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16</w:t>
            </w: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14</w:t>
            </w: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sz w:val="21"/>
                <w:szCs w:val="21"/>
                <w:lang w:val="en-US" w:eastAsia="zh-CN"/>
              </w:rPr>
              <w:t>100%</w:t>
            </w: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
                <w:bCs/>
                <w:kern w:val="0"/>
                <w:sz w:val="21"/>
                <w:szCs w:val="21"/>
              </w:rPr>
            </w:pPr>
            <w:r>
              <w:rPr>
                <w:rFonts w:hint="eastAsia" w:ascii="方正仿宋_GB2312" w:hAnsi="方正仿宋_GB2312" w:eastAsia="方正仿宋_GB2312" w:cs="方正仿宋_GB2312"/>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
                <w:bCs/>
                <w:kern w:val="0"/>
                <w:sz w:val="21"/>
                <w:szCs w:val="21"/>
              </w:rPr>
            </w:pPr>
            <w:r>
              <w:rPr>
                <w:rFonts w:hint="eastAsia" w:ascii="方正仿宋_GB2312" w:hAnsi="方正仿宋_GB2312" w:eastAsia="方正仿宋_GB2312" w:cs="方正仿宋_GB2312"/>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
                <w:bCs/>
                <w:kern w:val="0"/>
                <w:sz w:val="21"/>
                <w:szCs w:val="21"/>
              </w:rPr>
            </w:pPr>
            <w:r>
              <w:rPr>
                <w:rFonts w:hint="eastAsia" w:ascii="方正仿宋_GB2312" w:hAnsi="方正仿宋_GB2312" w:eastAsia="方正仿宋_GB2312" w:cs="方正仿宋_GB2312"/>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rPr>
              <w:t>　</w:t>
            </w:r>
            <w:r>
              <w:rPr>
                <w:rFonts w:hint="eastAsia" w:ascii="方正仿宋_GB2312" w:hAnsi="方正仿宋_GB2312" w:eastAsia="方正仿宋_GB2312" w:cs="方正仿宋_GB2312"/>
                <w:kern w:val="0"/>
                <w:sz w:val="21"/>
                <w:szCs w:val="21"/>
                <w:lang w:val="en-US" w:eastAsia="zh-CN"/>
              </w:rPr>
              <w:t>0.98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rPr>
              <w:t>　</w:t>
            </w:r>
            <w:r>
              <w:rPr>
                <w:rFonts w:hint="eastAsia" w:ascii="方正仿宋_GB2312" w:hAnsi="方正仿宋_GB2312" w:eastAsia="方正仿宋_GB2312" w:cs="方正仿宋_GB2312"/>
                <w:kern w:val="0"/>
                <w:sz w:val="21"/>
                <w:szCs w:val="21"/>
                <w:lang w:val="en-US" w:eastAsia="zh-CN"/>
              </w:rPr>
              <w:t>2</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0.7</w:t>
            </w: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rPr>
              <w:t>　</w:t>
            </w:r>
            <w:r>
              <w:rPr>
                <w:rFonts w:hint="eastAsia" w:ascii="方正仿宋_GB2312" w:hAnsi="方正仿宋_GB2312" w:eastAsia="方正仿宋_GB2312" w:cs="方正仿宋_GB2312"/>
                <w:kern w:val="0"/>
                <w:sz w:val="21"/>
                <w:szCs w:val="21"/>
                <w:lang w:val="en-US" w:eastAsia="zh-CN"/>
              </w:rPr>
              <w:t>0.98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2</w:t>
            </w: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0.7</w:t>
            </w: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167.88</w:t>
            </w: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rPr>
              <w:t>　</w:t>
            </w:r>
            <w:r>
              <w:rPr>
                <w:rFonts w:hint="eastAsia" w:ascii="方正仿宋_GB2312" w:hAnsi="方正仿宋_GB2312" w:eastAsia="方正仿宋_GB2312" w:cs="方正仿宋_GB2312"/>
                <w:kern w:val="0"/>
                <w:sz w:val="21"/>
                <w:szCs w:val="21"/>
                <w:lang w:val="en-US" w:eastAsia="zh-CN"/>
              </w:rPr>
              <w:t>106.16</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highlight w:val="none"/>
                <w:lang w:val="en-US"/>
              </w:rPr>
            </w:pPr>
            <w:r>
              <w:rPr>
                <w:rFonts w:hint="eastAsia" w:ascii="方正仿宋_GB2312" w:hAnsi="方正仿宋_GB2312" w:eastAsia="方正仿宋_GB2312" w:cs="方正仿宋_GB2312"/>
                <w:kern w:val="0"/>
                <w:sz w:val="21"/>
                <w:szCs w:val="21"/>
                <w:highlight w:val="none"/>
                <w:lang w:val="en-US" w:eastAsia="zh-CN"/>
              </w:rPr>
              <w:t>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139.34</w:t>
            </w: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highlight w:val="none"/>
              </w:rPr>
            </w:pPr>
            <w:r>
              <w:rPr>
                <w:rFonts w:hint="eastAsia" w:ascii="方正仿宋_GB2312" w:hAnsi="方正仿宋_GB2312" w:eastAsia="方正仿宋_GB2312" w:cs="方正仿宋_GB2312"/>
                <w:kern w:val="0"/>
                <w:sz w:val="21"/>
                <w:szCs w:val="21"/>
                <w:highlight w:val="none"/>
                <w:lang w:val="en-US" w:eastAsia="zh-CN"/>
              </w:rPr>
              <w:t>0</w:t>
            </w:r>
            <w:r>
              <w:rPr>
                <w:rFonts w:hint="eastAsia" w:ascii="方正仿宋_GB2312" w:hAnsi="方正仿宋_GB2312" w:eastAsia="方正仿宋_GB2312" w:cs="方正仿宋_GB2312"/>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highlight w:val="none"/>
              </w:rPr>
            </w:pPr>
            <w:r>
              <w:rPr>
                <w:rFonts w:hint="eastAsia" w:ascii="方正仿宋_GB2312" w:hAnsi="方正仿宋_GB2312" w:eastAsia="方正仿宋_GB2312" w:cs="方正仿宋_GB2312"/>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3、省级专项资金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lang w:val="en-US" w:eastAsia="zh-CN"/>
              </w:rPr>
              <w:t>167.88</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lang w:val="en-US" w:eastAsia="zh-CN"/>
              </w:rPr>
              <w:t>106.16</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highlight w:val="none"/>
                <w:lang w:val="en-US" w:eastAsia="zh-CN"/>
              </w:rPr>
            </w:pPr>
            <w:r>
              <w:rPr>
                <w:rFonts w:hint="eastAsia" w:ascii="方正仿宋_GB2312" w:hAnsi="方正仿宋_GB2312" w:eastAsia="方正仿宋_GB2312" w:cs="方正仿宋_GB2312"/>
                <w:kern w:val="0"/>
                <w:sz w:val="21"/>
                <w:szCs w:val="21"/>
                <w:highlight w:val="none"/>
                <w:lang w:val="en-US" w:eastAsia="zh-CN"/>
              </w:rPr>
              <w:t>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49.98</w:t>
            </w:r>
            <w:r>
              <w:rPr>
                <w:rFonts w:hint="eastAsia" w:ascii="方正仿宋_GB2312" w:hAnsi="方正仿宋_GB2312" w:eastAsia="方正仿宋_GB2312" w:cs="方正仿宋_GB2312"/>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eastAsia="zh-CN"/>
              </w:rPr>
            </w:pPr>
            <w:r>
              <w:rPr>
                <w:rFonts w:hint="eastAsia" w:ascii="方正仿宋_GB2312" w:hAnsi="方正仿宋_GB2312" w:eastAsia="方正仿宋_GB2312" w:cs="方正仿宋_GB2312"/>
                <w:kern w:val="0"/>
                <w:sz w:val="21"/>
                <w:szCs w:val="21"/>
              </w:rPr>
              <w:t>　</w:t>
            </w:r>
            <w:r>
              <w:rPr>
                <w:rFonts w:hint="eastAsia" w:ascii="方正仿宋_GB2312" w:hAnsi="方正仿宋_GB2312" w:eastAsia="方正仿宋_GB2312" w:cs="方正仿宋_GB2312"/>
                <w:kern w:val="0"/>
                <w:sz w:val="21"/>
                <w:szCs w:val="21"/>
                <w:lang w:val="en-US" w:eastAsia="zh-CN"/>
              </w:rPr>
              <w:t>50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lang w:val="en-US" w:eastAsia="zh-CN"/>
              </w:rPr>
              <w:t>48.7</w:t>
            </w: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lang w:val="en-US"/>
              </w:rPr>
            </w:pPr>
            <w:r>
              <w:rPr>
                <w:rFonts w:hint="eastAsia" w:ascii="方正仿宋_GB2312" w:hAnsi="方正仿宋_GB2312" w:eastAsia="方正仿宋_GB2312" w:cs="方正仿宋_GB2312"/>
                <w:color w:val="auto"/>
                <w:kern w:val="0"/>
                <w:sz w:val="21"/>
                <w:szCs w:val="21"/>
                <w:lang w:val="en-US" w:eastAsia="zh-CN"/>
              </w:rPr>
              <w:t>1.65</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lang w:val="en-US" w:eastAsia="zh-CN"/>
              </w:rPr>
            </w:pPr>
            <w:r>
              <w:rPr>
                <w:rFonts w:hint="eastAsia" w:ascii="方正仿宋_GB2312" w:hAnsi="方正仿宋_GB2312" w:eastAsia="方正仿宋_GB2312" w:cs="方正仿宋_GB2312"/>
                <w:color w:val="auto"/>
                <w:kern w:val="0"/>
                <w:sz w:val="21"/>
                <w:szCs w:val="21"/>
                <w:lang w:val="en-US" w:eastAsia="zh-CN"/>
              </w:rPr>
              <w:t>2.5</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lang w:val="en-US"/>
              </w:rPr>
            </w:pPr>
            <w:r>
              <w:rPr>
                <w:rFonts w:hint="eastAsia" w:ascii="方正仿宋_GB2312" w:hAnsi="方正仿宋_GB2312" w:eastAsia="方正仿宋_GB2312" w:cs="方正仿宋_GB2312"/>
                <w:color w:val="auto"/>
                <w:kern w:val="0"/>
                <w:sz w:val="21"/>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rPr>
            </w:pPr>
            <w:r>
              <w:rPr>
                <w:rFonts w:hint="eastAsia" w:ascii="方正仿宋_GB2312" w:hAnsi="方正仿宋_GB2312" w:eastAsia="方正仿宋_GB2312" w:cs="方正仿宋_GB2312"/>
                <w:color w:val="auto"/>
                <w:kern w:val="0"/>
                <w:sz w:val="21"/>
                <w:szCs w:val="21"/>
                <w:lang w:val="en-US" w:eastAsia="zh-CN"/>
              </w:rPr>
              <w:t>3.1</w:t>
            </w:r>
            <w:r>
              <w:rPr>
                <w:rFonts w:hint="eastAsia" w:ascii="方正仿宋_GB2312" w:hAnsi="方正仿宋_GB2312" w:eastAsia="方正仿宋_GB2312" w:cs="方正仿宋_GB2312"/>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lang w:val="en-US" w:eastAsia="zh-CN"/>
              </w:rPr>
            </w:pPr>
            <w:r>
              <w:rPr>
                <w:rFonts w:hint="eastAsia" w:ascii="方正仿宋_GB2312" w:hAnsi="方正仿宋_GB2312" w:eastAsia="方正仿宋_GB2312" w:cs="方正仿宋_GB2312"/>
                <w:color w:val="auto"/>
                <w:kern w:val="0"/>
                <w:sz w:val="21"/>
                <w:szCs w:val="21"/>
              </w:rPr>
              <w:t>　</w:t>
            </w:r>
            <w:r>
              <w:rPr>
                <w:rFonts w:hint="eastAsia" w:ascii="方正仿宋_GB2312" w:hAnsi="方正仿宋_GB2312" w:eastAsia="方正仿宋_GB2312" w:cs="方正仿宋_GB2312"/>
                <w:color w:val="auto"/>
                <w:kern w:val="0"/>
                <w:sz w:val="21"/>
                <w:szCs w:val="21"/>
                <w:lang w:val="en-US" w:eastAsia="zh-CN"/>
              </w:rPr>
              <w:t>3.1</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rPr>
            </w:pPr>
            <w:r>
              <w:rPr>
                <w:rFonts w:hint="eastAsia" w:ascii="方正仿宋_GB2312" w:hAnsi="方正仿宋_GB2312" w:eastAsia="方正仿宋_GB2312" w:cs="方正仿宋_GB2312"/>
                <w:color w:val="auto"/>
                <w:kern w:val="0"/>
                <w:sz w:val="21"/>
                <w:szCs w:val="21"/>
                <w:lang w:val="en-US" w:eastAsia="zh-CN"/>
              </w:rPr>
              <w:t>3.1</w:t>
            </w:r>
            <w:r>
              <w:rPr>
                <w:rFonts w:hint="eastAsia" w:ascii="方正仿宋_GB2312" w:hAnsi="方正仿宋_GB2312" w:eastAsia="方正仿宋_GB2312" w:cs="方正仿宋_GB2312"/>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rPr>
            </w:pPr>
            <w:r>
              <w:rPr>
                <w:rFonts w:hint="eastAsia" w:ascii="方正仿宋_GB2312" w:hAnsi="方正仿宋_GB2312" w:eastAsia="方正仿宋_GB2312" w:cs="方正仿宋_GB2312"/>
                <w:color w:val="auto"/>
                <w:kern w:val="0"/>
                <w:sz w:val="21"/>
                <w:szCs w:val="21"/>
                <w:lang w:val="en-US" w:eastAsia="zh-CN"/>
              </w:rPr>
              <w:t>4.4</w:t>
            </w:r>
            <w:r>
              <w:rPr>
                <w:rFonts w:hint="eastAsia" w:ascii="方正仿宋_GB2312" w:hAnsi="方正仿宋_GB2312" w:eastAsia="方正仿宋_GB2312" w:cs="方正仿宋_GB2312"/>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lang w:val="en-US" w:eastAsia="zh-CN"/>
              </w:rPr>
            </w:pPr>
            <w:r>
              <w:rPr>
                <w:rFonts w:hint="eastAsia" w:ascii="方正仿宋_GB2312" w:hAnsi="方正仿宋_GB2312" w:eastAsia="方正仿宋_GB2312" w:cs="方正仿宋_GB2312"/>
                <w:color w:val="auto"/>
                <w:kern w:val="0"/>
                <w:sz w:val="21"/>
                <w:szCs w:val="21"/>
              </w:rPr>
              <w:t>　</w:t>
            </w:r>
            <w:r>
              <w:rPr>
                <w:rFonts w:hint="eastAsia" w:ascii="方正仿宋_GB2312" w:hAnsi="方正仿宋_GB2312" w:eastAsia="方正仿宋_GB2312" w:cs="方正仿宋_GB2312"/>
                <w:color w:val="auto"/>
                <w:kern w:val="0"/>
                <w:sz w:val="21"/>
                <w:szCs w:val="21"/>
                <w:lang w:val="en-US" w:eastAsia="zh-CN"/>
              </w:rPr>
              <w:t>4</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color w:val="auto"/>
                <w:kern w:val="0"/>
                <w:sz w:val="21"/>
                <w:szCs w:val="21"/>
                <w:lang w:val="en-US" w:eastAsia="zh-CN"/>
              </w:rPr>
            </w:pPr>
            <w:r>
              <w:rPr>
                <w:rFonts w:hint="eastAsia" w:ascii="方正仿宋_GB2312" w:hAnsi="方正仿宋_GB2312" w:eastAsia="方正仿宋_GB2312" w:cs="方正仿宋_GB2312"/>
                <w:color w:val="auto"/>
                <w:kern w:val="0"/>
                <w:sz w:val="21"/>
                <w:szCs w:val="21"/>
              </w:rPr>
              <w:t>　</w:t>
            </w:r>
            <w:r>
              <w:rPr>
                <w:rFonts w:hint="eastAsia" w:ascii="方正仿宋_GB2312" w:hAnsi="方正仿宋_GB2312" w:eastAsia="方正仿宋_GB2312" w:cs="方正仿宋_GB2312"/>
                <w:color w:val="auto"/>
                <w:kern w:val="0"/>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highlight w:val="none"/>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lang w:val="en-US"/>
              </w:rPr>
            </w:pPr>
            <w:r>
              <w:rPr>
                <w:rFonts w:hint="eastAsia" w:ascii="方正仿宋_GB2312" w:hAnsi="方正仿宋_GB2312" w:eastAsia="方正仿宋_GB2312" w:cs="方正仿宋_GB2312"/>
                <w:kern w:val="0"/>
                <w:sz w:val="21"/>
                <w:szCs w:val="21"/>
                <w:highlight w:val="none"/>
                <w:lang w:val="en-US" w:eastAsia="zh-CN"/>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楼堂馆所控制情况</w:t>
            </w:r>
            <w:r>
              <w:rPr>
                <w:rFonts w:hint="eastAsia" w:ascii="方正仿宋_GB2312" w:hAnsi="方正仿宋_GB2312" w:eastAsia="方正仿宋_GB2312" w:cs="方正仿宋_GB2312"/>
                <w:kern w:val="0"/>
                <w:sz w:val="21"/>
                <w:szCs w:val="21"/>
              </w:rPr>
              <w:br w:type="textWrapping"/>
            </w:r>
            <w:r>
              <w:rPr>
                <w:rFonts w:hint="eastAsia" w:ascii="方正仿宋_GB2312" w:hAnsi="方正仿宋_GB2312" w:eastAsia="方正仿宋_GB2312" w:cs="方正仿宋_GB2312"/>
                <w:kern w:val="0"/>
                <w:sz w:val="21"/>
                <w:szCs w:val="21"/>
              </w:rPr>
              <w:t>（2024年完工项目）</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批复规模</w:t>
            </w:r>
            <w:r>
              <w:rPr>
                <w:rFonts w:hint="eastAsia" w:ascii="方正仿宋_GB2312" w:hAnsi="方正仿宋_GB2312" w:eastAsia="方正仿宋_GB2312" w:cs="方正仿宋_GB2312"/>
                <w:bCs/>
                <w:kern w:val="0"/>
                <w:sz w:val="21"/>
                <w:szCs w:val="21"/>
              </w:rPr>
              <w:br w:type="textWrapping"/>
            </w:r>
            <w:r>
              <w:rPr>
                <w:rFonts w:hint="eastAsia" w:ascii="方正仿宋_GB2312" w:hAnsi="方正仿宋_GB2312" w:eastAsia="方正仿宋_GB2312" w:cs="方正仿宋_GB2312"/>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实际</w:t>
            </w:r>
          </w:p>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规模</w:t>
            </w:r>
          </w:p>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规模</w:t>
            </w:r>
          </w:p>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实际</w:t>
            </w:r>
          </w:p>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投资</w:t>
            </w:r>
          </w:p>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投资</w:t>
            </w:r>
          </w:p>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概算</w:t>
            </w:r>
          </w:p>
          <w:p>
            <w:pPr>
              <w:widowControl/>
              <w:adjustRightInd/>
              <w:snapToGrid/>
              <w:spacing w:line="280" w:lineRule="exact"/>
              <w:ind w:firstLine="0" w:firstLineChars="0"/>
              <w:jc w:val="center"/>
              <w:rPr>
                <w:rFonts w:hint="eastAsia" w:ascii="方正仿宋_GB2312" w:hAnsi="方正仿宋_GB2312" w:eastAsia="方正仿宋_GB2312" w:cs="方正仿宋_GB2312"/>
                <w:bCs/>
                <w:kern w:val="0"/>
                <w:sz w:val="21"/>
                <w:szCs w:val="21"/>
              </w:rPr>
            </w:pPr>
            <w:r>
              <w:rPr>
                <w:rFonts w:hint="eastAsia" w:ascii="方正仿宋_GB2312" w:hAnsi="方正仿宋_GB2312" w:eastAsia="方正仿宋_GB2312" w:cs="方正仿宋_GB2312"/>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sz w:val="21"/>
                <w:szCs w:val="21"/>
                <w:lang w:val="en-US" w:eastAsia="zh-CN"/>
              </w:rPr>
              <w:t>严格实行费用支出事前申报，事后审批制度，从严控制三公经费，控制公务用车费、办公费等。</w:t>
            </w:r>
            <w:r>
              <w:rPr>
                <w:rFonts w:hint="eastAsia" w:ascii="方正仿宋_GB2312" w:hAnsi="方正仿宋_GB2312" w:eastAsia="方正仿宋_GB2312" w:cs="方正仿宋_GB2312"/>
                <w:kern w:val="0"/>
                <w:sz w:val="21"/>
                <w:szCs w:val="21"/>
              </w:rPr>
              <w:t>　</w:t>
            </w:r>
          </w:p>
        </w:tc>
      </w:tr>
    </w:tbl>
    <w:p>
      <w:pPr>
        <w:adjustRightInd/>
        <w:snapToGrid/>
        <w:spacing w:line="360" w:lineRule="exact"/>
        <w:ind w:firstLine="0" w:firstLineChars="0"/>
        <w:rPr>
          <w:rFonts w:hint="eastAsia" w:ascii="方正仿宋_GB2312" w:hAnsi="方正仿宋_GB2312" w:eastAsia="方正仿宋_GB2312" w:cs="方正仿宋_GB2312"/>
          <w:kern w:val="0"/>
          <w:sz w:val="22"/>
          <w:szCs w:val="22"/>
        </w:rPr>
      </w:pPr>
      <w:r>
        <w:rPr>
          <w:rFonts w:hint="eastAsia" w:ascii="方正仿宋_GB2312" w:hAnsi="方正仿宋_GB2312" w:eastAsia="方正仿宋_GB2312" w:cs="方正仿宋_GB2312"/>
          <w:kern w:val="0"/>
          <w:sz w:val="21"/>
          <w:szCs w:val="21"/>
        </w:rPr>
        <w:t>说明：“项目支出”需要填报基本支出以外的所有项目支出情况，“公用经费”填报基本支出中的一般商品和服务支出。</w:t>
      </w:r>
    </w:p>
    <w:p>
      <w:pPr>
        <w:adjustRightInd/>
        <w:snapToGrid/>
        <w:spacing w:line="360" w:lineRule="exact"/>
        <w:ind w:firstLine="0" w:firstLineChars="0"/>
        <w:rPr>
          <w:rFonts w:hint="eastAsia" w:ascii="方正仿宋_GB2312" w:hAnsi="方正仿宋_GB2312" w:eastAsia="方正仿宋_GB2312" w:cs="方正仿宋_GB2312"/>
          <w:kern w:val="0"/>
          <w:sz w:val="22"/>
          <w:szCs w:val="22"/>
        </w:rPr>
      </w:pPr>
    </w:p>
    <w:p>
      <w:pPr>
        <w:adjustRightInd/>
        <w:snapToGrid/>
        <w:spacing w:line="360" w:lineRule="exact"/>
        <w:ind w:firstLine="0" w:firstLineChars="0"/>
        <w:rPr>
          <w:rFonts w:hint="eastAsia" w:ascii="方正仿宋_GB2312" w:hAnsi="方正仿宋_GB2312" w:eastAsia="方正仿宋_GB2312" w:cs="方正仿宋_GB2312"/>
          <w:kern w:val="0"/>
          <w:sz w:val="22"/>
          <w:szCs w:val="22"/>
        </w:rPr>
      </w:pPr>
    </w:p>
    <w:p>
      <w:pPr>
        <w:pStyle w:val="3"/>
        <w:ind w:firstLine="0" w:firstLineChars="0"/>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rPr>
          <w:rFonts w:hint="eastAsia" w:ascii="方正仿宋_GB2312" w:hAnsi="方正仿宋_GB2312" w:eastAsia="方正仿宋_GB2312" w:cs="方正仿宋_GB2312"/>
        </w:rPr>
      </w:pPr>
    </w:p>
    <w:p>
      <w:pPr>
        <w:pStyle w:val="2"/>
        <w:spacing w:before="144" w:beforeLines="25" w:line="500" w:lineRule="exact"/>
        <w:rPr>
          <w:rFonts w:hint="eastAsia" w:ascii="方正仿宋_GB2312" w:hAnsi="方正仿宋_GB2312" w:eastAsia="方正仿宋_GB2312" w:cs="方正仿宋_GB2312"/>
          <w:sz w:val="36"/>
          <w:szCs w:val="36"/>
        </w:rPr>
      </w:pPr>
    </w:p>
    <w:p>
      <w:pPr>
        <w:pStyle w:val="3"/>
        <w:ind w:firstLine="0" w:firstLineChars="0"/>
        <w:rPr>
          <w:rFonts w:hint="eastAsia" w:eastAsia="黑体"/>
          <w:lang w:val="en-US" w:eastAsia="zh-CN"/>
        </w:rPr>
      </w:pPr>
      <w:r>
        <w:t>附件</w:t>
      </w:r>
      <w:r>
        <w:rPr>
          <w:rFonts w:hint="eastAsia"/>
          <w:lang w:val="en-US" w:eastAsia="zh-CN"/>
        </w:rPr>
        <w:t>2</w:t>
      </w:r>
    </w:p>
    <w:p>
      <w:pPr>
        <w:pStyle w:val="2"/>
        <w:spacing w:before="144" w:beforeLines="25" w:line="500" w:lineRule="exact"/>
        <w:rPr>
          <w:sz w:val="36"/>
          <w:szCs w:val="36"/>
        </w:rPr>
      </w:pPr>
      <w:r>
        <w:rPr>
          <w:sz w:val="36"/>
          <w:szCs w:val="36"/>
        </w:rPr>
        <w:t>部门整体支出绩效自评表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10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1108"/>
        <w:gridCol w:w="1400"/>
        <w:gridCol w:w="1321"/>
        <w:gridCol w:w="587"/>
        <w:gridCol w:w="987"/>
        <w:gridCol w:w="945"/>
        <w:gridCol w:w="795"/>
        <w:gridCol w:w="705"/>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省级预算部门名称</w:t>
            </w:r>
          </w:p>
        </w:tc>
        <w:tc>
          <w:tcPr>
            <w:tcW w:w="9394" w:type="dxa"/>
            <w:gridSpan w:val="9"/>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ascii="Times New Roman" w:hAnsi="Times New Roman" w:eastAsia="仿宋_GB2312" w:cs="Times New Roman"/>
                <w:color w:val="000000"/>
                <w:sz w:val="24"/>
                <w:szCs w:val="24"/>
                <w:lang w:val="en-US" w:eastAsia="zh-CN"/>
              </w:rPr>
              <w:t>湖南省绿色食品办公室</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年度预</w:t>
            </w:r>
          </w:p>
          <w:p>
            <w:pPr>
              <w:widowControl/>
              <w:adjustRightInd/>
              <w:spacing w:line="280" w:lineRule="exact"/>
              <w:ind w:firstLine="0" w:firstLineChars="0"/>
              <w:jc w:val="center"/>
              <w:rPr>
                <w:color w:val="000000"/>
                <w:kern w:val="0"/>
                <w:sz w:val="21"/>
                <w:szCs w:val="21"/>
              </w:rPr>
            </w:pPr>
            <w:r>
              <w:rPr>
                <w:color w:val="000000"/>
                <w:kern w:val="0"/>
                <w:sz w:val="21"/>
                <w:szCs w:val="21"/>
              </w:rPr>
              <w:t>算申请</w:t>
            </w:r>
            <w:r>
              <w:rPr>
                <w:color w:val="000000"/>
                <w:kern w:val="0"/>
                <w:sz w:val="21"/>
                <w:szCs w:val="21"/>
              </w:rPr>
              <w:br w:type="textWrapping"/>
            </w:r>
            <w:r>
              <w:rPr>
                <w:color w:val="000000"/>
                <w:kern w:val="0"/>
                <w:sz w:val="21"/>
                <w:szCs w:val="21"/>
              </w:rPr>
              <w:t>（万元）</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p>
        </w:tc>
        <w:tc>
          <w:tcPr>
            <w:tcW w:w="1321"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年初</w:t>
            </w:r>
          </w:p>
          <w:p>
            <w:pPr>
              <w:adjustRightInd/>
              <w:spacing w:line="280" w:lineRule="exact"/>
              <w:ind w:firstLine="0" w:firstLineChars="0"/>
              <w:jc w:val="center"/>
              <w:rPr>
                <w:sz w:val="21"/>
                <w:szCs w:val="21"/>
              </w:rPr>
            </w:pPr>
            <w:r>
              <w:rPr>
                <w:sz w:val="21"/>
                <w:szCs w:val="21"/>
              </w:rPr>
              <w:t>预算数</w:t>
            </w:r>
          </w:p>
        </w:tc>
        <w:tc>
          <w:tcPr>
            <w:tcW w:w="1574"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全年预算数</w:t>
            </w:r>
          </w:p>
        </w:tc>
        <w:tc>
          <w:tcPr>
            <w:tcW w:w="94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w:t>
            </w:r>
          </w:p>
          <w:p>
            <w:pPr>
              <w:adjustRightInd/>
              <w:spacing w:line="280" w:lineRule="exact"/>
              <w:ind w:firstLine="0" w:firstLineChars="0"/>
              <w:jc w:val="center"/>
              <w:rPr>
                <w:sz w:val="21"/>
                <w:szCs w:val="21"/>
              </w:rPr>
            </w:pPr>
            <w:r>
              <w:rPr>
                <w:sz w:val="21"/>
                <w:szCs w:val="21"/>
              </w:rPr>
              <w:t>执行数</w:t>
            </w:r>
          </w:p>
        </w:tc>
        <w:tc>
          <w:tcPr>
            <w:tcW w:w="79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分值</w:t>
            </w:r>
          </w:p>
        </w:tc>
        <w:tc>
          <w:tcPr>
            <w:tcW w:w="70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执行率</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color w:val="000000"/>
                <w:kern w:val="0"/>
                <w:sz w:val="21"/>
                <w:szCs w:val="21"/>
              </w:rPr>
              <w:t>年度资金总额</w:t>
            </w:r>
          </w:p>
        </w:tc>
        <w:tc>
          <w:tcPr>
            <w:tcW w:w="1321"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536.93</w:t>
            </w:r>
          </w:p>
        </w:tc>
        <w:tc>
          <w:tcPr>
            <w:tcW w:w="1574"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highlight w:val="none"/>
                <w:lang w:val="en-US" w:eastAsia="zh-CN"/>
              </w:rPr>
              <w:t>558.73</w:t>
            </w:r>
          </w:p>
        </w:tc>
        <w:tc>
          <w:tcPr>
            <w:tcW w:w="94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highlight w:val="none"/>
                <w:lang w:val="en-US" w:eastAsia="zh-CN"/>
              </w:rPr>
              <w:t>504.61</w:t>
            </w:r>
          </w:p>
        </w:tc>
        <w:tc>
          <w:tcPr>
            <w:tcW w:w="79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10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90.31</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403"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按收入性质分：</w:t>
            </w:r>
          </w:p>
        </w:tc>
        <w:tc>
          <w:tcPr>
            <w:tcW w:w="399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403"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xml:space="preserve">  其中：  一般公共预算：</w:t>
            </w:r>
            <w:r>
              <w:rPr>
                <w:rFonts w:hint="eastAsia"/>
                <w:color w:val="000000"/>
                <w:kern w:val="0"/>
                <w:sz w:val="21"/>
                <w:szCs w:val="21"/>
                <w:lang w:val="en-US" w:eastAsia="zh-CN"/>
              </w:rPr>
              <w:t>558.73</w:t>
            </w:r>
          </w:p>
        </w:tc>
        <w:tc>
          <w:tcPr>
            <w:tcW w:w="399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highlight w:val="none"/>
                <w:lang w:val="en-US" w:eastAsia="zh-CN"/>
              </w:rPr>
            </w:pPr>
            <w:r>
              <w:rPr>
                <w:color w:val="000000"/>
                <w:kern w:val="0"/>
                <w:sz w:val="21"/>
                <w:szCs w:val="21"/>
                <w:highlight w:val="none"/>
              </w:rPr>
              <w:t>其中：基本支出：</w:t>
            </w:r>
            <w:r>
              <w:rPr>
                <w:rFonts w:hint="eastAsia"/>
                <w:color w:val="000000"/>
                <w:kern w:val="0"/>
                <w:sz w:val="21"/>
                <w:szCs w:val="21"/>
                <w:highlight w:val="none"/>
                <w:lang w:val="en-US" w:eastAsia="zh-CN"/>
              </w:rPr>
              <w:t>398.45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403"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840" w:firstLineChars="400"/>
              <w:jc w:val="left"/>
              <w:rPr>
                <w:color w:val="000000"/>
                <w:kern w:val="0"/>
                <w:sz w:val="21"/>
                <w:szCs w:val="21"/>
              </w:rPr>
            </w:pPr>
            <w:r>
              <w:rPr>
                <w:color w:val="000000"/>
                <w:kern w:val="0"/>
                <w:sz w:val="21"/>
                <w:szCs w:val="21"/>
              </w:rPr>
              <w:t>政府性基金拨款：</w:t>
            </w:r>
          </w:p>
        </w:tc>
        <w:tc>
          <w:tcPr>
            <w:tcW w:w="399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rPr>
                <w:rFonts w:hint="default" w:eastAsia="仿宋_GB2312"/>
                <w:color w:val="000000"/>
                <w:kern w:val="0"/>
                <w:sz w:val="21"/>
                <w:szCs w:val="21"/>
                <w:highlight w:val="none"/>
                <w:lang w:val="en-US" w:eastAsia="zh-CN"/>
              </w:rPr>
            </w:pPr>
            <w:r>
              <w:rPr>
                <w:color w:val="000000"/>
                <w:kern w:val="0"/>
                <w:sz w:val="21"/>
                <w:szCs w:val="21"/>
                <w:highlight w:val="none"/>
              </w:rPr>
              <w:t>项目支出：</w:t>
            </w:r>
            <w:r>
              <w:rPr>
                <w:rFonts w:hint="eastAsia"/>
                <w:color w:val="000000"/>
                <w:kern w:val="0"/>
                <w:sz w:val="21"/>
                <w:szCs w:val="21"/>
                <w:highlight w:val="none"/>
                <w:lang w:val="en-US" w:eastAsia="zh-CN"/>
              </w:rPr>
              <w:t>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403"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纳入专户管理的非税收入拨款：</w:t>
            </w:r>
          </w:p>
        </w:tc>
        <w:tc>
          <w:tcPr>
            <w:tcW w:w="399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403"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1470" w:firstLineChars="700"/>
              <w:jc w:val="left"/>
              <w:rPr>
                <w:rFonts w:hint="default" w:eastAsia="仿宋_GB2312"/>
                <w:color w:val="000000"/>
                <w:kern w:val="0"/>
                <w:sz w:val="21"/>
                <w:szCs w:val="21"/>
                <w:lang w:val="en-US" w:eastAsia="zh-CN"/>
              </w:rPr>
            </w:pPr>
            <w:r>
              <w:rPr>
                <w:color w:val="000000"/>
                <w:kern w:val="0"/>
                <w:sz w:val="21"/>
                <w:szCs w:val="21"/>
              </w:rPr>
              <w:t>其他资金</w:t>
            </w:r>
            <w:r>
              <w:rPr>
                <w:color w:val="000000"/>
                <w:kern w:val="0"/>
                <w:sz w:val="21"/>
                <w:szCs w:val="21"/>
                <w:highlight w:val="none"/>
              </w:rPr>
              <w:t>：</w:t>
            </w:r>
            <w:r>
              <w:rPr>
                <w:rFonts w:hint="eastAsia"/>
                <w:color w:val="000000"/>
                <w:kern w:val="0"/>
                <w:sz w:val="21"/>
                <w:szCs w:val="21"/>
                <w:highlight w:val="none"/>
                <w:lang w:val="en-US" w:eastAsia="zh-CN"/>
              </w:rPr>
              <w:t>0</w:t>
            </w:r>
          </w:p>
        </w:tc>
        <w:tc>
          <w:tcPr>
            <w:tcW w:w="399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年度总体目标</w:t>
            </w:r>
          </w:p>
        </w:tc>
        <w:tc>
          <w:tcPr>
            <w:tcW w:w="5403"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预期目标</w:t>
            </w:r>
          </w:p>
        </w:tc>
        <w:tc>
          <w:tcPr>
            <w:tcW w:w="399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403"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color w:val="000000"/>
                <w:kern w:val="0"/>
                <w:sz w:val="21"/>
                <w:szCs w:val="21"/>
              </w:rPr>
            </w:pPr>
            <w:r>
              <w:rPr>
                <w:rFonts w:hint="eastAsia"/>
                <w:color w:val="000000"/>
                <w:kern w:val="0"/>
                <w:sz w:val="21"/>
                <w:szCs w:val="21"/>
              </w:rPr>
              <w:t>加强绿色食品有机食品认证，强化质量监管，着力品牌宣传打造，年底全省二品一标总数4100个以上，开展特色农产品品质鉴评，抓好优质农产品基地建设和产业持续健康发展。</w:t>
            </w:r>
          </w:p>
        </w:tc>
        <w:tc>
          <w:tcPr>
            <w:tcW w:w="3991"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color w:val="000000"/>
                <w:kern w:val="0"/>
                <w:sz w:val="21"/>
                <w:szCs w:val="21"/>
              </w:rPr>
            </w:pPr>
            <w:r>
              <w:rPr>
                <w:rFonts w:hint="eastAsia"/>
                <w:color w:val="000000"/>
                <w:kern w:val="0"/>
                <w:sz w:val="18"/>
                <w:szCs w:val="18"/>
                <w:lang w:eastAsia="zh-CN"/>
              </w:rPr>
              <w:t>根据农业部中心的工作安排，实际完成工作目标有所调整。</w:t>
            </w:r>
            <w:r>
              <w:rPr>
                <w:rFonts w:hint="eastAsia"/>
                <w:color w:val="000000"/>
                <w:kern w:val="0"/>
                <w:sz w:val="18"/>
                <w:szCs w:val="18"/>
              </w:rPr>
              <w:t>年底全省二品一标总数达</w:t>
            </w:r>
            <w:r>
              <w:rPr>
                <w:rFonts w:hint="eastAsia"/>
                <w:color w:val="000000"/>
                <w:kern w:val="0"/>
                <w:sz w:val="18"/>
                <w:szCs w:val="18"/>
                <w:lang w:val="en-US" w:eastAsia="zh-CN"/>
              </w:rPr>
              <w:t>4033</w:t>
            </w:r>
            <w:r>
              <w:rPr>
                <w:rFonts w:hint="eastAsia"/>
                <w:color w:val="000000"/>
                <w:kern w:val="0"/>
                <w:sz w:val="18"/>
                <w:szCs w:val="18"/>
              </w:rPr>
              <w:t>个；新获证绿色食品有机农产品数1</w:t>
            </w:r>
            <w:r>
              <w:rPr>
                <w:rFonts w:hint="eastAsia"/>
                <w:color w:val="000000"/>
                <w:kern w:val="0"/>
                <w:sz w:val="18"/>
                <w:szCs w:val="18"/>
                <w:lang w:val="en-US" w:eastAsia="zh-CN"/>
              </w:rPr>
              <w:t>475</w:t>
            </w:r>
            <w:r>
              <w:rPr>
                <w:rFonts w:hint="eastAsia"/>
                <w:color w:val="000000"/>
                <w:kern w:val="0"/>
                <w:sz w:val="18"/>
                <w:szCs w:val="18"/>
              </w:rPr>
              <w:t>个以上。强化质量监管，全省绿色食品“双随机一公开”颁证后跟踪检查和产品质量监督抽检</w:t>
            </w:r>
            <w:r>
              <w:rPr>
                <w:rFonts w:hint="eastAsia"/>
                <w:color w:val="000000"/>
                <w:kern w:val="0"/>
                <w:sz w:val="18"/>
                <w:szCs w:val="18"/>
                <w:lang w:val="en-US" w:eastAsia="zh-CN"/>
              </w:rPr>
              <w:t>356</w:t>
            </w:r>
            <w:r>
              <w:rPr>
                <w:rFonts w:hint="eastAsia"/>
                <w:color w:val="000000"/>
                <w:kern w:val="0"/>
                <w:sz w:val="18"/>
                <w:szCs w:val="18"/>
              </w:rPr>
              <w:t>个产品，认证产品抽检合格率在9</w:t>
            </w:r>
            <w:r>
              <w:rPr>
                <w:rFonts w:hint="eastAsia"/>
                <w:color w:val="000000"/>
                <w:kern w:val="0"/>
                <w:sz w:val="18"/>
                <w:szCs w:val="18"/>
                <w:lang w:val="en-US" w:eastAsia="zh-CN"/>
              </w:rPr>
              <w:t>3.25</w:t>
            </w:r>
            <w:r>
              <w:rPr>
                <w:rFonts w:hint="eastAsia"/>
                <w:color w:val="000000"/>
                <w:kern w:val="0"/>
                <w:sz w:val="18"/>
                <w:szCs w:val="18"/>
              </w:rPr>
              <w:t>%以上；开展</w:t>
            </w:r>
            <w:r>
              <w:rPr>
                <w:rFonts w:hint="eastAsia"/>
                <w:color w:val="000000"/>
                <w:kern w:val="0"/>
                <w:sz w:val="18"/>
                <w:szCs w:val="18"/>
                <w:lang w:val="en-US" w:eastAsia="zh-CN"/>
              </w:rPr>
              <w:t>2</w:t>
            </w:r>
            <w:r>
              <w:rPr>
                <w:rFonts w:hint="eastAsia"/>
                <w:color w:val="000000"/>
                <w:kern w:val="0"/>
                <w:sz w:val="18"/>
                <w:szCs w:val="18"/>
              </w:rPr>
              <w:t>个以上特色农产品品质评价。着力品牌宣传打造，常态化开展公益宣传活动及信息服务。</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rPr>
                <w:color w:val="000000"/>
                <w:kern w:val="0"/>
                <w:sz w:val="21"/>
                <w:szCs w:val="21"/>
              </w:rPr>
            </w:pPr>
            <w:r>
              <w:rPr>
                <w:color w:val="000000"/>
                <w:kern w:val="0"/>
                <w:sz w:val="21"/>
                <w:szCs w:val="21"/>
              </w:rPr>
              <w:t>标</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一级指标</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二级指标</w:t>
            </w: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三级指标</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rPr>
                <w:color w:val="000000"/>
                <w:kern w:val="0"/>
                <w:sz w:val="21"/>
                <w:szCs w:val="21"/>
              </w:rPr>
            </w:pPr>
            <w:r>
              <w:rPr>
                <w:color w:val="000000"/>
                <w:kern w:val="0"/>
                <w:sz w:val="21"/>
                <w:szCs w:val="21"/>
              </w:rPr>
              <w:t>指标值</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rPr>
                <w:color w:val="000000"/>
                <w:kern w:val="0"/>
                <w:sz w:val="21"/>
                <w:szCs w:val="21"/>
              </w:rPr>
            </w:pPr>
            <w:r>
              <w:rPr>
                <w:color w:val="000000"/>
                <w:kern w:val="0"/>
                <w:sz w:val="21"/>
                <w:szCs w:val="21"/>
              </w:rPr>
              <w:t>完成值</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分值</w:t>
            </w:r>
          </w:p>
        </w:tc>
        <w:tc>
          <w:tcPr>
            <w:tcW w:w="7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得分</w:t>
            </w:r>
          </w:p>
        </w:tc>
        <w:tc>
          <w:tcPr>
            <w:tcW w:w="1546" w:type="dxa"/>
            <w:tcBorders>
              <w:top w:val="single" w:color="auto" w:sz="4" w:space="0"/>
              <w:left w:val="single" w:color="auto" w:sz="4" w:space="0"/>
              <w:bottom w:val="single" w:color="auto" w:sz="4" w:space="0"/>
              <w:right w:val="single" w:color="auto" w:sz="4" w:space="0"/>
            </w:tcBorders>
            <w:noWrap w:val="0"/>
            <w:vAlign w:val="top"/>
          </w:tcPr>
          <w:p>
            <w:pPr>
              <w:widowControl/>
              <w:adjustRightInd/>
              <w:spacing w:line="280" w:lineRule="exact"/>
              <w:ind w:firstLine="0" w:firstLineChars="0"/>
              <w:jc w:val="center"/>
              <w:rPr>
                <w:color w:val="000000"/>
                <w:kern w:val="0"/>
                <w:sz w:val="18"/>
                <w:szCs w:val="18"/>
              </w:rPr>
            </w:pPr>
            <w:r>
              <w:rPr>
                <w:color w:val="000000"/>
                <w:kern w:val="0"/>
                <w:sz w:val="18"/>
                <w:szCs w:val="18"/>
              </w:rPr>
              <w:t>偏差原因分析及</w:t>
            </w:r>
          </w:p>
          <w:p>
            <w:pPr>
              <w:widowControl/>
              <w:adjustRightInd/>
              <w:spacing w:line="280" w:lineRule="exact"/>
              <w:ind w:firstLine="0" w:firstLineChars="0"/>
              <w:jc w:val="center"/>
              <w:rPr>
                <w:color w:val="000000"/>
                <w:kern w:val="0"/>
                <w:sz w:val="21"/>
                <w:szCs w:val="21"/>
              </w:rPr>
            </w:pPr>
            <w:r>
              <w:rPr>
                <w:color w:val="000000"/>
                <w:kern w:val="0"/>
                <w:sz w:val="18"/>
                <w:szCs w:val="18"/>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rPr>
                <w:color w:val="000000"/>
                <w:kern w:val="0"/>
                <w:sz w:val="21"/>
                <w:szCs w:val="21"/>
              </w:rPr>
            </w:pPr>
            <w:r>
              <w:rPr>
                <w:color w:val="000000"/>
                <w:kern w:val="0"/>
                <w:sz w:val="21"/>
                <w:szCs w:val="21"/>
              </w:rPr>
              <w:t>(50分)</w:t>
            </w:r>
          </w:p>
        </w:tc>
        <w:tc>
          <w:tcPr>
            <w:tcW w:w="140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数量指标</w:t>
            </w: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line="225" w:lineRule="exact"/>
              <w:ind w:left="0" w:leftChars="0" w:firstLine="0" w:firstLineChars="0"/>
              <w:rPr>
                <w:rFonts w:ascii="Times New Roman" w:hAnsi="Times New Roman" w:eastAsia="仿宋_GB2312" w:cs="Times New Roman"/>
                <w:color w:val="000000"/>
                <w:kern w:val="0"/>
                <w:sz w:val="21"/>
                <w:szCs w:val="21"/>
                <w:lang w:val="en-US" w:eastAsia="zh-CN" w:bidi="ar-SA"/>
              </w:rPr>
            </w:pPr>
            <w:r>
              <w:rPr>
                <w:rFonts w:hint="eastAsia"/>
                <w:b w:val="0"/>
                <w:bCs w:val="0"/>
                <w:color w:val="000000"/>
                <w:sz w:val="19"/>
                <w:lang w:eastAsia="zh-CN"/>
              </w:rPr>
              <w:t>二品一标产品总数</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Lines="0" w:afterLines="0" w:line="225" w:lineRule="exact"/>
              <w:ind w:left="0" w:leftChars="0" w:firstLine="0" w:firstLineChars="0"/>
              <w:jc w:val="center"/>
              <w:rPr>
                <w:rFonts w:hint="default" w:ascii="Times New Roman" w:hAnsi="Times New Roman" w:eastAsia="仿宋_GB2312" w:cs="Times New Roman"/>
                <w:color w:val="000000"/>
                <w:kern w:val="0"/>
                <w:sz w:val="21"/>
                <w:szCs w:val="21"/>
                <w:highlight w:val="none"/>
                <w:lang w:val="en-US" w:eastAsia="zh-CN" w:bidi="ar-SA"/>
              </w:rPr>
            </w:pPr>
            <w:r>
              <w:rPr>
                <w:rFonts w:hint="eastAsia"/>
                <w:b w:val="0"/>
                <w:bCs w:val="0"/>
                <w:color w:val="000000"/>
                <w:sz w:val="19"/>
                <w:highlight w:val="none"/>
                <w:lang w:val="en-US" w:eastAsia="zh-CN"/>
              </w:rPr>
              <w:t>4100</w:t>
            </w:r>
            <w:r>
              <w:rPr>
                <w:rFonts w:hint="eastAsia"/>
                <w:b w:val="0"/>
                <w:bCs w:val="0"/>
                <w:color w:val="000000"/>
                <w:sz w:val="19"/>
                <w:highlight w:val="none"/>
                <w:lang w:eastAsia="zh-CN"/>
              </w:rPr>
              <w:t>个</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200" w:firstLineChars="100"/>
              <w:jc w:val="both"/>
              <w:rPr>
                <w:rFonts w:hint="default" w:ascii="Times New Roman" w:hAnsi="Times New Roman" w:eastAsia="仿宋_GB2312" w:cs="Times New Roman"/>
                <w:color w:val="000000"/>
                <w:kern w:val="0"/>
                <w:sz w:val="21"/>
                <w:szCs w:val="21"/>
                <w:highlight w:val="none"/>
                <w:lang w:val="en-US" w:eastAsia="zh-CN" w:bidi="ar-SA"/>
              </w:rPr>
            </w:pPr>
            <w:r>
              <w:rPr>
                <w:rFonts w:hint="eastAsia" w:cs="Times New Roman"/>
                <w:b w:val="0"/>
                <w:bCs w:val="0"/>
                <w:color w:val="000000"/>
                <w:sz w:val="20"/>
                <w:szCs w:val="20"/>
                <w:highlight w:val="none"/>
                <w:lang w:val="en-US" w:eastAsia="zh-CN"/>
              </w:rPr>
              <w:t>4033</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color w:val="000000"/>
                <w:kern w:val="0"/>
                <w:sz w:val="21"/>
                <w:szCs w:val="21"/>
                <w:lang w:val="en-US" w:eastAsia="zh-CN" w:bidi="ar-SA"/>
              </w:rPr>
              <w:t>10</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color w:val="000000"/>
                <w:kern w:val="0"/>
                <w:sz w:val="21"/>
                <w:szCs w:val="21"/>
                <w:lang w:val="en-US" w:eastAsia="zh-CN" w:bidi="ar-SA"/>
              </w:rPr>
              <w:t>10</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line="225" w:lineRule="exact"/>
              <w:ind w:left="0" w:leftChars="0" w:firstLine="0" w:firstLineChars="0"/>
              <w:rPr>
                <w:rFonts w:hint="eastAsia" w:ascii="Times New Roman" w:hAnsi="Times New Roman" w:eastAsia="仿宋_GB2312" w:cs="Times New Roman"/>
                <w:color w:val="000000"/>
                <w:kern w:val="0"/>
                <w:sz w:val="21"/>
                <w:szCs w:val="21"/>
                <w:lang w:val="en-US" w:eastAsia="zh-CN" w:bidi="ar-SA"/>
              </w:rPr>
            </w:pPr>
            <w:r>
              <w:rPr>
                <w:rFonts w:hint="eastAsia"/>
                <w:b w:val="0"/>
                <w:bCs w:val="0"/>
                <w:color w:val="000000"/>
                <w:sz w:val="19"/>
                <w:lang w:eastAsia="zh-CN"/>
              </w:rPr>
              <w:t>新获证绿色食品、有机农产品数</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Lines="0" w:afterLines="0" w:line="225" w:lineRule="exact"/>
              <w:ind w:left="0" w:leftChars="0" w:firstLine="0" w:firstLineChars="0"/>
              <w:jc w:val="center"/>
              <w:rPr>
                <w:rFonts w:hint="default" w:ascii="Times New Roman" w:hAnsi="Times New Roman" w:eastAsia="仿宋_GB2312" w:cs="Times New Roman"/>
                <w:color w:val="000000"/>
                <w:kern w:val="0"/>
                <w:sz w:val="21"/>
                <w:szCs w:val="21"/>
                <w:highlight w:val="none"/>
                <w:lang w:val="en-US" w:eastAsia="zh-CN" w:bidi="ar-SA"/>
              </w:rPr>
            </w:pPr>
            <w:r>
              <w:rPr>
                <w:rFonts w:hint="eastAsia" w:cs="Times New Roman"/>
                <w:color w:val="000000"/>
                <w:kern w:val="0"/>
                <w:sz w:val="21"/>
                <w:szCs w:val="21"/>
                <w:highlight w:val="none"/>
                <w:lang w:val="en-US" w:eastAsia="zh-CN" w:bidi="ar-SA"/>
              </w:rPr>
              <w:t>1500</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200" w:firstLineChars="100"/>
              <w:jc w:val="both"/>
              <w:rPr>
                <w:rFonts w:hint="default" w:ascii="Times New Roman" w:hAnsi="Times New Roman" w:eastAsia="仿宋_GB2312" w:cs="Times New Roman"/>
                <w:color w:val="000000"/>
                <w:kern w:val="0"/>
                <w:sz w:val="21"/>
                <w:szCs w:val="21"/>
                <w:highlight w:val="none"/>
                <w:lang w:val="en-US" w:eastAsia="zh-CN" w:bidi="ar-SA"/>
              </w:rPr>
            </w:pPr>
            <w:r>
              <w:rPr>
                <w:rFonts w:hint="eastAsia" w:ascii="Times New Roman" w:hAnsi="Times New Roman" w:eastAsia="仿宋_GB2312" w:cs="Times New Roman"/>
                <w:b w:val="0"/>
                <w:bCs w:val="0"/>
                <w:color w:val="000000"/>
                <w:sz w:val="20"/>
                <w:szCs w:val="20"/>
                <w:highlight w:val="none"/>
                <w:lang w:val="en-US" w:eastAsia="zh-CN"/>
              </w:rPr>
              <w:t>1475</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color w:val="000000"/>
                <w:kern w:val="0"/>
                <w:sz w:val="21"/>
                <w:szCs w:val="21"/>
                <w:lang w:val="en-US" w:eastAsia="zh-CN" w:bidi="ar-SA"/>
              </w:rPr>
              <w:t>10</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color w:val="000000"/>
                <w:kern w:val="0"/>
                <w:sz w:val="21"/>
                <w:szCs w:val="21"/>
                <w:lang w:val="en-US" w:eastAsia="zh-CN" w:bidi="ar-SA"/>
              </w:rPr>
              <w:t>10</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line="225" w:lineRule="exact"/>
              <w:ind w:left="0" w:leftChars="0" w:firstLine="0" w:firstLineChars="0"/>
              <w:rPr>
                <w:rFonts w:hint="eastAsia" w:ascii="Times New Roman" w:hAnsi="Times New Roman" w:eastAsia="仿宋_GB2312" w:cs="Times New Roman"/>
                <w:b w:val="0"/>
                <w:bCs w:val="0"/>
                <w:color w:val="000000"/>
                <w:kern w:val="2"/>
                <w:sz w:val="19"/>
                <w:szCs w:val="24"/>
                <w:lang w:val="en-US" w:eastAsia="zh-CN" w:bidi="ar-SA"/>
              </w:rPr>
            </w:pPr>
            <w:r>
              <w:rPr>
                <w:rFonts w:hint="eastAsia"/>
                <w:b w:val="0"/>
                <w:bCs w:val="0"/>
                <w:color w:val="000000"/>
                <w:sz w:val="19"/>
                <w:lang w:eastAsia="zh-CN"/>
              </w:rPr>
              <w:t>认证产品抽检</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Lines="0" w:afterLines="0" w:line="225" w:lineRule="exact"/>
              <w:ind w:left="0" w:leftChars="0" w:firstLine="0" w:firstLineChars="0"/>
              <w:jc w:val="center"/>
              <w:rPr>
                <w:rFonts w:hint="default" w:ascii="Times New Roman" w:hAnsi="Times New Roman" w:eastAsia="仿宋_GB2312" w:cs="Times New Roman"/>
                <w:b w:val="0"/>
                <w:bCs w:val="0"/>
                <w:color w:val="000000"/>
                <w:kern w:val="2"/>
                <w:sz w:val="19"/>
                <w:szCs w:val="24"/>
                <w:highlight w:val="none"/>
                <w:lang w:val="en-US" w:eastAsia="zh-CN" w:bidi="ar-SA"/>
              </w:rPr>
            </w:pPr>
            <w:r>
              <w:rPr>
                <w:rFonts w:hint="eastAsia" w:cs="Times New Roman"/>
                <w:b w:val="0"/>
                <w:bCs w:val="0"/>
                <w:color w:val="000000"/>
                <w:kern w:val="2"/>
                <w:sz w:val="19"/>
                <w:szCs w:val="24"/>
                <w:highlight w:val="none"/>
                <w:lang w:val="en-US" w:eastAsia="zh-CN" w:bidi="ar-SA"/>
              </w:rPr>
              <w:t>140</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200" w:firstLineChars="100"/>
              <w:jc w:val="both"/>
              <w:rPr>
                <w:rFonts w:hint="default" w:ascii="Times New Roman" w:hAnsi="Times New Roman" w:eastAsia="仿宋_GB2312" w:cs="Times New Roman"/>
                <w:b w:val="0"/>
                <w:bCs w:val="0"/>
                <w:color w:val="000000"/>
                <w:kern w:val="2"/>
                <w:sz w:val="20"/>
                <w:szCs w:val="20"/>
                <w:highlight w:val="none"/>
                <w:lang w:val="en-US" w:eastAsia="zh-CN" w:bidi="ar-SA"/>
              </w:rPr>
            </w:pPr>
            <w:r>
              <w:rPr>
                <w:rFonts w:hint="eastAsia" w:cs="Times New Roman"/>
                <w:b w:val="0"/>
                <w:bCs w:val="0"/>
                <w:color w:val="000000"/>
                <w:sz w:val="20"/>
                <w:szCs w:val="20"/>
                <w:highlight w:val="none"/>
                <w:lang w:val="en-US" w:eastAsia="zh-CN"/>
              </w:rPr>
              <w:t>356</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b w:val="0"/>
                <w:bCs w:val="0"/>
                <w:color w:val="000000"/>
                <w:kern w:val="2"/>
                <w:sz w:val="20"/>
                <w:szCs w:val="20"/>
                <w:lang w:val="en-US" w:eastAsia="zh-CN" w:bidi="ar-SA"/>
              </w:rPr>
            </w:pPr>
            <w:r>
              <w:rPr>
                <w:rFonts w:hint="eastAsia" w:cs="Times New Roman"/>
                <w:b w:val="0"/>
                <w:bCs w:val="0"/>
                <w:color w:val="000000"/>
                <w:kern w:val="2"/>
                <w:sz w:val="20"/>
                <w:szCs w:val="20"/>
                <w:lang w:val="en-US" w:eastAsia="zh-CN" w:bidi="ar-SA"/>
              </w:rPr>
              <w:t>5</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b w:val="0"/>
                <w:bCs w:val="0"/>
                <w:color w:val="000000"/>
                <w:kern w:val="2"/>
                <w:sz w:val="20"/>
                <w:szCs w:val="20"/>
                <w:lang w:val="en-US" w:eastAsia="zh-CN" w:bidi="ar-SA"/>
              </w:rPr>
              <w:t>5</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line="225" w:lineRule="exact"/>
              <w:ind w:left="0" w:leftChars="0" w:firstLine="0" w:firstLineChars="0"/>
              <w:rPr>
                <w:rFonts w:hint="eastAsia" w:ascii="Times New Roman" w:hAnsi="Times New Roman" w:eastAsia="仿宋_GB2312" w:cs="Times New Roman"/>
                <w:b w:val="0"/>
                <w:bCs w:val="0"/>
                <w:color w:val="000000"/>
                <w:kern w:val="2"/>
                <w:sz w:val="19"/>
                <w:szCs w:val="24"/>
                <w:lang w:val="en-US" w:eastAsia="zh-CN" w:bidi="ar-SA"/>
              </w:rPr>
            </w:pPr>
            <w:r>
              <w:rPr>
                <w:rFonts w:hint="eastAsia"/>
                <w:b w:val="0"/>
                <w:bCs w:val="0"/>
                <w:color w:val="000000"/>
                <w:sz w:val="18"/>
                <w:szCs w:val="18"/>
                <w:lang w:eastAsia="zh-CN"/>
              </w:rPr>
              <w:t>特色农产品品质评价</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Lines="0" w:afterLines="0" w:line="225" w:lineRule="exact"/>
              <w:ind w:left="0" w:leftChars="0" w:firstLine="0" w:firstLineChars="0"/>
              <w:jc w:val="center"/>
              <w:rPr>
                <w:rFonts w:hint="default" w:ascii="Times New Roman" w:hAnsi="Times New Roman" w:eastAsia="仿宋_GB2312" w:cs="Times New Roman"/>
                <w:b w:val="0"/>
                <w:bCs w:val="0"/>
                <w:color w:val="000000"/>
                <w:kern w:val="2"/>
                <w:sz w:val="19"/>
                <w:szCs w:val="24"/>
                <w:highlight w:val="none"/>
                <w:lang w:val="en-US" w:eastAsia="zh-CN" w:bidi="ar-SA"/>
              </w:rPr>
            </w:pPr>
            <w:r>
              <w:rPr>
                <w:rFonts w:hint="eastAsia" w:cs="Times New Roman"/>
                <w:b w:val="0"/>
                <w:bCs w:val="0"/>
                <w:color w:val="000000"/>
                <w:kern w:val="2"/>
                <w:sz w:val="19"/>
                <w:szCs w:val="24"/>
                <w:highlight w:val="none"/>
                <w:lang w:val="en-US" w:eastAsia="zh-CN" w:bidi="ar-SA"/>
              </w:rPr>
              <w:t>2</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both"/>
              <w:rPr>
                <w:rFonts w:hint="eastAsia" w:ascii="Times New Roman" w:hAnsi="Times New Roman" w:eastAsia="仿宋_GB2312" w:cs="Times New Roman"/>
                <w:b w:val="0"/>
                <w:bCs w:val="0"/>
                <w:color w:val="000000"/>
                <w:kern w:val="2"/>
                <w:sz w:val="20"/>
                <w:szCs w:val="20"/>
                <w:highlight w:val="none"/>
                <w:lang w:val="en-US" w:eastAsia="zh-CN" w:bidi="ar-SA"/>
              </w:rPr>
            </w:pPr>
            <w:r>
              <w:rPr>
                <w:rFonts w:hint="eastAsia" w:cs="Times New Roman"/>
                <w:b w:val="0"/>
                <w:bCs w:val="0"/>
                <w:color w:val="000000"/>
                <w:sz w:val="20"/>
                <w:szCs w:val="20"/>
                <w:highlight w:val="none"/>
                <w:lang w:val="en-US" w:eastAsia="zh-CN"/>
              </w:rPr>
              <w:t>2</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b w:val="0"/>
                <w:bCs w:val="0"/>
                <w:color w:val="000000"/>
                <w:kern w:val="2"/>
                <w:sz w:val="20"/>
                <w:szCs w:val="20"/>
                <w:lang w:val="en-US" w:eastAsia="zh-CN" w:bidi="ar-SA"/>
              </w:rPr>
            </w:pPr>
            <w:r>
              <w:rPr>
                <w:rFonts w:hint="eastAsia" w:cs="Times New Roman"/>
                <w:b w:val="0"/>
                <w:bCs w:val="0"/>
                <w:color w:val="000000"/>
                <w:kern w:val="2"/>
                <w:sz w:val="20"/>
                <w:szCs w:val="20"/>
                <w:lang w:val="en-US" w:eastAsia="zh-CN" w:bidi="ar-SA"/>
              </w:rPr>
              <w:t>5</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b w:val="0"/>
                <w:bCs w:val="0"/>
                <w:color w:val="000000"/>
                <w:kern w:val="2"/>
                <w:sz w:val="20"/>
                <w:szCs w:val="20"/>
                <w:lang w:val="en-US" w:eastAsia="zh-CN" w:bidi="ar-SA"/>
              </w:rPr>
              <w:t>5</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质量指标</w:t>
            </w: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ascii="Times New Roman" w:hAnsi="Times New Roman" w:eastAsia="仿宋_GB2312" w:cs="Times New Roman"/>
                <w:color w:val="000000"/>
                <w:kern w:val="0"/>
                <w:sz w:val="18"/>
                <w:szCs w:val="18"/>
                <w:lang w:val="en-US" w:eastAsia="zh-CN" w:bidi="ar-SA"/>
              </w:rPr>
            </w:pPr>
            <w:r>
              <w:rPr>
                <w:rFonts w:hint="eastAsia"/>
                <w:color w:val="000000"/>
                <w:kern w:val="0"/>
                <w:sz w:val="21"/>
                <w:szCs w:val="21"/>
                <w:lang w:eastAsia="zh-CN"/>
              </w:rPr>
              <w:t>产品抽检合格率</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default" w:ascii="Times New Roman" w:hAnsi="Times New Roman" w:eastAsia="仿宋_GB2312" w:cs="Times New Roman"/>
                <w:color w:val="000000"/>
                <w:kern w:val="0"/>
                <w:sz w:val="21"/>
                <w:szCs w:val="21"/>
                <w:highlight w:val="none"/>
                <w:lang w:val="en-US" w:eastAsia="zh-CN" w:bidi="ar-SA"/>
              </w:rPr>
            </w:pPr>
            <w:r>
              <w:rPr>
                <w:rFonts w:hint="eastAsia"/>
                <w:color w:val="000000"/>
                <w:kern w:val="0"/>
                <w:sz w:val="21"/>
                <w:szCs w:val="21"/>
                <w:lang w:eastAsia="zh-CN"/>
              </w:rPr>
              <w:t>9</w:t>
            </w:r>
            <w:r>
              <w:rPr>
                <w:rFonts w:hint="eastAsia"/>
                <w:color w:val="000000"/>
                <w:kern w:val="0"/>
                <w:sz w:val="21"/>
                <w:szCs w:val="21"/>
                <w:lang w:val="en-US" w:eastAsia="zh-CN"/>
              </w:rPr>
              <w:t>5</w:t>
            </w:r>
            <w:r>
              <w:rPr>
                <w:rFonts w:hint="eastAsia"/>
                <w:color w:val="000000"/>
                <w:kern w:val="0"/>
                <w:sz w:val="21"/>
                <w:szCs w:val="21"/>
                <w:lang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ascii="Times New Roman" w:hAnsi="Times New Roman" w:eastAsia="仿宋_GB2312" w:cs="Times New Roman"/>
                <w:color w:val="000000"/>
                <w:kern w:val="0"/>
                <w:sz w:val="21"/>
                <w:szCs w:val="21"/>
                <w:highlight w:val="none"/>
                <w:lang w:val="en-US" w:eastAsia="zh-CN" w:bidi="ar-SA"/>
              </w:rPr>
            </w:pPr>
            <w:r>
              <w:rPr>
                <w:rFonts w:hint="eastAsia"/>
                <w:color w:val="000000"/>
                <w:kern w:val="0"/>
                <w:sz w:val="21"/>
                <w:szCs w:val="21"/>
                <w:lang w:val="en-US" w:eastAsia="zh-CN"/>
              </w:rPr>
              <w:t>93.25%</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b w:val="0"/>
                <w:bCs w:val="0"/>
                <w:color w:val="000000"/>
                <w:sz w:val="20"/>
                <w:szCs w:val="20"/>
                <w:lang w:val="en-US" w:eastAsia="zh-CN"/>
              </w:rPr>
              <w:t>10</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b w:val="0"/>
                <w:bCs w:val="0"/>
                <w:color w:val="000000"/>
                <w:sz w:val="20"/>
                <w:szCs w:val="20"/>
                <w:lang w:val="en-US" w:eastAsia="zh-CN"/>
              </w:rPr>
              <w:t>8</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时效指标</w:t>
            </w: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line="225" w:lineRule="exact"/>
              <w:ind w:left="0" w:leftChars="0" w:firstLine="0" w:firstLineChars="0"/>
              <w:rPr>
                <w:rFonts w:ascii="Times New Roman" w:hAnsi="Times New Roman" w:eastAsia="仿宋_GB2312" w:cs="Times New Roman"/>
                <w:color w:val="000000"/>
                <w:kern w:val="0"/>
                <w:sz w:val="18"/>
                <w:szCs w:val="18"/>
                <w:lang w:val="en-US" w:eastAsia="zh-CN" w:bidi="ar-SA"/>
              </w:rPr>
            </w:pPr>
            <w:r>
              <w:rPr>
                <w:rFonts w:hint="eastAsia"/>
                <w:color w:val="000000"/>
                <w:kern w:val="0"/>
                <w:sz w:val="21"/>
                <w:szCs w:val="21"/>
              </w:rPr>
              <w:t>按</w:t>
            </w:r>
            <w:r>
              <w:rPr>
                <w:rFonts w:hint="eastAsia"/>
                <w:color w:val="000000"/>
                <w:kern w:val="0"/>
                <w:sz w:val="21"/>
                <w:szCs w:val="21"/>
                <w:lang w:eastAsia="zh-CN"/>
              </w:rPr>
              <w:t>时</w:t>
            </w:r>
            <w:r>
              <w:rPr>
                <w:rFonts w:hint="eastAsia"/>
                <w:color w:val="000000"/>
                <w:kern w:val="0"/>
                <w:sz w:val="21"/>
                <w:szCs w:val="21"/>
              </w:rPr>
              <w:t>完成</w:t>
            </w:r>
            <w:r>
              <w:rPr>
                <w:rFonts w:hint="eastAsia"/>
                <w:color w:val="000000"/>
                <w:kern w:val="0"/>
                <w:sz w:val="21"/>
                <w:szCs w:val="21"/>
                <w:lang w:eastAsia="zh-CN"/>
              </w:rPr>
              <w:t>任务</w:t>
            </w:r>
            <w:r>
              <w:rPr>
                <w:rFonts w:hint="eastAsia"/>
                <w:color w:val="000000"/>
                <w:kern w:val="0"/>
                <w:sz w:val="21"/>
                <w:szCs w:val="21"/>
              </w:rPr>
              <w:t>工作</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Lines="0" w:afterLines="0" w:line="225" w:lineRule="exact"/>
              <w:ind w:left="0" w:leftChars="0" w:firstLine="0" w:firstLineChars="0"/>
              <w:jc w:val="center"/>
              <w:rPr>
                <w:rFonts w:hint="default" w:ascii="Times New Roman" w:hAnsi="Times New Roman" w:eastAsia="仿宋_GB2312" w:cs="Times New Roman"/>
                <w:color w:val="000000"/>
                <w:kern w:val="0"/>
                <w:sz w:val="21"/>
                <w:szCs w:val="21"/>
                <w:highlight w:val="none"/>
                <w:lang w:val="en-US" w:eastAsia="zh-CN" w:bidi="ar-SA"/>
              </w:rPr>
            </w:pPr>
            <w:r>
              <w:rPr>
                <w:rFonts w:hint="eastAsia"/>
                <w:color w:val="auto"/>
                <w:kern w:val="0"/>
                <w:sz w:val="21"/>
                <w:szCs w:val="21"/>
                <w:highlight w:val="none"/>
                <w:lang w:val="en-US" w:eastAsia="zh-CN"/>
              </w:rPr>
              <w:t>2024年完成</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highlight w:val="none"/>
                <w:lang w:val="en-US" w:eastAsia="zh-CN" w:bidi="ar-SA"/>
              </w:rPr>
            </w:pPr>
            <w:r>
              <w:rPr>
                <w:rFonts w:hint="eastAsia"/>
                <w:color w:val="000000"/>
                <w:kern w:val="0"/>
                <w:sz w:val="21"/>
                <w:szCs w:val="21"/>
              </w:rPr>
              <w:t>已完成</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ascii="Times New Roman" w:hAnsi="Times New Roman" w:eastAsia="仿宋_GB2312" w:cs="Times New Roman"/>
                <w:color w:val="000000"/>
                <w:kern w:val="0"/>
                <w:sz w:val="21"/>
                <w:szCs w:val="21"/>
                <w:lang w:val="en-US" w:eastAsia="zh-CN" w:bidi="ar-SA"/>
              </w:rPr>
            </w:pPr>
            <w:r>
              <w:rPr>
                <w:rFonts w:hint="eastAsia" w:cs="Times New Roman"/>
                <w:b w:val="0"/>
                <w:bCs w:val="0"/>
                <w:color w:val="000000"/>
                <w:sz w:val="20"/>
                <w:szCs w:val="20"/>
                <w:lang w:val="en-US" w:eastAsia="zh-CN"/>
              </w:rPr>
              <w:t>5</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ind w:left="0" w:leftChars="0"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b w:val="0"/>
                <w:bCs w:val="0"/>
                <w:color w:val="000000"/>
                <w:sz w:val="20"/>
                <w:szCs w:val="20"/>
                <w:lang w:val="en-US" w:eastAsia="zh-CN"/>
              </w:rPr>
              <w:t>5</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成本指标</w:t>
            </w: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sz w:val="20"/>
                <w:szCs w:val="20"/>
              </w:rPr>
              <w:t>预算控制</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sz w:val="20"/>
                <w:szCs w:val="20"/>
              </w:rPr>
              <w:t>按预算控制进行</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控制在预算内</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7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18"/>
                <w:szCs w:val="18"/>
              </w:rPr>
            </w:pPr>
            <w:r>
              <w:rPr>
                <w:color w:val="000000"/>
                <w:kern w:val="0"/>
                <w:sz w:val="18"/>
                <w:szCs w:val="18"/>
              </w:rPr>
              <w:t>效益指标</w:t>
            </w:r>
          </w:p>
          <w:p>
            <w:pPr>
              <w:widowControl/>
              <w:adjustRightInd/>
              <w:spacing w:line="280" w:lineRule="exact"/>
              <w:ind w:firstLine="180" w:firstLineChars="100"/>
              <w:jc w:val="left"/>
              <w:rPr>
                <w:color w:val="000000"/>
                <w:kern w:val="0"/>
                <w:sz w:val="21"/>
                <w:szCs w:val="21"/>
              </w:rPr>
            </w:pPr>
            <w:r>
              <w:rPr>
                <w:color w:val="000000"/>
                <w:kern w:val="0"/>
                <w:sz w:val="18"/>
                <w:szCs w:val="18"/>
              </w:rPr>
              <w:t>（30分）</w:t>
            </w:r>
            <w:r>
              <w:rPr>
                <w:color w:val="000000"/>
                <w:kern w:val="0"/>
                <w:sz w:val="21"/>
                <w:szCs w:val="21"/>
              </w:rPr>
              <w:t>　</w:t>
            </w: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18"/>
                <w:szCs w:val="18"/>
              </w:rPr>
            </w:pPr>
            <w:r>
              <w:rPr>
                <w:color w:val="000000"/>
                <w:kern w:val="0"/>
                <w:sz w:val="18"/>
                <w:szCs w:val="18"/>
              </w:rPr>
              <w:t>经济效益指标</w:t>
            </w: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认定两品一标产品，产品销售价格上升，农户收益不断上升</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不断上升</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不断上升</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18"/>
                <w:szCs w:val="18"/>
              </w:rPr>
            </w:pPr>
            <w:r>
              <w:rPr>
                <w:color w:val="000000"/>
                <w:kern w:val="0"/>
                <w:sz w:val="18"/>
                <w:szCs w:val="18"/>
              </w:rPr>
              <w:t>社会效益指标</w:t>
            </w: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rPr>
                <w:rFonts w:hint="eastAsia" w:ascii="Times New Roman" w:hAnsi="Times New Roman" w:eastAsia="仿宋_GB2312" w:cs="Times New Roman"/>
                <w:color w:val="000000"/>
                <w:kern w:val="0"/>
                <w:sz w:val="21"/>
                <w:szCs w:val="21"/>
                <w:lang w:val="en-US" w:eastAsia="zh-CN" w:bidi="ar-SA"/>
              </w:rPr>
            </w:pPr>
            <w:r>
              <w:rPr>
                <w:rFonts w:hint="eastAsia"/>
                <w:color w:val="000000"/>
                <w:kern w:val="0"/>
                <w:sz w:val="18"/>
                <w:szCs w:val="18"/>
                <w:lang w:eastAsia="zh-CN"/>
              </w:rPr>
              <w:t>两品一标产品数不断增长，绿色优质农产品供应进一步增长</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ascii="Times New Roman" w:hAnsi="Times New Roman" w:eastAsia="仿宋_GB2312" w:cs="Times New Roman"/>
                <w:color w:val="000000"/>
                <w:kern w:val="0"/>
                <w:sz w:val="18"/>
                <w:szCs w:val="18"/>
                <w:lang w:val="en-US" w:eastAsia="zh-CN" w:bidi="ar-SA"/>
              </w:rPr>
            </w:pPr>
            <w:r>
              <w:rPr>
                <w:rFonts w:hint="eastAsia"/>
                <w:color w:val="000000"/>
                <w:kern w:val="0"/>
                <w:sz w:val="18"/>
                <w:szCs w:val="18"/>
                <w:lang w:eastAsia="zh-CN"/>
              </w:rPr>
              <w:t>不断增长</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ascii="Times New Roman" w:hAnsi="Times New Roman" w:eastAsia="仿宋_GB2312" w:cs="Times New Roman"/>
                <w:color w:val="000000"/>
                <w:kern w:val="0"/>
                <w:sz w:val="18"/>
                <w:szCs w:val="18"/>
                <w:lang w:val="en-US" w:eastAsia="zh-CN" w:bidi="ar-SA"/>
              </w:rPr>
            </w:pPr>
            <w:r>
              <w:rPr>
                <w:rFonts w:hint="eastAsia"/>
                <w:color w:val="000000"/>
                <w:kern w:val="0"/>
                <w:sz w:val="18"/>
                <w:szCs w:val="18"/>
                <w:lang w:eastAsia="zh-CN"/>
              </w:rPr>
              <w:t>不断增长</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color w:val="000000"/>
                <w:kern w:val="0"/>
                <w:sz w:val="21"/>
                <w:szCs w:val="21"/>
                <w:lang w:val="en-US" w:eastAsia="zh-CN" w:bidi="ar-SA"/>
              </w:rPr>
              <w:t>10</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s="Times New Roman"/>
                <w:color w:val="000000"/>
                <w:kern w:val="0"/>
                <w:sz w:val="21"/>
                <w:szCs w:val="21"/>
                <w:lang w:val="en-US" w:eastAsia="zh-CN" w:bidi="ar-SA"/>
              </w:rPr>
              <w:t>10</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18"/>
                <w:szCs w:val="18"/>
              </w:rPr>
            </w:pPr>
            <w:r>
              <w:rPr>
                <w:color w:val="000000"/>
                <w:kern w:val="0"/>
                <w:sz w:val="18"/>
                <w:szCs w:val="18"/>
              </w:rPr>
              <w:t>生态效益指标</w:t>
            </w: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eastAsia="仿宋_GB2312"/>
                <w:color w:val="000000"/>
                <w:kern w:val="0"/>
                <w:sz w:val="21"/>
                <w:szCs w:val="21"/>
                <w:lang w:val="en-US" w:eastAsia="zh-CN"/>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c>
          <w:tcPr>
            <w:tcW w:w="7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18"/>
                <w:szCs w:val="18"/>
              </w:rPr>
            </w:pPr>
            <w:r>
              <w:rPr>
                <w:color w:val="000000"/>
                <w:kern w:val="0"/>
                <w:sz w:val="16"/>
                <w:szCs w:val="16"/>
              </w:rPr>
              <w:t>可持续影响指标</w:t>
            </w: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加强认证产品抽检，确保绿色有机农产品质量稳步提升</w:t>
            </w:r>
          </w:p>
        </w:tc>
        <w:tc>
          <w:tcPr>
            <w:tcW w:w="9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稳步提升</w:t>
            </w:r>
          </w:p>
        </w:tc>
        <w:tc>
          <w:tcPr>
            <w:tcW w:w="9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color w:val="000000"/>
                <w:kern w:val="0"/>
                <w:sz w:val="21"/>
                <w:szCs w:val="21"/>
              </w:rPr>
              <w:t>稳步提升</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29"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08"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18"/>
                <w:szCs w:val="18"/>
              </w:rPr>
              <w:t>满意度指标（10分）</w:t>
            </w:r>
          </w:p>
        </w:tc>
        <w:tc>
          <w:tcPr>
            <w:tcW w:w="140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18"/>
                <w:szCs w:val="18"/>
              </w:rPr>
              <w:t>服务对象满意度指标</w:t>
            </w:r>
          </w:p>
        </w:tc>
        <w:tc>
          <w:tcPr>
            <w:tcW w:w="1908"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rPr>
                <w:rFonts w:ascii="Times New Roman" w:hAnsi="Times New Roman" w:eastAsia="仿宋_GB2312" w:cs="Times New Roman"/>
                <w:color w:val="000000"/>
                <w:kern w:val="0"/>
                <w:sz w:val="21"/>
                <w:szCs w:val="21"/>
                <w:highlight w:val="none"/>
                <w:lang w:val="en-US" w:eastAsia="zh-CN" w:bidi="ar-SA"/>
              </w:rPr>
            </w:pPr>
            <w:r>
              <w:rPr>
                <w:rFonts w:hint="eastAsia"/>
                <w:color w:val="000000"/>
                <w:kern w:val="0"/>
                <w:sz w:val="18"/>
                <w:szCs w:val="18"/>
                <w:highlight w:val="none"/>
              </w:rPr>
              <w:t>实施单位对省绿色食品办公室工作满意度</w:t>
            </w:r>
          </w:p>
        </w:tc>
        <w:tc>
          <w:tcPr>
            <w:tcW w:w="9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ascii="Times New Roman" w:hAnsi="Times New Roman" w:eastAsia="仿宋_GB2312" w:cs="Times New Roman"/>
                <w:color w:val="000000"/>
                <w:kern w:val="0"/>
                <w:sz w:val="21"/>
                <w:szCs w:val="21"/>
                <w:highlight w:val="none"/>
                <w:lang w:val="en-US" w:eastAsia="zh-CN" w:bidi="ar-SA"/>
              </w:rPr>
            </w:pPr>
            <w:r>
              <w:rPr>
                <w:rFonts w:hint="eastAsia"/>
                <w:color w:val="000000"/>
                <w:kern w:val="0"/>
                <w:sz w:val="21"/>
                <w:szCs w:val="21"/>
                <w:highlight w:val="none"/>
                <w:lang w:val="en-US" w:eastAsia="zh-CN"/>
              </w:rPr>
              <w:t>95%</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highlight w:val="none"/>
                <w:lang w:val="en-US" w:eastAsia="zh-CN" w:bidi="ar-SA"/>
              </w:rPr>
            </w:pPr>
            <w:r>
              <w:rPr>
                <w:rFonts w:hint="eastAsia"/>
                <w:color w:val="000000"/>
                <w:kern w:val="0"/>
                <w:sz w:val="21"/>
                <w:szCs w:val="21"/>
                <w:highlight w:val="none"/>
                <w:lang w:val="en-US" w:eastAsia="zh-CN"/>
              </w:rPr>
              <w:t>95%</w:t>
            </w:r>
          </w:p>
        </w:tc>
        <w:tc>
          <w:tcPr>
            <w:tcW w:w="7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olor w:val="000000"/>
                <w:kern w:val="0"/>
                <w:sz w:val="21"/>
                <w:szCs w:val="21"/>
                <w:lang w:val="en-US" w:eastAsia="zh-CN"/>
              </w:rPr>
              <w:t>10</w:t>
            </w:r>
          </w:p>
        </w:tc>
        <w:tc>
          <w:tcPr>
            <w:tcW w:w="70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default" w:ascii="Times New Roman" w:hAnsi="Times New Roman" w:eastAsia="仿宋_GB2312" w:cs="Times New Roman"/>
                <w:color w:val="000000"/>
                <w:kern w:val="0"/>
                <w:sz w:val="21"/>
                <w:szCs w:val="21"/>
                <w:lang w:val="en-US" w:eastAsia="zh-CN" w:bidi="ar-SA"/>
              </w:rPr>
            </w:pPr>
            <w:r>
              <w:rPr>
                <w:rFonts w:hint="eastAsia"/>
                <w:color w:val="000000"/>
                <w:kern w:val="0"/>
                <w:sz w:val="21"/>
                <w:szCs w:val="21"/>
                <w:lang w:val="en-US" w:eastAsia="zh-CN"/>
              </w:rPr>
              <w:t>10</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727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总分</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100</w:t>
            </w:r>
          </w:p>
        </w:tc>
        <w:tc>
          <w:tcPr>
            <w:tcW w:w="70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97</w:t>
            </w:r>
          </w:p>
        </w:tc>
        <w:tc>
          <w:tcPr>
            <w:tcW w:w="15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bl>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p>
      <w:pPr>
        <w:pStyle w:val="3"/>
        <w:ind w:firstLine="0" w:firstLineChars="0"/>
        <w:rPr>
          <w:rFonts w:hint="eastAsia"/>
          <w:lang w:val="en-US" w:eastAsia="zh-CN"/>
        </w:rPr>
      </w:pPr>
      <w:r>
        <w:t>附件</w:t>
      </w:r>
      <w:r>
        <w:rPr>
          <w:rFonts w:hint="eastAsia"/>
          <w:lang w:val="en-US" w:eastAsia="zh-CN"/>
        </w:rPr>
        <w:t>3</w:t>
      </w:r>
    </w:p>
    <w:p>
      <w:pPr>
        <w:pStyle w:val="2"/>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386"/>
        <w:gridCol w:w="1845"/>
        <w:gridCol w:w="1095"/>
        <w:gridCol w:w="870"/>
        <w:gridCol w:w="690"/>
        <w:gridCol w:w="743"/>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textAlignment w:val="center"/>
              <w:rPr>
                <w:rFonts w:hint="eastAsia" w:eastAsia="仿宋_GB2312"/>
                <w:color w:val="000000"/>
                <w:kern w:val="0"/>
                <w:sz w:val="21"/>
                <w:szCs w:val="21"/>
                <w:lang w:eastAsia="zh-CN"/>
              </w:rPr>
            </w:pPr>
            <w:r>
              <w:rPr>
                <w:rFonts w:hint="eastAsia"/>
                <w:color w:val="000000"/>
                <w:kern w:val="0"/>
                <w:sz w:val="21"/>
                <w:szCs w:val="21"/>
                <w:lang w:eastAsia="zh-CN"/>
              </w:rPr>
              <w:t>现代农业发展专项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540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495"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ascii="Times New Roman" w:hAnsi="Times New Roman" w:eastAsia="仿宋_GB2312" w:cs="Times New Roman"/>
                <w:color w:val="000000"/>
                <w:sz w:val="20"/>
                <w:szCs w:val="20"/>
                <w:lang w:val="en-US" w:eastAsia="zh-CN"/>
              </w:rPr>
              <w:t>湖南省绿色食品办公室</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46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87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69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74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46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106.16</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rPr>
            </w:pPr>
            <w:r>
              <w:rPr>
                <w:rFonts w:hint="eastAsia"/>
                <w:color w:val="000000"/>
                <w:kern w:val="0"/>
                <w:sz w:val="21"/>
                <w:szCs w:val="21"/>
                <w:lang w:val="en-US" w:eastAsia="zh-CN"/>
              </w:rPr>
              <w:t>106.16</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106.16</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lang w:val="en-US" w:eastAsia="zh-CN"/>
              </w:rPr>
              <w:t>100%</w:t>
            </w:r>
            <w:r>
              <w:rPr>
                <w:color w:val="000000"/>
                <w:kern w:val="0"/>
                <w:sz w:val="21"/>
                <w:szCs w:val="21"/>
              </w:rPr>
              <w:t>　</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rFonts w:hint="eastAsia"/>
                <w:color w:val="000000"/>
                <w:kern w:val="0"/>
                <w:sz w:val="21"/>
                <w:szCs w:val="21"/>
                <w:lang w:val="en-US" w:eastAsia="zh-CN"/>
              </w:rPr>
              <w:t>10</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46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46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6.16</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6.16</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6.16</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46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540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3365"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5406"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eastAsia="仿宋_GB2312"/>
                <w:color w:val="000000"/>
                <w:kern w:val="0"/>
                <w:sz w:val="21"/>
                <w:szCs w:val="21"/>
                <w:lang w:val="en-US" w:eastAsia="zh-CN" w:bidi="ar-SA"/>
              </w:rPr>
            </w:pPr>
            <w:r>
              <w:rPr>
                <w:rFonts w:hint="eastAsia"/>
                <w:color w:val="000000"/>
                <w:kern w:val="0"/>
                <w:sz w:val="21"/>
                <w:szCs w:val="21"/>
              </w:rPr>
              <w:t>强化质量监管，全省绿色食品“双随机一公开”颁证后跟踪检查和产品质量监督抽检（140-160个产品），保证认证产品抽检合格率在9</w:t>
            </w:r>
            <w:r>
              <w:rPr>
                <w:rFonts w:hint="eastAsia"/>
                <w:color w:val="000000"/>
                <w:kern w:val="0"/>
                <w:sz w:val="21"/>
                <w:szCs w:val="21"/>
                <w:lang w:val="en-US" w:eastAsia="zh-CN"/>
              </w:rPr>
              <w:t>5</w:t>
            </w:r>
            <w:r>
              <w:rPr>
                <w:rFonts w:hint="eastAsia"/>
                <w:color w:val="000000"/>
                <w:kern w:val="0"/>
                <w:sz w:val="21"/>
                <w:szCs w:val="21"/>
              </w:rPr>
              <w:t>%以上；开展</w:t>
            </w:r>
            <w:r>
              <w:rPr>
                <w:rFonts w:hint="eastAsia"/>
                <w:color w:val="000000"/>
                <w:kern w:val="0"/>
                <w:sz w:val="21"/>
                <w:szCs w:val="21"/>
                <w:lang w:val="en-US" w:eastAsia="zh-CN"/>
              </w:rPr>
              <w:t>2</w:t>
            </w:r>
            <w:r>
              <w:rPr>
                <w:rFonts w:hint="eastAsia"/>
                <w:color w:val="000000"/>
                <w:kern w:val="0"/>
                <w:sz w:val="21"/>
                <w:szCs w:val="21"/>
              </w:rPr>
              <w:t>个以上特色农产品品质评价。</w:t>
            </w:r>
          </w:p>
        </w:tc>
        <w:tc>
          <w:tcPr>
            <w:tcW w:w="336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rPr>
                <w:rFonts w:eastAsia="仿宋_GB2312"/>
                <w:color w:val="000000"/>
                <w:kern w:val="0"/>
                <w:sz w:val="21"/>
                <w:szCs w:val="21"/>
                <w:lang w:val="en-US" w:eastAsia="zh-CN" w:bidi="ar-SA"/>
              </w:rPr>
            </w:pPr>
            <w:r>
              <w:rPr>
                <w:rFonts w:hint="eastAsia"/>
                <w:color w:val="000000"/>
                <w:kern w:val="0"/>
                <w:sz w:val="21"/>
                <w:szCs w:val="21"/>
              </w:rPr>
              <w:t>强化质量监管，全省绿色食品“双随机一公开”颁证后跟踪检查和产品质量监督抽检</w:t>
            </w:r>
            <w:r>
              <w:rPr>
                <w:rFonts w:hint="eastAsia"/>
                <w:color w:val="000000"/>
                <w:kern w:val="0"/>
                <w:sz w:val="21"/>
                <w:szCs w:val="21"/>
                <w:lang w:val="en-US" w:eastAsia="zh-CN"/>
              </w:rPr>
              <w:t>356</w:t>
            </w:r>
            <w:r>
              <w:rPr>
                <w:rFonts w:hint="eastAsia"/>
                <w:color w:val="000000"/>
                <w:kern w:val="0"/>
                <w:sz w:val="21"/>
                <w:szCs w:val="21"/>
              </w:rPr>
              <w:t>个产品，认证产品抽检合格率在9</w:t>
            </w:r>
            <w:r>
              <w:rPr>
                <w:rFonts w:hint="eastAsia"/>
                <w:color w:val="000000"/>
                <w:kern w:val="0"/>
                <w:sz w:val="21"/>
                <w:szCs w:val="21"/>
                <w:lang w:val="en-US" w:eastAsia="zh-CN"/>
              </w:rPr>
              <w:t>3.25</w:t>
            </w:r>
            <w:r>
              <w:rPr>
                <w:rFonts w:hint="eastAsia"/>
                <w:color w:val="000000"/>
                <w:kern w:val="0"/>
                <w:sz w:val="21"/>
                <w:szCs w:val="21"/>
              </w:rPr>
              <w:t>%；开展</w:t>
            </w:r>
            <w:r>
              <w:rPr>
                <w:rFonts w:hint="eastAsia"/>
                <w:color w:val="000000"/>
                <w:kern w:val="0"/>
                <w:sz w:val="21"/>
                <w:szCs w:val="21"/>
                <w:lang w:val="en-US" w:eastAsia="zh-CN"/>
              </w:rPr>
              <w:t>2</w:t>
            </w:r>
            <w:r>
              <w:rPr>
                <w:rFonts w:hint="eastAsia"/>
                <w:color w:val="000000"/>
                <w:kern w:val="0"/>
                <w:sz w:val="21"/>
                <w:szCs w:val="21"/>
              </w:rPr>
              <w:t>个以上特色农产品品质评价。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产出指标</w:t>
            </w:r>
          </w:p>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(50分)</w:t>
            </w:r>
          </w:p>
        </w:tc>
        <w:tc>
          <w:tcPr>
            <w:tcW w:w="1386"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数量指标</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eastAsia"/>
                <w:color w:val="000000"/>
                <w:kern w:val="0"/>
                <w:sz w:val="21"/>
                <w:szCs w:val="21"/>
                <w:lang w:val="en-US" w:eastAsia="zh-CN"/>
              </w:rPr>
            </w:pPr>
            <w:r>
              <w:rPr>
                <w:rFonts w:hint="eastAsia"/>
                <w:color w:val="000000"/>
                <w:kern w:val="0"/>
                <w:sz w:val="21"/>
                <w:szCs w:val="21"/>
                <w:lang w:eastAsia="zh-CN"/>
              </w:rPr>
              <w:t>认证产品抽检</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140个</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356</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386"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eastAsia"/>
                <w:color w:val="000000"/>
                <w:kern w:val="0"/>
                <w:sz w:val="21"/>
                <w:szCs w:val="21"/>
                <w:lang w:val="en-US" w:eastAsia="zh-CN"/>
              </w:rPr>
            </w:pPr>
            <w:r>
              <w:rPr>
                <w:rFonts w:hint="eastAsia"/>
                <w:color w:val="000000"/>
                <w:kern w:val="0"/>
                <w:sz w:val="21"/>
                <w:szCs w:val="21"/>
                <w:lang w:eastAsia="zh-CN"/>
              </w:rPr>
              <w:t>特色农产品品质评价</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2个</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val="en-US" w:eastAsia="zh-CN"/>
              </w:rPr>
            </w:pPr>
            <w:r>
              <w:rPr>
                <w:rFonts w:hint="eastAsia"/>
                <w:color w:val="000000"/>
                <w:kern w:val="0"/>
                <w:sz w:val="21"/>
                <w:szCs w:val="21"/>
                <w:lang w:val="en-US" w:eastAsia="zh-CN"/>
              </w:rPr>
              <w:t>2</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质量指标</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eastAsia"/>
                <w:color w:val="000000"/>
                <w:kern w:val="0"/>
                <w:sz w:val="21"/>
                <w:szCs w:val="21"/>
                <w:lang w:val="en-US" w:eastAsia="zh-CN"/>
              </w:rPr>
            </w:pPr>
            <w:r>
              <w:rPr>
                <w:rFonts w:hint="eastAsia"/>
                <w:color w:val="000000"/>
                <w:kern w:val="0"/>
                <w:sz w:val="21"/>
                <w:szCs w:val="21"/>
                <w:lang w:eastAsia="zh-CN"/>
              </w:rPr>
              <w:t>产品抽检合格率</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eastAsia="zh-CN"/>
              </w:rPr>
              <w:t>9</w:t>
            </w:r>
            <w:r>
              <w:rPr>
                <w:rFonts w:hint="eastAsia"/>
                <w:color w:val="000000"/>
                <w:kern w:val="0"/>
                <w:sz w:val="21"/>
                <w:szCs w:val="21"/>
                <w:lang w:val="en-US" w:eastAsia="zh-CN"/>
              </w:rPr>
              <w:t>5</w:t>
            </w:r>
            <w:r>
              <w:rPr>
                <w:rFonts w:hint="eastAsia"/>
                <w:color w:val="000000"/>
                <w:kern w:val="0"/>
                <w:sz w:val="21"/>
                <w:szCs w:val="21"/>
                <w:lang w:eastAsia="zh-CN"/>
              </w:rPr>
              <w:t>%</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93.25%</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color w:val="000000"/>
                <w:kern w:val="0"/>
                <w:sz w:val="21"/>
                <w:szCs w:val="21"/>
                <w:lang w:val="en-US" w:eastAsia="zh-CN"/>
              </w:rPr>
            </w:pPr>
            <w:r>
              <w:rPr>
                <w:rFonts w:hint="eastAsia" w:cs="Times New Roman"/>
                <w:b w:val="0"/>
                <w:bCs w:val="0"/>
                <w:color w:val="000000"/>
                <w:sz w:val="20"/>
                <w:szCs w:val="20"/>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color w:val="000000"/>
                <w:kern w:val="0"/>
                <w:sz w:val="21"/>
                <w:szCs w:val="21"/>
                <w:lang w:val="en-US" w:eastAsia="zh-CN"/>
              </w:rPr>
            </w:pPr>
            <w:r>
              <w:rPr>
                <w:rFonts w:hint="eastAsia" w:cs="Times New Roman"/>
                <w:b w:val="0"/>
                <w:bCs w:val="0"/>
                <w:color w:val="000000"/>
                <w:sz w:val="20"/>
                <w:szCs w:val="20"/>
                <w:lang w:val="en-US" w:eastAsia="zh-CN"/>
              </w:rPr>
              <w:t>8</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时效指标</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line="225" w:lineRule="exact"/>
              <w:ind w:left="0" w:leftChars="0" w:firstLine="0" w:firstLineChars="0"/>
              <w:rPr>
                <w:rFonts w:hint="default"/>
                <w:color w:val="000000"/>
                <w:kern w:val="0"/>
                <w:sz w:val="21"/>
                <w:szCs w:val="21"/>
                <w:lang w:val="en-US" w:eastAsia="zh-CN"/>
              </w:rPr>
            </w:pPr>
            <w:r>
              <w:rPr>
                <w:rFonts w:hint="eastAsia"/>
                <w:color w:val="000000"/>
                <w:kern w:val="0"/>
                <w:sz w:val="21"/>
                <w:szCs w:val="21"/>
              </w:rPr>
              <w:t>按</w:t>
            </w:r>
            <w:r>
              <w:rPr>
                <w:rFonts w:hint="eastAsia"/>
                <w:color w:val="000000"/>
                <w:kern w:val="0"/>
                <w:sz w:val="21"/>
                <w:szCs w:val="21"/>
                <w:lang w:eastAsia="zh-CN"/>
              </w:rPr>
              <w:t>时</w:t>
            </w:r>
            <w:r>
              <w:rPr>
                <w:rFonts w:hint="eastAsia"/>
                <w:color w:val="000000"/>
                <w:kern w:val="0"/>
                <w:sz w:val="21"/>
                <w:szCs w:val="21"/>
              </w:rPr>
              <w:t>完成</w:t>
            </w:r>
            <w:r>
              <w:rPr>
                <w:rFonts w:hint="eastAsia"/>
                <w:color w:val="000000"/>
                <w:kern w:val="0"/>
                <w:sz w:val="21"/>
                <w:szCs w:val="21"/>
                <w:lang w:eastAsia="zh-CN"/>
              </w:rPr>
              <w:t>任务</w:t>
            </w:r>
            <w:r>
              <w:rPr>
                <w:rFonts w:hint="eastAsia"/>
                <w:color w:val="000000"/>
                <w:kern w:val="0"/>
                <w:sz w:val="21"/>
                <w:szCs w:val="21"/>
              </w:rPr>
              <w:t>工作</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pacing w:beforeLines="0" w:afterLines="0" w:line="225" w:lineRule="exact"/>
              <w:ind w:left="0" w:leftChars="0" w:firstLine="0" w:firstLineChars="0"/>
              <w:jc w:val="center"/>
              <w:rPr>
                <w:rFonts w:hint="default"/>
                <w:color w:val="000000"/>
                <w:kern w:val="0"/>
                <w:sz w:val="21"/>
                <w:szCs w:val="21"/>
                <w:lang w:val="en-US" w:eastAsia="zh-CN"/>
              </w:rPr>
            </w:pPr>
            <w:r>
              <w:rPr>
                <w:rFonts w:hint="eastAsia"/>
                <w:color w:val="auto"/>
                <w:kern w:val="0"/>
                <w:sz w:val="21"/>
                <w:szCs w:val="21"/>
                <w:highlight w:val="none"/>
                <w:lang w:val="en-US" w:eastAsia="zh-CN"/>
              </w:rPr>
              <w:t>2024年完成</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left="0" w:leftChars="0" w:firstLine="0" w:firstLineChars="0"/>
              <w:jc w:val="center"/>
              <w:rPr>
                <w:rFonts w:hint="default"/>
                <w:color w:val="000000"/>
                <w:kern w:val="0"/>
                <w:sz w:val="21"/>
                <w:szCs w:val="21"/>
                <w:lang w:val="en-US" w:eastAsia="zh-CN"/>
              </w:rPr>
            </w:pPr>
            <w:r>
              <w:rPr>
                <w:rFonts w:hint="eastAsia"/>
                <w:color w:val="000000"/>
                <w:kern w:val="0"/>
                <w:sz w:val="21"/>
                <w:szCs w:val="21"/>
              </w:rPr>
              <w:t>已完成</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成本指标</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rPr>
                <w:rFonts w:hint="eastAsia"/>
                <w:color w:val="000000"/>
                <w:kern w:val="0"/>
                <w:sz w:val="21"/>
                <w:szCs w:val="21"/>
                <w:lang w:val="en-US" w:eastAsia="zh-CN"/>
              </w:rPr>
            </w:pPr>
            <w:r>
              <w:rPr>
                <w:rFonts w:hint="eastAsia"/>
                <w:color w:val="000000"/>
                <w:sz w:val="20"/>
                <w:szCs w:val="20"/>
              </w:rPr>
              <w:t>预算控制</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eastAsia"/>
                <w:color w:val="000000"/>
                <w:kern w:val="0"/>
                <w:sz w:val="21"/>
                <w:szCs w:val="21"/>
                <w:lang w:val="en-US" w:eastAsia="zh-CN"/>
              </w:rPr>
            </w:pPr>
            <w:r>
              <w:rPr>
                <w:rFonts w:hint="eastAsia"/>
                <w:color w:val="000000"/>
                <w:sz w:val="20"/>
                <w:szCs w:val="20"/>
              </w:rPr>
              <w:t>按预算控制进行</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color w:val="000000"/>
                <w:kern w:val="0"/>
                <w:sz w:val="21"/>
                <w:szCs w:val="21"/>
                <w:lang w:eastAsia="zh-CN"/>
              </w:rPr>
            </w:pPr>
            <w:r>
              <w:rPr>
                <w:rFonts w:hint="eastAsia"/>
                <w:color w:val="000000"/>
                <w:kern w:val="0"/>
                <w:sz w:val="21"/>
                <w:szCs w:val="21"/>
              </w:rPr>
              <w:t>控制在预算内</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效益指标</w:t>
            </w:r>
          </w:p>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（30分）</w:t>
            </w: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经济效益指标</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rPr>
                <w:rFonts w:hint="eastAsia"/>
                <w:color w:val="000000"/>
                <w:kern w:val="0"/>
                <w:sz w:val="21"/>
                <w:szCs w:val="21"/>
                <w:lang w:val="en-US" w:eastAsia="zh-CN"/>
              </w:rPr>
            </w:pPr>
            <w:r>
              <w:rPr>
                <w:rFonts w:hint="eastAsia"/>
                <w:color w:val="000000"/>
                <w:kern w:val="0"/>
                <w:sz w:val="21"/>
                <w:szCs w:val="21"/>
              </w:rPr>
              <w:t>认定两品一标产品，产品销售价格上升，农户收益不断上升</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eastAsia"/>
                <w:color w:val="000000"/>
                <w:kern w:val="0"/>
                <w:sz w:val="21"/>
                <w:szCs w:val="21"/>
                <w:lang w:val="en-US" w:eastAsia="zh-CN"/>
              </w:rPr>
            </w:pPr>
            <w:r>
              <w:rPr>
                <w:rFonts w:hint="eastAsia"/>
                <w:color w:val="000000"/>
                <w:kern w:val="0"/>
                <w:sz w:val="21"/>
                <w:szCs w:val="21"/>
              </w:rPr>
              <w:t>不断上升</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color w:val="000000"/>
                <w:kern w:val="0"/>
                <w:sz w:val="21"/>
                <w:szCs w:val="21"/>
                <w:lang w:eastAsia="zh-CN"/>
              </w:rPr>
            </w:pPr>
            <w:r>
              <w:rPr>
                <w:rFonts w:hint="eastAsia"/>
                <w:color w:val="000000"/>
                <w:kern w:val="0"/>
                <w:sz w:val="21"/>
                <w:szCs w:val="21"/>
              </w:rPr>
              <w:t>不断上升</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社会效益指标</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left"/>
              <w:rPr>
                <w:rFonts w:hint="eastAsia"/>
                <w:color w:val="000000"/>
                <w:kern w:val="0"/>
                <w:sz w:val="21"/>
                <w:szCs w:val="21"/>
                <w:lang w:val="en-US" w:eastAsia="zh-CN"/>
              </w:rPr>
            </w:pPr>
            <w:r>
              <w:rPr>
                <w:rFonts w:hint="eastAsia"/>
                <w:color w:val="000000"/>
                <w:kern w:val="0"/>
                <w:sz w:val="18"/>
                <w:szCs w:val="18"/>
                <w:lang w:eastAsia="zh-CN"/>
              </w:rPr>
              <w:t>两品一标产品数不断增长，绿色优质农产品供应进一步增长</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center"/>
              <w:rPr>
                <w:rFonts w:hint="eastAsia"/>
                <w:color w:val="000000"/>
                <w:kern w:val="0"/>
                <w:sz w:val="21"/>
                <w:szCs w:val="21"/>
                <w:lang w:val="en-US" w:eastAsia="zh-CN"/>
              </w:rPr>
            </w:pPr>
            <w:r>
              <w:rPr>
                <w:rFonts w:hint="eastAsia"/>
                <w:color w:val="000000"/>
                <w:kern w:val="0"/>
                <w:sz w:val="18"/>
                <w:szCs w:val="18"/>
                <w:lang w:eastAsia="zh-CN"/>
              </w:rPr>
              <w:t>不断增长</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color w:val="000000"/>
                <w:kern w:val="0"/>
                <w:sz w:val="21"/>
                <w:szCs w:val="21"/>
                <w:lang w:eastAsia="zh-CN"/>
              </w:rPr>
            </w:pPr>
            <w:r>
              <w:rPr>
                <w:rFonts w:hint="eastAsia"/>
                <w:color w:val="000000"/>
                <w:kern w:val="0"/>
                <w:sz w:val="18"/>
                <w:szCs w:val="18"/>
                <w:lang w:eastAsia="zh-CN"/>
              </w:rPr>
              <w:t>不断增长</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生态效益指标</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可持续影响指标</w:t>
            </w:r>
          </w:p>
        </w:tc>
        <w:tc>
          <w:tcPr>
            <w:tcW w:w="184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color w:val="000000"/>
                <w:kern w:val="0"/>
                <w:sz w:val="21"/>
                <w:szCs w:val="21"/>
                <w:lang w:eastAsia="zh-CN"/>
              </w:rPr>
            </w:pPr>
            <w:r>
              <w:rPr>
                <w:rFonts w:hint="eastAsia"/>
                <w:color w:val="000000"/>
                <w:kern w:val="0"/>
                <w:sz w:val="21"/>
                <w:szCs w:val="21"/>
              </w:rPr>
              <w:t>加强认证产品抽检，确保绿色有机农产品质量稳步提升</w:t>
            </w:r>
          </w:p>
        </w:tc>
        <w:tc>
          <w:tcPr>
            <w:tcW w:w="109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color w:val="000000"/>
                <w:kern w:val="0"/>
                <w:sz w:val="21"/>
                <w:szCs w:val="21"/>
                <w:lang w:eastAsia="zh-CN"/>
              </w:rPr>
            </w:pPr>
            <w:r>
              <w:rPr>
                <w:rFonts w:hint="eastAsia"/>
                <w:color w:val="000000"/>
                <w:kern w:val="0"/>
                <w:sz w:val="21"/>
                <w:szCs w:val="21"/>
              </w:rPr>
              <w:t>稳步提升</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color w:val="000000"/>
                <w:kern w:val="0"/>
                <w:sz w:val="21"/>
                <w:szCs w:val="21"/>
                <w:lang w:eastAsia="zh-CN"/>
              </w:rPr>
            </w:pPr>
            <w:r>
              <w:rPr>
                <w:rFonts w:hint="eastAsia"/>
                <w:color w:val="000000"/>
                <w:kern w:val="0"/>
                <w:sz w:val="21"/>
                <w:szCs w:val="21"/>
              </w:rPr>
              <w:t>稳步提升</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满意度</w:t>
            </w:r>
          </w:p>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指标</w:t>
            </w:r>
          </w:p>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（10分）</w:t>
            </w:r>
          </w:p>
        </w:tc>
        <w:tc>
          <w:tcPr>
            <w:tcW w:w="1386"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服务对象满意度指标</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eastAsia"/>
                <w:color w:val="000000"/>
                <w:kern w:val="0"/>
                <w:sz w:val="21"/>
                <w:szCs w:val="21"/>
                <w:lang w:val="en-US" w:eastAsia="zh-CN"/>
              </w:rPr>
            </w:pPr>
            <w:r>
              <w:rPr>
                <w:rFonts w:hint="eastAsia"/>
                <w:color w:val="000000"/>
                <w:kern w:val="0"/>
                <w:sz w:val="21"/>
                <w:szCs w:val="21"/>
                <w:lang w:eastAsia="zh-CN"/>
              </w:rPr>
              <w:t>实施单位对省绿色食品办公室工作满意度</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spacing w:line="280" w:lineRule="exact"/>
              <w:ind w:firstLine="0" w:firstLineChars="0"/>
              <w:jc w:val="both"/>
              <w:rPr>
                <w:rFonts w:hint="eastAsia"/>
                <w:color w:val="000000"/>
                <w:kern w:val="0"/>
                <w:sz w:val="21"/>
                <w:szCs w:val="21"/>
                <w:lang w:val="en-US" w:eastAsia="zh-CN"/>
              </w:rPr>
            </w:pPr>
            <w:r>
              <w:rPr>
                <w:rFonts w:hint="eastAsia"/>
                <w:color w:val="000000"/>
                <w:kern w:val="0"/>
                <w:sz w:val="21"/>
                <w:szCs w:val="21"/>
                <w:lang w:val="en-US" w:eastAsia="zh-CN"/>
              </w:rPr>
              <w:t>95%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r>
              <w:rPr>
                <w:rFonts w:hint="eastAsia"/>
                <w:color w:val="000000"/>
                <w:kern w:val="0"/>
                <w:sz w:val="21"/>
                <w:szCs w:val="21"/>
                <w:lang w:val="en-US" w:eastAsia="zh-CN"/>
              </w:rPr>
              <w:t>95%</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val="en-US" w:eastAsia="zh-CN"/>
              </w:rPr>
              <w:t>10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val="en-US" w:eastAsia="zh-CN"/>
              </w:rPr>
              <w:t>10</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7356"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总分</w:t>
            </w:r>
          </w:p>
        </w:tc>
        <w:tc>
          <w:tcPr>
            <w:tcW w:w="6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100</w:t>
            </w:r>
          </w:p>
        </w:tc>
        <w:tc>
          <w:tcPr>
            <w:tcW w:w="74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default"/>
                <w:color w:val="000000"/>
                <w:kern w:val="0"/>
                <w:sz w:val="21"/>
                <w:szCs w:val="21"/>
                <w:lang w:val="en-US" w:eastAsia="zh-CN"/>
              </w:rPr>
            </w:pPr>
            <w:r>
              <w:rPr>
                <w:rFonts w:hint="eastAsia"/>
                <w:color w:val="000000"/>
                <w:kern w:val="0"/>
                <w:sz w:val="21"/>
                <w:szCs w:val="21"/>
                <w:lang w:eastAsia="zh-CN"/>
              </w:rPr>
              <w:t>　</w:t>
            </w:r>
            <w:r>
              <w:rPr>
                <w:rFonts w:hint="eastAsia"/>
                <w:color w:val="000000"/>
                <w:kern w:val="0"/>
                <w:sz w:val="21"/>
                <w:szCs w:val="21"/>
                <w:lang w:val="en-US" w:eastAsia="zh-CN"/>
              </w:rPr>
              <w:t>98</w:t>
            </w:r>
          </w:p>
        </w:tc>
        <w:tc>
          <w:tcPr>
            <w:tcW w:w="106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both"/>
              <w:rPr>
                <w:rFonts w:hint="eastAsia"/>
                <w:color w:val="000000"/>
                <w:kern w:val="0"/>
                <w:sz w:val="21"/>
                <w:szCs w:val="21"/>
                <w:lang w:eastAsia="zh-CN"/>
              </w:rPr>
            </w:pPr>
            <w:r>
              <w:rPr>
                <w:rFonts w:hint="eastAsia"/>
                <w:color w:val="000000"/>
                <w:kern w:val="0"/>
                <w:sz w:val="21"/>
                <w:szCs w:val="21"/>
                <w:lang w:eastAsia="zh-CN"/>
              </w:rPr>
              <w:t>　</w:t>
            </w:r>
          </w:p>
        </w:tc>
      </w:tr>
    </w:tbl>
    <w:p>
      <w:pPr>
        <w:widowControl/>
        <w:adjustRightInd/>
        <w:spacing w:line="280" w:lineRule="exact"/>
        <w:ind w:firstLine="0" w:firstLineChars="0"/>
        <w:jc w:val="both"/>
        <w:rPr>
          <w:rFonts w:hint="eastAsia"/>
          <w:color w:val="000000"/>
          <w:kern w:val="0"/>
          <w:sz w:val="21"/>
          <w:szCs w:val="21"/>
          <w:lang w:eastAsia="zh-CN"/>
        </w:rPr>
      </w:pPr>
    </w:p>
    <w:p/>
    <w:p>
      <w:pPr>
        <w:widowControl/>
        <w:spacing w:after="0" w:afterLines="0" w:line="400" w:lineRule="exact"/>
        <w:jc w:val="left"/>
        <w:rPr>
          <w:rFonts w:hint="eastAsia" w:ascii="方正仿宋_GB2312" w:hAnsi="方正仿宋_GB2312" w:eastAsia="方正仿宋_GB2312" w:cs="方正仿宋_GB2312"/>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华文仿宋">
    <w:panose1 w:val="02010600040101010101"/>
    <w:charset w:val="86"/>
    <w:family w:val="auto"/>
    <w:pitch w:val="default"/>
    <w:sig w:usb0="00000287" w:usb1="080F0000" w:usb2="00000000" w:usb3="00000000" w:csb0="0004009F" w:csb1="DFD70000"/>
  </w:font>
  <w:font w:name="方正公文黑体">
    <w:altName w:val="黑体"/>
    <w:panose1 w:val="00000000000000000000"/>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1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845ED7"/>
    <w:multiLevelType w:val="singleLevel"/>
    <w:tmpl w:val="E3845ED7"/>
    <w:lvl w:ilvl="0" w:tentative="0">
      <w:start w:val="2"/>
      <w:numFmt w:val="chineseCounting"/>
      <w:suff w:val="nothing"/>
      <w:lvlText w:val="（%1）"/>
      <w:lvlJc w:val="left"/>
      <w:rPr>
        <w:rFonts w:hint="eastAsia"/>
      </w:rPr>
    </w:lvl>
  </w:abstractNum>
  <w:abstractNum w:abstractNumId="1">
    <w:nsid w:val="EA07F248"/>
    <w:multiLevelType w:val="singleLevel"/>
    <w:tmpl w:val="EA07F248"/>
    <w:lvl w:ilvl="0" w:tentative="0">
      <w:start w:val="3"/>
      <w:numFmt w:val="chineseCounting"/>
      <w:suff w:val="nothing"/>
      <w:lvlText w:val="%1、"/>
      <w:lvlJc w:val="left"/>
      <w:rPr>
        <w:rFonts w:hint="eastAsia"/>
      </w:rPr>
    </w:lvl>
  </w:abstractNum>
  <w:abstractNum w:abstractNumId="2">
    <w:nsid w:val="1A0D8D1B"/>
    <w:multiLevelType w:val="singleLevel"/>
    <w:tmpl w:val="1A0D8D1B"/>
    <w:lvl w:ilvl="0" w:tentative="0">
      <w:start w:val="7"/>
      <w:numFmt w:val="chineseCounting"/>
      <w:suff w:val="nothing"/>
      <w:lvlText w:val="%1、"/>
      <w:lvlJc w:val="left"/>
      <w:rPr>
        <w:rFonts w:hint="eastAsia"/>
      </w:rPr>
    </w:lvl>
  </w:abstractNum>
  <w:abstractNum w:abstractNumId="3">
    <w:nsid w:val="33F5C2E5"/>
    <w:multiLevelType w:val="singleLevel"/>
    <w:tmpl w:val="33F5C2E5"/>
    <w:lvl w:ilvl="0" w:tentative="0">
      <w:start w:val="9"/>
      <w:numFmt w:val="chineseCounting"/>
      <w:suff w:val="nothing"/>
      <w:lvlText w:val="%1、"/>
      <w:lvlJc w:val="left"/>
      <w:rPr>
        <w:rFonts w:hint="eastAsia"/>
      </w:rPr>
    </w:lvl>
  </w:abstractNum>
  <w:abstractNum w:abstractNumId="4">
    <w:nsid w:val="398A7EB2"/>
    <w:multiLevelType w:val="singleLevel"/>
    <w:tmpl w:val="398A7EB2"/>
    <w:lvl w:ilvl="0" w:tentative="0">
      <w:start w:val="5"/>
      <w:numFmt w:val="decimal"/>
      <w:suff w:val="nothing"/>
      <w:lvlText w:val="%1、"/>
      <w:lvlJc w:val="left"/>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977AD5"/>
    <w:rsid w:val="0AD314AF"/>
    <w:rsid w:val="197407C1"/>
    <w:rsid w:val="1D97DEFF"/>
    <w:rsid w:val="1DCE152C"/>
    <w:rsid w:val="1DFF72E5"/>
    <w:rsid w:val="1EFC6F07"/>
    <w:rsid w:val="2FDF85B8"/>
    <w:rsid w:val="2FFFEE04"/>
    <w:rsid w:val="33B359B7"/>
    <w:rsid w:val="34DF85B0"/>
    <w:rsid w:val="35363263"/>
    <w:rsid w:val="3B8F36BC"/>
    <w:rsid w:val="479010F6"/>
    <w:rsid w:val="491FF225"/>
    <w:rsid w:val="4FFD214C"/>
    <w:rsid w:val="5124410A"/>
    <w:rsid w:val="56F41E7D"/>
    <w:rsid w:val="5777D4F5"/>
    <w:rsid w:val="59DD8326"/>
    <w:rsid w:val="5DEF592A"/>
    <w:rsid w:val="5FC6BB1E"/>
    <w:rsid w:val="5FF720F1"/>
    <w:rsid w:val="62CC6568"/>
    <w:rsid w:val="67FF5C0B"/>
    <w:rsid w:val="6EFC0924"/>
    <w:rsid w:val="6F264BE5"/>
    <w:rsid w:val="6F8F641A"/>
    <w:rsid w:val="6FB74722"/>
    <w:rsid w:val="6FEF8B7E"/>
    <w:rsid w:val="71A6591B"/>
    <w:rsid w:val="737D59BA"/>
    <w:rsid w:val="7458070C"/>
    <w:rsid w:val="77C37683"/>
    <w:rsid w:val="787B0C9C"/>
    <w:rsid w:val="79D19834"/>
    <w:rsid w:val="79FF515B"/>
    <w:rsid w:val="7D4B6192"/>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EF6FE15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700" w:lineRule="exact"/>
      <w:ind w:firstLine="0" w:firstLineChars="0"/>
      <w:jc w:val="center"/>
      <w:outlineLvl w:val="0"/>
    </w:pPr>
    <w:rPr>
      <w:rFonts w:ascii="Times New Roman" w:hAnsi="Times New Roman" w:eastAsia="微软雅黑"/>
      <w:bCs/>
      <w:kern w:val="44"/>
      <w:sz w:val="44"/>
      <w:szCs w:val="44"/>
    </w:rPr>
  </w:style>
  <w:style w:type="paragraph" w:styleId="3">
    <w:name w:val="heading 2"/>
    <w:basedOn w:val="1"/>
    <w:next w:val="1"/>
    <w:qFormat/>
    <w:uiPriority w:val="0"/>
    <w:pPr>
      <w:outlineLvl w:val="1"/>
    </w:pPr>
    <w:rPr>
      <w:rFonts w:ascii="Times New Roman" w:hAnsi="Times New Roman" w:eastAsia="黑体"/>
      <w:bCs/>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9"/>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paragraph" w:styleId="11">
    <w:name w:val="Normal (Web)"/>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页眉 Char"/>
    <w:basedOn w:val="14"/>
    <w:link w:val="9"/>
    <w:qFormat/>
    <w:uiPriority w:val="99"/>
    <w:rPr>
      <w:sz w:val="18"/>
      <w:szCs w:val="18"/>
    </w:rPr>
  </w:style>
  <w:style w:type="character" w:customStyle="1" w:styleId="16">
    <w:name w:val="页脚 Char"/>
    <w:basedOn w:val="14"/>
    <w:link w:val="8"/>
    <w:qFormat/>
    <w:uiPriority w:val="99"/>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4"/>
    <w:link w:val="7"/>
    <w:semiHidden/>
    <w:qFormat/>
    <w:uiPriority w:val="99"/>
    <w:rPr>
      <w:sz w:val="18"/>
      <w:szCs w:val="18"/>
    </w:rPr>
  </w:style>
  <w:style w:type="character" w:customStyle="1" w:styleId="20">
    <w:name w:val="font01"/>
    <w:basedOn w:val="14"/>
    <w:qFormat/>
    <w:uiPriority w:val="0"/>
    <w:rPr>
      <w:rFonts w:hint="eastAsia" w:ascii="宋体" w:hAnsi="宋体" w:eastAsia="宋体" w:cs="宋体"/>
      <w:color w:val="000000"/>
      <w:sz w:val="22"/>
      <w:szCs w:val="22"/>
      <w:u w:val="none"/>
    </w:rPr>
  </w:style>
  <w:style w:type="character" w:customStyle="1" w:styleId="21">
    <w:name w:val="font21"/>
    <w:basedOn w:val="14"/>
    <w:qFormat/>
    <w:uiPriority w:val="0"/>
    <w:rPr>
      <w:rFonts w:hint="eastAsia" w:ascii="宋体" w:hAnsi="宋体" w:eastAsia="宋体" w:cs="宋体"/>
      <w:color w:val="000000"/>
      <w:sz w:val="24"/>
      <w:szCs w:val="24"/>
      <w:u w:val="none"/>
    </w:rPr>
  </w:style>
  <w:style w:type="character" w:customStyle="1" w:styleId="22">
    <w:name w:val="font11"/>
    <w:basedOn w:val="14"/>
    <w:qFormat/>
    <w:uiPriority w:val="0"/>
    <w:rPr>
      <w:rFonts w:hint="eastAsia" w:ascii="宋体" w:hAnsi="宋体" w:eastAsia="宋体" w:cs="宋体"/>
      <w:color w:val="000000"/>
      <w:sz w:val="24"/>
      <w:szCs w:val="24"/>
      <w:u w:val="none"/>
    </w:rPr>
  </w:style>
  <w:style w:type="paragraph" w:customStyle="1" w:styleId="23">
    <w:name w:val="列出段落1"/>
    <w:basedOn w:val="1"/>
    <w:qFormat/>
    <w:uiPriority w:val="0"/>
    <w:pPr>
      <w:adjustRightInd/>
      <w:snapToGrid/>
      <w:spacing w:line="360" w:lineRule="auto"/>
      <w:ind w:firstLine="420"/>
    </w:pPr>
    <w:rPr>
      <w:rFonts w:ascii="Calibri" w:hAnsi="Calibri" w:eastAsia="宋体"/>
      <w:sz w:val="24"/>
    </w:rPr>
  </w:style>
  <w:style w:type="paragraph" w:customStyle="1" w:styleId="24">
    <w:name w:val="正文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1501</Words>
  <Characters>1542</Characters>
  <Lines>69</Lines>
  <Paragraphs>19</Paragraphs>
  <TotalTime>1</TotalTime>
  <ScaleCrop>false</ScaleCrop>
  <LinksUpToDate>false</LinksUpToDate>
  <CharactersWithSpaces>1951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2025-08-18T18:17:00Z</dcterms:created>
  <dc:creator>李航 null</dc:creator>
  <cp:lastModifiedBy>lenovo</cp:lastModifiedBy>
  <cp:lastPrinted>2024-08-09T02:20:00Z</cp:lastPrinted>
  <dcterms:modified xsi:type="dcterms:W3CDTF">2025-09-17T03:47:08Z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F6A7517B15394439BC6ABAE31C3D5A12_13</vt:lpwstr>
  </property>
  <property fmtid="{D5CDD505-2E9C-101B-9397-08002B2CF9AE}" pid="4" name="KSOTemplateDocerSaveRecord">
    <vt:lpwstr>eyJoZGlkIjoiNjAxYmY1Mzg0MDJmODFjZTVkYTA1OWE1Yzg5ZDM1ZDMiLCJ1c2VySWQiOiI0NDY5NDQ2MDkifQ==</vt:lpwstr>
  </property>
</Properties>
</file>