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jc w:val="center"/>
        <w:rPr>
          <w:rFonts w:ascii="Times New Roman" w:hAnsi="Times New Roman" w:cs="Times New Roman"/>
          <w:sz w:val="56"/>
          <w:szCs w:val="56"/>
        </w:rPr>
      </w:pPr>
    </w:p>
    <w:p>
      <w:pPr>
        <w:pStyle w:val="16"/>
        <w:jc w:val="center"/>
        <w:rPr>
          <w:rFonts w:ascii="Times New Roman" w:hAnsi="Times New Roman" w:cs="Times New Roman"/>
          <w:sz w:val="84"/>
          <w:szCs w:val="84"/>
        </w:rPr>
      </w:pPr>
    </w:p>
    <w:p>
      <w:pPr>
        <w:pStyle w:val="16"/>
        <w:jc w:val="center"/>
        <w:rPr>
          <w:rFonts w:ascii="Times New Roman" w:hAnsi="Times New Roman" w:cs="Times New Roman"/>
          <w:sz w:val="84"/>
          <w:szCs w:val="84"/>
        </w:rPr>
      </w:pPr>
    </w:p>
    <w:p>
      <w:pPr>
        <w:pStyle w:val="16"/>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6"/>
        <w:jc w:val="center"/>
        <w:rPr>
          <w:rFonts w:ascii="Times New Roman" w:hAnsi="Times New Roman" w:cs="Times New Roman"/>
          <w:sz w:val="32"/>
          <w:szCs w:val="32"/>
        </w:rPr>
      </w:pPr>
      <w:r>
        <w:rPr>
          <w:rFonts w:hint="eastAsia" w:ascii="Times New Roman" w:hAnsi="Times New Roman" w:eastAsia="方正小标宋简体" w:cs="Times New Roman"/>
          <w:sz w:val="72"/>
          <w:szCs w:val="72"/>
        </w:rPr>
        <w:t>湖南省农村经营管理服务站</w:t>
      </w:r>
      <w:r>
        <w:rPr>
          <w:rFonts w:ascii="Times New Roman" w:hAnsi="Times New Roman" w:eastAsia="方正小标宋简体" w:cs="Times New Roman"/>
          <w:sz w:val="72"/>
          <w:szCs w:val="72"/>
        </w:rPr>
        <w:t>决算</w:t>
      </w:r>
    </w:p>
    <w:p>
      <w:pPr>
        <w:pStyle w:val="16"/>
        <w:jc w:val="center"/>
        <w:rPr>
          <w:rFonts w:ascii="Times New Roman" w:hAnsi="Times New Roman" w:cs="Times New Roman"/>
          <w:sz w:val="32"/>
          <w:szCs w:val="32"/>
        </w:rPr>
      </w:pPr>
    </w:p>
    <w:p>
      <w:pPr>
        <w:pStyle w:val="16"/>
        <w:jc w:val="center"/>
        <w:rPr>
          <w:rFonts w:ascii="Times New Roman" w:hAnsi="Times New Roman" w:cs="Times New Roman"/>
          <w:sz w:val="32"/>
          <w:szCs w:val="32"/>
        </w:rPr>
      </w:pPr>
    </w:p>
    <w:p>
      <w:pPr>
        <w:pStyle w:val="16"/>
        <w:jc w:val="center"/>
        <w:rPr>
          <w:rFonts w:ascii="Times New Roman" w:hAnsi="Times New Roman" w:cs="Times New Roman"/>
          <w:sz w:val="32"/>
          <w:szCs w:val="32"/>
        </w:rPr>
      </w:pPr>
    </w:p>
    <w:p>
      <w:pPr>
        <w:pStyle w:val="16"/>
        <w:jc w:val="center"/>
        <w:rPr>
          <w:rFonts w:ascii="Times New Roman" w:hAnsi="Times New Roman" w:cs="Times New Roman"/>
          <w:sz w:val="32"/>
          <w:szCs w:val="32"/>
        </w:rPr>
      </w:pPr>
    </w:p>
    <w:p>
      <w:pPr>
        <w:pStyle w:val="16"/>
        <w:spacing w:line="540" w:lineRule="exact"/>
        <w:jc w:val="center"/>
        <w:rPr>
          <w:rFonts w:ascii="Times New Roman" w:hAnsi="Times New Roman" w:cs="Times New Roman"/>
          <w:sz w:val="56"/>
          <w:szCs w:val="56"/>
        </w:rPr>
      </w:pPr>
    </w:p>
    <w:p>
      <w:pPr>
        <w:rPr>
          <w:rFonts w:ascii="Times New Roman" w:hAnsi="Times New Roman" w:cs="Times New Roman"/>
          <w:b/>
          <w:sz w:val="36"/>
          <w:szCs w:val="28"/>
        </w:rPr>
        <w:sectPr>
          <w:pgSz w:w="11906" w:h="16838"/>
          <w:pgMar w:top="1417" w:right="1588" w:bottom="1417" w:left="1588" w:header="851" w:footer="992" w:gutter="0"/>
          <w:cols w:space="425" w:num="1"/>
          <w:docGrid w:type="lines" w:linePitch="312" w:charSpace="0"/>
        </w:sectPr>
      </w:pPr>
    </w:p>
    <w:p>
      <w:pPr>
        <w:pStyle w:val="16"/>
        <w:spacing w:line="600" w:lineRule="exact"/>
        <w:jc w:val="both"/>
        <w:rPr>
          <w:rFonts w:ascii="Times New Roman" w:hAnsi="Times New Roman" w:cs="Times New Roman"/>
          <w:b/>
          <w:sz w:val="36"/>
          <w:szCs w:val="28"/>
        </w:rPr>
      </w:pPr>
    </w:p>
    <w:p>
      <w:pPr>
        <w:pStyle w:val="16"/>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6"/>
        <w:spacing w:line="600" w:lineRule="exact"/>
        <w:jc w:val="center"/>
        <w:rPr>
          <w:rFonts w:ascii="Times New Roman" w:hAnsi="Times New Roman" w:cs="Times New Roman"/>
          <w:b/>
          <w:sz w:val="36"/>
          <w:szCs w:val="28"/>
        </w:rPr>
      </w:pPr>
    </w:p>
    <w:p>
      <w:pPr>
        <w:pStyle w:val="16"/>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rPr>
        <w:t>湖南省农村经营管理服务站</w:t>
      </w:r>
      <w:r>
        <w:rPr>
          <w:rFonts w:ascii="Times New Roman" w:hAnsi="Times New Roman" w:cs="Times New Roman"/>
          <w:bCs/>
          <w:sz w:val="32"/>
          <w:szCs w:val="32"/>
        </w:rPr>
        <w:t>概况</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3"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6"/>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2"/>
        <w:rPr>
          <w:rFonts w:ascii="Times New Roman" w:hAnsi="Times New Roman" w:cs="Times New Roman"/>
        </w:rPr>
        <w:sectPr>
          <w:footerReference r:id="rId4"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6"/>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rPr>
        <w:t>湖南省农村经营管理服务站</w:t>
      </w:r>
      <w:r>
        <w:rPr>
          <w:rFonts w:ascii="Times New Roman" w:hAnsi="Times New Roman" w:eastAsia="方正小标宋_GBK" w:cs="Times New Roman"/>
          <w:sz w:val="52"/>
          <w:szCs w:val="52"/>
        </w:rPr>
        <w:t>概况</w:t>
      </w:r>
    </w:p>
    <w:p>
      <w:pPr>
        <w:pStyle w:val="3"/>
        <w:ind w:left="0" w:leftChars="0" w:firstLine="0" w:firstLineChars="0"/>
        <w:rPr>
          <w:rFonts w:ascii="Times New Roman" w:hAnsi="Times New Roman" w:cs="Times New Roman"/>
        </w:rPr>
      </w:pPr>
    </w:p>
    <w:p>
      <w:pPr>
        <w:pStyle w:val="17"/>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（一）农村宅基地改革与管理相关工作；</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（二）农村集体经济组织财务审计工作；</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（三）农村土地承包经营纠纷仲裁工作；</w:t>
      </w:r>
    </w:p>
    <w:p>
      <w:pPr>
        <w:widowControl/>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rPr>
        <w:t>（四）农民专业合作社</w:t>
      </w:r>
      <w:r>
        <w:rPr>
          <w:rFonts w:hint="eastAsia" w:ascii="Times New Roman" w:hAnsi="Times New Roman" w:eastAsia="仿宋_GB2312" w:cs="仿宋_GB2312"/>
          <w:bCs/>
          <w:kern w:val="0"/>
          <w:sz w:val="32"/>
          <w:szCs w:val="32"/>
          <w:lang w:eastAsia="zh-CN"/>
        </w:rPr>
        <w:t>相关培训工作；</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（五）农经统计工作及相关培训工作。</w:t>
      </w:r>
    </w:p>
    <w:p>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（一）内设机构设置。湖南省农村经营管理服务站内设机构包括：办公室、农村宅基地改革与管理、农村集体经济财务审计、土地纠纷仲裁等科室。</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（二）决算单位构成。湖南省农村经营管理服务站202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年部门决算汇总公开单位构成包括：湖南省农村经营管理服务站本级。</w:t>
      </w:r>
    </w:p>
    <w:p>
      <w:pPr>
        <w:jc w:val="left"/>
        <w:rPr>
          <w:rFonts w:ascii="仿宋_GB2312" w:eastAsia="仿宋_GB2312" w:hAnsiTheme="minorEastAsia"/>
          <w:sz w:val="28"/>
          <w:szCs w:val="32"/>
        </w:rPr>
      </w:pPr>
    </w:p>
    <w:p>
      <w:pPr>
        <w:jc w:val="left"/>
        <w:rPr>
          <w:rFonts w:ascii="Times New Roman" w:hAnsi="Times New Roman" w:eastAsia="仿宋_GB2312" w:cs="Times New Roman"/>
          <w:sz w:val="28"/>
          <w:szCs w:val="32"/>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2"/>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pStyle w:val="16"/>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bidi="ar"/>
        </w:rPr>
        <w:t>湖南省农村经营管理服务站</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p>
      <w:pPr>
        <w:widowControl/>
        <w:jc w:val="left"/>
        <w:textAlignment w:val="center"/>
        <w:rPr>
          <w:rFonts w:ascii="Times New Roman" w:hAnsi="Times New Roman" w:eastAsia="宋体" w:cs="Times New Roman"/>
          <w:color w:val="000000"/>
          <w:kern w:val="0"/>
          <w:sz w:val="24"/>
          <w:szCs w:val="24"/>
          <w:lang w:bidi="ar"/>
        </w:rPr>
      </w:pPr>
    </w:p>
    <w:tbl>
      <w:tblPr>
        <w:tblStyle w:val="12"/>
        <w:tblW w:w="138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317"/>
        <w:gridCol w:w="691"/>
        <w:gridCol w:w="1021"/>
        <w:gridCol w:w="3320"/>
        <w:gridCol w:w="460"/>
        <w:gridCol w:w="30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702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678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825.85</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486.26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825.85</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使用非财政拨款结余（含专用结余）</w:t>
            </w: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89.94</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915.79</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915.79</w:t>
            </w:r>
          </w:p>
        </w:tc>
      </w:tr>
    </w:tbl>
    <w:p>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hint="eastAsia" w:ascii="Times New Roman" w:hAnsi="Times New Roman" w:eastAsia="仿宋_GB2312" w:cs="Times New Roman"/>
          <w:color w:val="000000"/>
          <w:kern w:val="0"/>
          <w:sz w:val="20"/>
          <w:szCs w:val="20"/>
          <w:lang w:bidi="ar"/>
        </w:rPr>
        <w:t>湖南省农村经营管理服务站</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tbl>
      <w:tblPr>
        <w:tblStyle w:val="12"/>
        <w:tblW w:w="147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9"/>
        <w:gridCol w:w="3603"/>
        <w:gridCol w:w="1650"/>
        <w:gridCol w:w="1650"/>
        <w:gridCol w:w="1500"/>
        <w:gridCol w:w="1414"/>
        <w:gridCol w:w="1414"/>
        <w:gridCol w:w="1457"/>
        <w:gridCol w:w="11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41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41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45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1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1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4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825.85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825.85</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153.10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153.10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153.10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153.10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153.10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153.10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111.50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111.50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111.50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111.50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89.50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89.50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公务员医疗补助</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515.25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515.25</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515.25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515.25</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399.05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399.05</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116.20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116.20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bl>
    <w:p>
      <w:pPr>
        <w:spacing w:before="120"/>
        <w:rPr>
          <w:rFonts w:ascii="Times New Roman" w:hAnsi="Times New Roman" w:eastAsia="黑体" w:cs="Times New Roman"/>
          <w:bCs/>
          <w:kern w:val="0"/>
          <w:sz w:val="32"/>
          <w:szCs w:val="32"/>
        </w:rPr>
      </w:pPr>
      <w:r>
        <w:rPr>
          <w:rFonts w:ascii="Times New Roman" w:hAnsi="Times New Roman" w:eastAsia="仿宋_GB2312" w:cs="Times New Roman"/>
        </w:rPr>
        <w:t>注：本表反映部门本年度取得的各项收入情况。</w:t>
      </w: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sz w:val="20"/>
          <w:szCs w:val="20"/>
        </w:rPr>
        <w:t>部门：</w:t>
      </w:r>
      <w:r>
        <w:rPr>
          <w:rFonts w:hint="eastAsia" w:ascii="Times New Roman" w:hAnsi="Times New Roman" w:eastAsia="仿宋_GB2312" w:cs="Times New Roman"/>
          <w:color w:val="000000"/>
          <w:kern w:val="0"/>
          <w:sz w:val="20"/>
          <w:szCs w:val="20"/>
          <w:lang w:bidi="ar"/>
        </w:rPr>
        <w:t>湖南省农村经营管理服务站</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12"/>
        <w:tblW w:w="138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9"/>
        <w:gridCol w:w="3603"/>
        <w:gridCol w:w="1649"/>
        <w:gridCol w:w="1649"/>
        <w:gridCol w:w="1649"/>
        <w:gridCol w:w="1649"/>
        <w:gridCol w:w="1474"/>
        <w:gridCol w:w="12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47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28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8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701.44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466.00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235.44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83.89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0.03</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83.87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83.89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0.03</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83.87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83.89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0.03</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83.87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97.35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97.35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97.35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97.35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79.49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79.49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17.86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17.86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公务员医疗补助</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486.26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334.68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151.58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486.26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334.68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151.58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337.15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334.68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149.11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149.11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bidi="ar"/>
        </w:rPr>
        <w:t>湖南省农村经营管理服务站</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单位：万元</w:t>
      </w:r>
    </w:p>
    <w:tbl>
      <w:tblPr>
        <w:tblStyle w:val="12"/>
        <w:tblW w:w="15265" w:type="dxa"/>
        <w:tblInd w:w="-45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350"/>
        <w:gridCol w:w="523"/>
        <w:gridCol w:w="1540"/>
        <w:gridCol w:w="4401"/>
        <w:gridCol w:w="532"/>
        <w:gridCol w:w="947"/>
        <w:gridCol w:w="1546"/>
        <w:gridCol w:w="1240"/>
        <w:gridCol w:w="11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41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852"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33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40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3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94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54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2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18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33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4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825.85</w:t>
            </w: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83.89</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83.89</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97.35</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97.35</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10.54</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10.54</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486.26</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486.26</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23.39</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23.39</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825.85</w:t>
            </w: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701.44</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701.44</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89.94</w:t>
            </w: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214.36</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214.36</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89.94</w:t>
            </w: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915.79</w:t>
            </w:r>
          </w:p>
        </w:tc>
        <w:tc>
          <w:tcPr>
            <w:tcW w:w="44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915.79</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915.79</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 w:val="20"/>
          <w:szCs w:val="20"/>
          <w:lang w:bidi="ar"/>
        </w:rPr>
        <w:t>湖南省农村经营管理服务站</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单位：万元</w:t>
      </w:r>
    </w:p>
    <w:tbl>
      <w:tblPr>
        <w:tblStyle w:val="12"/>
        <w:tblW w:w="1405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168"/>
        <w:gridCol w:w="4955"/>
        <w:gridCol w:w="2509"/>
        <w:gridCol w:w="2359"/>
        <w:gridCol w:w="20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712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92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6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495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5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35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06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1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95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95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712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712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701.44</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466.00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235.44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4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83.89</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0.03</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4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83.89</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0.03</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4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83.89</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0.03</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97.35</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97.35</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97.35</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97.35</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4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79.49</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79.49</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17.86</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17.86</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4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10.54</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10.54</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4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10.54</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10.54</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4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公务员医疗补助</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10.54</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10.54</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486.26</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334.68</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486.26</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334.68</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337.15</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334.68</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4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149.11</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149.11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4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23.39</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23.39</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4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23.39</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23.39</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49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2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23.39</w:t>
            </w:r>
          </w:p>
        </w:tc>
        <w:tc>
          <w:tcPr>
            <w:tcW w:w="2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23.39</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仿宋_GB2312" w:cs="Times New Roman"/>
          <w:bCs/>
          <w:kern w:val="0"/>
          <w:szCs w:val="21"/>
        </w:rPr>
      </w:pP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 w:val="20"/>
          <w:szCs w:val="20"/>
          <w:lang w:bidi="ar"/>
        </w:rPr>
        <w:t>湖南省农村经营管理服务站</w:t>
      </w:r>
      <w:r>
        <w:rPr>
          <w:rFonts w:ascii="Times New Roman" w:hAnsi="Times New Roman" w:eastAsia="仿宋_GB2312" w:cs="Times New Roman"/>
          <w:color w:val="000000"/>
          <w:kern w:val="0"/>
          <w:szCs w:val="21"/>
        </w:rPr>
        <w:t xml:space="preserve">                                                                                             公开06表</w:t>
      </w:r>
    </w:p>
    <w:p>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单位：万元</w:t>
      </w:r>
    </w:p>
    <w:tbl>
      <w:tblPr>
        <w:tblStyle w:val="12"/>
        <w:tblW w:w="14627" w:type="dxa"/>
        <w:jc w:val="center"/>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tblPrEx>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266.96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108.60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91.65</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9.09</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65.00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28.09</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9.00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0.26</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17.86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1.64</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1.10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10.54</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7.73</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23.39</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1.42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90.44</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15.00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0.03</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64.49</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0.79</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7.50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18.66</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7.30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0.45</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8.00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pPr>
              <w:widowControl/>
              <w:jc w:val="left"/>
              <w:rPr>
                <w:rFonts w:ascii="Times New Roman" w:hAnsi="Times New Roman" w:eastAsia="仿宋_GB2312" w:cs="Times New Roman"/>
                <w:color w:val="000000"/>
                <w:kern w:val="0"/>
                <w:szCs w:val="20"/>
              </w:rPr>
            </w:pPr>
          </w:p>
          <w:tbl>
            <w:tblPr>
              <w:tblStyle w:val="12"/>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bl>
            <w:tblPr>
              <w:tblStyle w:val="12"/>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14.00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966"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r>
      <w:tr>
        <w:tblPrEx>
          <w:tblCellMar>
            <w:top w:w="0" w:type="dxa"/>
            <w:left w:w="108" w:type="dxa"/>
            <w:bottom w:w="0" w:type="dxa"/>
            <w:right w:w="108" w:type="dxa"/>
          </w:tblCellMar>
        </w:tblPrEx>
        <w:trPr>
          <w:trHeight w:val="37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357.40</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18"/>
              </w:rPr>
            </w:pPr>
            <w:r>
              <w:rPr>
                <w:rFonts w:hint="eastAsia" w:ascii="宋体" w:hAnsi="宋体" w:eastAsia="宋体" w:cs="宋体"/>
                <w:i w:val="0"/>
                <w:color w:val="000000"/>
                <w:kern w:val="0"/>
                <w:sz w:val="22"/>
                <w:szCs w:val="22"/>
                <w:u w:val="none"/>
                <w:lang w:val="en-US" w:eastAsia="zh-CN" w:bidi="ar"/>
              </w:rPr>
              <w:t>108.60</w:t>
            </w:r>
          </w:p>
        </w:tc>
      </w:tr>
    </w:tbl>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bidi="ar"/>
        </w:rPr>
        <w:t>湖南省农村经营管理服务站</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2"/>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9"/>
                <w:rFonts w:hint="default" w:ascii="Times New Roman" w:hAnsi="Times New Roman" w:eastAsia="仿宋_GB2312" w:cs="Times New Roman"/>
                <w:b/>
                <w:bCs/>
                <w:lang w:bidi="ar"/>
              </w:rPr>
              <w:t xml:space="preserve">   </w:t>
            </w:r>
            <w:r>
              <w:rPr>
                <w:rStyle w:val="20"/>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公开08表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bidi="ar"/>
        </w:rPr>
        <w:t>湖南省农村经营管理服务站</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2"/>
        <w:tblW w:w="14217" w:type="dxa"/>
        <w:tblInd w:w="0" w:type="dxa"/>
        <w:tblLayout w:type="fixed"/>
        <w:tblCellMar>
          <w:top w:w="0" w:type="dxa"/>
          <w:left w:w="108" w:type="dxa"/>
          <w:bottom w:w="0" w:type="dxa"/>
          <w:right w:w="108" w:type="dxa"/>
        </w:tblCellMar>
      </w:tblPr>
      <w:tblGrid>
        <w:gridCol w:w="3095"/>
        <w:gridCol w:w="3097"/>
        <w:gridCol w:w="1832"/>
        <w:gridCol w:w="3097"/>
        <w:gridCol w:w="3096"/>
      </w:tblGrid>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1"/>
                <w:rFonts w:hint="default" w:ascii="Times New Roman" w:hAnsi="Times New Roman" w:eastAsia="仿宋_GB2312" w:cs="Times New Roman"/>
                <w:b/>
                <w:bCs/>
                <w:lang w:bidi="ar"/>
              </w:rPr>
              <w:t>目</w:t>
            </w:r>
          </w:p>
        </w:tc>
        <w:tc>
          <w:tcPr>
            <w:tcW w:w="80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CellMar>
            <w:top w:w="0" w:type="dxa"/>
            <w:left w:w="108" w:type="dxa"/>
            <w:bottom w:w="0" w:type="dxa"/>
            <w:right w:w="108" w:type="dxa"/>
          </w:tblCellMar>
        </w:tblPrEx>
        <w:trPr>
          <w:trHeight w:val="312" w:hRule="exact"/>
        </w:trPr>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CellMar>
            <w:top w:w="0" w:type="dxa"/>
            <w:left w:w="108" w:type="dxa"/>
            <w:bottom w:w="0" w:type="dxa"/>
            <w:right w:w="108" w:type="dxa"/>
          </w:tblCellMar>
        </w:tblPrEx>
        <w:trPr>
          <w:trHeight w:val="312" w:hRule="exac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2"/>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bidi="ar"/>
        </w:rPr>
        <w:t>湖南省农村经营管理服务站</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单位：万元</w:t>
      </w:r>
    </w:p>
    <w:tbl>
      <w:tblPr>
        <w:tblStyle w:val="12"/>
        <w:tblW w:w="14544" w:type="dxa"/>
        <w:jc w:val="center"/>
        <w:tblLayout w:type="fixed"/>
        <w:tblCellMar>
          <w:top w:w="0" w:type="dxa"/>
          <w:left w:w="108" w:type="dxa"/>
          <w:bottom w:w="0" w:type="dxa"/>
          <w:right w:w="108" w:type="dxa"/>
        </w:tblCellMar>
      </w:tblPr>
      <w:tblGrid>
        <w:gridCol w:w="935"/>
        <w:gridCol w:w="1229"/>
        <w:gridCol w:w="1086"/>
        <w:gridCol w:w="1188"/>
        <w:gridCol w:w="1425"/>
        <w:gridCol w:w="1373"/>
        <w:gridCol w:w="1050"/>
        <w:gridCol w:w="1166"/>
        <w:gridCol w:w="1166"/>
        <w:gridCol w:w="1166"/>
        <w:gridCol w:w="1358"/>
        <w:gridCol w:w="1402"/>
      </w:tblGrid>
      <w:tr>
        <w:tblPrEx>
          <w:tblCellMar>
            <w:top w:w="0" w:type="dxa"/>
            <w:left w:w="108" w:type="dxa"/>
            <w:bottom w:w="0" w:type="dxa"/>
            <w:right w:w="108" w:type="dxa"/>
          </w:tblCellMar>
        </w:tblPrEx>
        <w:trPr>
          <w:trHeight w:val="606" w:hRule="atLeast"/>
          <w:jc w:val="center"/>
        </w:trPr>
        <w:tc>
          <w:tcPr>
            <w:tcW w:w="72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73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tblPrEx>
          <w:tblCellMar>
            <w:top w:w="0" w:type="dxa"/>
            <w:left w:w="108" w:type="dxa"/>
            <w:bottom w:w="0" w:type="dxa"/>
            <w:right w:w="108" w:type="dxa"/>
          </w:tblCellMar>
        </w:tblPrEx>
        <w:trPr>
          <w:trHeight w:val="495" w:hRule="atLeast"/>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tblPrEx>
          <w:tblCellMar>
            <w:top w:w="0" w:type="dxa"/>
            <w:left w:w="108" w:type="dxa"/>
            <w:bottom w:w="0" w:type="dxa"/>
            <w:right w:w="108" w:type="dxa"/>
          </w:tblCellMar>
        </w:tblPrEx>
        <w:trPr>
          <w:trHeight w:val="864" w:hRule="atLeast"/>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614"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tblPrEx>
          <w:tblCellMar>
            <w:top w:w="0" w:type="dxa"/>
            <w:left w:w="108" w:type="dxa"/>
            <w:bottom w:w="0" w:type="dxa"/>
            <w:right w:w="108" w:type="dxa"/>
          </w:tblCellMar>
        </w:tblPrEx>
        <w:trPr>
          <w:trHeight w:val="579"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1.00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0.79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0.79</w:t>
            </w: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rPr>
        <w:br w:type="page"/>
      </w:r>
    </w:p>
    <w:p>
      <w:pPr>
        <w:pStyle w:val="16"/>
        <w:rPr>
          <w:rFonts w:ascii="Times New Roman" w:hAnsi="Times New Roman" w:cs="Times New Roman"/>
          <w:sz w:val="72"/>
          <w:szCs w:val="72"/>
        </w:rPr>
      </w:pPr>
    </w:p>
    <w:p>
      <w:pPr>
        <w:pStyle w:val="16"/>
        <w:rPr>
          <w:rFonts w:ascii="Times New Roman" w:hAnsi="Times New Roman" w:cs="Times New Roman"/>
          <w:sz w:val="72"/>
          <w:szCs w:val="72"/>
        </w:rPr>
      </w:pPr>
    </w:p>
    <w:p>
      <w:pPr>
        <w:pStyle w:val="16"/>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eastAsia="方正小标宋_GBK" w:cs="Times New Roman"/>
          <w:sz w:val="72"/>
          <w:szCs w:val="72"/>
        </w:rPr>
      </w:pP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915.79</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154.01</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14.40</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宅基地改革项目资金减少。</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825.85</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825.85</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701.44</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466.00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66.43</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235.44</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33.57</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915.79</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154.01</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14.40</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宅基地改革项目资金减少。</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701.44</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%，与上年相比，财政拨款支出减少</w:t>
      </w:r>
      <w:r>
        <w:rPr>
          <w:rFonts w:hint="eastAsia" w:ascii="Times New Roman" w:hAnsi="Times New Roman" w:eastAsia="仿宋_GB2312" w:cs="Times New Roman"/>
          <w:sz w:val="32"/>
          <w:szCs w:val="32"/>
          <w:lang w:val="en-US" w:eastAsia="zh-CN"/>
        </w:rPr>
        <w:t>245.87</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25.96</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宅基地改革项目支出减少。</w:t>
      </w:r>
    </w:p>
    <w:p>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701.44</w:t>
      </w:r>
      <w:r>
        <w:rPr>
          <w:rFonts w:ascii="Times New Roman" w:hAnsi="Times New Roman" w:eastAsia="仿宋_GB2312" w:cs="Times New Roman"/>
          <w:sz w:val="32"/>
          <w:szCs w:val="32"/>
        </w:rPr>
        <w:t>万元，主要用于以下方面：教育（类）支出</w:t>
      </w:r>
      <w:r>
        <w:rPr>
          <w:rFonts w:hint="eastAsia" w:ascii="Times New Roman" w:hAnsi="Times New Roman" w:eastAsia="仿宋_GB2312" w:cs="Times New Roman"/>
          <w:sz w:val="32"/>
          <w:szCs w:val="32"/>
          <w:lang w:val="en-US" w:eastAsia="zh-CN"/>
        </w:rPr>
        <w:t>83.89</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11.96</w:t>
      </w:r>
      <w:r>
        <w:rPr>
          <w:rFonts w:ascii="Times New Roman" w:hAnsi="Times New Roman" w:eastAsia="仿宋_GB2312" w:cs="Times New Roman"/>
          <w:sz w:val="32"/>
          <w:szCs w:val="32"/>
        </w:rPr>
        <w:t>%;</w:t>
      </w:r>
      <w:r>
        <w:rPr>
          <w:rFonts w:hint="eastAsia" w:ascii="Times New Roman" w:hAnsi="Times New Roman" w:eastAsia="仿宋_GB2312"/>
          <w:sz w:val="32"/>
          <w:szCs w:val="32"/>
        </w:rPr>
        <w:t>社会保障和就业</w:t>
      </w:r>
      <w:r>
        <w:rPr>
          <w:rFonts w:hint="eastAsia" w:ascii="Times New Roman" w:hAnsi="Times New Roman" w:eastAsia="仿宋_GB2312"/>
          <w:sz w:val="32"/>
          <w:szCs w:val="32"/>
          <w:lang w:eastAsia="zh-CN"/>
        </w:rPr>
        <w:t>（类）</w:t>
      </w:r>
      <w:r>
        <w:rPr>
          <w:rFonts w:hint="eastAsia" w:ascii="Times New Roman" w:hAnsi="Times New Roman" w:eastAsia="仿宋_GB2312"/>
          <w:sz w:val="32"/>
          <w:szCs w:val="32"/>
        </w:rPr>
        <w:t>支出</w:t>
      </w:r>
      <w:r>
        <w:rPr>
          <w:rFonts w:hint="eastAsia" w:ascii="Times New Roman" w:hAnsi="Times New Roman" w:eastAsia="仿宋_GB2312"/>
          <w:sz w:val="32"/>
          <w:szCs w:val="32"/>
          <w:lang w:val="en-US" w:eastAsia="zh-CN"/>
        </w:rPr>
        <w:t>97.35</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13.88</w:t>
      </w:r>
      <w:r>
        <w:rPr>
          <w:rFonts w:hint="eastAsia" w:ascii="Times New Roman" w:hAnsi="Times New Roman" w:eastAsia="仿宋_GB2312"/>
          <w:sz w:val="32"/>
          <w:szCs w:val="32"/>
        </w:rPr>
        <w:t>%；卫生健康</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10.54</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1.50</w:t>
      </w:r>
      <w:r>
        <w:rPr>
          <w:rFonts w:ascii="Times New Roman" w:hAnsi="Times New Roman" w:eastAsia="仿宋_GB2312" w:cs="Times New Roman"/>
          <w:sz w:val="32"/>
          <w:szCs w:val="32"/>
        </w:rPr>
        <w:t>%；</w:t>
      </w:r>
      <w:r>
        <w:rPr>
          <w:rFonts w:hint="eastAsia" w:ascii="Times New Roman" w:hAnsi="Times New Roman" w:eastAsia="仿宋_GB2312"/>
          <w:sz w:val="32"/>
          <w:szCs w:val="32"/>
        </w:rPr>
        <w:t>农林水（类）支出</w:t>
      </w:r>
      <w:r>
        <w:rPr>
          <w:rFonts w:hint="eastAsia" w:ascii="Times New Roman" w:hAnsi="Times New Roman" w:eastAsia="仿宋_GB2312"/>
          <w:sz w:val="32"/>
          <w:szCs w:val="32"/>
          <w:lang w:val="en-US" w:eastAsia="zh-CN"/>
        </w:rPr>
        <w:t>486.26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69.32</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住房保障</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23.39</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3.33</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973.39</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701.44</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72.07</w:t>
      </w:r>
      <w:r>
        <w:rPr>
          <w:rFonts w:ascii="Times New Roman" w:hAnsi="Times New Roman" w:eastAsia="仿宋_GB2312" w:cs="Times New Roman"/>
          <w:sz w:val="32"/>
          <w:szCs w:val="32"/>
        </w:rPr>
        <w:t>%，其中：</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1、教育支出（类）进修及培训（款）培训支出（项）。</w:t>
      </w:r>
    </w:p>
    <w:p>
      <w:pPr>
        <w:pStyle w:val="16"/>
        <w:spacing w:line="600" w:lineRule="exact"/>
        <w:ind w:firstLine="800" w:firstLineChars="25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153.10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83.89</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54.80</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小</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val="en-US" w:eastAsia="zh-CN"/>
        </w:rPr>
        <w:t>项目跨年实施。</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、社会保障和就业支出（类）行政事业单位养老支出（款）行政单位离退休（项）。</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89.50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79.49</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88.82</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小</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val="en-US" w:eastAsia="zh-CN"/>
        </w:rPr>
        <w:t>人员经费有</w:t>
      </w:r>
      <w:r>
        <w:rPr>
          <w:rFonts w:hint="eastAsia" w:ascii="Times New Roman" w:hAnsi="Times New Roman" w:eastAsia="仿宋_GB2312"/>
          <w:sz w:val="32"/>
          <w:szCs w:val="32"/>
        </w:rPr>
        <w:t>结余。</w:t>
      </w:r>
    </w:p>
    <w:p>
      <w:pPr>
        <w:pStyle w:val="16"/>
        <w:spacing w:line="60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社会保障和就业支出（类）行政事业单位养老支出（款）机关事业单位基本养老保险缴费支出（项）。</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22.00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17.86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81.19</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小</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val="en-US" w:eastAsia="zh-CN"/>
        </w:rPr>
        <w:t>人员经费有</w:t>
      </w:r>
      <w:r>
        <w:rPr>
          <w:rFonts w:hint="eastAsia" w:ascii="Times New Roman" w:hAnsi="Times New Roman" w:eastAsia="仿宋_GB2312"/>
          <w:sz w:val="32"/>
          <w:szCs w:val="32"/>
        </w:rPr>
        <w:t>结余。</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、卫生健康支出（类）行政事业单位医疗（款）公务员医疗补助（项）。</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16.00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10.54</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65.88</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人员经费有</w:t>
      </w:r>
      <w:r>
        <w:rPr>
          <w:rFonts w:hint="eastAsia" w:ascii="Times New Roman" w:hAnsi="Times New Roman" w:eastAsia="仿宋_GB2312"/>
          <w:sz w:val="32"/>
          <w:szCs w:val="32"/>
        </w:rPr>
        <w:t>结余。</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农林水支出（类）农业农村（款）行政运行（项）。</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384.12</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377.15</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98.19</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经费有</w:t>
      </w:r>
      <w:r>
        <w:rPr>
          <w:rFonts w:hint="eastAsia" w:ascii="Times New Roman" w:hAnsi="Times New Roman" w:eastAsia="仿宋_GB2312"/>
          <w:sz w:val="32"/>
          <w:szCs w:val="32"/>
        </w:rPr>
        <w:t>结余。</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、农林水支出（类）农业农村（款）其他农业农村支出</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项）。</w:t>
      </w:r>
    </w:p>
    <w:p>
      <w:pPr>
        <w:pStyle w:val="16"/>
        <w:spacing w:line="600" w:lineRule="exact"/>
        <w:ind w:firstLine="800" w:firstLineChars="25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年初预算为2</w:t>
      </w:r>
      <w:r>
        <w:rPr>
          <w:rFonts w:hint="eastAsia" w:ascii="Times New Roman" w:hAnsi="Times New Roman" w:eastAsia="仿宋_GB2312"/>
          <w:sz w:val="32"/>
          <w:szCs w:val="32"/>
          <w:lang w:val="en-US" w:eastAsia="zh-CN"/>
        </w:rPr>
        <w:t>78.67</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149.11</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53.51</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小</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val="en-US" w:eastAsia="zh-CN"/>
        </w:rPr>
        <w:t>项目跨年实施。</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7、住房保障支出</w:t>
      </w:r>
      <w:r>
        <w:rPr>
          <w:rFonts w:hint="eastAsia" w:ascii="Times New Roman" w:hAnsi="Times New Roman" w:eastAsia="仿宋_GB2312"/>
          <w:sz w:val="32"/>
          <w:szCs w:val="32"/>
        </w:rPr>
        <w:t>（类）住房改革支出（款）住房公积金</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项）。</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30.00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23.39</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77.97</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小</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val="en-US" w:eastAsia="zh-CN"/>
        </w:rPr>
        <w:t>人员经费有</w:t>
      </w:r>
      <w:r>
        <w:rPr>
          <w:rFonts w:hint="eastAsia" w:ascii="Times New Roman" w:hAnsi="Times New Roman" w:eastAsia="仿宋_GB2312"/>
          <w:sz w:val="32"/>
          <w:szCs w:val="32"/>
        </w:rPr>
        <w:t>结余。</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466.00</w:t>
      </w:r>
      <w:r>
        <w:rPr>
          <w:rFonts w:ascii="Times New Roman" w:hAnsi="Times New Roman" w:eastAsia="仿宋_GB2312" w:cs="Times New Roman"/>
          <w:sz w:val="32"/>
          <w:szCs w:val="32"/>
        </w:rPr>
        <w:t>万元，其中：</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357.40</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76.70</w:t>
      </w:r>
      <w:r>
        <w:rPr>
          <w:rFonts w:ascii="Times New Roman" w:hAnsi="Times New Roman" w:eastAsia="仿宋_GB2312" w:cs="Times New Roman"/>
          <w:sz w:val="32"/>
          <w:szCs w:val="32"/>
        </w:rPr>
        <w:t>%,主要包括基本工资、津贴补贴、奖金、伙食补助费</w:t>
      </w:r>
      <w:r>
        <w:rPr>
          <w:rFonts w:hint="eastAsia" w:ascii="Times New Roman" w:hAnsi="Times New Roman" w:eastAsia="仿宋_GB2312" w:cs="Times New Roman"/>
          <w:sz w:val="32"/>
          <w:szCs w:val="32"/>
          <w:lang w:eastAsia="zh-CN"/>
        </w:rPr>
        <w:t>、机关事业单位基本养老保险缴费、职工基本医疗保险缴费、住房公积金、退休费</w:t>
      </w:r>
      <w:r>
        <w:rPr>
          <w:rFonts w:hint="eastAsia" w:ascii="Times New Roman" w:hAnsi="Times New Roman" w:eastAsia="仿宋_GB2312" w:cs="Times New Roman"/>
          <w:sz w:val="32"/>
          <w:szCs w:val="32"/>
          <w:lang w:val="en-US" w:eastAsia="zh-CN"/>
        </w:rPr>
        <w:t>等</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108.60</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23.30</w:t>
      </w:r>
      <w:r>
        <w:rPr>
          <w:rFonts w:ascii="Times New Roman" w:hAnsi="Times New Roman" w:eastAsia="仿宋_GB2312" w:cs="Times New Roman"/>
          <w:sz w:val="32"/>
          <w:szCs w:val="32"/>
        </w:rPr>
        <w:t>%，主要包括办公费、</w:t>
      </w:r>
      <w:r>
        <w:rPr>
          <w:rFonts w:hint="eastAsia" w:ascii="Times New Roman" w:hAnsi="Times New Roman" w:eastAsia="仿宋_GB2312" w:cs="Times New Roman"/>
          <w:sz w:val="32"/>
          <w:szCs w:val="32"/>
          <w:lang w:val="en-US" w:eastAsia="zh-CN"/>
        </w:rPr>
        <w:t>水费、电费、物业管理费、公务接待费、劳务费、工会经费、劳务费、其他交通费用、其他商品和服务支出等</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0.79</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79.00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0.05</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6.76</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sz w:val="32"/>
          <w:szCs w:val="32"/>
        </w:rPr>
        <w:t>支出严格控制在预算范围内</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val="en-US" w:eastAsia="zh-CN"/>
        </w:rPr>
        <w:t>本年较上年业务咨询接待批次和人数增加</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6"/>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eastAsia="zh-CN"/>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其中：</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公务用车购置费支出预算为为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。单位本级更新公务用车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万元，支出决算为支出决算为</w:t>
      </w:r>
      <w:r>
        <w:rPr>
          <w:rFonts w:hint="eastAsia" w:ascii="Times New Roman" w:hAnsi="Times New Roman" w:eastAsia="仿宋_GB2312" w:cs="Times New Roman"/>
          <w:sz w:val="32"/>
          <w:szCs w:val="32"/>
          <w:lang w:val="en-US" w:eastAsia="zh-CN"/>
        </w:rPr>
        <w:t>0.79</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79.00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0.05</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6.76</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sz w:val="32"/>
          <w:szCs w:val="32"/>
        </w:rPr>
        <w:t>支出严格控制在预算范围内</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val="en-US" w:eastAsia="zh-CN"/>
        </w:rPr>
        <w:t>本年较上年业务咨询等接待批次和人数增加</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12</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79</w:t>
      </w:r>
      <w:r>
        <w:rPr>
          <w:rFonts w:ascii="Times New Roman" w:hAnsi="Times New Roman" w:eastAsia="仿宋_GB2312" w:cs="Times New Roman"/>
          <w:sz w:val="32"/>
          <w:szCs w:val="32"/>
        </w:rPr>
        <w:t>人次，主要是</w:t>
      </w:r>
      <w:r>
        <w:rPr>
          <w:rFonts w:hint="eastAsia" w:ascii="Times New Roman" w:hAnsi="Times New Roman" w:eastAsia="仿宋_GB2312"/>
          <w:sz w:val="32"/>
          <w:szCs w:val="32"/>
        </w:rPr>
        <w:t>县市区汇报、</w:t>
      </w:r>
      <w:r>
        <w:rPr>
          <w:rFonts w:hint="eastAsia" w:ascii="Times New Roman" w:hAnsi="Times New Roman" w:eastAsia="仿宋_GB2312"/>
          <w:sz w:val="32"/>
          <w:szCs w:val="32"/>
          <w:lang w:val="en-US" w:eastAsia="zh-CN"/>
        </w:rPr>
        <w:t>业务咨询、</w:t>
      </w:r>
      <w:r>
        <w:rPr>
          <w:rFonts w:hint="eastAsia" w:ascii="Times New Roman" w:hAnsi="Times New Roman" w:eastAsia="仿宋_GB2312"/>
          <w:sz w:val="32"/>
          <w:szCs w:val="32"/>
        </w:rPr>
        <w:t>衔接工作发生的接待支出。</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2024年本</w:t>
      </w:r>
      <w:r>
        <w:rPr>
          <w:rFonts w:ascii="Times New Roman" w:hAnsi="Times New Roman" w:eastAsia="仿宋_GB2312" w:cs="Times New Roman"/>
          <w:sz w:val="32"/>
          <w:szCs w:val="32"/>
        </w:rPr>
        <w:t>单位无政府性基金收支</w:t>
      </w:r>
      <w:r>
        <w:rPr>
          <w:rFonts w:hint="eastAsia" w:ascii="Times New Roman" w:hAnsi="Times New Roman" w:eastAsia="仿宋_GB2312" w:cs="Times New Roman"/>
          <w:sz w:val="32"/>
          <w:szCs w:val="32"/>
          <w:lang w:eastAsia="zh-CN"/>
        </w:rPr>
        <w:t>。</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cs="Times New Roman"/>
          <w:sz w:val="32"/>
          <w:szCs w:val="32"/>
        </w:rPr>
        <w:t>本部门2024年度机关运行经费支出</w:t>
      </w:r>
      <w:r>
        <w:rPr>
          <w:rFonts w:hint="eastAsia" w:ascii="Times New Roman" w:hAnsi="Times New Roman" w:eastAsia="仿宋_GB2312" w:cs="Times New Roman"/>
          <w:sz w:val="32"/>
          <w:szCs w:val="32"/>
          <w:lang w:val="en-US" w:eastAsia="zh-CN"/>
        </w:rPr>
        <w:t>108.60</w:t>
      </w:r>
      <w:r>
        <w:rPr>
          <w:rFonts w:ascii="Times New Roman" w:hAnsi="Times New Roman" w:eastAsia="仿宋_GB2312" w:cs="Times New Roman"/>
          <w:sz w:val="32"/>
          <w:szCs w:val="32"/>
        </w:rPr>
        <w:t>万元，比年初预算数减少</w:t>
      </w:r>
      <w:r>
        <w:rPr>
          <w:rFonts w:hint="eastAsia" w:ascii="Times New Roman" w:hAnsi="Times New Roman" w:eastAsia="仿宋_GB2312" w:cs="Times New Roman"/>
          <w:sz w:val="32"/>
          <w:szCs w:val="32"/>
          <w:lang w:val="en-US" w:eastAsia="zh-CN"/>
        </w:rPr>
        <w:t>9.93</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8.38</w:t>
      </w:r>
      <w:r>
        <w:rPr>
          <w:rFonts w:ascii="Times New Roman" w:hAnsi="Times New Roman" w:eastAsia="仿宋_GB2312" w:cs="Times New Roman"/>
          <w:sz w:val="32"/>
          <w:szCs w:val="32"/>
        </w:rPr>
        <w:t>%。主要原因是：</w:t>
      </w:r>
      <w:r>
        <w:rPr>
          <w:rFonts w:hint="eastAsia" w:ascii="Times New Roman" w:hAnsi="Times New Roman" w:eastAsia="仿宋_GB2312"/>
          <w:sz w:val="32"/>
          <w:szCs w:val="32"/>
        </w:rPr>
        <w:t>贯彻中央“八项规定”精神和厉行节约要求，压减经费。</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2024年本部门开支会议费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rPr>
        <w:t>开支培训费</w:t>
      </w:r>
      <w:r>
        <w:rPr>
          <w:rFonts w:hint="eastAsia" w:ascii="Times New Roman" w:hAnsi="Times New Roman" w:eastAsia="仿宋_GB2312" w:cs="Times New Roman"/>
          <w:sz w:val="32"/>
          <w:szCs w:val="32"/>
          <w:lang w:val="en-US" w:eastAsia="zh-CN"/>
        </w:rPr>
        <w:t>84.70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用于开展下列培训：</w:t>
      </w:r>
    </w:p>
    <w:p>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bookmarkStart w:id="3" w:name="_GoBack"/>
      <w:bookmarkEnd w:id="3"/>
      <w:r>
        <w:rPr>
          <w:rFonts w:hint="eastAsia" w:ascii="Times New Roman" w:hAnsi="Times New Roman" w:eastAsia="仿宋_GB2312" w:cs="Times New Roman"/>
          <w:sz w:val="32"/>
          <w:szCs w:val="32"/>
          <w:lang w:val="en-US" w:eastAsia="zh-CN"/>
        </w:rPr>
        <w:t>1、农村土地仲裁业务骨干培训，人数150人，内容为解读仲裁法律知识；农村土地承包经营纠纷典型案例分析；纠纷调解仲裁原则与技巧；农村土地承包经营相关政策解读；纠纷调解仲裁理论考试。金额：18.64万元</w:t>
      </w:r>
    </w:p>
    <w:p>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平安建设农村土地承包经营纠纷调解仲裁考评资料预评审培训，人数149人，内容为农村土地承包经营纠纷调解仲裁体系建设与考评；文书制作实物操作要点；资料归档整理要求；指标修订情况说明；评审资料审核整理；评审资料审核提交。金额：37.13万元</w:t>
      </w:r>
    </w:p>
    <w:p>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全省农民合作社理事长培训，人数190人，内容为解读合作社相关政策与发展形势；农村合作社财务制度与会计制度要点解析；农产品品牌建设与产销对接创新；农业经理人培育；优秀农村合作社发展经验。金额：15.65万元</w:t>
      </w:r>
    </w:p>
    <w:p>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全省农民合作社辅导员培训班费用，人数165人，内容为解读相关政策与发展形势；《农民专业合作社财务制度》和《农民专业合作社会计制度》解读；家族农场高质量发展与农业经理人培育；“千员带万社”政策文件解读；完善现代化农业经营体系政策解读。金额：13.27万元</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未</w:t>
      </w:r>
      <w:r>
        <w:rPr>
          <w:rFonts w:ascii="Times New Roman" w:hAnsi="Times New Roman" w:eastAsia="仿宋_GB2312" w:cs="Times New Roman"/>
          <w:sz w:val="32"/>
          <w:szCs w:val="32"/>
        </w:rPr>
        <w:t>举办节庆、晚会、论坛、赛事活动。</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119.41</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6.91</w:t>
      </w:r>
      <w:r>
        <w:rPr>
          <w:rFonts w:ascii="Times New Roman" w:hAnsi="Times New Roman" w:eastAsia="仿宋_GB2312" w:cs="Times New Roman"/>
          <w:sz w:val="32"/>
          <w:szCs w:val="32"/>
        </w:rPr>
        <w:t xml:space="preserve"> 万元、政府采购工程支出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112.49</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119.41</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119.41</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%，服务采购授予中小企业合同金额占服务支出金额的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截至2024年12月31日，单位共有车辆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辆；单位价值100万元以上设备（不含车辆）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台（套）。</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4</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232.17</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4</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232.17</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33.10</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p>
    <w:p>
      <w:pPr>
        <w:pStyle w:val="16"/>
        <w:spacing w:line="600" w:lineRule="exact"/>
        <w:ind w:firstLine="640" w:firstLineChars="200"/>
        <w:jc w:val="both"/>
        <w:rPr>
          <w:rFonts w:ascii="仿宋" w:hAnsi="仿宋" w:eastAsia="仿宋" w:cs="仿宋"/>
          <w:b w:val="0"/>
          <w:bCs w:val="0"/>
          <w:sz w:val="32"/>
          <w:szCs w:val="32"/>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915.79</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701.44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76.59</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97.66</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w:t>
      </w:r>
      <w:r>
        <w:rPr>
          <w:rFonts w:hint="eastAsia" w:ascii="Times New Roman" w:hAnsi="Times New Roman" w:eastAsia="仿宋_GB2312" w:cs="Times New Roman"/>
          <w:b w:val="0"/>
          <w:bCs w:val="0"/>
          <w:sz w:val="32"/>
          <w:szCs w:val="32"/>
          <w:lang w:val="en-US" w:eastAsia="zh-CN"/>
        </w:rPr>
        <w:t>一是</w:t>
      </w:r>
      <w:r>
        <w:rPr>
          <w:rFonts w:hint="eastAsia" w:ascii="楷体" w:hAnsi="楷体" w:eastAsia="楷体" w:cs="仿宋"/>
          <w:b w:val="0"/>
          <w:bCs w:val="0"/>
          <w:sz w:val="32"/>
          <w:szCs w:val="32"/>
        </w:rPr>
        <w:t>主动作为夯基础，宅基地管理工作机制不断健全。</w:t>
      </w:r>
      <w:r>
        <w:rPr>
          <w:rFonts w:hint="eastAsia" w:ascii="仿宋" w:hAnsi="仿宋" w:eastAsia="仿宋" w:cs="仿宋"/>
          <w:b w:val="0"/>
          <w:bCs w:val="0"/>
          <w:sz w:val="32"/>
          <w:szCs w:val="32"/>
        </w:rPr>
        <w:t>一是提升便民服务水平。顺应形势变化，积极主动作为，加强与省自然资源厅、省住房和城乡建设厅联系协调，理顺宅基地管理工作职责，确保了农村宅基地管理工作的连续性和稳定性。三厅联合印发了《关于进一步规范农村村民住房建设管理的十条措施》，着力解决农村村民建房审批慢、用地保障难、负担重等问题。强化属地管理责任，健全“市县主导、乡镇主责、村级主体”的管理机制，严格落实动态巡查、三到场、建房公示、有奖举报等制度，全省1749个乡镇（街道）建立“一站式”联审联办窗口，鼓励村级为农民提供代办服务。在全国率先将农村建房纳入“高效办成一件事”试点，落实审批方式多元化、办事流程最优化、办事材料最简化、办事成本最小化、最大限度便民化“五化”目标，试点改革后最长办理时限11天，较常规办理减少20天；农民提交申报材料由11份减少至4份，农民跑动由4次减少至1次，极大提升了农民群众的幸福感、获得感。全年线上线下共受理农村宅基地申请</w:t>
      </w:r>
      <w:r>
        <w:rPr>
          <w:rFonts w:ascii="仿宋" w:hAnsi="仿宋" w:eastAsia="仿宋" w:cs="仿宋"/>
          <w:b w:val="0"/>
          <w:bCs w:val="0"/>
          <w:sz w:val="32"/>
          <w:szCs w:val="32"/>
        </w:rPr>
        <w:t>92751</w:t>
      </w:r>
      <w:r>
        <w:rPr>
          <w:rFonts w:hint="eastAsia" w:ascii="仿宋" w:hAnsi="仿宋" w:eastAsia="仿宋" w:cs="仿宋"/>
          <w:b w:val="0"/>
          <w:bCs w:val="0"/>
          <w:sz w:val="32"/>
          <w:szCs w:val="32"/>
        </w:rPr>
        <w:t>宗，审核批准</w:t>
      </w:r>
      <w:r>
        <w:rPr>
          <w:rFonts w:ascii="仿宋" w:hAnsi="仿宋" w:eastAsia="仿宋" w:cs="仿宋"/>
          <w:b w:val="0"/>
          <w:bCs w:val="0"/>
          <w:sz w:val="32"/>
          <w:szCs w:val="32"/>
        </w:rPr>
        <w:t>89978</w:t>
      </w:r>
      <w:r>
        <w:rPr>
          <w:rFonts w:hint="eastAsia" w:ascii="仿宋" w:hAnsi="仿宋" w:eastAsia="仿宋" w:cs="仿宋"/>
          <w:b w:val="0"/>
          <w:bCs w:val="0"/>
          <w:sz w:val="32"/>
          <w:szCs w:val="32"/>
        </w:rPr>
        <w:t>宗，审批率达</w:t>
      </w:r>
      <w:r>
        <w:rPr>
          <w:rFonts w:ascii="仿宋" w:hAnsi="仿宋" w:eastAsia="仿宋" w:cs="仿宋"/>
          <w:b w:val="0"/>
          <w:bCs w:val="0"/>
          <w:sz w:val="32"/>
          <w:szCs w:val="32"/>
        </w:rPr>
        <w:t>97.01</w:t>
      </w:r>
      <w:r>
        <w:rPr>
          <w:rFonts w:hint="eastAsia" w:ascii="仿宋" w:hAnsi="仿宋" w:eastAsia="仿宋" w:cs="仿宋"/>
          <w:b w:val="0"/>
          <w:bCs w:val="0"/>
          <w:sz w:val="32"/>
          <w:szCs w:val="32"/>
        </w:rPr>
        <w:t>%。盘活闲置宅基地和闲置农房。联合湖南农大对凤凰县盘活利用农村闲置宅基地进行“解剖麻雀式”调研，撰写了高质量的调研报告，省委常委、常务副省长张迎春作出重要批示。指导长沙市积极推进农村闲置宅基地和闲置农房盘活利用工作，收集推介了岳阳市开展废旧“空心房”整治、桃花源管理区汤家山村组建农宅合作社发展民宿经济、韶山市银田村利用闲置宅基地和闲置农房发展特色产业等典型案例。据不完全统计，今年全省各地通过发展乡村旅游、餐饮民宿等二三产业，共盘活闲置宅基地 9876宗，创收 63.26亿元；有偿使用宅基地16014宗，带动村集体增收688万元。建设智慧化监管体系。推动各地强化科技支撑，利用卫星遥感、无人机、地面视频等监测手段，构建信息化监测网络，并结合实地暗访督察强化监管。指导岳阳市全域开展农村宅基地审批系统推广应用试点，依托系统提供宅基地审批和建房规划许可等服务，逐步实现业务流、数据流的全程网络化、数字化操作。结合农业综合执法改革，推动乡镇建立农村宅基地专项执法队伍，将宅基地管理纳入村规民约，实施村民建房行政审批监管和综合执法，对典型案件发现一起、查处一起，形成强大震慑作用</w:t>
      </w:r>
      <w:r>
        <w:rPr>
          <w:rFonts w:ascii="Times New Roman" w:hAnsi="Times New Roman" w:eastAsia="仿宋_GB2312" w:cs="Times New Roman"/>
          <w:b w:val="0"/>
          <w:bCs w:val="0"/>
          <w:sz w:val="32"/>
          <w:szCs w:val="32"/>
        </w:rPr>
        <w:t>；二是</w:t>
      </w:r>
      <w:r>
        <w:rPr>
          <w:rFonts w:hint="eastAsia" w:ascii="楷体" w:hAnsi="楷体" w:eastAsia="楷体" w:cs="仿宋"/>
          <w:b w:val="0"/>
          <w:bCs w:val="0"/>
          <w:sz w:val="32"/>
          <w:szCs w:val="32"/>
        </w:rPr>
        <w:t>攻坚克难抓整治，专项试点任务圆满完成。</w:t>
      </w:r>
      <w:r>
        <w:rPr>
          <w:rFonts w:hint="eastAsia" w:ascii="仿宋" w:hAnsi="仿宋" w:eastAsia="仿宋" w:cs="仿宋"/>
          <w:b w:val="0"/>
          <w:bCs w:val="0"/>
          <w:sz w:val="32"/>
          <w:szCs w:val="32"/>
        </w:rPr>
        <w:t>今年是农村乱占耕地建房专项整治试点的收官之年。针对4个试点县的工作基础、制约瓶颈、进展情况，坚持因地制宜、靶向施策、分类推进。对工作基础较好的宁远县、汩罗市，突出查漏洞、提质效、固优势，实现百尺竿头更进一步；对工作基础较差的凤凰县、浏阳市，突出抓重点、补短板、强弱项，确保专项整治工作不掉队。比如，凤凰县5月底时工作进度不理想，我们指导凤凰县明确由县委副书记统筹抓总，建立健全自然资源、农业农村、经管等部门协同作战的工作机制，并组织技术人员对所有图斑重新进行测绘调查，设立了财政专项资金，有效解决了部门配合不力、资金投入不足、工作业绩不佳等问题，推动凤凰县整治工作由后进变先进。又比如，将浏阳市作为重点帮扶对象，派出工作队和技术员驻点指导，聚焦其思想认识有误差、政策执行有偏差、整治工作有落差等问题，深入开展宣传教育、政策解读、实地督导工作，手把手教、点对点帮，所有图斑基本销号。截止目前，我省4个专项整治试点县整治任务图斑，已认定销号10948宗，完成整治率100%</w:t>
      </w:r>
      <w:r>
        <w:rPr>
          <w:rFonts w:hint="eastAsia" w:ascii="仿宋" w:hAnsi="仿宋" w:eastAsia="仿宋" w:cs="仿宋"/>
          <w:b w:val="0"/>
          <w:bCs w:val="0"/>
          <w:sz w:val="32"/>
          <w:szCs w:val="32"/>
          <w:lang w:val="en-US" w:eastAsia="zh-CN"/>
        </w:rPr>
        <w:t>；三是</w:t>
      </w:r>
      <w:r>
        <w:rPr>
          <w:rFonts w:hint="eastAsia" w:ascii="楷体" w:hAnsi="楷体" w:eastAsia="楷体" w:cs="仿宋"/>
          <w:b w:val="0"/>
          <w:bCs w:val="0"/>
          <w:sz w:val="32"/>
          <w:szCs w:val="32"/>
        </w:rPr>
        <w:t>积极稳慎推改革，农村宅基地改革试点全面收官。</w:t>
      </w:r>
      <w:r>
        <w:rPr>
          <w:rFonts w:hint="eastAsia" w:ascii="仿宋" w:hAnsi="仿宋" w:eastAsia="仿宋" w:cs="仿宋"/>
          <w:b w:val="0"/>
          <w:bCs w:val="0"/>
          <w:sz w:val="32"/>
          <w:szCs w:val="32"/>
        </w:rPr>
        <w:t>对标中央部署要求，凝心聚力抓改革，今年5月省委、省政府向党中央、国务院提交了本轮改革试点的工作报告。调查摸底打基础。重点抓好调查摸底、村庄规划等工作，4个试点县（市）共摸清71万宗宅基地的基础信息，“多规合一”村庄规划实现全覆盖，化解历史遗留问题6万多宗。改进管理建机制。4个试点县（市）深入开展技术创新、市场创新、整治创新、管理创新和收益创新“五新”探索，共出台了宅基地资格权认定与保障、使用权流转、使用权抵押、有偿退出、有偿使用、闲置盘活、收益分配、审批管理等37个指导意见或管理办法，为全省面上推开提供了可复制经验。大胆探索创新路。聚焦释放宅基地财产功能，开展了多方面探索。比如，汩罗市探索了有偿退出模式，对自愿退出的农户，采取“留权不留地”等方式，在10年内保留其宅基地申请权利，全市共有134户农民自愿有偿退出农村宅基地，节约集约土地2.25万平方米。又如浏阳市探索城镇规划建设范围外的宅基地，通过有偿使用、择位竞价，向县域内符合宅基地资格的农户流转，共异地流转宅基地2970宗498亩。</w:t>
      </w:r>
      <w:r>
        <w:rPr>
          <w:rFonts w:hint="eastAsia" w:ascii="仿宋" w:hAnsi="仿宋" w:eastAsia="仿宋" w:cs="仿宋"/>
          <w:b w:val="0"/>
          <w:bCs w:val="0"/>
          <w:sz w:val="32"/>
          <w:szCs w:val="32"/>
          <w:lang w:val="en-US" w:eastAsia="zh-CN"/>
        </w:rPr>
        <w:t>四是</w:t>
      </w:r>
      <w:r>
        <w:rPr>
          <w:rFonts w:hint="eastAsia" w:ascii="楷体" w:hAnsi="楷体" w:eastAsia="楷体" w:cs="仿宋"/>
          <w:b w:val="0"/>
          <w:bCs w:val="0"/>
          <w:sz w:val="32"/>
          <w:szCs w:val="32"/>
        </w:rPr>
        <w:t>全力以赴守底线，新增乱占耕地建房图斑基本销号。</w:t>
      </w:r>
      <w:r>
        <w:rPr>
          <w:rFonts w:hint="eastAsia" w:ascii="仿宋" w:hAnsi="仿宋" w:eastAsia="仿宋" w:cs="仿宋"/>
          <w:b w:val="0"/>
          <w:bCs w:val="0"/>
          <w:sz w:val="32"/>
          <w:szCs w:val="32"/>
        </w:rPr>
        <w:t>认真落实建球厅长对农村乱占耕地建住房问题批示指示，研究制定具体措施，坚决遏制农村新增乱占耕地建房行为。压实责任抓整治。建立了国家自然资源督察问题图斑整改工作日调度制度，及时调度情况，层层传导压力。今年3月，组织召开了农村乱占耕地建住房问题图斑整改工作调度会，对整改进度靠后的8个市州、15县市区政府分管负责同志和农业农村局局长进行了约谈，督促对标对表，狠抓问题图斑整改落实。年前，将再次对新增农村乱占耕地建房和违法占用耕地问题整治不力的部分市县开展警示约谈。分工协作抓整治。与省自然资源厅建立了联合通报、联合督察督导、联合警示约谈、联合挂牌督办、联合移送移交等五项联合工作机制，并联合下发了《关于坚决遏制新增农村乱占耕地建房问题的通知》，明确自然资源部门、农业农村部门分别负责非住宅类、住宅类问题图斑整治，既加强联合部署，又坚持分头推进，汇聚了强大工作合力。分类施策抓整治。将农村乱占耕地建房图斑整治纳入耕地保护和粮食安全考核范畴，督促市县压实工作责任，紧扣时间节点，按已调规、预调出或部分调出、城镇规划区内的图斑分类施策，狠抓整改落实。如邵阳县县委、县政府高度重视，县委书记在全县乡镇党政主要负责人会议上亲自部署安排，交办的111宗图斑全部完成整改销号。据自然资源督察武汉局反馈，截止2</w:t>
      </w:r>
      <w:r>
        <w:rPr>
          <w:rFonts w:ascii="仿宋" w:hAnsi="仿宋" w:eastAsia="仿宋" w:cs="仿宋"/>
          <w:b w:val="0"/>
          <w:bCs w:val="0"/>
          <w:sz w:val="32"/>
          <w:szCs w:val="32"/>
        </w:rPr>
        <w:t>024</w:t>
      </w:r>
      <w:r>
        <w:rPr>
          <w:rFonts w:hint="eastAsia" w:ascii="仿宋" w:hAnsi="仿宋" w:eastAsia="仿宋" w:cs="仿宋"/>
          <w:b w:val="0"/>
          <w:bCs w:val="0"/>
          <w:sz w:val="32"/>
          <w:szCs w:val="32"/>
        </w:rPr>
        <w:t>年底，2022、2023年问题图斑已经分别整改销号496个、563个，整改销号率分别为91%、80.31%，整体整改进度比上年提高近20个百分点；历年部卫片执法发现的217个问题图斑整，目前已整改到位185个，正持续推进整改32个</w:t>
      </w:r>
      <w:r>
        <w:rPr>
          <w:rFonts w:hint="eastAsia" w:ascii="仿宋" w:hAnsi="仿宋" w:eastAsia="仿宋" w:cs="仿宋"/>
          <w:b w:val="0"/>
          <w:bCs w:val="0"/>
          <w:sz w:val="32"/>
          <w:szCs w:val="32"/>
          <w:lang w:val="en-US" w:eastAsia="zh-CN"/>
        </w:rPr>
        <w:t>；五是</w:t>
      </w:r>
      <w:r>
        <w:rPr>
          <w:rFonts w:hint="eastAsia" w:ascii="楷体" w:hAnsi="楷体" w:eastAsia="楷体" w:cs="仿宋"/>
          <w:b w:val="0"/>
          <w:bCs w:val="0"/>
          <w:sz w:val="32"/>
          <w:szCs w:val="32"/>
        </w:rPr>
        <w:t>擦亮品牌树形象，农村土地仲裁工作再创佳绩。</w:t>
      </w:r>
      <w:r>
        <w:rPr>
          <w:rFonts w:hint="eastAsia" w:ascii="仿宋" w:hAnsi="仿宋" w:eastAsia="仿宋" w:cs="仿宋"/>
          <w:b w:val="0"/>
          <w:bCs w:val="0"/>
          <w:sz w:val="32"/>
          <w:szCs w:val="32"/>
        </w:rPr>
        <w:t>持续完善县、乡、村三级农村土地承包纠纷调解体系，全省共设有县级仲裁委员会120个、乡镇调解委员会1751个、村级调解小组25509个，聘用仲裁员2776人、调解员77736人，构建了“乡村调解、县级仲裁、司法保障”的矛盾纠纷化解机制纠纷调处机制。各级调解仲裁机构依法规范程序，认真调查取证，公正客观裁决，形成土地承包纠纷化解工作闭环，提升了司法公信力，有效维护当事人的合法权益。 2024年全省调解、仲裁农村土地承包纠纷5606件，案件完结率100%，从源头上有效控制和减少上访、诉讼案件，缓解信访工作压力，维护了农村稳定。农村土地承包纠纷调解仲裁我厅唯一一项列入全国综治考评的内容。3月31日湖南日报头版刊发了《化解农村土地承包经营纠纷 湖南连续8年获评全国先进》的文章。目前，我站根据中央综治委、农业农村部和省综治委的部署安排，已组织对14个市州的仲裁工作进行了资料收集和整理，待农业农村部和省平安办考评细则出台后，将对市州进行考评，力争今年在全国的考评中继续保持全国第一等次。</w:t>
      </w:r>
    </w:p>
    <w:p>
      <w:pPr>
        <w:widowControl/>
        <w:spacing w:line="600" w:lineRule="exact"/>
        <w:ind w:firstLine="645"/>
        <w:jc w:val="left"/>
        <w:rPr>
          <w:rFonts w:hint="eastAsia" w:eastAsia="仿宋_GB2312"/>
          <w:color w:val="auto"/>
          <w:sz w:val="32"/>
          <w:szCs w:val="32"/>
          <w:lang w:val="en-US" w:eastAsia="zh-CN"/>
        </w:rPr>
      </w:pPr>
      <w:r>
        <w:rPr>
          <w:rFonts w:ascii="Times New Roman" w:hAnsi="Times New Roman" w:eastAsia="楷体_GB2312" w:cs="Times New Roman"/>
          <w:b/>
          <w:bCs/>
          <w:sz w:val="32"/>
          <w:szCs w:val="32"/>
        </w:rPr>
        <w:t>（三）评价结果应用情况。</w:t>
      </w:r>
      <w:r>
        <w:rPr>
          <w:rFonts w:hint="eastAsia" w:eastAsia="仿宋_GB2312"/>
          <w:color w:val="auto"/>
          <w:sz w:val="32"/>
          <w:szCs w:val="32"/>
          <w:lang w:val="en-US" w:eastAsia="zh-CN"/>
        </w:rPr>
        <w:t>我站将对评价中发现的问题，及时进行督促整改。加强预算管理意识，严格按照预算编制的相关制度和要求，结合年度收支计划，科学编制预算，遵循预算管理办法。</w:t>
      </w:r>
    </w:p>
    <w:p>
      <w:pPr>
        <w:pStyle w:val="16"/>
        <w:overflowPunct w:val="0"/>
        <w:autoSpaceDE/>
        <w:autoSpaceDN/>
        <w:spacing w:line="600" w:lineRule="exact"/>
        <w:ind w:firstLine="1440" w:firstLineChars="200"/>
        <w:jc w:val="both"/>
        <w:rPr>
          <w:rFonts w:ascii="Times New Roman" w:hAnsi="Times New Roman" w:eastAsia="仿宋_GB2312" w:cs="Times New Roman"/>
          <w:b w:val="0"/>
          <w:bCs w:val="0"/>
          <w:color w:val="auto"/>
          <w:sz w:val="72"/>
          <w:szCs w:val="72"/>
        </w:rPr>
      </w:pPr>
    </w:p>
    <w:p>
      <w:pPr>
        <w:pStyle w:val="16"/>
        <w:jc w:val="center"/>
        <w:rPr>
          <w:rFonts w:ascii="Times New Roman" w:hAnsi="Times New Roman" w:cs="Times New Roman"/>
          <w:b w:val="0"/>
          <w:bCs w:val="0"/>
          <w:sz w:val="72"/>
          <w:szCs w:val="72"/>
        </w:rPr>
      </w:pPr>
    </w:p>
    <w:p>
      <w:pPr>
        <w:pStyle w:val="16"/>
        <w:jc w:val="center"/>
        <w:rPr>
          <w:rFonts w:ascii="Times New Roman" w:hAnsi="Times New Roman" w:cs="Times New Roman"/>
          <w:b w:val="0"/>
          <w:bCs w:val="0"/>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pStyle w:val="16"/>
        <w:ind w:firstLine="600" w:firstLineChars="20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一、</w:t>
      </w:r>
      <w:r>
        <w:rPr>
          <w:rFonts w:hint="eastAsia" w:ascii="Times New Roman" w:hAnsi="仿宋" w:eastAsia="仿宋" w:cs="Times New Roman"/>
          <w:color w:val="000000" w:themeColor="text1"/>
          <w:sz w:val="30"/>
          <w:szCs w:val="30"/>
          <w14:textFill>
            <w14:solidFill>
              <w14:schemeClr w14:val="tx1"/>
            </w14:solidFill>
          </w14:textFill>
        </w:rPr>
        <w:t>基</w:t>
      </w:r>
      <w:r>
        <w:rPr>
          <w:rFonts w:ascii="Times New Roman" w:hAnsi="仿宋" w:eastAsia="仿宋" w:cs="Times New Roman"/>
          <w:color w:val="000000" w:themeColor="text1"/>
          <w:sz w:val="30"/>
          <w:szCs w:val="30"/>
          <w14:textFill>
            <w14:solidFill>
              <w14:schemeClr w14:val="tx1"/>
            </w14:solidFill>
          </w14:textFill>
        </w:rPr>
        <w:t>本支出：指为保障机构正常运转、完成日常工作任务而 发生的各项支出，包括人员支出和公用支出。</w:t>
      </w:r>
    </w:p>
    <w:p>
      <w:pPr>
        <w:pStyle w:val="16"/>
        <w:ind w:firstLine="450" w:firstLineChars="15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二、</w:t>
      </w:r>
      <w:r>
        <w:rPr>
          <w:rFonts w:ascii="Times New Roman" w:hAnsi="仿宋" w:eastAsia="仿宋" w:cs="Times New Roman"/>
          <w:color w:val="000000" w:themeColor="text1"/>
          <w:sz w:val="30"/>
          <w:szCs w:val="30"/>
          <w14:textFill>
            <w14:solidFill>
              <w14:schemeClr w14:val="tx1"/>
            </w14:solidFill>
          </w14:textFill>
        </w:rPr>
        <w:t xml:space="preserve"> 项目支出：指在基本支出以外为完成相关行政任务和事业 发展目标所发生的各项支出。 </w:t>
      </w:r>
    </w:p>
    <w:p>
      <w:pPr>
        <w:pStyle w:val="16"/>
        <w:ind w:firstLine="600" w:firstLineChars="200"/>
        <w:rPr>
          <w:rFonts w:ascii="仿宋" w:hAnsi="仿宋" w:eastAsia="仿宋"/>
          <w:bCs/>
          <w:sz w:val="32"/>
          <w:szCs w:val="32"/>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三、</w:t>
      </w:r>
      <w:r>
        <w:rPr>
          <w:rFonts w:hint="eastAsia" w:ascii="仿宋" w:hAnsi="仿宋" w:eastAsia="仿宋" w:cs="黑体"/>
          <w:bCs/>
          <w:color w:val="000000"/>
          <w:kern w:val="0"/>
          <w:sz w:val="32"/>
          <w:szCs w:val="32"/>
          <w:lang w:val="en-US" w:eastAsia="zh-CN" w:bidi="ar-SA"/>
        </w:rPr>
        <w:t>“三公”经费:纳入省财政预算管理的“三</w:t>
      </w:r>
      <w:r>
        <w:rPr>
          <w:rFonts w:hint="eastAsia" w:ascii="仿宋" w:hAnsi="仿宋" w:eastAsia="仿宋"/>
          <w:bCs/>
          <w:sz w:val="32"/>
          <w:szCs w:val="32"/>
        </w:rPr>
        <w:t>公</w:t>
      </w:r>
      <w:r>
        <w:rPr>
          <w:rFonts w:hint="eastAsia" w:ascii="仿宋" w:hAnsi="仿宋" w:eastAsia="仿宋"/>
          <w:bCs/>
          <w:sz w:val="32"/>
          <w:szCs w:val="32"/>
          <w:lang w:eastAsia="zh-CN"/>
        </w:rPr>
        <w:t>”</w:t>
      </w:r>
      <w:r>
        <w:rPr>
          <w:rFonts w:hint="eastAsia" w:ascii="仿宋" w:hAnsi="仿宋" w:eastAsia="仿宋"/>
          <w:bCs/>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ind w:firstLine="600" w:firstLineChars="200"/>
        <w:jc w:val="left"/>
        <w:rPr>
          <w:rFonts w:ascii="黑体" w:eastAsia="黑体" w:cs="黑体"/>
          <w:color w:val="000000" w:themeColor="text1"/>
          <w:kern w:val="0"/>
          <w:sz w:val="70"/>
          <w:szCs w:val="7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四、</w:t>
      </w:r>
      <w:r>
        <w:rPr>
          <w:rFonts w:ascii="Times New Roman" w:hAnsi="仿宋" w:eastAsia="仿宋" w:cs="Times New Roman"/>
          <w:color w:val="000000" w:themeColor="text1"/>
          <w:sz w:val="30"/>
          <w:szCs w:val="30"/>
          <w14:textFill>
            <w14:solidFill>
              <w14:schemeClr w14:val="tx1"/>
            </w14:solidFill>
          </w14:textFill>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both"/>
        <w:rPr>
          <w:rFonts w:ascii="Times New Roman" w:hAnsi="Times New Roman" w:cs="Times New Roman"/>
          <w:sz w:val="72"/>
          <w:szCs w:val="72"/>
        </w:rPr>
      </w:pP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pStyle w:val="16"/>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一、</w:t>
      </w:r>
      <w:r>
        <w:rPr>
          <w:rFonts w:ascii="Times New Roman" w:hAnsi="Times New Roman" w:eastAsia="仿宋_GB2312" w:cs="Times New Roman"/>
          <w:sz w:val="32"/>
          <w:szCs w:val="32"/>
        </w:rPr>
        <w:t>2024年度部门(单位)整体支出绩效自评报告。</w:t>
      </w: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jc w:val="center"/>
        <w:rPr>
          <w:rFonts w:eastAsia="方正小标宋_GBK"/>
          <w:sz w:val="48"/>
          <w:szCs w:val="48"/>
        </w:rPr>
      </w:pPr>
    </w:p>
    <w:p>
      <w:pPr>
        <w:jc w:val="center"/>
        <w:rPr>
          <w:rFonts w:eastAsia="方正小标宋_GBK"/>
          <w:sz w:val="48"/>
          <w:szCs w:val="48"/>
        </w:rPr>
      </w:pPr>
    </w:p>
    <w:p>
      <w:pPr>
        <w:jc w:val="center"/>
        <w:rPr>
          <w:rFonts w:eastAsia="方正小标宋_GBK"/>
          <w:sz w:val="72"/>
          <w:szCs w:val="72"/>
        </w:rPr>
      </w:pPr>
      <w:r>
        <w:rPr>
          <w:rFonts w:hint="eastAsia" w:eastAsia="方正小标宋_GBK"/>
          <w:sz w:val="72"/>
          <w:szCs w:val="72"/>
        </w:rPr>
        <w:t>2024</w:t>
      </w:r>
      <w:r>
        <w:rPr>
          <w:rFonts w:eastAsia="方正小标宋_GBK"/>
          <w:sz w:val="72"/>
          <w:szCs w:val="72"/>
        </w:rPr>
        <w:t>年度部门整体支出</w:t>
      </w:r>
    </w:p>
    <w:p>
      <w:pPr>
        <w:jc w:val="center"/>
        <w:rPr>
          <w:rFonts w:eastAsia="方正小标宋_GBK"/>
          <w:sz w:val="72"/>
          <w:szCs w:val="72"/>
        </w:rPr>
      </w:pPr>
      <w:r>
        <w:rPr>
          <w:rFonts w:eastAsia="方正小标宋_GBK"/>
          <w:sz w:val="72"/>
          <w:szCs w:val="72"/>
        </w:rPr>
        <w:t>绩效自评报告</w:t>
      </w:r>
    </w:p>
    <w:p>
      <w:pPr>
        <w:jc w:val="center"/>
        <w:rPr>
          <w:rFonts w:eastAsia="黑体"/>
          <w:szCs w:val="32"/>
        </w:rPr>
      </w:pPr>
    </w:p>
    <w:p>
      <w:pPr>
        <w:jc w:val="center"/>
        <w:rPr>
          <w:rFonts w:eastAsia="黑体"/>
          <w:szCs w:val="32"/>
        </w:rPr>
      </w:pPr>
    </w:p>
    <w:p>
      <w:pPr>
        <w:jc w:val="center"/>
        <w:rPr>
          <w:rFonts w:eastAsia="黑体"/>
          <w:szCs w:val="32"/>
        </w:rPr>
      </w:pPr>
    </w:p>
    <w:p>
      <w:pPr>
        <w:jc w:val="center"/>
        <w:rPr>
          <w:rFonts w:eastAsia="黑体"/>
          <w:szCs w:val="32"/>
        </w:rPr>
      </w:pPr>
    </w:p>
    <w:p>
      <w:pPr>
        <w:jc w:val="center"/>
        <w:rPr>
          <w:rFonts w:eastAsia="黑体"/>
          <w:szCs w:val="32"/>
        </w:rPr>
      </w:pPr>
    </w:p>
    <w:p>
      <w:pPr>
        <w:jc w:val="center"/>
        <w:rPr>
          <w:rFonts w:eastAsia="黑体"/>
          <w:szCs w:val="32"/>
        </w:rPr>
      </w:pPr>
    </w:p>
    <w:p>
      <w:pPr>
        <w:jc w:val="center"/>
        <w:rPr>
          <w:rFonts w:eastAsia="黑体"/>
          <w:sz w:val="44"/>
          <w:szCs w:val="44"/>
        </w:rPr>
      </w:pPr>
    </w:p>
    <w:p>
      <w:pPr>
        <w:jc w:val="center"/>
        <w:rPr>
          <w:rFonts w:eastAsia="黑体"/>
          <w:sz w:val="44"/>
          <w:szCs w:val="44"/>
        </w:rPr>
      </w:pPr>
    </w:p>
    <w:p>
      <w:pPr>
        <w:jc w:val="center"/>
        <w:rPr>
          <w:rFonts w:eastAsia="黑体"/>
          <w:sz w:val="44"/>
          <w:szCs w:val="44"/>
        </w:rPr>
      </w:pPr>
    </w:p>
    <w:p>
      <w:pPr>
        <w:jc w:val="center"/>
        <w:rPr>
          <w:rFonts w:eastAsia="黑体"/>
          <w:sz w:val="44"/>
          <w:szCs w:val="44"/>
        </w:rPr>
      </w:pPr>
    </w:p>
    <w:p>
      <w:pPr>
        <w:jc w:val="center"/>
        <w:rPr>
          <w:rFonts w:eastAsia="黑体"/>
          <w:sz w:val="44"/>
          <w:szCs w:val="44"/>
        </w:rPr>
      </w:pPr>
    </w:p>
    <w:p>
      <w:pPr>
        <w:jc w:val="center"/>
        <w:rPr>
          <w:rFonts w:eastAsia="黑体"/>
          <w:sz w:val="44"/>
          <w:szCs w:val="44"/>
        </w:rPr>
      </w:pPr>
    </w:p>
    <w:p>
      <w:pPr>
        <w:jc w:val="center"/>
        <w:rPr>
          <w:rFonts w:eastAsia="黑体"/>
          <w:sz w:val="44"/>
          <w:szCs w:val="44"/>
        </w:rPr>
      </w:pPr>
    </w:p>
    <w:p>
      <w:pPr>
        <w:jc w:val="center"/>
        <w:rPr>
          <w:rFonts w:eastAsia="黑体"/>
          <w:sz w:val="44"/>
          <w:szCs w:val="44"/>
        </w:rPr>
      </w:pPr>
    </w:p>
    <w:p>
      <w:pPr>
        <w:jc w:val="center"/>
        <w:rPr>
          <w:rFonts w:eastAsia="黑体"/>
          <w:sz w:val="44"/>
          <w:szCs w:val="44"/>
        </w:rPr>
      </w:pPr>
    </w:p>
    <w:p>
      <w:pPr>
        <w:jc w:val="center"/>
        <w:rPr>
          <w:rFonts w:eastAsia="黑体"/>
          <w:sz w:val="44"/>
          <w:szCs w:val="44"/>
        </w:rPr>
      </w:pPr>
    </w:p>
    <w:p>
      <w:pPr>
        <w:jc w:val="center"/>
        <w:rPr>
          <w:rFonts w:eastAsia="黑体"/>
          <w:sz w:val="36"/>
          <w:szCs w:val="36"/>
        </w:rPr>
      </w:pPr>
      <w:r>
        <w:rPr>
          <w:rFonts w:eastAsia="黑体"/>
          <w:sz w:val="36"/>
          <w:szCs w:val="36"/>
        </w:rPr>
        <w:t>单位名称（盖章）：</w:t>
      </w:r>
      <w:r>
        <w:rPr>
          <w:rFonts w:hint="eastAsia" w:eastAsia="黑体"/>
          <w:sz w:val="36"/>
          <w:szCs w:val="36"/>
        </w:rPr>
        <w:t>湖南省农村经营管理服务站</w:t>
      </w:r>
    </w:p>
    <w:p>
      <w:pPr>
        <w:jc w:val="center"/>
        <w:rPr>
          <w:rFonts w:eastAsia="黑体"/>
          <w:sz w:val="36"/>
          <w:szCs w:val="36"/>
        </w:rPr>
      </w:pPr>
    </w:p>
    <w:p>
      <w:pPr>
        <w:jc w:val="center"/>
        <w:rPr>
          <w:rFonts w:eastAsia="黑体"/>
          <w:szCs w:val="32"/>
        </w:rPr>
      </w:pPr>
    </w:p>
    <w:p>
      <w:pPr>
        <w:jc w:val="center"/>
        <w:rPr>
          <w:rFonts w:eastAsia="黑体"/>
          <w:szCs w:val="32"/>
        </w:rPr>
      </w:pPr>
    </w:p>
    <w:p>
      <w:pPr>
        <w:jc w:val="center"/>
        <w:rPr>
          <w:rFonts w:eastAsia="黑体"/>
          <w:szCs w:val="32"/>
        </w:rPr>
      </w:pPr>
    </w:p>
    <w:p>
      <w:pPr>
        <w:jc w:val="center"/>
        <w:rPr>
          <w:rFonts w:eastAsia="黑体"/>
          <w:szCs w:val="32"/>
        </w:rPr>
      </w:pPr>
    </w:p>
    <w:p>
      <w:pPr>
        <w:widowControl/>
        <w:spacing w:line="600" w:lineRule="exact"/>
        <w:ind w:firstLine="640" w:firstLineChars="200"/>
        <w:jc w:val="left"/>
        <w:rPr>
          <w:rFonts w:ascii="黑体" w:hAnsi="黑体" w:eastAsia="黑体" w:cs="仿宋"/>
          <w:sz w:val="32"/>
          <w:szCs w:val="32"/>
        </w:rPr>
      </w:pPr>
      <w:r>
        <w:rPr>
          <w:rFonts w:hint="eastAsia" w:ascii="黑体" w:hAnsi="黑体" w:eastAsia="黑体" w:cs="仿宋"/>
          <w:sz w:val="32"/>
          <w:szCs w:val="32"/>
        </w:rPr>
        <w:t>一</w:t>
      </w:r>
      <w:r>
        <w:rPr>
          <w:rFonts w:ascii="黑体" w:hAnsi="黑体" w:eastAsia="黑体" w:cs="仿宋"/>
          <w:sz w:val="32"/>
          <w:szCs w:val="32"/>
        </w:rPr>
        <w:t>、</w:t>
      </w:r>
      <w:r>
        <w:rPr>
          <w:rFonts w:hint="eastAsia" w:ascii="黑体" w:hAnsi="黑体" w:eastAsia="黑体" w:cs="仿宋"/>
          <w:sz w:val="32"/>
          <w:szCs w:val="32"/>
        </w:rPr>
        <w:t>部门基本情况</w:t>
      </w:r>
    </w:p>
    <w:p>
      <w:pPr>
        <w:widowControl/>
        <w:spacing w:line="600" w:lineRule="exact"/>
        <w:ind w:firstLine="640" w:firstLineChars="200"/>
        <w:jc w:val="left"/>
        <w:rPr>
          <w:rFonts w:ascii="仿宋" w:hAnsi="仿宋" w:eastAsia="仿宋"/>
          <w:sz w:val="32"/>
          <w:szCs w:val="32"/>
        </w:rPr>
      </w:pPr>
      <w:r>
        <w:rPr>
          <w:rFonts w:hint="eastAsia" w:ascii="仿宋" w:hAnsi="仿宋" w:eastAsia="仿宋" w:cs="仿宋"/>
          <w:sz w:val="32"/>
          <w:szCs w:val="32"/>
        </w:rPr>
        <w:t>省农村经营管理服务站</w:t>
      </w:r>
      <w:r>
        <w:rPr>
          <w:rFonts w:ascii="仿宋" w:hAnsi="仿宋" w:eastAsia="仿宋" w:cs="仿宋"/>
          <w:sz w:val="32"/>
          <w:szCs w:val="32"/>
        </w:rPr>
        <w:t>成立</w:t>
      </w:r>
      <w:r>
        <w:rPr>
          <w:rFonts w:hint="eastAsia" w:ascii="仿宋" w:hAnsi="仿宋" w:eastAsia="仿宋" w:cs="仿宋"/>
          <w:sz w:val="32"/>
          <w:szCs w:val="32"/>
        </w:rPr>
        <w:t>于2014年11月（人员</w:t>
      </w:r>
      <w:r>
        <w:rPr>
          <w:rFonts w:ascii="仿宋" w:hAnsi="仿宋" w:eastAsia="仿宋" w:cs="仿宋"/>
          <w:sz w:val="32"/>
          <w:szCs w:val="32"/>
        </w:rPr>
        <w:t>由原省农村经营管理局、省农</w:t>
      </w:r>
      <w:r>
        <w:rPr>
          <w:rFonts w:hint="eastAsia" w:ascii="仿宋" w:hAnsi="仿宋" w:eastAsia="仿宋" w:cs="仿宋"/>
          <w:sz w:val="32"/>
          <w:szCs w:val="32"/>
        </w:rPr>
        <w:t>民</w:t>
      </w:r>
      <w:r>
        <w:rPr>
          <w:rFonts w:ascii="仿宋" w:hAnsi="仿宋" w:eastAsia="仿宋" w:cs="仿宋"/>
          <w:sz w:val="32"/>
          <w:szCs w:val="32"/>
        </w:rPr>
        <w:t>负担监督管理领导小组办公室</w:t>
      </w:r>
      <w:r>
        <w:rPr>
          <w:rFonts w:hint="eastAsia" w:ascii="仿宋" w:hAnsi="仿宋" w:eastAsia="仿宋" w:cs="仿宋"/>
          <w:sz w:val="32"/>
          <w:szCs w:val="32"/>
        </w:rPr>
        <w:t>的</w:t>
      </w:r>
      <w:r>
        <w:rPr>
          <w:rFonts w:ascii="仿宋" w:hAnsi="仿宋" w:eastAsia="仿宋" w:cs="仿宋"/>
          <w:sz w:val="32"/>
          <w:szCs w:val="32"/>
        </w:rPr>
        <w:t>人员</w:t>
      </w:r>
      <w:r>
        <w:rPr>
          <w:rFonts w:hint="eastAsia" w:ascii="仿宋" w:hAnsi="仿宋" w:eastAsia="仿宋" w:cs="仿宋"/>
          <w:sz w:val="32"/>
          <w:szCs w:val="32"/>
        </w:rPr>
        <w:t>合并</w:t>
      </w:r>
      <w:r>
        <w:rPr>
          <w:rFonts w:ascii="仿宋" w:hAnsi="仿宋" w:eastAsia="仿宋" w:cs="仿宋"/>
          <w:sz w:val="32"/>
          <w:szCs w:val="32"/>
        </w:rPr>
        <w:t>而成），</w:t>
      </w:r>
      <w:r>
        <w:rPr>
          <w:rFonts w:hint="eastAsia" w:ascii="仿宋" w:hAnsi="仿宋" w:eastAsia="仿宋" w:cs="仿宋"/>
          <w:sz w:val="32"/>
          <w:szCs w:val="32"/>
        </w:rPr>
        <w:t>单位</w:t>
      </w:r>
      <w:r>
        <w:rPr>
          <w:rFonts w:ascii="仿宋" w:hAnsi="仿宋" w:eastAsia="仿宋" w:cs="仿宋"/>
          <w:sz w:val="32"/>
          <w:szCs w:val="32"/>
        </w:rPr>
        <w:t>为“</w:t>
      </w:r>
      <w:r>
        <w:rPr>
          <w:rFonts w:hint="eastAsia" w:ascii="仿宋" w:hAnsi="仿宋" w:eastAsia="仿宋" w:cs="仿宋"/>
          <w:sz w:val="32"/>
          <w:szCs w:val="32"/>
        </w:rPr>
        <w:t>出</w:t>
      </w:r>
      <w:r>
        <w:rPr>
          <w:rFonts w:ascii="仿宋" w:hAnsi="仿宋" w:eastAsia="仿宋" w:cs="仿宋"/>
          <w:sz w:val="32"/>
          <w:szCs w:val="32"/>
        </w:rPr>
        <w:t>一减</w:t>
      </w:r>
      <w:r>
        <w:rPr>
          <w:rFonts w:hint="eastAsia" w:ascii="仿宋" w:hAnsi="仿宋" w:eastAsia="仿宋" w:cs="仿宋"/>
          <w:sz w:val="32"/>
          <w:szCs w:val="32"/>
        </w:rPr>
        <w:t>一</w:t>
      </w:r>
      <w:r>
        <w:rPr>
          <w:rFonts w:ascii="仿宋" w:hAnsi="仿宋" w:eastAsia="仿宋" w:cs="仿宋"/>
          <w:sz w:val="32"/>
          <w:szCs w:val="32"/>
        </w:rPr>
        <w:t>”</w:t>
      </w:r>
      <w:r>
        <w:rPr>
          <w:rFonts w:hint="eastAsia" w:ascii="仿宋" w:hAnsi="仿宋" w:eastAsia="仿宋" w:cs="仿宋"/>
          <w:sz w:val="32"/>
          <w:szCs w:val="32"/>
        </w:rPr>
        <w:t>管理</w:t>
      </w:r>
      <w:r>
        <w:rPr>
          <w:rFonts w:ascii="仿宋" w:hAnsi="仿宋" w:eastAsia="仿宋" w:cs="仿宋"/>
          <w:sz w:val="32"/>
          <w:szCs w:val="32"/>
        </w:rPr>
        <w:t>方式</w:t>
      </w:r>
      <w:r>
        <w:rPr>
          <w:rFonts w:hint="eastAsia" w:ascii="仿宋" w:hAnsi="仿宋" w:eastAsia="仿宋" w:cs="仿宋"/>
          <w:sz w:val="32"/>
          <w:szCs w:val="32"/>
        </w:rPr>
        <w:t>的公益一</w:t>
      </w:r>
      <w:r>
        <w:rPr>
          <w:rFonts w:ascii="仿宋" w:hAnsi="仿宋" w:eastAsia="仿宋" w:cs="仿宋"/>
          <w:sz w:val="32"/>
          <w:szCs w:val="32"/>
        </w:rPr>
        <w:t>类事业单位，</w:t>
      </w:r>
      <w:r>
        <w:rPr>
          <w:rFonts w:hint="eastAsia" w:ascii="仿宋" w:hAnsi="仿宋" w:eastAsia="仿宋" w:cs="仿宋"/>
          <w:sz w:val="32"/>
          <w:szCs w:val="32"/>
        </w:rPr>
        <w:t>核定编制23名</w:t>
      </w:r>
      <w:r>
        <w:rPr>
          <w:rFonts w:ascii="仿宋" w:hAnsi="仿宋" w:eastAsia="仿宋" w:cs="仿宋"/>
          <w:sz w:val="32"/>
          <w:szCs w:val="32"/>
        </w:rPr>
        <w:t>，在职</w:t>
      </w:r>
      <w:r>
        <w:rPr>
          <w:rFonts w:hint="eastAsia" w:ascii="仿宋" w:hAnsi="仿宋" w:eastAsia="仿宋" w:cs="仿宋"/>
          <w:sz w:val="32"/>
          <w:szCs w:val="32"/>
        </w:rPr>
        <w:t>23人</w:t>
      </w:r>
      <w:r>
        <w:rPr>
          <w:rFonts w:ascii="仿宋" w:hAnsi="仿宋" w:eastAsia="仿宋" w:cs="仿宋"/>
          <w:sz w:val="32"/>
          <w:szCs w:val="32"/>
        </w:rPr>
        <w:t>。</w:t>
      </w:r>
      <w:r>
        <w:rPr>
          <w:rFonts w:hint="eastAsia" w:ascii="仿宋" w:hAnsi="仿宋" w:eastAsia="仿宋" w:cs="仿宋"/>
          <w:sz w:val="32"/>
          <w:szCs w:val="32"/>
        </w:rPr>
        <w:t>多</w:t>
      </w:r>
      <w:r>
        <w:rPr>
          <w:rFonts w:ascii="仿宋" w:hAnsi="仿宋" w:eastAsia="仿宋" w:cs="仿宋"/>
          <w:sz w:val="32"/>
          <w:szCs w:val="32"/>
        </w:rPr>
        <w:t>年来，</w:t>
      </w:r>
      <w:r>
        <w:rPr>
          <w:rFonts w:hint="eastAsia" w:ascii="仿宋" w:hAnsi="仿宋" w:eastAsia="仿宋" w:cs="仿宋"/>
          <w:sz w:val="32"/>
          <w:szCs w:val="32"/>
        </w:rPr>
        <w:t>随着部分</w:t>
      </w:r>
      <w:r>
        <w:rPr>
          <w:rFonts w:ascii="仿宋" w:hAnsi="仿宋" w:eastAsia="仿宋" w:cs="仿宋"/>
          <w:sz w:val="32"/>
          <w:szCs w:val="32"/>
        </w:rPr>
        <w:t>同志退休</w:t>
      </w:r>
      <w:r>
        <w:rPr>
          <w:rFonts w:hint="eastAsia" w:ascii="仿宋" w:hAnsi="仿宋" w:eastAsia="仿宋" w:cs="仿宋"/>
          <w:sz w:val="32"/>
          <w:szCs w:val="32"/>
        </w:rPr>
        <w:t>和</w:t>
      </w:r>
      <w:r>
        <w:rPr>
          <w:rFonts w:ascii="仿宋" w:hAnsi="仿宋" w:eastAsia="仿宋" w:cs="仿宋"/>
          <w:sz w:val="32"/>
          <w:szCs w:val="32"/>
        </w:rPr>
        <w:t>调出，</w:t>
      </w:r>
      <w:r>
        <w:rPr>
          <w:rFonts w:hint="eastAsia" w:ascii="仿宋" w:hAnsi="仿宋" w:eastAsia="仿宋" w:cs="仿宋"/>
          <w:sz w:val="32"/>
          <w:szCs w:val="32"/>
        </w:rPr>
        <w:t>2</w:t>
      </w:r>
      <w:r>
        <w:rPr>
          <w:rFonts w:ascii="仿宋" w:hAnsi="仿宋" w:eastAsia="仿宋" w:cs="仿宋"/>
          <w:sz w:val="32"/>
          <w:szCs w:val="32"/>
        </w:rPr>
        <w:t>024</w:t>
      </w:r>
      <w:r>
        <w:rPr>
          <w:rFonts w:hint="eastAsia" w:ascii="仿宋" w:hAnsi="仿宋" w:eastAsia="仿宋" w:cs="仿宋"/>
          <w:sz w:val="32"/>
          <w:szCs w:val="32"/>
        </w:rPr>
        <w:t>年</w:t>
      </w:r>
      <w:r>
        <w:rPr>
          <w:rFonts w:ascii="仿宋" w:hAnsi="仿宋" w:eastAsia="仿宋" w:cs="仿宋"/>
          <w:sz w:val="32"/>
          <w:szCs w:val="32"/>
        </w:rPr>
        <w:t>单位</w:t>
      </w:r>
      <w:r>
        <w:rPr>
          <w:rFonts w:hint="eastAsia" w:ascii="仿宋" w:hAnsi="仿宋" w:eastAsia="仿宋" w:cs="仿宋"/>
          <w:sz w:val="32"/>
          <w:szCs w:val="32"/>
        </w:rPr>
        <w:t>编制12名</w:t>
      </w:r>
      <w:r>
        <w:rPr>
          <w:rFonts w:ascii="仿宋" w:hAnsi="仿宋" w:eastAsia="仿宋" w:cs="仿宋"/>
          <w:sz w:val="32"/>
          <w:szCs w:val="32"/>
        </w:rPr>
        <w:t>，在职</w:t>
      </w:r>
      <w:r>
        <w:rPr>
          <w:rFonts w:hint="eastAsia" w:ascii="仿宋" w:hAnsi="仿宋" w:eastAsia="仿宋" w:cs="仿宋"/>
          <w:sz w:val="32"/>
          <w:szCs w:val="32"/>
        </w:rPr>
        <w:t>12人</w:t>
      </w:r>
      <w:r>
        <w:rPr>
          <w:rFonts w:ascii="仿宋" w:hAnsi="仿宋" w:eastAsia="仿宋" w:cs="仿宋"/>
          <w:sz w:val="32"/>
          <w:szCs w:val="32"/>
        </w:rPr>
        <w:t>。</w:t>
      </w:r>
      <w:r>
        <w:rPr>
          <w:rFonts w:hint="eastAsia" w:ascii="仿宋" w:hAnsi="仿宋" w:eastAsia="仿宋" w:cs="仿宋"/>
          <w:sz w:val="32"/>
          <w:szCs w:val="32"/>
        </w:rPr>
        <w:t>其主要职责是：承办农村土地承包纠纷调解仲裁工作；指导农民专业合作组织、家庭农场建设与发展，开展相关服务；指导农村集体经济组织财务会计和审计工作；承担涉农村</w:t>
      </w:r>
      <w:r>
        <w:rPr>
          <w:rFonts w:ascii="仿宋" w:hAnsi="仿宋" w:eastAsia="仿宋" w:cs="仿宋"/>
          <w:sz w:val="32"/>
          <w:szCs w:val="32"/>
        </w:rPr>
        <w:t>宅基地</w:t>
      </w:r>
      <w:r>
        <w:rPr>
          <w:rFonts w:hint="eastAsia" w:ascii="仿宋" w:hAnsi="仿宋" w:eastAsia="仿宋" w:cs="仿宋"/>
          <w:sz w:val="32"/>
          <w:szCs w:val="32"/>
        </w:rPr>
        <w:t>信访工作；开展农村经济收支、农民收入、农民专业合作社与农村集体经济组织运行情况的监测、统计和调查；</w:t>
      </w:r>
      <w:r>
        <w:rPr>
          <w:rFonts w:ascii="仿宋" w:hAnsi="仿宋" w:eastAsia="仿宋" w:cs="仿宋"/>
          <w:sz w:val="32"/>
          <w:szCs w:val="32"/>
        </w:rPr>
        <w:t>承担厅领导交办的其它工作</w:t>
      </w:r>
      <w:r>
        <w:rPr>
          <w:rFonts w:hint="eastAsia" w:ascii="仿宋" w:hAnsi="仿宋" w:eastAsia="仿宋" w:cs="仿宋"/>
          <w:sz w:val="32"/>
          <w:szCs w:val="32"/>
        </w:rPr>
        <w:t>。近年，中央又新赋予农经机构农村宅基地改革和管理工作；配合协助</w:t>
      </w:r>
      <w:r>
        <w:rPr>
          <w:rFonts w:ascii="仿宋" w:hAnsi="仿宋" w:eastAsia="仿宋" w:cs="仿宋"/>
          <w:sz w:val="32"/>
          <w:szCs w:val="32"/>
        </w:rPr>
        <w:t>厅政策改革处、农村合作经济指导处做好相关具体事务性工作</w:t>
      </w:r>
      <w:r>
        <w:rPr>
          <w:rFonts w:hint="eastAsia" w:ascii="仿宋" w:hAnsi="仿宋" w:eastAsia="仿宋"/>
          <w:sz w:val="32"/>
          <w:szCs w:val="32"/>
        </w:rPr>
        <w:t>。</w:t>
      </w:r>
    </w:p>
    <w:p>
      <w:pPr>
        <w:widowControl/>
        <w:spacing w:line="600" w:lineRule="exact"/>
        <w:ind w:firstLine="640" w:firstLineChars="200"/>
        <w:jc w:val="left"/>
        <w:rPr>
          <w:rFonts w:ascii="仿宋" w:hAnsi="仿宋" w:eastAsia="仿宋"/>
          <w:sz w:val="32"/>
          <w:szCs w:val="32"/>
        </w:rPr>
      </w:pPr>
      <w:r>
        <w:rPr>
          <w:rFonts w:hint="eastAsia" w:ascii="仿宋" w:hAnsi="仿宋" w:eastAsia="仿宋"/>
          <w:sz w:val="32"/>
          <w:szCs w:val="32"/>
        </w:rPr>
        <w:t>湖南省农村经营管理服务站为一级预算单位，无下级单位。</w:t>
      </w:r>
    </w:p>
    <w:p>
      <w:pPr>
        <w:widowControl/>
        <w:spacing w:line="600" w:lineRule="exact"/>
        <w:ind w:firstLine="640" w:firstLineChars="200"/>
        <w:jc w:val="left"/>
        <w:rPr>
          <w:rFonts w:ascii="黑体" w:hAnsi="黑体" w:eastAsia="黑体"/>
          <w:sz w:val="32"/>
          <w:szCs w:val="32"/>
        </w:rPr>
      </w:pPr>
      <w:r>
        <w:rPr>
          <w:rFonts w:hint="eastAsia" w:ascii="黑体" w:hAnsi="黑体" w:eastAsia="黑体"/>
          <w:sz w:val="32"/>
          <w:szCs w:val="32"/>
        </w:rPr>
        <w:t>二</w:t>
      </w:r>
      <w:r>
        <w:rPr>
          <w:rFonts w:ascii="黑体" w:hAnsi="黑体" w:eastAsia="黑体"/>
          <w:sz w:val="32"/>
          <w:szCs w:val="32"/>
        </w:rPr>
        <w:t>、一般公共预算支出</w:t>
      </w:r>
      <w:r>
        <w:rPr>
          <w:rFonts w:hint="eastAsia" w:ascii="黑体" w:hAnsi="黑体" w:eastAsia="黑体"/>
          <w:sz w:val="32"/>
          <w:szCs w:val="32"/>
        </w:rPr>
        <w:t>情况</w:t>
      </w:r>
    </w:p>
    <w:p>
      <w:pPr>
        <w:widowControl/>
        <w:spacing w:line="600" w:lineRule="exact"/>
        <w:ind w:firstLine="640" w:firstLineChars="200"/>
        <w:jc w:val="left"/>
        <w:rPr>
          <w:rFonts w:ascii="仿宋" w:hAnsi="仿宋" w:eastAsia="仿宋"/>
          <w:sz w:val="32"/>
          <w:szCs w:val="32"/>
        </w:rPr>
      </w:pPr>
      <w:r>
        <w:rPr>
          <w:rFonts w:hint="eastAsia" w:ascii="仿宋" w:hAnsi="仿宋" w:eastAsia="仿宋"/>
          <w:sz w:val="32"/>
          <w:szCs w:val="32"/>
        </w:rPr>
        <w:t>2024年</w:t>
      </w:r>
      <w:r>
        <w:rPr>
          <w:rFonts w:ascii="仿宋" w:hAnsi="仿宋" w:eastAsia="仿宋"/>
          <w:sz w:val="32"/>
          <w:szCs w:val="32"/>
        </w:rPr>
        <w:t>本单位一般公共预算拨款支出</w:t>
      </w:r>
      <w:r>
        <w:rPr>
          <w:rFonts w:hint="eastAsia" w:ascii="仿宋" w:hAnsi="仿宋" w:eastAsia="仿宋"/>
          <w:sz w:val="32"/>
          <w:szCs w:val="32"/>
        </w:rPr>
        <w:t>701.43</w:t>
      </w:r>
      <w:r>
        <w:rPr>
          <w:rFonts w:ascii="仿宋" w:hAnsi="仿宋" w:eastAsia="仿宋"/>
          <w:sz w:val="32"/>
          <w:szCs w:val="32"/>
        </w:rPr>
        <w:t>万元，其中，</w:t>
      </w:r>
      <w:r>
        <w:rPr>
          <w:rFonts w:hint="eastAsia" w:ascii="仿宋" w:hAnsi="仿宋" w:eastAsia="仿宋"/>
          <w:sz w:val="32"/>
          <w:szCs w:val="32"/>
        </w:rPr>
        <w:t>教育支出83.90万元，占11.96%，社会保障和就业支出97.35万元，占13.88%；卫生健康支出10.54万元，占1.5%；农林水支出486.26</w:t>
      </w:r>
      <w:r>
        <w:rPr>
          <w:rFonts w:ascii="仿宋" w:hAnsi="仿宋" w:eastAsia="仿宋"/>
          <w:sz w:val="32"/>
          <w:szCs w:val="32"/>
        </w:rPr>
        <w:t>万元，占</w:t>
      </w:r>
      <w:r>
        <w:rPr>
          <w:rFonts w:hint="eastAsia" w:ascii="仿宋" w:hAnsi="仿宋" w:eastAsia="仿宋"/>
          <w:sz w:val="32"/>
          <w:szCs w:val="32"/>
        </w:rPr>
        <w:t>69.32</w:t>
      </w:r>
      <w:r>
        <w:rPr>
          <w:rFonts w:ascii="仿宋" w:hAnsi="仿宋" w:eastAsia="仿宋"/>
          <w:sz w:val="32"/>
          <w:szCs w:val="32"/>
        </w:rPr>
        <w:t>%</w:t>
      </w:r>
      <w:r>
        <w:rPr>
          <w:rFonts w:hint="eastAsia" w:ascii="仿宋" w:hAnsi="仿宋" w:eastAsia="仿宋"/>
          <w:sz w:val="32"/>
          <w:szCs w:val="32"/>
        </w:rPr>
        <w:t>；住房保障支出23.39万元，占3.34%</w:t>
      </w:r>
      <w:r>
        <w:rPr>
          <w:rFonts w:ascii="仿宋" w:hAnsi="仿宋" w:eastAsia="仿宋"/>
          <w:sz w:val="32"/>
          <w:szCs w:val="32"/>
        </w:rPr>
        <w:t>。具体安排情况如下：</w:t>
      </w:r>
    </w:p>
    <w:p>
      <w:pPr>
        <w:widowControl/>
        <w:spacing w:line="600" w:lineRule="exact"/>
        <w:ind w:firstLine="640" w:firstLineChars="200"/>
        <w:jc w:val="left"/>
        <w:rPr>
          <w:rFonts w:ascii="仿宋" w:hAnsi="仿宋" w:eastAsia="仿宋"/>
          <w:sz w:val="32"/>
          <w:szCs w:val="32"/>
        </w:rPr>
      </w:pPr>
      <w:r>
        <w:rPr>
          <w:rFonts w:hint="eastAsia" w:ascii="楷体" w:hAnsi="楷体" w:eastAsia="楷体"/>
          <w:b/>
          <w:sz w:val="32"/>
          <w:szCs w:val="32"/>
        </w:rPr>
        <w:t>（一</w:t>
      </w:r>
      <w:r>
        <w:rPr>
          <w:rFonts w:ascii="楷体" w:hAnsi="楷体" w:eastAsia="楷体"/>
          <w:b/>
          <w:sz w:val="32"/>
          <w:szCs w:val="32"/>
        </w:rPr>
        <w:t>）基本支出：</w:t>
      </w:r>
      <w:r>
        <w:rPr>
          <w:rFonts w:hint="eastAsia" w:ascii="仿宋" w:hAnsi="仿宋" w:eastAsia="仿宋"/>
          <w:sz w:val="32"/>
          <w:szCs w:val="32"/>
        </w:rPr>
        <w:t>2024年</w:t>
      </w:r>
      <w:r>
        <w:rPr>
          <w:rFonts w:ascii="仿宋" w:hAnsi="仿宋" w:eastAsia="仿宋"/>
          <w:sz w:val="32"/>
          <w:szCs w:val="32"/>
        </w:rPr>
        <w:t>本单位基本支出数</w:t>
      </w:r>
      <w:r>
        <w:rPr>
          <w:rFonts w:hint="eastAsia" w:ascii="仿宋" w:hAnsi="仿宋" w:eastAsia="仿宋"/>
          <w:sz w:val="32"/>
          <w:szCs w:val="32"/>
        </w:rPr>
        <w:t>465.99</w:t>
      </w:r>
      <w:r>
        <w:rPr>
          <w:rFonts w:ascii="仿宋" w:hAnsi="仿宋" w:eastAsia="仿宋"/>
          <w:sz w:val="32"/>
          <w:szCs w:val="32"/>
        </w:rPr>
        <w:t>万元，主要是为保障单位机构正常运转、完成日常工作任务而发生的各项支出，包括用于基本工资、津贴补贴等人员经费以及办公费、印刷费、水电费等公用经费。</w:t>
      </w:r>
      <w:r>
        <w:rPr>
          <w:rFonts w:hint="eastAsia" w:ascii="仿宋" w:hAnsi="仿宋" w:eastAsia="仿宋"/>
          <w:sz w:val="32"/>
          <w:szCs w:val="32"/>
        </w:rPr>
        <w:t>其中：人员经费357.40万元，占基本支出的77%,主要包括基本工资、津贴补贴、奖金、伙食补助费、离休费、退休费等。公用经费 108.59万元，占基本支出的23%，主要包括办公费、印刷费、咨询费、手续费、物业管理费、劳务费、工会经费、福利费、其他交通费用等。</w:t>
      </w:r>
    </w:p>
    <w:p>
      <w:pPr>
        <w:widowControl/>
        <w:spacing w:line="600" w:lineRule="exact"/>
        <w:ind w:firstLine="640" w:firstLineChars="200"/>
        <w:jc w:val="left"/>
        <w:rPr>
          <w:rFonts w:ascii="仿宋" w:hAnsi="仿宋" w:eastAsia="仿宋"/>
          <w:sz w:val="32"/>
          <w:szCs w:val="32"/>
        </w:rPr>
      </w:pPr>
      <w:r>
        <w:rPr>
          <w:rFonts w:ascii="楷体" w:hAnsi="楷体" w:eastAsia="楷体"/>
          <w:b/>
          <w:sz w:val="32"/>
          <w:szCs w:val="32"/>
        </w:rPr>
        <w:t>（二）项目支出：</w:t>
      </w:r>
      <w:r>
        <w:rPr>
          <w:rFonts w:hint="eastAsia" w:ascii="仿宋" w:hAnsi="仿宋" w:eastAsia="仿宋"/>
          <w:sz w:val="32"/>
          <w:szCs w:val="32"/>
        </w:rPr>
        <w:t>2024年</w:t>
      </w:r>
      <w:r>
        <w:rPr>
          <w:rFonts w:ascii="仿宋" w:hAnsi="仿宋" w:eastAsia="仿宋"/>
          <w:sz w:val="32"/>
          <w:szCs w:val="32"/>
        </w:rPr>
        <w:t>本单位项目支出</w:t>
      </w:r>
      <w:r>
        <w:rPr>
          <w:rFonts w:hint="eastAsia" w:ascii="仿宋" w:hAnsi="仿宋" w:eastAsia="仿宋"/>
          <w:sz w:val="32"/>
          <w:szCs w:val="32"/>
        </w:rPr>
        <w:t>235.44</w:t>
      </w:r>
      <w:r>
        <w:rPr>
          <w:rFonts w:ascii="仿宋" w:hAnsi="仿宋" w:eastAsia="仿宋"/>
          <w:sz w:val="32"/>
          <w:szCs w:val="32"/>
        </w:rPr>
        <w:t>万元，主要是为完成特定行政工作任务或事业发展目标而发生的支出，包括有关事业发展专项、专项业务费等，其中：</w:t>
      </w:r>
      <w:r>
        <w:rPr>
          <w:rFonts w:hint="eastAsia" w:ascii="仿宋" w:hAnsi="仿宋" w:eastAsia="仿宋"/>
          <w:sz w:val="32"/>
          <w:szCs w:val="32"/>
        </w:rPr>
        <w:t>业务工作经费</w:t>
      </w:r>
      <w:r>
        <w:rPr>
          <w:rFonts w:ascii="仿宋" w:hAnsi="仿宋" w:eastAsia="仿宋"/>
          <w:sz w:val="32"/>
          <w:szCs w:val="32"/>
        </w:rPr>
        <w:t>支出</w:t>
      </w:r>
      <w:r>
        <w:rPr>
          <w:rFonts w:hint="eastAsia" w:ascii="仿宋" w:hAnsi="仿宋" w:eastAsia="仿宋"/>
          <w:sz w:val="32"/>
          <w:szCs w:val="32"/>
        </w:rPr>
        <w:t>0.81</w:t>
      </w:r>
      <w:r>
        <w:rPr>
          <w:rFonts w:ascii="仿宋" w:hAnsi="仿宋" w:eastAsia="仿宋"/>
          <w:sz w:val="32"/>
          <w:szCs w:val="32"/>
        </w:rPr>
        <w:t>万元，</w:t>
      </w:r>
      <w:r>
        <w:rPr>
          <w:rFonts w:hint="eastAsia" w:ascii="仿宋" w:hAnsi="仿宋" w:eastAsia="仿宋"/>
          <w:sz w:val="32"/>
          <w:szCs w:val="32"/>
        </w:rPr>
        <w:t>主要用于土地纠纷仲裁培训等方面；省级专项经费232.17万元，主要用于宅基地管理工作、农村乱占耕建房住宅类专项整治工作、农村宅基地改革试点工作、新增乱占耕地建房图斑销号工作、农村土地承包纠纷调解仲裁工作、农民专业合作社、农经统计年报工作及农村集体经济审计培训等方面；运行维护经费2.46万元，主要用于农村宅基地办公设备、用品购置等方面</w:t>
      </w:r>
      <w:r>
        <w:rPr>
          <w:rFonts w:ascii="仿宋" w:hAnsi="仿宋" w:eastAsia="仿宋"/>
          <w:sz w:val="32"/>
          <w:szCs w:val="32"/>
        </w:rPr>
        <w:t>。</w:t>
      </w:r>
    </w:p>
    <w:p>
      <w:pPr>
        <w:widowControl/>
        <w:spacing w:line="600" w:lineRule="exact"/>
        <w:ind w:firstLine="640" w:firstLineChars="200"/>
        <w:jc w:val="left"/>
        <w:rPr>
          <w:rFonts w:ascii="黑体" w:hAnsi="黑体" w:eastAsia="黑体" w:cs="仿宋"/>
          <w:bCs/>
          <w:sz w:val="32"/>
          <w:szCs w:val="32"/>
        </w:rPr>
      </w:pPr>
      <w:r>
        <w:rPr>
          <w:rFonts w:hint="eastAsia" w:ascii="黑体" w:hAnsi="黑体" w:eastAsia="黑体" w:cs="仿宋"/>
          <w:bCs/>
          <w:sz w:val="32"/>
          <w:szCs w:val="32"/>
        </w:rPr>
        <w:t>三、部门整体支出绩效情况</w:t>
      </w:r>
    </w:p>
    <w:p>
      <w:pPr>
        <w:pStyle w:val="16"/>
        <w:spacing w:line="60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2024年，省经管站深入学习贯彻习近平总书记关于“三农”工作重要论述，认真落实中央和省委、省政府以及厅党组的决策部署，胸怀“国之大者”，全力抓好农村承包地、宅基地等相关工作，取得较好成效。农村宅基地管理工作不断规范，农村土地承包经营纠纷调解仲裁考评工作连续8年位列全国第一等次，农村宅基地制度改革试点工作圆满收官，农村乱占耕地建房住宅类专项整治试点工作圆满完成，宁远县分类整治经验在全国视频会上推介。</w:t>
      </w:r>
    </w:p>
    <w:p>
      <w:pPr>
        <w:pStyle w:val="16"/>
        <w:spacing w:line="600" w:lineRule="exact"/>
        <w:ind w:firstLine="640" w:firstLineChars="200"/>
        <w:jc w:val="both"/>
        <w:rPr>
          <w:rFonts w:ascii="仿宋" w:hAnsi="仿宋" w:eastAsia="仿宋" w:cs="仿宋"/>
          <w:sz w:val="32"/>
          <w:szCs w:val="32"/>
        </w:rPr>
      </w:pPr>
      <w:r>
        <w:rPr>
          <w:rFonts w:hint="eastAsia" w:ascii="楷体" w:hAnsi="楷体" w:eastAsia="楷体" w:cs="仿宋"/>
          <w:b/>
          <w:sz w:val="32"/>
          <w:szCs w:val="32"/>
        </w:rPr>
        <w:t>（一）主动作为夯基础，宅基地管理工作机制不断健全。</w:t>
      </w:r>
      <w:r>
        <w:rPr>
          <w:rFonts w:hint="eastAsia" w:ascii="仿宋" w:hAnsi="仿宋" w:eastAsia="仿宋" w:cs="仿宋"/>
          <w:b/>
          <w:sz w:val="32"/>
          <w:szCs w:val="32"/>
        </w:rPr>
        <w:t>一是提升便民服务水平。</w:t>
      </w:r>
      <w:r>
        <w:rPr>
          <w:rFonts w:hint="eastAsia" w:ascii="仿宋" w:hAnsi="仿宋" w:eastAsia="仿宋" w:cs="仿宋"/>
          <w:sz w:val="32"/>
          <w:szCs w:val="32"/>
        </w:rPr>
        <w:t>顺应形势变化，积极主动作为，加强与省自然资源厅、省住房和城乡建设厅联系协调，理顺宅基地管理工作职责，确保了农村宅基地管理工作的连续性和稳定性。三厅联合印发了《关于进一步规范农村村民住房建设管理的十条措施》，着力解决农村村民建房审批慢、用地保障难、负担重等问题。强化属地管理责任，健全“市县主导、乡镇主责、村级主体”的管理机制，严格落实动态巡查、三到场、建房公示、有奖举报等制度，全省1749个乡镇（街道）建立“一站式”联审联办窗口，鼓励村级为农民提供代办服务。在全国率先将农村建房纳入“高效办成一件事”试点，落实审批方式多元化、办事流程最优化、办事材料最简化、办事成本最小化、最大限度便民化“五化”目标，试点改革后最长办理时限11天，较常规办理减少20天；农民提交申报材料由11份减少至4份，农民跑动由4次减少至1次，极大提升了农民群众的幸福感、获得感。全年线上线下共受理农村宅基地申请</w:t>
      </w:r>
      <w:r>
        <w:rPr>
          <w:rFonts w:ascii="仿宋" w:hAnsi="仿宋" w:eastAsia="仿宋" w:cs="仿宋"/>
          <w:sz w:val="32"/>
          <w:szCs w:val="32"/>
        </w:rPr>
        <w:t>92751</w:t>
      </w:r>
      <w:r>
        <w:rPr>
          <w:rFonts w:hint="eastAsia" w:ascii="仿宋" w:hAnsi="仿宋" w:eastAsia="仿宋" w:cs="仿宋"/>
          <w:sz w:val="32"/>
          <w:szCs w:val="32"/>
        </w:rPr>
        <w:t>宗，审核批准</w:t>
      </w:r>
      <w:r>
        <w:rPr>
          <w:rFonts w:ascii="仿宋" w:hAnsi="仿宋" w:eastAsia="仿宋" w:cs="仿宋"/>
          <w:sz w:val="32"/>
          <w:szCs w:val="32"/>
        </w:rPr>
        <w:t>89978</w:t>
      </w:r>
      <w:r>
        <w:rPr>
          <w:rFonts w:hint="eastAsia" w:ascii="仿宋" w:hAnsi="仿宋" w:eastAsia="仿宋" w:cs="仿宋"/>
          <w:sz w:val="32"/>
          <w:szCs w:val="32"/>
        </w:rPr>
        <w:t>宗，审批率达</w:t>
      </w:r>
      <w:r>
        <w:rPr>
          <w:rFonts w:ascii="仿宋" w:hAnsi="仿宋" w:eastAsia="仿宋" w:cs="仿宋"/>
          <w:sz w:val="32"/>
          <w:szCs w:val="32"/>
        </w:rPr>
        <w:t>97.01</w:t>
      </w:r>
      <w:r>
        <w:rPr>
          <w:rFonts w:hint="eastAsia" w:ascii="仿宋" w:hAnsi="仿宋" w:eastAsia="仿宋" w:cs="仿宋"/>
          <w:sz w:val="32"/>
          <w:szCs w:val="32"/>
        </w:rPr>
        <w:t>%。</w:t>
      </w:r>
      <w:r>
        <w:rPr>
          <w:rFonts w:hint="eastAsia" w:ascii="仿宋" w:hAnsi="仿宋" w:eastAsia="仿宋" w:cs="仿宋"/>
          <w:b/>
          <w:sz w:val="32"/>
          <w:szCs w:val="32"/>
        </w:rPr>
        <w:t>二是盘活闲置宅基地和闲置农房。</w:t>
      </w:r>
      <w:r>
        <w:rPr>
          <w:rFonts w:hint="eastAsia" w:ascii="仿宋" w:hAnsi="仿宋" w:eastAsia="仿宋" w:cs="仿宋"/>
          <w:sz w:val="32"/>
          <w:szCs w:val="32"/>
        </w:rPr>
        <w:t>联合湖南农大对凤凰县盘活利用农村闲置宅基地进行“解剖麻雀式”调研，撰写了高质量的调研报告，省委常委、常务副省长张迎春作出重要批示。指导长沙市积极推进农村闲置宅基地和闲置农房盘活利用工作，收集推介了岳阳市开展废旧“空心房”整治、桃花源管理区汤家山村组建农宅合作社发展民宿经济、韶山市银田村利用闲置宅基地和闲置农房发展特色产业等典型案例。据不完全统计，今年全省各地通过发展乡村旅游、餐饮民宿等二三产业，共盘活闲置宅基地 9876宗，创收 63.26亿元；有偿使用宅基地16014宗，带动村集体增收688万元。</w:t>
      </w:r>
      <w:r>
        <w:rPr>
          <w:rFonts w:hint="eastAsia" w:ascii="仿宋" w:hAnsi="仿宋" w:eastAsia="仿宋" w:cs="仿宋"/>
          <w:b/>
          <w:sz w:val="32"/>
          <w:szCs w:val="32"/>
        </w:rPr>
        <w:t>三是建设智慧化监管体系。</w:t>
      </w:r>
      <w:r>
        <w:rPr>
          <w:rFonts w:hint="eastAsia" w:ascii="仿宋" w:hAnsi="仿宋" w:eastAsia="仿宋" w:cs="仿宋"/>
          <w:sz w:val="32"/>
          <w:szCs w:val="32"/>
        </w:rPr>
        <w:t>推动各地强化科技支撑，利用卫星遥感、无人机、地面视频等监测手段，构建信息化监测网络，并结合实地暗访督察强化监管。指导岳阳市全域开展农村宅基地审批系统推广应用试点，依托系统提供宅基地审批和建房规划许可等服务，逐步实现业务流、数据流的全程网络化、数字化操作。结合农业综合执法改革，推动乡镇建立农村宅基地专项执法队伍，将宅基地管理纳入村规民约，实施村民建房行政审批监管和综合执法，对典型案件发现一起、查处一起，形成强大震慑作用。</w:t>
      </w:r>
    </w:p>
    <w:p>
      <w:pPr>
        <w:pStyle w:val="16"/>
        <w:spacing w:line="600" w:lineRule="exact"/>
        <w:ind w:firstLine="640" w:firstLineChars="200"/>
        <w:jc w:val="both"/>
        <w:rPr>
          <w:rFonts w:ascii="仿宋" w:hAnsi="仿宋" w:eastAsia="仿宋" w:cs="仿宋"/>
          <w:sz w:val="32"/>
          <w:szCs w:val="32"/>
        </w:rPr>
      </w:pPr>
      <w:r>
        <w:rPr>
          <w:rFonts w:hint="eastAsia" w:ascii="楷体" w:hAnsi="楷体" w:eastAsia="楷体" w:cs="仿宋"/>
          <w:b/>
          <w:sz w:val="32"/>
          <w:szCs w:val="32"/>
        </w:rPr>
        <w:t>（二）攻坚克难抓整治，专项试点任务圆满完成。</w:t>
      </w:r>
      <w:r>
        <w:rPr>
          <w:rFonts w:hint="eastAsia" w:ascii="仿宋" w:hAnsi="仿宋" w:eastAsia="仿宋" w:cs="仿宋"/>
          <w:sz w:val="32"/>
          <w:szCs w:val="32"/>
        </w:rPr>
        <w:t>今年是农村乱占耕地建房专项整治试点的收官之年。针对4个试点县的工作基础、制约瓶颈、进展情况，坚持因地制宜、靶向施策、分类推进。对工作基础较好的宁远县、汩罗市，突出查漏洞、提质效、固优势，实现百尺竿头更进一步；对工作基础较差的凤凰县、浏阳市，突出抓重点、补短板、强弱项，确保专项整治工作不掉队。比如，凤凰县5月底时工作进度不理想，我们指导凤凰县明确由县委副书记统筹抓总，建立健全自然资源、农业农村、经管等部门协同作战的工作机制，并组织技术人员对所有图斑重新进行测绘调查，设立了财政专项资金，有效解决了部门配合不力、资金投入不足、工作业绩不佳等问题，推动凤凰县整治工作由后进变先进。又比如，将浏阳市作为重点帮扶对象，派出工作队和技术员驻点指导，聚焦其思想认识有误差、政策执行有偏差、整治工作有落差等问题，深入开展宣传教育、政策解读、实地督导工作，手把手教、点对点帮，所有图斑基本销号。截止目前，我省4个专项整治试点县整治任务图斑，已认定销号10948宗，完成整治率100%。</w:t>
      </w:r>
    </w:p>
    <w:p>
      <w:pPr>
        <w:pStyle w:val="16"/>
        <w:spacing w:line="600" w:lineRule="exact"/>
        <w:ind w:firstLine="640" w:firstLineChars="200"/>
        <w:jc w:val="both"/>
        <w:rPr>
          <w:rFonts w:ascii="仿宋" w:hAnsi="仿宋" w:eastAsia="仿宋" w:cs="仿宋"/>
          <w:sz w:val="32"/>
          <w:szCs w:val="32"/>
        </w:rPr>
      </w:pPr>
      <w:r>
        <w:rPr>
          <w:rFonts w:hint="eastAsia" w:ascii="楷体" w:hAnsi="楷体" w:eastAsia="楷体" w:cs="仿宋"/>
          <w:b/>
          <w:sz w:val="32"/>
          <w:szCs w:val="32"/>
        </w:rPr>
        <w:t>（三）积极稳慎推改革，农村宅基地改革试点全面收官。</w:t>
      </w:r>
      <w:r>
        <w:rPr>
          <w:rFonts w:hint="eastAsia" w:ascii="仿宋" w:hAnsi="仿宋" w:eastAsia="仿宋" w:cs="仿宋"/>
          <w:sz w:val="32"/>
          <w:szCs w:val="32"/>
        </w:rPr>
        <w:t>对标中央部署要求，凝心聚力抓改革，今年5月省委、省政府向党中央、国务院提交了本轮改革试点的工作报告。</w:t>
      </w:r>
      <w:r>
        <w:rPr>
          <w:rFonts w:hint="eastAsia" w:ascii="仿宋" w:hAnsi="仿宋" w:eastAsia="仿宋" w:cs="仿宋"/>
          <w:b/>
          <w:sz w:val="32"/>
          <w:szCs w:val="32"/>
        </w:rPr>
        <w:t>一是调查摸底打基础。</w:t>
      </w:r>
      <w:r>
        <w:rPr>
          <w:rFonts w:hint="eastAsia" w:ascii="仿宋" w:hAnsi="仿宋" w:eastAsia="仿宋" w:cs="仿宋"/>
          <w:sz w:val="32"/>
          <w:szCs w:val="32"/>
        </w:rPr>
        <w:t>重点抓好调查摸底、村庄规划等工作，4个试点县（市）共摸清71万宗宅基地的基础信息，“多规合一”村庄规划实现全覆盖，化解历史遗留问题6万多宗。</w:t>
      </w:r>
      <w:r>
        <w:rPr>
          <w:rFonts w:hint="eastAsia" w:ascii="仿宋" w:hAnsi="仿宋" w:eastAsia="仿宋" w:cs="仿宋"/>
          <w:b/>
          <w:sz w:val="32"/>
          <w:szCs w:val="32"/>
        </w:rPr>
        <w:t>二是改进管理建机制。</w:t>
      </w:r>
      <w:r>
        <w:rPr>
          <w:rFonts w:hint="eastAsia" w:ascii="仿宋" w:hAnsi="仿宋" w:eastAsia="仿宋" w:cs="仿宋"/>
          <w:sz w:val="32"/>
          <w:szCs w:val="32"/>
        </w:rPr>
        <w:t>4个试点县（市）深入开展技术创新、市场创新、整治创新、管理创新和收益创新“五新”探索，共出台了宅基地资格权认定与保障、使用权流转、使用权抵押、有偿退出、有偿使用、闲置盘活、收益分配、审批管理等37个指导意见或管理办法，为全省面上推开提供了可复制经验。</w:t>
      </w:r>
      <w:r>
        <w:rPr>
          <w:rFonts w:hint="eastAsia" w:ascii="仿宋" w:hAnsi="仿宋" w:eastAsia="仿宋" w:cs="仿宋"/>
          <w:b/>
          <w:sz w:val="32"/>
          <w:szCs w:val="32"/>
        </w:rPr>
        <w:t>三是大胆探索创新路。</w:t>
      </w:r>
      <w:r>
        <w:rPr>
          <w:rFonts w:hint="eastAsia" w:ascii="仿宋" w:hAnsi="仿宋" w:eastAsia="仿宋" w:cs="仿宋"/>
          <w:sz w:val="32"/>
          <w:szCs w:val="32"/>
        </w:rPr>
        <w:t>聚焦释放宅基地财产功能，开展了多方面探索。比如，汩罗市探索了有偿退出模式，对自愿退出的农户，采取“留权不留地”等方式，在10年内保留其宅基地申请权利，全市共有134户农民自愿有偿退出农村宅基地，节约集约土地2.25万平方米。又如浏阳市探索城镇规划建设范围外的宅基地，通过有偿使用、择位竞价，向县域内符合宅基地资格的农户流转，共异地流转宅基地2970宗498亩。</w:t>
      </w:r>
    </w:p>
    <w:p>
      <w:pPr>
        <w:pStyle w:val="16"/>
        <w:spacing w:line="600" w:lineRule="exact"/>
        <w:ind w:firstLine="640" w:firstLineChars="200"/>
        <w:jc w:val="both"/>
        <w:rPr>
          <w:rFonts w:ascii="仿宋" w:hAnsi="仿宋" w:eastAsia="仿宋" w:cs="仿宋"/>
          <w:sz w:val="32"/>
          <w:szCs w:val="32"/>
        </w:rPr>
      </w:pPr>
      <w:r>
        <w:rPr>
          <w:rFonts w:hint="eastAsia" w:ascii="楷体" w:hAnsi="楷体" w:eastAsia="楷体" w:cs="仿宋"/>
          <w:b/>
          <w:sz w:val="32"/>
          <w:szCs w:val="32"/>
        </w:rPr>
        <w:t>（四）全力以赴守底线，新增乱占耕地建房图斑基本销号。</w:t>
      </w:r>
      <w:r>
        <w:rPr>
          <w:rFonts w:hint="eastAsia" w:ascii="仿宋" w:hAnsi="仿宋" w:eastAsia="仿宋" w:cs="仿宋"/>
          <w:sz w:val="32"/>
          <w:szCs w:val="32"/>
        </w:rPr>
        <w:t>认真落实建球厅长对农村乱占耕地建住房问题批示指示，研究制定具体措施，坚决遏制农村新增乱占耕地建房行为。</w:t>
      </w:r>
      <w:r>
        <w:rPr>
          <w:rFonts w:hint="eastAsia" w:ascii="仿宋" w:hAnsi="仿宋" w:eastAsia="仿宋" w:cs="仿宋"/>
          <w:b/>
          <w:sz w:val="32"/>
          <w:szCs w:val="32"/>
        </w:rPr>
        <w:t>一是压实责任抓整治。</w:t>
      </w:r>
      <w:r>
        <w:rPr>
          <w:rFonts w:hint="eastAsia" w:ascii="仿宋" w:hAnsi="仿宋" w:eastAsia="仿宋" w:cs="仿宋"/>
          <w:sz w:val="32"/>
          <w:szCs w:val="32"/>
        </w:rPr>
        <w:t>建立了国家自然资源督察问题图斑整改工作日调度制度，及时调度情况，层层传导压力。今年3月，组织召开了农村乱占耕地建住房问题图斑整改工作调度会，对整改进度靠后的8个市州、15县市区政府分管负责同志和农业农村局局长进行了约谈，督促对标对表，狠抓问题图斑整改落实。年前，将再次对新增农村乱占耕地建房和违法占用耕地问题整治不力的部分市县开展警示约谈。</w:t>
      </w:r>
      <w:r>
        <w:rPr>
          <w:rFonts w:hint="eastAsia" w:ascii="仿宋" w:hAnsi="仿宋" w:eastAsia="仿宋" w:cs="仿宋"/>
          <w:b/>
          <w:sz w:val="32"/>
          <w:szCs w:val="32"/>
        </w:rPr>
        <w:t>二是分工协作抓整治。</w:t>
      </w:r>
      <w:r>
        <w:rPr>
          <w:rFonts w:hint="eastAsia" w:ascii="仿宋" w:hAnsi="仿宋" w:eastAsia="仿宋" w:cs="仿宋"/>
          <w:sz w:val="32"/>
          <w:szCs w:val="32"/>
        </w:rPr>
        <w:t>与省自然资源厅建立了联合通报、联合督察督导、联合警示约谈、联合挂牌督办、联合移送移交等五项联合工作机制，并联合下发了《关于坚决遏制新增农村乱占耕地建房问题的通知》，明确自然资源部门、农业农村部门分别负责非住宅类、住宅类问题图斑整治，既加强联合部署，又坚持分头推进，汇聚了强大工作合力。</w:t>
      </w:r>
      <w:r>
        <w:rPr>
          <w:rFonts w:hint="eastAsia" w:ascii="仿宋" w:hAnsi="仿宋" w:eastAsia="仿宋" w:cs="仿宋"/>
          <w:b/>
          <w:sz w:val="32"/>
          <w:szCs w:val="32"/>
        </w:rPr>
        <w:t>三是分类施策抓整治。</w:t>
      </w:r>
      <w:r>
        <w:rPr>
          <w:rFonts w:hint="eastAsia" w:ascii="仿宋" w:hAnsi="仿宋" w:eastAsia="仿宋" w:cs="仿宋"/>
          <w:sz w:val="32"/>
          <w:szCs w:val="32"/>
        </w:rPr>
        <w:t>将农村乱占耕地建房图斑整治纳入耕地保护和粮食安全考核范畴，督促市县压实工作责任，紧扣时间节点，按已调规、预调出或部分调出、城镇规划区内的图斑分类施策，狠抓整改落实。如邵阳县县委、县政府高度重视，县委书记在全县乡镇党政主要负责人会议上亲自部署安排，交办的111宗图斑全部完成整改销号。据自然资源督察武汉局反馈，截止2</w:t>
      </w:r>
      <w:r>
        <w:rPr>
          <w:rFonts w:ascii="仿宋" w:hAnsi="仿宋" w:eastAsia="仿宋" w:cs="仿宋"/>
          <w:sz w:val="32"/>
          <w:szCs w:val="32"/>
        </w:rPr>
        <w:t>024</w:t>
      </w:r>
      <w:r>
        <w:rPr>
          <w:rFonts w:hint="eastAsia" w:ascii="仿宋" w:hAnsi="仿宋" w:eastAsia="仿宋" w:cs="仿宋"/>
          <w:sz w:val="32"/>
          <w:szCs w:val="32"/>
        </w:rPr>
        <w:t>年底，2022、2023年问题图斑已经分别整改销号496个、563个，整改销号率分别为91%、80.31%，整体整改进度比上年提高近20个百分点；历年部卫片执法发现的217个问题图斑整，目前已整改到位185个，正持续推进整改32个。</w:t>
      </w:r>
    </w:p>
    <w:p>
      <w:pPr>
        <w:pStyle w:val="16"/>
        <w:spacing w:line="600" w:lineRule="exact"/>
        <w:ind w:firstLine="640" w:firstLineChars="200"/>
        <w:jc w:val="both"/>
        <w:rPr>
          <w:rFonts w:ascii="仿宋" w:hAnsi="仿宋" w:eastAsia="仿宋" w:cs="仿宋"/>
          <w:sz w:val="32"/>
          <w:szCs w:val="32"/>
        </w:rPr>
      </w:pPr>
      <w:r>
        <w:rPr>
          <w:rFonts w:hint="eastAsia" w:ascii="楷体" w:hAnsi="楷体" w:eastAsia="楷体" w:cs="仿宋"/>
          <w:b/>
          <w:sz w:val="32"/>
          <w:szCs w:val="32"/>
        </w:rPr>
        <w:t>（五）擦亮品牌树形象，农村土地仲裁工作再创佳绩。</w:t>
      </w:r>
      <w:r>
        <w:rPr>
          <w:rFonts w:hint="eastAsia" w:ascii="仿宋" w:hAnsi="仿宋" w:eastAsia="仿宋" w:cs="仿宋"/>
          <w:sz w:val="32"/>
          <w:szCs w:val="32"/>
        </w:rPr>
        <w:t>持续完善县、乡、村三级农村土地承包纠纷调解体系，全省共设有县级仲裁委员会120个、乡镇调解委员会1751个、村级调解小组25509个，聘用仲裁员2776人、调解员77736人，构建了“乡村调解、县级仲裁、司法保障”的矛盾纠纷化解机制纠纷调处机制。各级调解仲裁机构依法规范程序，认真调查取证，公正客观裁决，形成土地承包纠纷化解工作闭环，提升了司法公信力，有效维护当事人的合法权益。 2024年全省调解、仲裁农村土地承包纠纷5606件，案件完结率100%，从源头上有效控制和减少上访、诉讼案件，缓解信访工作压力，维护了农村稳定。农村土地承包纠纷调解仲裁工作是我厅唯一一项列入全国综治考评的内容。3月31日湖南日报头版刊发了《化解农村土地承包经营纠纷 湖南连续8年获评全国先进》的文章。目前，我站根据中央综治委、农业农村部和省综治委的部署安排，已组织对14个市州的仲裁工作进行了资料收集和整理，待农业农村部和省平安办考评细则出台后，将对市州进行考评，力争今年在全国的考评中继续保持全国第一等次。</w:t>
      </w:r>
    </w:p>
    <w:p>
      <w:pPr>
        <w:spacing w:line="620" w:lineRule="exact"/>
        <w:ind w:firstLine="640" w:firstLineChars="200"/>
        <w:rPr>
          <w:rFonts w:ascii="仿宋" w:hAnsi="仿宋" w:eastAsia="仿宋" w:cs="仿宋"/>
          <w:sz w:val="34"/>
          <w:szCs w:val="34"/>
        </w:rPr>
      </w:pPr>
      <w:r>
        <w:rPr>
          <w:rFonts w:hint="eastAsia" w:ascii="楷体" w:hAnsi="楷体" w:eastAsia="楷体" w:cs="仿宋"/>
          <w:b/>
          <w:color w:val="000000"/>
          <w:kern w:val="0"/>
          <w:sz w:val="32"/>
          <w:szCs w:val="32"/>
        </w:rPr>
        <w:t>(六) 凝心铸魂建队伍，农村经营管理体系建设持续加强。</w:t>
      </w:r>
      <w:r>
        <w:rPr>
          <w:rFonts w:hint="eastAsia" w:ascii="仿宋" w:hAnsi="仿宋" w:eastAsia="仿宋" w:cs="仿宋"/>
          <w:sz w:val="34"/>
          <w:szCs w:val="34"/>
        </w:rPr>
        <w:t>坚持以党的政治建设为统领，抓学习、强机构、建队伍，努力锻造一支对党忠诚、勇于担当、敢打硬仗的高素质干部队伍。</w:t>
      </w:r>
      <w:r>
        <w:rPr>
          <w:rFonts w:hint="eastAsia" w:ascii="仿宋" w:hAnsi="仿宋" w:eastAsia="仿宋" w:cs="CESI楷体-GB18030"/>
          <w:b/>
          <w:bCs/>
          <w:sz w:val="34"/>
          <w:szCs w:val="34"/>
        </w:rPr>
        <w:t>一是加强政治建设。</w:t>
      </w:r>
      <w:r>
        <w:rPr>
          <w:rFonts w:hint="eastAsia" w:ascii="仿宋" w:hAnsi="仿宋" w:eastAsia="仿宋" w:cs="仿宋"/>
          <w:sz w:val="34"/>
          <w:szCs w:val="34"/>
        </w:rPr>
        <w:t>强化理论武装，坚持“第一议题”制度，学懂弄通做实习近平新时代中国特色社会主义思想，真正将其转化为坚定理想信念、强大精神动力和出色工作业绩。扎实推进党纪学习教育，制定了工作方案，举办了读书班，并结合袁延文案、唐建初案和杨</w:t>
      </w:r>
      <w:r>
        <w:rPr>
          <w:rFonts w:ascii="仿宋" w:hAnsi="仿宋" w:eastAsia="仿宋" w:cs="仿宋"/>
          <w:sz w:val="34"/>
          <w:szCs w:val="34"/>
        </w:rPr>
        <w:t>乾</w:t>
      </w:r>
      <w:r>
        <w:rPr>
          <w:rFonts w:hint="eastAsia" w:ascii="仿宋" w:hAnsi="仿宋" w:eastAsia="仿宋" w:cs="仿宋"/>
          <w:sz w:val="34"/>
          <w:szCs w:val="34"/>
        </w:rPr>
        <w:t>等人严重违纪违法案件深化以案促改，结合自身进行全面深刻剖析，达到了知纪于心、立纪于身、化纪于行的效果。配合做好厅党组第五轮巡察工作，全面检视在扛稳政治责任、开展政治生活、遵守政治纪律、强化政治担当、防范政治风险等方面的情况，逐一列出问题清单、责任清单、任务清单，扎实做好巡察整改“后半篇”文章。</w:t>
      </w:r>
      <w:r>
        <w:rPr>
          <w:rFonts w:hint="eastAsia" w:ascii="仿宋" w:hAnsi="仿宋" w:eastAsia="仿宋" w:cs="CESI楷体-GB18030"/>
          <w:b/>
          <w:bCs/>
          <w:sz w:val="34"/>
          <w:szCs w:val="34"/>
        </w:rPr>
        <w:t>二是加强机构建设。</w:t>
      </w:r>
      <w:r>
        <w:rPr>
          <w:rFonts w:hint="eastAsia" w:ascii="仿宋" w:hAnsi="仿宋" w:eastAsia="仿宋" w:cs="仿宋"/>
          <w:sz w:val="34"/>
          <w:szCs w:val="34"/>
        </w:rPr>
        <w:t>按照习近平总书记提出的“农业农村部门既要抓生产力也要抓生产关系”的要求，配合厅人事处做好事业单位机构改革前期调查工作，并赴省编办进行了汇报，充分阐明了经管机构的历史作用、中央要求、外省做法及承担的职能职责，相关部门均一致认为经管机构十分重要，达到了保机构、强职能、促发展的目标。</w:t>
      </w:r>
      <w:r>
        <w:rPr>
          <w:rFonts w:hint="eastAsia" w:ascii="仿宋" w:hAnsi="仿宋" w:eastAsia="仿宋" w:cs="CESI楷体-GB18030"/>
          <w:b/>
          <w:bCs/>
          <w:sz w:val="34"/>
          <w:szCs w:val="34"/>
        </w:rPr>
        <w:t>三是加强队伍建设。</w:t>
      </w:r>
      <w:r>
        <w:rPr>
          <w:rFonts w:hint="eastAsia" w:ascii="仿宋" w:hAnsi="仿宋" w:eastAsia="仿宋" w:cs="仿宋"/>
          <w:sz w:val="34"/>
          <w:szCs w:val="34"/>
        </w:rPr>
        <w:t>优化干部队伍，将全站设立为综合科、业务科两个科室，并根据人员情况合理配置岗位，配齐了支部班子，改变了以前一人管一事、各自为战的局面，形成了相互配合，一级抓一级、层层抓落实的工作局面。认真落实“三比一看”用人导向，坚持用好的作风选人、选作风好的人，把德才兼备、群众公认、成绩突出的干部选上来、用起来，引导全站干部职工把心思和精力用到抓工作、谋实策、办实事、求实效上来。今年有1名同志选调厅机关，两名同志晋升四级调研员，改变了近6年来没有提拔一名处级干部的局面。</w:t>
      </w:r>
    </w:p>
    <w:p>
      <w:pPr>
        <w:pStyle w:val="10"/>
        <w:spacing w:line="620" w:lineRule="exact"/>
        <w:ind w:firstLine="680" w:firstLineChars="200"/>
        <w:jc w:val="both"/>
        <w:rPr>
          <w:rFonts w:ascii="仿宋" w:hAnsi="仿宋" w:eastAsia="仿宋"/>
          <w:b/>
          <w:sz w:val="34"/>
          <w:szCs w:val="34"/>
        </w:rPr>
      </w:pPr>
      <w:r>
        <w:rPr>
          <w:rFonts w:hint="eastAsia" w:ascii="仿宋" w:hAnsi="仿宋" w:eastAsia="仿宋" w:cs="仿宋"/>
          <w:sz w:val="34"/>
          <w:szCs w:val="34"/>
        </w:rPr>
        <w:t>同时，</w:t>
      </w:r>
      <w:r>
        <w:rPr>
          <w:rFonts w:hint="eastAsia" w:ascii="仿宋" w:hAnsi="仿宋" w:eastAsia="仿宋"/>
          <w:sz w:val="34"/>
          <w:szCs w:val="34"/>
        </w:rPr>
        <w:t>根据农业农村部《关于做好2024年农村经营管理情况统计相关报表年终预报和年报工作的通知》要求，认真做好社会化服务、农民专业合作社、集体经济财务管理与审计、农民负担、宅基地、农经机构队伍、乡村治理等农经统计年报工作；</w:t>
      </w:r>
      <w:r>
        <w:rPr>
          <w:rFonts w:ascii="仿宋" w:hAnsi="仿宋" w:eastAsia="仿宋"/>
          <w:sz w:val="34"/>
          <w:szCs w:val="34"/>
        </w:rPr>
        <w:t>组织</w:t>
      </w:r>
      <w:r>
        <w:rPr>
          <w:rFonts w:hint="eastAsia" w:ascii="仿宋" w:hAnsi="仿宋" w:eastAsia="仿宋"/>
          <w:sz w:val="34"/>
          <w:szCs w:val="34"/>
        </w:rPr>
        <w:t>开展了宅基地、</w:t>
      </w:r>
      <w:r>
        <w:rPr>
          <w:rFonts w:ascii="仿宋" w:hAnsi="仿宋" w:eastAsia="仿宋"/>
          <w:sz w:val="34"/>
          <w:szCs w:val="34"/>
        </w:rPr>
        <w:t>土地仲裁</w:t>
      </w:r>
      <w:r>
        <w:rPr>
          <w:rFonts w:hint="eastAsia" w:ascii="仿宋" w:hAnsi="仿宋" w:eastAsia="仿宋"/>
          <w:sz w:val="34"/>
          <w:szCs w:val="34"/>
        </w:rPr>
        <w:t>、</w:t>
      </w:r>
      <w:r>
        <w:rPr>
          <w:rFonts w:ascii="仿宋" w:hAnsi="仿宋" w:eastAsia="仿宋"/>
          <w:sz w:val="34"/>
          <w:szCs w:val="34"/>
        </w:rPr>
        <w:t>农民合作社</w:t>
      </w:r>
      <w:r>
        <w:rPr>
          <w:rFonts w:hint="eastAsia" w:ascii="仿宋" w:hAnsi="仿宋" w:eastAsia="仿宋"/>
          <w:sz w:val="34"/>
          <w:szCs w:val="34"/>
        </w:rPr>
        <w:t>辅导员和理事长等</w:t>
      </w:r>
      <w:r>
        <w:rPr>
          <w:rFonts w:ascii="仿宋" w:hAnsi="仿宋" w:eastAsia="仿宋"/>
          <w:sz w:val="34"/>
          <w:szCs w:val="34"/>
        </w:rPr>
        <w:t>业务培训</w:t>
      </w:r>
      <w:r>
        <w:rPr>
          <w:rFonts w:hint="eastAsia" w:ascii="仿宋" w:hAnsi="仿宋" w:eastAsia="仿宋"/>
          <w:sz w:val="34"/>
          <w:szCs w:val="34"/>
        </w:rPr>
        <w:t>工作，提升了市县工作人员的能力水平；坚持为民情怀，认真做好宅基地信访工作，全年共依法处理人民群众信访件31件，有效化解了农村</w:t>
      </w:r>
      <w:r>
        <w:rPr>
          <w:rFonts w:ascii="仿宋" w:hAnsi="仿宋" w:eastAsia="仿宋"/>
          <w:sz w:val="34"/>
          <w:szCs w:val="34"/>
        </w:rPr>
        <w:t>宅基地</w:t>
      </w:r>
      <w:r>
        <w:rPr>
          <w:rFonts w:hint="eastAsia" w:ascii="仿宋" w:hAnsi="仿宋" w:eastAsia="仿宋"/>
          <w:sz w:val="34"/>
          <w:szCs w:val="34"/>
        </w:rPr>
        <w:t>纠纷；继续做好老干、工会工</w:t>
      </w:r>
      <w:r>
        <w:rPr>
          <w:rFonts w:hint="eastAsia" w:ascii="仿宋" w:hAnsi="仿宋" w:eastAsia="仿宋" w:cs="仿宋"/>
          <w:sz w:val="34"/>
          <w:szCs w:val="34"/>
        </w:rPr>
        <w:t>作，定期组织开展健康体检、走访慰问、文化娱乐等活动，增强了干部职工的归属感、幸福感。</w:t>
      </w:r>
    </w:p>
    <w:p>
      <w:pPr>
        <w:pStyle w:val="16"/>
        <w:spacing w:line="600" w:lineRule="exact"/>
        <w:ind w:firstLine="640" w:firstLineChars="200"/>
        <w:jc w:val="both"/>
        <w:rPr>
          <w:rFonts w:ascii="Times New Roman" w:hAnsi="Times New Roman"/>
          <w:sz w:val="32"/>
          <w:szCs w:val="32"/>
        </w:rPr>
      </w:pPr>
      <w:r>
        <w:rPr>
          <w:rFonts w:ascii="Times New Roman" w:hAnsi="Times New Roman"/>
          <w:sz w:val="32"/>
          <w:szCs w:val="32"/>
        </w:rPr>
        <w:t>七、存在的问题及原因分析</w:t>
      </w:r>
    </w:p>
    <w:p>
      <w:pPr>
        <w:spacing w:line="620" w:lineRule="exact"/>
        <w:ind w:firstLine="680" w:firstLineChars="200"/>
        <w:rPr>
          <w:rFonts w:ascii="仿宋" w:hAnsi="仿宋" w:eastAsia="仿宋" w:cs="仿宋"/>
          <w:sz w:val="34"/>
          <w:szCs w:val="34"/>
        </w:rPr>
      </w:pPr>
      <w:r>
        <w:rPr>
          <w:rFonts w:hint="eastAsia" w:ascii="仿宋" w:hAnsi="仿宋" w:eastAsia="仿宋" w:cs="仿宋"/>
          <w:sz w:val="34"/>
          <w:szCs w:val="34"/>
        </w:rPr>
        <w:t>尽管2024年工作取得一些绩，但也存在不少问题。</w:t>
      </w:r>
      <w:r>
        <w:rPr>
          <w:rFonts w:hint="eastAsia" w:ascii="仿宋" w:hAnsi="仿宋" w:eastAsia="仿宋" w:cs="仿宋"/>
          <w:kern w:val="0"/>
          <w:sz w:val="34"/>
          <w:szCs w:val="34"/>
        </w:rPr>
        <w:t>一是农民居住权益难以保障。不少村集体已经没有机动地可供批划宅基地，难以保障农民建房的合理用地需求。部分村村庄规划编制存在宅基地空间布局不合理、未预留农村住宅建设空间的问题，造成村民建房选址困难。</w:t>
      </w:r>
      <w:r>
        <w:rPr>
          <w:rFonts w:hint="eastAsia" w:ascii="仿宋" w:hAnsi="仿宋" w:eastAsia="仿宋" w:cs="仿宋"/>
          <w:color w:val="000000"/>
          <w:kern w:val="44"/>
          <w:sz w:val="34"/>
          <w:szCs w:val="34"/>
        </w:rPr>
        <w:t>2024年</w:t>
      </w:r>
      <w:r>
        <w:rPr>
          <w:rFonts w:hint="eastAsia" w:ascii="仿宋" w:hAnsi="仿宋" w:eastAsia="仿宋" w:cs="仿宋"/>
          <w:sz w:val="34"/>
          <w:szCs w:val="34"/>
        </w:rPr>
        <w:t>全省线上线下申请宅基地审批率为89%多，除去小部分不符合申请条件外，仍有近11%的农户建房合理用地需求难以保障</w:t>
      </w:r>
      <w:r>
        <w:rPr>
          <w:rFonts w:hint="eastAsia" w:ascii="仿宋" w:hAnsi="仿宋" w:eastAsia="仿宋" w:cs="仿宋"/>
          <w:color w:val="000000"/>
          <w:kern w:val="44"/>
          <w:sz w:val="34"/>
          <w:szCs w:val="34"/>
        </w:rPr>
        <w:t>。</w:t>
      </w:r>
      <w:r>
        <w:rPr>
          <w:rFonts w:hint="eastAsia" w:ascii="仿宋" w:hAnsi="仿宋" w:eastAsia="仿宋" w:cs="仿宋"/>
          <w:kern w:val="0"/>
          <w:sz w:val="34"/>
          <w:szCs w:val="34"/>
        </w:rPr>
        <w:t>二是违</w:t>
      </w:r>
      <w:r>
        <w:rPr>
          <w:rFonts w:hint="eastAsia" w:ascii="仿宋" w:hAnsi="仿宋" w:eastAsia="仿宋" w:cs="仿宋"/>
          <w:sz w:val="34"/>
          <w:szCs w:val="34"/>
        </w:rPr>
        <w:t>法建房行为禁而未绝。</w:t>
      </w:r>
      <w:r>
        <w:rPr>
          <w:rFonts w:hint="eastAsia" w:ascii="仿宋" w:hAnsi="仿宋" w:eastAsia="仿宋" w:cs="仿宋"/>
          <w:sz w:val="34"/>
          <w:szCs w:val="34"/>
          <w:shd w:val="clear" w:color="auto" w:fill="FFFFFF"/>
        </w:rPr>
        <w:t>宅基地管理力量薄弱、执法手段落后、职能交叉受限，违法行为难以标本兼治。尽管农业农村（经管）部门接管后有根本好转，乱占耕地建房图斑数量比以前大幅减少，但仍有不少疑似问题图斑。</w:t>
      </w:r>
      <w:r>
        <w:rPr>
          <w:rFonts w:hint="eastAsia" w:ascii="仿宋" w:hAnsi="仿宋" w:eastAsia="仿宋" w:cs="仿宋"/>
          <w:sz w:val="34"/>
          <w:szCs w:val="34"/>
        </w:rPr>
        <w:t>三是</w:t>
      </w:r>
      <w:r>
        <w:rPr>
          <w:rFonts w:hint="eastAsia" w:ascii="仿宋" w:hAnsi="仿宋" w:eastAsia="仿宋" w:cs="仿宋"/>
          <w:sz w:val="34"/>
          <w:szCs w:val="34"/>
          <w:shd w:val="clear" w:color="auto" w:fill="FFFFFF"/>
        </w:rPr>
        <w:t>闲置宅基地盘活利用不够。</w:t>
      </w:r>
      <w:r>
        <w:rPr>
          <w:rFonts w:hint="eastAsia" w:ascii="仿宋" w:hAnsi="仿宋" w:eastAsia="仿宋" w:cs="仿宋"/>
          <w:sz w:val="34"/>
          <w:szCs w:val="34"/>
        </w:rPr>
        <w:t>开展宅基地经济活动的相关制度有待完善，农村宅基地使用权流转、抵押融资等受限，调动农民流转宅基地的办法不多，除4个试点县外，全省仍有大量闲置宅基地无法盘活。</w:t>
      </w:r>
    </w:p>
    <w:p>
      <w:pPr>
        <w:spacing w:line="620" w:lineRule="exact"/>
        <w:ind w:firstLine="680" w:firstLineChars="200"/>
        <w:rPr>
          <w:rFonts w:ascii="仿宋" w:hAnsi="仿宋" w:eastAsia="仿宋" w:cs="仿宋"/>
          <w:b/>
          <w:bCs/>
          <w:sz w:val="34"/>
          <w:szCs w:val="34"/>
        </w:rPr>
      </w:pPr>
      <w:r>
        <w:rPr>
          <w:rFonts w:hint="eastAsia" w:ascii="仿宋" w:hAnsi="仿宋" w:eastAsia="仿宋" w:cs="仿宋"/>
          <w:b/>
          <w:bCs/>
          <w:sz w:val="34"/>
          <w:szCs w:val="34"/>
        </w:rPr>
        <w:t>八、下一步改进措施</w:t>
      </w:r>
    </w:p>
    <w:p>
      <w:pPr>
        <w:spacing w:line="620" w:lineRule="exact"/>
        <w:ind w:firstLine="680" w:firstLineChars="200"/>
        <w:rPr>
          <w:rFonts w:ascii="仿宋" w:hAnsi="仿宋" w:eastAsia="仿宋" w:cs="仿宋"/>
          <w:bCs/>
          <w:sz w:val="34"/>
          <w:szCs w:val="34"/>
          <w:shd w:val="clear" w:color="auto" w:fill="FFFFFF"/>
        </w:rPr>
      </w:pPr>
      <w:r>
        <w:rPr>
          <w:rFonts w:hint="eastAsia" w:ascii="仿宋" w:hAnsi="仿宋" w:eastAsia="仿宋" w:cs="仿宋"/>
          <w:bCs/>
          <w:sz w:val="34"/>
          <w:szCs w:val="34"/>
          <w:shd w:val="clear" w:color="auto" w:fill="FFFFFF"/>
        </w:rPr>
        <w:t>2025年是全面完成“十四五”规划的收官之年。我们将深入学习贯彻党的二十届三中全会和中央、省委农村工作会议精神，聚焦做好宅基地、承包地“两块地”的文章，扎实推进“四大行动一项改革”，为全面推进乡村振兴注入强劲动力。</w:t>
      </w:r>
      <w:r>
        <w:rPr>
          <w:rFonts w:hint="eastAsia" w:ascii="CESI楷体-GB18030" w:hAnsi="CESI楷体-GB18030" w:eastAsia="CESI楷体-GB18030" w:cs="CESI楷体-GB18030"/>
          <w:b/>
          <w:bCs/>
          <w:sz w:val="34"/>
          <w:szCs w:val="34"/>
        </w:rPr>
        <w:t>一是扎实推进农村乱占耕地建房专项整治行动</w:t>
      </w:r>
      <w:r>
        <w:rPr>
          <w:rFonts w:hint="eastAsia" w:ascii="CESI楷体-GB18030" w:hAnsi="CESI楷体-GB18030" w:eastAsia="CESI楷体-GB18030" w:cs="CESI楷体-GB18030"/>
          <w:sz w:val="34"/>
          <w:szCs w:val="34"/>
        </w:rPr>
        <w:t>。</w:t>
      </w:r>
      <w:r>
        <w:rPr>
          <w:rFonts w:hint="eastAsia" w:ascii="仿宋" w:hAnsi="仿宋" w:eastAsia="仿宋" w:cs="仿宋"/>
          <w:bCs/>
          <w:sz w:val="34"/>
          <w:szCs w:val="34"/>
          <w:shd w:val="clear" w:color="auto" w:fill="FFFFFF"/>
        </w:rPr>
        <w:t>2025年我省将在40多个县（市区）启动农村乱占耕地建房专项整治。我们将认真总结4个试点县的经验做法，稳步推进专项整治扩面工作，突出抓动员部署、抓工作机制、抓调查摸底，一环紧扣一环抓，一步紧跟一步推，确保专项整治工作取得良好效果。</w:t>
      </w:r>
      <w:r>
        <w:rPr>
          <w:rFonts w:hint="eastAsia" w:ascii="CESI楷体-GB18030" w:hAnsi="CESI楷体-GB18030" w:eastAsia="CESI楷体-GB18030" w:cs="CESI楷体-GB18030"/>
          <w:b/>
          <w:bCs/>
          <w:sz w:val="34"/>
          <w:szCs w:val="34"/>
        </w:rPr>
        <w:t>二是扎实推进新增问题图斑遏制行动。</w:t>
      </w:r>
      <w:r>
        <w:rPr>
          <w:rFonts w:hint="eastAsia" w:ascii="仿宋" w:hAnsi="仿宋" w:eastAsia="仿宋" w:cs="仿宋"/>
          <w:bCs/>
          <w:sz w:val="34"/>
          <w:szCs w:val="34"/>
          <w:shd w:val="clear" w:color="auto" w:fill="FFFFFF"/>
        </w:rPr>
        <w:t>加强宅基地审批管理，推广农村建房“高效办成一件事”和农村宅基地审批系统应用，落实农民合理用地需求。强化业务培训和法制宣传教育，利用现代信息技术，构建“天空地”一体化监管体系，对违法违规建房行为做到早发现、早制止。压实地方主体责任，及时完成武汉督查局反馈问题图斑整改工作，坚决守住耕地保护红线。</w:t>
      </w:r>
      <w:r>
        <w:rPr>
          <w:rFonts w:hint="eastAsia" w:ascii="CESI楷体-GB18030" w:hAnsi="CESI楷体-GB18030" w:eastAsia="CESI楷体-GB18030" w:cs="CESI楷体-GB18030"/>
          <w:b/>
          <w:bCs/>
          <w:sz w:val="34"/>
          <w:szCs w:val="34"/>
        </w:rPr>
        <w:t>三是扎实推进农村闲置住房盘活利用行动。</w:t>
      </w:r>
      <w:r>
        <w:rPr>
          <w:rFonts w:hint="eastAsia" w:ascii="仿宋" w:hAnsi="仿宋" w:eastAsia="仿宋" w:cs="仿宋"/>
          <w:bCs/>
          <w:sz w:val="34"/>
          <w:szCs w:val="34"/>
          <w:shd w:val="clear" w:color="auto" w:fill="FFFFFF"/>
        </w:rPr>
        <w:t>加强相关政策研究，争取以省委、省政府办公厅名义出台盘活利用农村闲置宅基地和闲置农房的文件。结合农村乱占耕地建房专项整治，选择一批县（市区）开展农村闲置宅基地和闲置农房盘活利用试点，重点完善出租、入股、合作三种盘活利用模式，唤醒农村沉睡资产，让农民获得更多的改革红利。</w:t>
      </w:r>
      <w:r>
        <w:rPr>
          <w:rFonts w:hint="eastAsia" w:ascii="CESI楷体-GB18030" w:hAnsi="CESI楷体-GB18030" w:eastAsia="CESI楷体-GB18030" w:cs="CESI楷体-GB18030"/>
          <w:b/>
          <w:bCs/>
          <w:sz w:val="34"/>
          <w:szCs w:val="34"/>
        </w:rPr>
        <w:t>四是扎实推进农村土地仲裁提升行动。</w:t>
      </w:r>
      <w:r>
        <w:rPr>
          <w:rFonts w:hint="eastAsia" w:ascii="仿宋" w:hAnsi="仿宋" w:eastAsia="仿宋" w:cs="仿宋"/>
          <w:bCs/>
          <w:sz w:val="34"/>
          <w:szCs w:val="34"/>
          <w:shd w:val="clear" w:color="auto" w:fill="FFFFFF"/>
        </w:rPr>
        <w:t>顺应土地延包整省试点带来的新形势、新变化、新要求，加强法规宣传教育，健全机构队伍，规范仲裁程序，优化服务流程，积极探索推广调解与仲裁相结合、巡回与定点相结合的仲裁方式，及时公正解决农村土地承包经营纠纷，维护农民群众合法权益。</w:t>
      </w:r>
      <w:r>
        <w:rPr>
          <w:rFonts w:hint="eastAsia" w:ascii="CESI楷体-GB18030" w:hAnsi="CESI楷体-GB18030" w:eastAsia="CESI楷体-GB18030" w:cs="CESI楷体-GB18030"/>
          <w:b/>
          <w:bCs/>
          <w:sz w:val="34"/>
          <w:szCs w:val="34"/>
        </w:rPr>
        <w:t>五是扎实推进农村经营管理机构改革。</w:t>
      </w:r>
      <w:r>
        <w:rPr>
          <w:rFonts w:hint="eastAsia" w:ascii="仿宋" w:hAnsi="仿宋" w:eastAsia="仿宋" w:cs="仿宋"/>
          <w:bCs/>
          <w:sz w:val="34"/>
          <w:szCs w:val="34"/>
          <w:shd w:val="clear" w:color="auto" w:fill="FFFFFF"/>
        </w:rPr>
        <w:t>按照“三定”方案要求，配合做好厅属事业单位机构改革工作，着力调整优化部门职责，创新管理体制机制，推动转职能、转方式、转作风、提效能，认真做好人员转隶、资产转接、工作转交等工作，确保经管工作不断档、不脱节、不掉链。</w:t>
      </w:r>
    </w:p>
    <w:p>
      <w:pPr>
        <w:pStyle w:val="16"/>
        <w:spacing w:line="600" w:lineRule="exact"/>
        <w:ind w:firstLine="640" w:firstLineChars="200"/>
        <w:jc w:val="both"/>
        <w:rPr>
          <w:rFonts w:ascii="仿宋" w:hAnsi="仿宋" w:eastAsia="仿宋" w:cs="仿宋"/>
          <w:sz w:val="32"/>
          <w:szCs w:val="32"/>
        </w:rPr>
      </w:pPr>
    </w:p>
    <w:p>
      <w:pPr>
        <w:pStyle w:val="16"/>
        <w:spacing w:line="600" w:lineRule="exact"/>
        <w:ind w:firstLine="640" w:firstLineChars="200"/>
        <w:jc w:val="both"/>
        <w:rPr>
          <w:rFonts w:ascii="仿宋" w:hAnsi="仿宋" w:eastAsia="仿宋" w:cs="仿宋"/>
          <w:sz w:val="32"/>
          <w:szCs w:val="32"/>
        </w:rPr>
      </w:pPr>
    </w:p>
    <w:p>
      <w:pPr>
        <w:pStyle w:val="6"/>
        <w:ind w:firstLine="0" w:firstLineChars="0"/>
      </w:pPr>
    </w:p>
    <w:p>
      <w:pPr>
        <w:pStyle w:val="6"/>
        <w:ind w:firstLine="0" w:firstLineChars="0"/>
      </w:pPr>
      <w:r>
        <w:t>附件1</w:t>
      </w:r>
    </w:p>
    <w:p>
      <w:pPr>
        <w:pStyle w:val="5"/>
        <w:spacing w:beforeLines="25" w:afterLines="25" w:line="500" w:lineRule="exact"/>
        <w:rPr>
          <w:sz w:val="36"/>
          <w:szCs w:val="36"/>
        </w:rPr>
      </w:pPr>
      <w:r>
        <w:rPr>
          <w:sz w:val="36"/>
          <w:szCs w:val="36"/>
        </w:rPr>
        <w:t>部门整体支出绩效评价基础数据表</w:t>
      </w:r>
    </w:p>
    <w:tbl>
      <w:tblPr>
        <w:tblStyle w:val="12"/>
        <w:tblW w:w="9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5"/>
        <w:gridCol w:w="1276"/>
        <w:gridCol w:w="992"/>
        <w:gridCol w:w="1108"/>
        <w:gridCol w:w="1111"/>
        <w:gridCol w:w="969"/>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kern w:val="0"/>
                <w:sz w:val="21"/>
                <w:szCs w:val="21"/>
              </w:rPr>
            </w:pPr>
            <w:r>
              <w:rPr>
                <w:kern w:val="0"/>
                <w:sz w:val="21"/>
                <w:szCs w:val="21"/>
              </w:rPr>
              <w:t>财政供养人员情况</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b/>
                <w:bCs/>
                <w:kern w:val="0"/>
                <w:sz w:val="21"/>
                <w:szCs w:val="21"/>
              </w:rPr>
            </w:pPr>
            <w:r>
              <w:rPr>
                <w:b/>
                <w:bCs/>
                <w:kern w:val="0"/>
                <w:sz w:val="21"/>
                <w:szCs w:val="21"/>
              </w:rPr>
              <w:t>编制数</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b/>
                <w:bCs/>
                <w:kern w:val="0"/>
                <w:sz w:val="21"/>
                <w:szCs w:val="21"/>
              </w:rPr>
            </w:pPr>
            <w:r>
              <w:rPr>
                <w:b/>
                <w:bCs/>
                <w:kern w:val="0"/>
                <w:sz w:val="21"/>
                <w:szCs w:val="21"/>
              </w:rPr>
              <w:t>2024年实际在职人数</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b/>
                <w:bCs/>
                <w:kern w:val="0"/>
                <w:sz w:val="21"/>
                <w:szCs w:val="21"/>
              </w:rPr>
            </w:pPr>
            <w:r>
              <w:rPr>
                <w:b/>
                <w:bCs/>
                <w:kern w:val="0"/>
                <w:sz w:val="21"/>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kern w:val="0"/>
                <w:sz w:val="21"/>
                <w:szCs w:val="21"/>
              </w:rPr>
            </w:pP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kern w:val="0"/>
                <w:sz w:val="21"/>
                <w:szCs w:val="21"/>
              </w:rPr>
            </w:pPr>
            <w:r>
              <w:rPr>
                <w:kern w:val="0"/>
                <w:sz w:val="21"/>
                <w:szCs w:val="21"/>
              </w:rPr>
              <w:t>　</w:t>
            </w:r>
            <w:r>
              <w:rPr>
                <w:rFonts w:hint="eastAsia"/>
                <w:kern w:val="0"/>
                <w:sz w:val="21"/>
                <w:szCs w:val="21"/>
              </w:rPr>
              <w:t>12</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kern w:val="0"/>
                <w:sz w:val="21"/>
                <w:szCs w:val="21"/>
              </w:rPr>
            </w:pPr>
            <w:r>
              <w:rPr>
                <w:rFonts w:hint="eastAsia"/>
                <w:kern w:val="0"/>
                <w:sz w:val="21"/>
                <w:szCs w:val="21"/>
              </w:rPr>
              <w:t>12</w:t>
            </w: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kern w:val="0"/>
                <w:sz w:val="21"/>
                <w:szCs w:val="21"/>
              </w:rPr>
            </w:pPr>
            <w:r>
              <w:rPr>
                <w:kern w:val="0"/>
                <w:sz w:val="21"/>
                <w:szCs w:val="21"/>
              </w:rPr>
              <w:t>　</w:t>
            </w:r>
            <w:r>
              <w:rPr>
                <w:rFonts w:hint="eastAsia"/>
                <w:kern w:val="0"/>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kern w:val="0"/>
                <w:sz w:val="21"/>
                <w:szCs w:val="21"/>
              </w:rPr>
            </w:pPr>
            <w:r>
              <w:rPr>
                <w:kern w:val="0"/>
                <w:sz w:val="21"/>
                <w:szCs w:val="21"/>
              </w:rPr>
              <w:t>经费控制情况</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b/>
                <w:bCs/>
                <w:kern w:val="0"/>
                <w:sz w:val="21"/>
                <w:szCs w:val="21"/>
              </w:rPr>
            </w:pPr>
            <w:r>
              <w:rPr>
                <w:b/>
                <w:bCs/>
                <w:kern w:val="0"/>
                <w:sz w:val="21"/>
                <w:szCs w:val="21"/>
              </w:rPr>
              <w:t>2023年决算数</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b/>
                <w:bCs/>
                <w:kern w:val="0"/>
                <w:sz w:val="21"/>
                <w:szCs w:val="21"/>
              </w:rPr>
            </w:pPr>
            <w:r>
              <w:rPr>
                <w:b/>
                <w:bCs/>
                <w:kern w:val="0"/>
                <w:sz w:val="21"/>
                <w:szCs w:val="21"/>
              </w:rPr>
              <w:t>2024年预算数</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b/>
                <w:bCs/>
                <w:kern w:val="0"/>
                <w:sz w:val="21"/>
                <w:szCs w:val="21"/>
              </w:rPr>
            </w:pPr>
            <w:r>
              <w:rPr>
                <w:b/>
                <w:bCs/>
                <w:kern w:val="0"/>
                <w:sz w:val="21"/>
                <w:szCs w:val="21"/>
              </w:rPr>
              <w:t>2024年决算数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kern w:val="0"/>
                <w:sz w:val="21"/>
                <w:szCs w:val="21"/>
              </w:rPr>
            </w:pPr>
            <w:r>
              <w:rPr>
                <w:kern w:val="0"/>
                <w:sz w:val="21"/>
                <w:szCs w:val="21"/>
              </w:rPr>
              <w:t>三公经费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r>
              <w:rPr>
                <w:rFonts w:hint="eastAsia"/>
                <w:color w:val="000000" w:themeColor="text1"/>
                <w:kern w:val="0"/>
                <w:sz w:val="21"/>
                <w:szCs w:val="21"/>
                <w14:textFill>
                  <w14:solidFill>
                    <w14:schemeClr w14:val="tx1"/>
                  </w14:solidFill>
                </w14:textFill>
              </w:rPr>
              <w:t>0.74</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1</w:t>
            </w:r>
            <w:r>
              <w:rPr>
                <w:color w:val="000000" w:themeColor="text1"/>
                <w:kern w:val="0"/>
                <w:sz w:val="21"/>
                <w:szCs w:val="21"/>
                <w14:textFill>
                  <w14:solidFill>
                    <w14:schemeClr w14:val="tx1"/>
                  </w14:solidFill>
                </w14:textFill>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r>
              <w:rPr>
                <w:rFonts w:hint="eastAsia"/>
                <w:color w:val="000000" w:themeColor="text1"/>
                <w:kern w:val="0"/>
                <w:sz w:val="21"/>
                <w:szCs w:val="21"/>
                <w14:textFill>
                  <w14:solidFill>
                    <w14:schemeClr w14:val="tx1"/>
                  </w14:solidFill>
                </w14:textFill>
              </w:rPr>
              <w:t>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kern w:val="0"/>
                <w:sz w:val="21"/>
                <w:szCs w:val="21"/>
              </w:rPr>
            </w:pPr>
            <w:r>
              <w:rPr>
                <w:kern w:val="0"/>
                <w:sz w:val="21"/>
                <w:szCs w:val="21"/>
              </w:rPr>
              <w:t xml:space="preserve">   1、公务用车购置和维护经费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kern w:val="0"/>
                <w:sz w:val="21"/>
                <w:szCs w:val="21"/>
              </w:rPr>
            </w:pPr>
            <w:r>
              <w:rPr>
                <w:kern w:val="0"/>
                <w:sz w:val="21"/>
                <w:szCs w:val="21"/>
              </w:rPr>
              <w:t xml:space="preserve">       其中：公车购置</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kern w:val="0"/>
                <w:sz w:val="21"/>
                <w:szCs w:val="21"/>
              </w:rPr>
            </w:pPr>
            <w:r>
              <w:rPr>
                <w:kern w:val="0"/>
                <w:sz w:val="21"/>
                <w:szCs w:val="21"/>
              </w:rPr>
              <w:t xml:space="preserve">             公车运行维护</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kern w:val="0"/>
                <w:sz w:val="21"/>
                <w:szCs w:val="21"/>
              </w:rPr>
            </w:pPr>
            <w:r>
              <w:rPr>
                <w:kern w:val="0"/>
                <w:sz w:val="21"/>
                <w:szCs w:val="21"/>
              </w:rPr>
              <w:t xml:space="preserve">   2、出国经费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kern w:val="0"/>
                <w:sz w:val="21"/>
                <w:szCs w:val="21"/>
              </w:rPr>
            </w:pPr>
            <w:r>
              <w:rPr>
                <w:kern w:val="0"/>
                <w:sz w:val="21"/>
                <w:szCs w:val="21"/>
              </w:rPr>
              <w:t xml:space="preserve">   3、公务接待</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r>
              <w:rPr>
                <w:rFonts w:hint="eastAsia"/>
                <w:color w:val="000000" w:themeColor="text1"/>
                <w:kern w:val="0"/>
                <w:sz w:val="21"/>
                <w:szCs w:val="21"/>
                <w14:textFill>
                  <w14:solidFill>
                    <w14:schemeClr w14:val="tx1"/>
                  </w14:solidFill>
                </w14:textFill>
              </w:rPr>
              <w:t>0.74</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1</w:t>
            </w:r>
            <w:r>
              <w:rPr>
                <w:color w:val="000000" w:themeColor="text1"/>
                <w:kern w:val="0"/>
                <w:sz w:val="21"/>
                <w:szCs w:val="21"/>
                <w14:textFill>
                  <w14:solidFill>
                    <w14:schemeClr w14:val="tx1"/>
                  </w14:solidFill>
                </w14:textFill>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r>
              <w:rPr>
                <w:rFonts w:hint="eastAsia"/>
                <w:color w:val="000000" w:themeColor="text1"/>
                <w:kern w:val="0"/>
                <w:sz w:val="21"/>
                <w:szCs w:val="21"/>
                <w14:textFill>
                  <w14:solidFill>
                    <w14:schemeClr w14:val="tx1"/>
                  </w14:solidFill>
                </w14:textFill>
              </w:rPr>
              <w:t>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kern w:val="0"/>
                <w:sz w:val="21"/>
                <w:szCs w:val="21"/>
              </w:rPr>
            </w:pPr>
            <w:r>
              <w:rPr>
                <w:kern w:val="0"/>
                <w:sz w:val="21"/>
                <w:szCs w:val="21"/>
              </w:rPr>
              <w:t>项目支出：</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r>
              <w:rPr>
                <w:rFonts w:hint="eastAsia"/>
                <w:color w:val="000000" w:themeColor="text1"/>
                <w:kern w:val="0"/>
                <w:sz w:val="21"/>
                <w:szCs w:val="21"/>
                <w14:textFill>
                  <w14:solidFill>
                    <w14:schemeClr w14:val="tx1"/>
                  </w14:solidFill>
                </w14:textFill>
              </w:rPr>
              <w:t>450.62</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r>
              <w:rPr>
                <w:rFonts w:hint="eastAsia"/>
                <w:color w:val="000000" w:themeColor="text1"/>
                <w:kern w:val="0"/>
                <w:sz w:val="21"/>
                <w:szCs w:val="21"/>
                <w14:textFill>
                  <w14:solidFill>
                    <w14:schemeClr w14:val="tx1"/>
                  </w14:solidFill>
                </w14:textFill>
              </w:rPr>
              <w:t>436.38</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r>
              <w:rPr>
                <w:rFonts w:hint="eastAsia"/>
                <w:color w:val="000000" w:themeColor="text1"/>
                <w:kern w:val="0"/>
                <w:sz w:val="21"/>
                <w:szCs w:val="21"/>
                <w14:textFill>
                  <w14:solidFill>
                    <w14:schemeClr w14:val="tx1"/>
                  </w14:solidFill>
                </w14:textFill>
              </w:rPr>
              <w:t>235.44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kern w:val="0"/>
                <w:sz w:val="21"/>
                <w:szCs w:val="21"/>
              </w:rPr>
            </w:pPr>
            <w:r>
              <w:rPr>
                <w:kern w:val="0"/>
                <w:sz w:val="21"/>
                <w:szCs w:val="21"/>
              </w:rPr>
              <w:t xml:space="preserve">    1、业务工作经费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r>
              <w:rPr>
                <w:rFonts w:hint="eastAsia"/>
                <w:color w:val="000000" w:themeColor="text1"/>
                <w:kern w:val="0"/>
                <w:sz w:val="21"/>
                <w:szCs w:val="21"/>
                <w14:textFill>
                  <w14:solidFill>
                    <w14:schemeClr w14:val="tx1"/>
                  </w14:solidFill>
                </w14:textFill>
              </w:rPr>
              <w:t>163.8</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2.44</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r>
              <w:rPr>
                <w:rFonts w:hint="eastAsia"/>
                <w:color w:val="000000" w:themeColor="text1"/>
                <w:kern w:val="0"/>
                <w:sz w:val="21"/>
                <w:szCs w:val="21"/>
                <w14:textFill>
                  <w14:solidFill>
                    <w14:schemeClr w14:val="tx1"/>
                  </w14:solidFill>
                </w14:textFill>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kern w:val="0"/>
                <w:sz w:val="21"/>
                <w:szCs w:val="21"/>
              </w:rPr>
            </w:pPr>
            <w:r>
              <w:rPr>
                <w:kern w:val="0"/>
                <w:sz w:val="21"/>
                <w:szCs w:val="21"/>
              </w:rPr>
              <w:t xml:space="preserve">    2、运行维护经费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r>
              <w:rPr>
                <w:rFonts w:hint="eastAsia"/>
                <w:color w:val="000000" w:themeColor="text1"/>
                <w:kern w:val="0"/>
                <w:sz w:val="21"/>
                <w:szCs w:val="21"/>
                <w14:textFill>
                  <w14:solidFill>
                    <w14:schemeClr w14:val="tx1"/>
                  </w14:solidFill>
                </w14:textFill>
              </w:rPr>
              <w:t>29.48</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2.47</w:t>
            </w:r>
            <w:r>
              <w:rPr>
                <w:color w:val="000000" w:themeColor="text1"/>
                <w:kern w:val="0"/>
                <w:sz w:val="21"/>
                <w:szCs w:val="21"/>
                <w14:textFill>
                  <w14:solidFill>
                    <w14:schemeClr w14:val="tx1"/>
                  </w14:solidFill>
                </w14:textFill>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2.46</w:t>
            </w:r>
            <w:r>
              <w:rPr>
                <w:color w:val="000000" w:themeColor="text1"/>
                <w:kern w:val="0"/>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420"/>
              <w:jc w:val="left"/>
              <w:rPr>
                <w:kern w:val="0"/>
                <w:sz w:val="21"/>
                <w:szCs w:val="21"/>
              </w:rPr>
            </w:pPr>
            <w:r>
              <w:rPr>
                <w:kern w:val="0"/>
                <w:sz w:val="21"/>
                <w:szCs w:val="21"/>
              </w:rPr>
              <w:t>3、省级专项资金</w:t>
            </w:r>
          </w:p>
          <w:p>
            <w:pPr>
              <w:widowControl/>
              <w:adjustRightInd/>
              <w:snapToGrid/>
              <w:spacing w:line="280" w:lineRule="exact"/>
              <w:ind w:firstLine="630" w:firstLineChars="300"/>
              <w:jc w:val="left"/>
              <w:rPr>
                <w:kern w:val="0"/>
                <w:sz w:val="21"/>
                <w:szCs w:val="21"/>
              </w:rPr>
            </w:pPr>
            <w:r>
              <w:rPr>
                <w:kern w:val="0"/>
                <w:sz w:val="21"/>
                <w:szCs w:val="21"/>
              </w:rPr>
              <w:t>（一个专项一行）</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257.34</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431.47</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232.17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420"/>
              <w:rPr>
                <w:kern w:val="0"/>
                <w:sz w:val="21"/>
                <w:szCs w:val="21"/>
              </w:rPr>
            </w:pPr>
            <w:r>
              <w:rPr>
                <w:rFonts w:hint="eastAsia"/>
                <w:kern w:val="0"/>
                <w:sz w:val="21"/>
                <w:szCs w:val="21"/>
              </w:rPr>
              <w:t>农村人才培育与农村政策改革(市县)(2023结转)</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57.37</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57.37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420"/>
              <w:rPr>
                <w:kern w:val="0"/>
                <w:sz w:val="21"/>
                <w:szCs w:val="21"/>
              </w:rPr>
            </w:pPr>
            <w:r>
              <w:rPr>
                <w:rFonts w:hint="eastAsia"/>
                <w:kern w:val="0"/>
                <w:sz w:val="21"/>
                <w:szCs w:val="21"/>
              </w:rPr>
              <w:t>土地仲裁工作经费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105</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46.73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420"/>
              <w:rPr>
                <w:kern w:val="0"/>
                <w:sz w:val="21"/>
                <w:szCs w:val="21"/>
              </w:rPr>
            </w:pPr>
            <w:r>
              <w:rPr>
                <w:rFonts w:hint="eastAsia"/>
                <w:kern w:val="0"/>
                <w:sz w:val="21"/>
                <w:szCs w:val="21"/>
              </w:rPr>
              <w:t>农村土地承包经营纠纷仲裁考评(2023结转)</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28.90</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28.90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210" w:firstLineChars="100"/>
              <w:rPr>
                <w:kern w:val="0"/>
                <w:sz w:val="21"/>
                <w:szCs w:val="21"/>
              </w:rPr>
            </w:pPr>
            <w:r>
              <w:rPr>
                <w:rFonts w:hint="eastAsia"/>
                <w:kern w:val="0"/>
                <w:sz w:val="21"/>
                <w:szCs w:val="21"/>
              </w:rPr>
              <w:t>农民专业合作组织工作经费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100</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99.17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420"/>
              <w:jc w:val="left"/>
              <w:rPr>
                <w:kern w:val="0"/>
                <w:sz w:val="21"/>
                <w:szCs w:val="21"/>
              </w:rPr>
            </w:pPr>
            <w:r>
              <w:rPr>
                <w:kern w:val="0"/>
                <w:sz w:val="21"/>
                <w:szCs w:val="21"/>
              </w:rPr>
              <w:t>4、其他事业类发展资金</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kern w:val="0"/>
                <w:sz w:val="21"/>
                <w:szCs w:val="21"/>
              </w:rPr>
            </w:pPr>
            <w:r>
              <w:rPr>
                <w:kern w:val="0"/>
                <w:sz w:val="21"/>
                <w:szCs w:val="21"/>
              </w:rPr>
              <w:t>公用经费：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kern w:val="0"/>
                <w:sz w:val="21"/>
                <w:szCs w:val="21"/>
              </w:rPr>
            </w:pPr>
            <w:r>
              <w:rPr>
                <w:kern w:val="0"/>
                <w:sz w:val="21"/>
                <w:szCs w:val="21"/>
              </w:rPr>
              <w:t xml:space="preserve">    其中：办公费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r>
              <w:rPr>
                <w:rFonts w:hint="eastAsia"/>
                <w:color w:val="000000" w:themeColor="text1"/>
                <w:kern w:val="0"/>
                <w:sz w:val="21"/>
                <w:szCs w:val="21"/>
                <w14:textFill>
                  <w14:solidFill>
                    <w14:schemeClr w14:val="tx1"/>
                  </w14:solidFill>
                </w14:textFill>
              </w:rPr>
              <w:t>6.7</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9.2</w:t>
            </w:r>
            <w:r>
              <w:rPr>
                <w:color w:val="000000" w:themeColor="text1"/>
                <w:kern w:val="0"/>
                <w:sz w:val="21"/>
                <w:szCs w:val="21"/>
                <w14:textFill>
                  <w14:solidFill>
                    <w14:schemeClr w14:val="tx1"/>
                  </w14:solidFill>
                </w14:textFill>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9.09</w:t>
            </w:r>
            <w:r>
              <w:rPr>
                <w:color w:val="000000" w:themeColor="text1"/>
                <w:kern w:val="0"/>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kern w:val="0"/>
                <w:sz w:val="21"/>
                <w:szCs w:val="21"/>
              </w:rPr>
            </w:pPr>
            <w:r>
              <w:rPr>
                <w:kern w:val="0"/>
                <w:sz w:val="21"/>
                <w:szCs w:val="21"/>
              </w:rPr>
              <w:t xml:space="preserve">          水费、电费、差旅费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r>
              <w:rPr>
                <w:rFonts w:hint="eastAsia"/>
                <w:color w:val="000000" w:themeColor="text1"/>
                <w:kern w:val="0"/>
                <w:sz w:val="21"/>
                <w:szCs w:val="21"/>
                <w14:textFill>
                  <w14:solidFill>
                    <w14:schemeClr w14:val="tx1"/>
                  </w14:solidFill>
                </w14:textFill>
              </w:rPr>
              <w:t>1.9</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1.9</w:t>
            </w:r>
            <w:r>
              <w:rPr>
                <w:color w:val="000000" w:themeColor="text1"/>
                <w:kern w:val="0"/>
                <w:sz w:val="21"/>
                <w:szCs w:val="21"/>
                <w14:textFill>
                  <w14:solidFill>
                    <w14:schemeClr w14:val="tx1"/>
                  </w14:solidFill>
                </w14:textFill>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1.9</w:t>
            </w:r>
            <w:r>
              <w:rPr>
                <w:color w:val="000000" w:themeColor="text1"/>
                <w:kern w:val="0"/>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kern w:val="0"/>
                <w:sz w:val="21"/>
                <w:szCs w:val="21"/>
              </w:rPr>
            </w:pPr>
            <w:r>
              <w:rPr>
                <w:kern w:val="0"/>
                <w:sz w:val="21"/>
                <w:szCs w:val="21"/>
              </w:rPr>
              <w:t xml:space="preserve">          会议费、培训费</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r>
              <w:rPr>
                <w:rFonts w:hint="eastAsia"/>
                <w:color w:val="000000" w:themeColor="text1"/>
                <w:kern w:val="0"/>
                <w:sz w:val="21"/>
                <w:szCs w:val="21"/>
                <w14:textFill>
                  <w14:solidFill>
                    <w14:schemeClr w14:val="tx1"/>
                  </w14:solidFill>
                </w14:textFill>
              </w:rPr>
              <w:t>0</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0.3</w:t>
            </w:r>
            <w:r>
              <w:rPr>
                <w:color w:val="000000" w:themeColor="text1"/>
                <w:kern w:val="0"/>
                <w:sz w:val="21"/>
                <w:szCs w:val="21"/>
                <w14:textFill>
                  <w14:solidFill>
                    <w14:schemeClr w14:val="tx1"/>
                  </w14:solidFill>
                </w14:textFill>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0.03</w:t>
            </w:r>
            <w:r>
              <w:rPr>
                <w:color w:val="000000" w:themeColor="text1"/>
                <w:kern w:val="0"/>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kern w:val="0"/>
                <w:sz w:val="21"/>
                <w:szCs w:val="21"/>
              </w:rPr>
            </w:pPr>
            <w:r>
              <w:rPr>
                <w:kern w:val="0"/>
                <w:sz w:val="21"/>
                <w:szCs w:val="21"/>
              </w:rPr>
              <w:t>政府采购金额</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 xml:space="preserve">       207.49</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120</w:t>
            </w:r>
            <w:r>
              <w:rPr>
                <w:color w:val="000000" w:themeColor="text1"/>
                <w:kern w:val="0"/>
                <w:sz w:val="21"/>
                <w:szCs w:val="21"/>
                <w14:textFill>
                  <w14:solidFill>
                    <w14:schemeClr w14:val="tx1"/>
                  </w14:solidFill>
                </w14:textFill>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119.41</w:t>
            </w:r>
            <w:r>
              <w:rPr>
                <w:color w:val="000000" w:themeColor="text1"/>
                <w:kern w:val="0"/>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kern w:val="0"/>
                <w:sz w:val="21"/>
                <w:szCs w:val="21"/>
              </w:rPr>
            </w:pPr>
            <w:r>
              <w:rPr>
                <w:kern w:val="0"/>
                <w:sz w:val="21"/>
                <w:szCs w:val="21"/>
              </w:rPr>
              <w:t xml:space="preserve">部门基本支出预算调整 </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221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restart"/>
            <w:tcBorders>
              <w:top w:val="nil"/>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kern w:val="0"/>
                <w:sz w:val="21"/>
                <w:szCs w:val="21"/>
              </w:rPr>
            </w:pPr>
            <w:r>
              <w:rPr>
                <w:kern w:val="0"/>
                <w:sz w:val="21"/>
                <w:szCs w:val="21"/>
              </w:rPr>
              <w:t>楼堂馆所控制情况</w:t>
            </w:r>
            <w:r>
              <w:rPr>
                <w:kern w:val="0"/>
                <w:sz w:val="21"/>
                <w:szCs w:val="21"/>
              </w:rPr>
              <w:br w:type="textWrapping"/>
            </w:r>
            <w:r>
              <w:rPr>
                <w:kern w:val="0"/>
                <w:sz w:val="21"/>
                <w:szCs w:val="21"/>
              </w:rPr>
              <w:t>（2024年完工项目）</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bCs/>
                <w:color w:val="000000" w:themeColor="text1"/>
                <w:kern w:val="0"/>
                <w:sz w:val="11"/>
                <w:szCs w:val="11"/>
                <w14:textFill>
                  <w14:solidFill>
                    <w14:schemeClr w14:val="tx1"/>
                  </w14:solidFill>
                </w14:textFill>
              </w:rPr>
            </w:pPr>
            <w:r>
              <w:rPr>
                <w:bCs/>
                <w:color w:val="000000" w:themeColor="text1"/>
                <w:kern w:val="0"/>
                <w:sz w:val="11"/>
                <w:szCs w:val="11"/>
                <w14:textFill>
                  <w14:solidFill>
                    <w14:schemeClr w14:val="tx1"/>
                  </w14:solidFill>
                </w14:textFill>
              </w:rPr>
              <w:t>批复规模（</w:t>
            </w:r>
            <w:r>
              <w:rPr>
                <w:rFonts w:eastAsia="Batang"/>
                <w:bCs/>
                <w:color w:val="000000" w:themeColor="text1"/>
                <w:kern w:val="0"/>
                <w:sz w:val="11"/>
                <w:szCs w:val="11"/>
                <w14:textFill>
                  <w14:solidFill>
                    <w14:schemeClr w14:val="tx1"/>
                  </w14:solidFill>
                </w14:textFill>
              </w:rPr>
              <w:t>㎡</w:t>
            </w:r>
            <w:r>
              <w:rPr>
                <w:bCs/>
                <w:color w:val="000000" w:themeColor="text1"/>
                <w:kern w:val="0"/>
                <w:sz w:val="11"/>
                <w:szCs w:val="11"/>
                <w14:textFill>
                  <w14:solidFill>
                    <w14:schemeClr w14:val="tx1"/>
                  </w14:solidFill>
                </w14:textFill>
              </w:rPr>
              <w:t>）</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bCs/>
                <w:color w:val="000000" w:themeColor="text1"/>
                <w:kern w:val="0"/>
                <w:sz w:val="11"/>
                <w:szCs w:val="11"/>
                <w14:textFill>
                  <w14:solidFill>
                    <w14:schemeClr w14:val="tx1"/>
                  </w14:solidFill>
                </w14:textFill>
              </w:rPr>
            </w:pPr>
            <w:r>
              <w:rPr>
                <w:bCs/>
                <w:color w:val="000000" w:themeColor="text1"/>
                <w:kern w:val="0"/>
                <w:sz w:val="11"/>
                <w:szCs w:val="11"/>
                <w14:textFill>
                  <w14:solidFill>
                    <w14:schemeClr w14:val="tx1"/>
                  </w14:solidFill>
                </w14:textFill>
              </w:rPr>
              <w:t>实际规模（</w:t>
            </w:r>
            <w:r>
              <w:rPr>
                <w:rFonts w:eastAsia="Batang"/>
                <w:bCs/>
                <w:color w:val="000000" w:themeColor="text1"/>
                <w:kern w:val="0"/>
                <w:sz w:val="11"/>
                <w:szCs w:val="11"/>
                <w14:textFill>
                  <w14:solidFill>
                    <w14:schemeClr w14:val="tx1"/>
                  </w14:solidFill>
                </w14:textFill>
              </w:rPr>
              <w:t>㎡</w:t>
            </w:r>
            <w:r>
              <w:rPr>
                <w:bCs/>
                <w:color w:val="000000" w:themeColor="text1"/>
                <w:kern w:val="0"/>
                <w:sz w:val="11"/>
                <w:szCs w:val="11"/>
                <w14:textFill>
                  <w14:solidFill>
                    <w14:schemeClr w14:val="tx1"/>
                  </w14:solidFill>
                </w14:textFill>
              </w:rPr>
              <w:t>）</w:t>
            </w:r>
          </w:p>
        </w:tc>
        <w:tc>
          <w:tcPr>
            <w:tcW w:w="1108"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bCs/>
                <w:color w:val="000000" w:themeColor="text1"/>
                <w:kern w:val="0"/>
                <w:sz w:val="11"/>
                <w:szCs w:val="11"/>
                <w14:textFill>
                  <w14:solidFill>
                    <w14:schemeClr w14:val="tx1"/>
                  </w14:solidFill>
                </w14:textFill>
              </w:rPr>
            </w:pPr>
            <w:r>
              <w:rPr>
                <w:bCs/>
                <w:color w:val="000000" w:themeColor="text1"/>
                <w:kern w:val="0"/>
                <w:sz w:val="11"/>
                <w:szCs w:val="11"/>
                <w14:textFill>
                  <w14:solidFill>
                    <w14:schemeClr w14:val="tx1"/>
                  </w14:solidFill>
                </w14:textFill>
              </w:rPr>
              <w:t>规模控制率</w:t>
            </w:r>
          </w:p>
        </w:tc>
        <w:tc>
          <w:tcPr>
            <w:tcW w:w="1111"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bCs/>
                <w:color w:val="000000" w:themeColor="text1"/>
                <w:kern w:val="0"/>
                <w:sz w:val="11"/>
                <w:szCs w:val="11"/>
                <w14:textFill>
                  <w14:solidFill>
                    <w14:schemeClr w14:val="tx1"/>
                  </w14:solidFill>
                </w14:textFill>
              </w:rPr>
            </w:pPr>
            <w:r>
              <w:rPr>
                <w:bCs/>
                <w:color w:val="000000" w:themeColor="text1"/>
                <w:kern w:val="0"/>
                <w:sz w:val="11"/>
                <w:szCs w:val="11"/>
                <w14:textFill>
                  <w14:solidFill>
                    <w14:schemeClr w14:val="tx1"/>
                  </w14:solidFill>
                </w14:textFill>
              </w:rPr>
              <w:t>预算投资（万元）</w:t>
            </w:r>
          </w:p>
        </w:tc>
        <w:tc>
          <w:tcPr>
            <w:tcW w:w="969"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bCs/>
                <w:color w:val="000000" w:themeColor="text1"/>
                <w:kern w:val="0"/>
                <w:sz w:val="11"/>
                <w:szCs w:val="11"/>
                <w14:textFill>
                  <w14:solidFill>
                    <w14:schemeClr w14:val="tx1"/>
                  </w14:solidFill>
                </w14:textFill>
              </w:rPr>
            </w:pPr>
            <w:r>
              <w:rPr>
                <w:bCs/>
                <w:color w:val="000000" w:themeColor="text1"/>
                <w:kern w:val="0"/>
                <w:sz w:val="11"/>
                <w:szCs w:val="11"/>
                <w14:textFill>
                  <w14:solidFill>
                    <w14:schemeClr w14:val="tx1"/>
                  </w14:solidFill>
                </w14:textFill>
              </w:rPr>
              <w:t>实际投资（万元）</w:t>
            </w:r>
          </w:p>
        </w:tc>
        <w:tc>
          <w:tcPr>
            <w:tcW w:w="106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bCs/>
                <w:color w:val="000000" w:themeColor="text1"/>
                <w:kern w:val="0"/>
                <w:sz w:val="11"/>
                <w:szCs w:val="11"/>
                <w14:textFill>
                  <w14:solidFill>
                    <w14:schemeClr w14:val="tx1"/>
                  </w14:solidFill>
                </w14:textFill>
              </w:rPr>
            </w:pPr>
            <w:r>
              <w:rPr>
                <w:bCs/>
                <w:color w:val="000000" w:themeColor="text1"/>
                <w:kern w:val="0"/>
                <w:sz w:val="11"/>
                <w:szCs w:val="11"/>
                <w14:textFill>
                  <w14:solidFill>
                    <w14:schemeClr w14:val="tx1"/>
                  </w14:solidFill>
                </w14:textFill>
              </w:rPr>
              <w:t>投资概算</w:t>
            </w:r>
          </w:p>
          <w:p>
            <w:pPr>
              <w:widowControl/>
              <w:adjustRightInd/>
              <w:snapToGrid/>
              <w:spacing w:line="280" w:lineRule="exact"/>
              <w:ind w:firstLine="0" w:firstLineChars="0"/>
              <w:jc w:val="center"/>
              <w:rPr>
                <w:bCs/>
                <w:color w:val="000000" w:themeColor="text1"/>
                <w:kern w:val="0"/>
                <w:sz w:val="11"/>
                <w:szCs w:val="11"/>
                <w14:textFill>
                  <w14:solidFill>
                    <w14:schemeClr w14:val="tx1"/>
                  </w14:solidFill>
                </w14:textFill>
              </w:rPr>
            </w:pPr>
            <w:r>
              <w:rPr>
                <w:bCs/>
                <w:color w:val="000000" w:themeColor="text1"/>
                <w:kern w:val="0"/>
                <w:sz w:val="11"/>
                <w:szCs w:val="11"/>
                <w14:textFill>
                  <w14:solidFill>
                    <w14:schemeClr w14:val="tx1"/>
                  </w14:solidFill>
                </w14:textFill>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kern w:val="0"/>
                <w:sz w:val="21"/>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c>
          <w:tcPr>
            <w:tcW w:w="1108"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c>
          <w:tcPr>
            <w:tcW w:w="1111"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c>
          <w:tcPr>
            <w:tcW w:w="969"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c>
          <w:tcPr>
            <w:tcW w:w="106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center"/>
              <w:rPr>
                <w:kern w:val="0"/>
                <w:sz w:val="21"/>
                <w:szCs w:val="21"/>
              </w:rPr>
            </w:pPr>
            <w:r>
              <w:rPr>
                <w:kern w:val="0"/>
                <w:sz w:val="21"/>
                <w:szCs w:val="21"/>
              </w:rPr>
              <w:t>厉行节约保障措施</w:t>
            </w:r>
          </w:p>
        </w:tc>
        <w:tc>
          <w:tcPr>
            <w:tcW w:w="6521" w:type="dxa"/>
            <w:gridSpan w:val="6"/>
            <w:tcBorders>
              <w:top w:val="single" w:color="auto" w:sz="4" w:space="0"/>
              <w:left w:val="single" w:color="auto" w:sz="4" w:space="0"/>
              <w:bottom w:val="single" w:color="auto" w:sz="4" w:space="0"/>
              <w:right w:val="single" w:color="auto" w:sz="4" w:space="0"/>
            </w:tcBorders>
            <w:vAlign w:val="center"/>
          </w:tcPr>
          <w:p>
            <w:pPr>
              <w:widowControl/>
              <w:adjustRightInd/>
              <w:snapToGrid/>
              <w:spacing w:line="280" w:lineRule="exact"/>
              <w:ind w:firstLine="0" w:firstLineChars="0"/>
              <w:jc w:val="left"/>
              <w:rPr>
                <w:color w:val="000000" w:themeColor="text1"/>
                <w:kern w:val="0"/>
                <w:sz w:val="21"/>
                <w:szCs w:val="21"/>
                <w14:textFill>
                  <w14:solidFill>
                    <w14:schemeClr w14:val="tx1"/>
                  </w14:solidFill>
                </w14:textFill>
              </w:rPr>
            </w:pPr>
            <w:r>
              <w:rPr>
                <w:rFonts w:hint="eastAsia"/>
                <w:color w:val="000000" w:themeColor="text1"/>
                <w:kern w:val="0"/>
                <w:sz w:val="11"/>
                <w:szCs w:val="11"/>
                <w14:textFill>
                  <w14:solidFill>
                    <w14:schemeClr w14:val="tx1"/>
                  </w14:solidFill>
                </w14:textFill>
              </w:rPr>
              <w:t>1、加强宣传教育，引导单位人员养成良好的节约习惯； 2、制定规章制度，建立健全节约管理制度，明确节约目的、责任与考核办法；3、建立长效机制，不断完善节约措施，形成长效节约机制，确保节约工作持续推进。</w:t>
            </w:r>
          </w:p>
        </w:tc>
      </w:tr>
    </w:tbl>
    <w:p>
      <w:pPr>
        <w:adjustRightInd/>
        <w:snapToGrid/>
        <w:spacing w:line="360" w:lineRule="exact"/>
        <w:ind w:firstLine="0" w:firstLineChars="0"/>
        <w:rPr>
          <w:kern w:val="0"/>
          <w:sz w:val="22"/>
          <w:szCs w:val="22"/>
        </w:rPr>
      </w:pPr>
      <w:r>
        <w:rPr>
          <w:kern w:val="0"/>
          <w:sz w:val="22"/>
          <w:szCs w:val="22"/>
        </w:rPr>
        <w:t>说明：“项目支出”需要填报基本支出以外的所有项目支出情况，“公用经费”填报基本支出中的一般商品和服务支出。</w:t>
      </w:r>
    </w:p>
    <w:p>
      <w:pPr>
        <w:pStyle w:val="6"/>
        <w:ind w:firstLine="0" w:firstLineChars="0"/>
      </w:pPr>
      <w:r>
        <w:rPr>
          <w:kern w:val="0"/>
          <w:sz w:val="22"/>
          <w:szCs w:val="22"/>
        </w:rPr>
        <w:br w:type="page"/>
      </w:r>
      <w:r>
        <w:t>附件2</w:t>
      </w:r>
    </w:p>
    <w:p>
      <w:pPr>
        <w:pStyle w:val="5"/>
        <w:spacing w:beforeLines="25" w:line="500" w:lineRule="exact"/>
        <w:rPr>
          <w:sz w:val="36"/>
          <w:szCs w:val="36"/>
        </w:rPr>
      </w:pPr>
      <w:r>
        <w:rPr>
          <w:sz w:val="36"/>
          <w:szCs w:val="36"/>
        </w:rPr>
        <w:t>部门整体支出绩效自评表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 xml:space="preserve">（ </w:t>
      </w:r>
      <w:r>
        <w:rPr>
          <w:rFonts w:hint="eastAsia"/>
          <w:color w:val="000000"/>
          <w:kern w:val="0"/>
          <w:sz w:val="21"/>
          <w:szCs w:val="21"/>
        </w:rPr>
        <w:t>2024</w:t>
      </w:r>
      <w:r>
        <w:rPr>
          <w:color w:val="000000"/>
          <w:kern w:val="0"/>
          <w:sz w:val="21"/>
          <w:szCs w:val="21"/>
        </w:rPr>
        <w:t xml:space="preserve"> 年度）</w:t>
      </w:r>
    </w:p>
    <w:tbl>
      <w:tblPr>
        <w:tblStyle w:val="12"/>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395"/>
        <w:gridCol w:w="1252"/>
        <w:gridCol w:w="1114"/>
        <w:gridCol w:w="95"/>
        <w:gridCol w:w="1200"/>
        <w:gridCol w:w="1134"/>
        <w:gridCol w:w="709"/>
        <w:gridCol w:w="898"/>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省级预算部门名称</w:t>
            </w:r>
          </w:p>
        </w:tc>
        <w:tc>
          <w:tcPr>
            <w:tcW w:w="9243" w:type="dxa"/>
            <w:gridSpan w:val="9"/>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　</w:t>
            </w:r>
            <w:r>
              <w:rPr>
                <w:rFonts w:hint="eastAsia"/>
                <w:color w:val="000000"/>
                <w:kern w:val="0"/>
                <w:sz w:val="21"/>
                <w:szCs w:val="21"/>
              </w:rPr>
              <w:t>湖南省农村经营管理服务站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年度预</w:t>
            </w:r>
          </w:p>
          <w:p>
            <w:pPr>
              <w:widowControl/>
              <w:adjustRightInd/>
              <w:spacing w:line="280" w:lineRule="exact"/>
              <w:ind w:firstLine="0" w:firstLineChars="0"/>
              <w:jc w:val="center"/>
              <w:rPr>
                <w:color w:val="000000"/>
                <w:kern w:val="0"/>
                <w:sz w:val="21"/>
                <w:szCs w:val="21"/>
              </w:rPr>
            </w:pPr>
            <w:r>
              <w:rPr>
                <w:color w:val="000000"/>
                <w:kern w:val="0"/>
                <w:sz w:val="21"/>
                <w:szCs w:val="21"/>
              </w:rPr>
              <w:t>算申请</w:t>
            </w:r>
            <w:r>
              <w:rPr>
                <w:color w:val="000000"/>
                <w:kern w:val="0"/>
                <w:sz w:val="21"/>
                <w:szCs w:val="21"/>
              </w:rPr>
              <w:br w:type="textWrapping"/>
            </w:r>
            <w:r>
              <w:rPr>
                <w:color w:val="000000"/>
                <w:kern w:val="0"/>
                <w:sz w:val="21"/>
                <w:szCs w:val="21"/>
              </w:rPr>
              <w:t>（万元）</w:t>
            </w:r>
          </w:p>
        </w:tc>
        <w:tc>
          <w:tcPr>
            <w:tcW w:w="2647" w:type="dxa"/>
            <w:gridSpan w:val="2"/>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rPr>
                <w:sz w:val="21"/>
                <w:szCs w:val="21"/>
              </w:rPr>
            </w:pPr>
          </w:p>
        </w:tc>
        <w:tc>
          <w:tcPr>
            <w:tcW w:w="1114"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rPr>
                <w:sz w:val="21"/>
                <w:szCs w:val="21"/>
              </w:rPr>
            </w:pPr>
            <w:r>
              <w:rPr>
                <w:sz w:val="21"/>
                <w:szCs w:val="21"/>
              </w:rPr>
              <w:t>年初</w:t>
            </w:r>
          </w:p>
          <w:p>
            <w:pPr>
              <w:adjustRightInd/>
              <w:spacing w:line="280" w:lineRule="exact"/>
              <w:ind w:firstLine="0" w:firstLineChars="0"/>
              <w:jc w:val="center"/>
              <w:rPr>
                <w:sz w:val="21"/>
                <w:szCs w:val="21"/>
              </w:rPr>
            </w:pPr>
            <w:r>
              <w:rPr>
                <w:sz w:val="21"/>
                <w:szCs w:val="21"/>
              </w:rPr>
              <w:t>预算数</w:t>
            </w:r>
          </w:p>
        </w:tc>
        <w:tc>
          <w:tcPr>
            <w:tcW w:w="1295" w:type="dxa"/>
            <w:gridSpan w:val="2"/>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rPr>
                <w:sz w:val="21"/>
                <w:szCs w:val="21"/>
              </w:rPr>
            </w:pPr>
            <w:r>
              <w:rPr>
                <w:sz w:val="21"/>
                <w:szCs w:val="21"/>
              </w:rPr>
              <w:t>全年预算数</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rPr>
                <w:sz w:val="21"/>
                <w:szCs w:val="21"/>
              </w:rPr>
            </w:pPr>
            <w:r>
              <w:rPr>
                <w:sz w:val="21"/>
                <w:szCs w:val="21"/>
              </w:rPr>
              <w:t>全年</w:t>
            </w:r>
          </w:p>
          <w:p>
            <w:pPr>
              <w:adjustRightInd/>
              <w:spacing w:line="280" w:lineRule="exact"/>
              <w:ind w:firstLine="0" w:firstLineChars="0"/>
              <w:jc w:val="center"/>
              <w:rPr>
                <w:sz w:val="21"/>
                <w:szCs w:val="21"/>
              </w:rPr>
            </w:pPr>
            <w:r>
              <w:rPr>
                <w:sz w:val="21"/>
                <w:szCs w:val="21"/>
              </w:rPr>
              <w:t>执行数</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rPr>
                <w:sz w:val="21"/>
                <w:szCs w:val="21"/>
              </w:rPr>
            </w:pPr>
            <w:r>
              <w:rPr>
                <w:sz w:val="21"/>
                <w:szCs w:val="21"/>
              </w:rPr>
              <w:t>分值</w:t>
            </w:r>
          </w:p>
        </w:tc>
        <w:tc>
          <w:tcPr>
            <w:tcW w:w="898"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rPr>
                <w:sz w:val="21"/>
                <w:szCs w:val="21"/>
              </w:rPr>
            </w:pPr>
            <w:r>
              <w:rPr>
                <w:sz w:val="21"/>
                <w:szCs w:val="21"/>
              </w:rPr>
              <w:t>执行率</w:t>
            </w:r>
          </w:p>
        </w:tc>
        <w:tc>
          <w:tcPr>
            <w:tcW w:w="1446"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2647" w:type="dxa"/>
            <w:gridSpan w:val="2"/>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rPr>
                <w:sz w:val="21"/>
                <w:szCs w:val="21"/>
              </w:rPr>
            </w:pPr>
            <w:r>
              <w:rPr>
                <w:color w:val="000000"/>
                <w:kern w:val="0"/>
                <w:sz w:val="21"/>
                <w:szCs w:val="21"/>
              </w:rPr>
              <w:t>年度资金总额</w:t>
            </w:r>
          </w:p>
        </w:tc>
        <w:tc>
          <w:tcPr>
            <w:tcW w:w="1114"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rPr>
                <w:sz w:val="21"/>
                <w:szCs w:val="21"/>
              </w:rPr>
            </w:pPr>
            <w:r>
              <w:rPr>
                <w:rFonts w:hint="eastAsia"/>
                <w:sz w:val="21"/>
                <w:szCs w:val="21"/>
              </w:rPr>
              <w:t>978.27</w:t>
            </w:r>
          </w:p>
        </w:tc>
        <w:tc>
          <w:tcPr>
            <w:tcW w:w="1295" w:type="dxa"/>
            <w:gridSpan w:val="2"/>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rPr>
                <w:sz w:val="21"/>
                <w:szCs w:val="21"/>
              </w:rPr>
            </w:pPr>
            <w:r>
              <w:rPr>
                <w:rFonts w:hint="eastAsia"/>
                <w:sz w:val="21"/>
                <w:szCs w:val="21"/>
              </w:rPr>
              <w:t>920.67</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rPr>
                <w:sz w:val="21"/>
                <w:szCs w:val="21"/>
              </w:rPr>
            </w:pPr>
            <w:r>
              <w:rPr>
                <w:rFonts w:hint="eastAsia"/>
                <w:sz w:val="21"/>
                <w:szCs w:val="21"/>
              </w:rPr>
              <w:t>701.43</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rPr>
                <w:sz w:val="21"/>
                <w:szCs w:val="21"/>
              </w:rPr>
            </w:pPr>
            <w:r>
              <w:rPr>
                <w:sz w:val="21"/>
                <w:szCs w:val="21"/>
              </w:rPr>
              <w:t>10</w:t>
            </w:r>
          </w:p>
        </w:tc>
        <w:tc>
          <w:tcPr>
            <w:tcW w:w="898"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rPr>
                <w:sz w:val="21"/>
                <w:szCs w:val="21"/>
              </w:rPr>
            </w:pPr>
            <w:r>
              <w:rPr>
                <w:rFonts w:hint="eastAsia"/>
                <w:sz w:val="21"/>
                <w:szCs w:val="21"/>
              </w:rPr>
              <w:t>76.18</w:t>
            </w:r>
          </w:p>
        </w:tc>
        <w:tc>
          <w:tcPr>
            <w:tcW w:w="1446"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rPr>
                <w:sz w:val="21"/>
                <w:szCs w:val="21"/>
              </w:rPr>
            </w:pPr>
            <w:r>
              <w:rPr>
                <w:rFonts w:hint="eastAsia"/>
                <w:sz w:val="21"/>
                <w:szCs w:val="21"/>
              </w:rPr>
              <w:t>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5056" w:type="dxa"/>
            <w:gridSpan w:val="5"/>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按收入性质分：</w:t>
            </w:r>
          </w:p>
        </w:tc>
        <w:tc>
          <w:tcPr>
            <w:tcW w:w="4187"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5056" w:type="dxa"/>
            <w:gridSpan w:val="5"/>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xml:space="preserve">  其中：  一般公共预算：</w:t>
            </w:r>
            <w:r>
              <w:rPr>
                <w:rFonts w:hint="eastAsia"/>
                <w:color w:val="000000"/>
                <w:kern w:val="0"/>
                <w:sz w:val="21"/>
                <w:szCs w:val="21"/>
              </w:rPr>
              <w:t>915.79</w:t>
            </w:r>
          </w:p>
        </w:tc>
        <w:tc>
          <w:tcPr>
            <w:tcW w:w="4187"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其中：基本支出：</w:t>
            </w:r>
            <w:r>
              <w:rPr>
                <w:rFonts w:hint="eastAsia"/>
                <w:color w:val="000000"/>
                <w:kern w:val="0"/>
                <w:sz w:val="21"/>
                <w:szCs w:val="21"/>
              </w:rPr>
              <w:t>465.99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5056" w:type="dxa"/>
            <w:gridSpan w:val="5"/>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840" w:firstLineChars="400"/>
              <w:jc w:val="left"/>
              <w:rPr>
                <w:color w:val="000000"/>
                <w:kern w:val="0"/>
                <w:sz w:val="21"/>
                <w:szCs w:val="21"/>
              </w:rPr>
            </w:pPr>
            <w:r>
              <w:rPr>
                <w:color w:val="000000"/>
                <w:kern w:val="0"/>
                <w:sz w:val="21"/>
                <w:szCs w:val="21"/>
              </w:rPr>
              <w:t>政府性基金拨款：</w:t>
            </w:r>
            <w:r>
              <w:rPr>
                <w:rFonts w:hint="eastAsia"/>
                <w:color w:val="000000"/>
                <w:kern w:val="0"/>
                <w:sz w:val="21"/>
                <w:szCs w:val="21"/>
              </w:rPr>
              <w:t>0</w:t>
            </w:r>
          </w:p>
        </w:tc>
        <w:tc>
          <w:tcPr>
            <w:tcW w:w="4187"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630" w:firstLineChars="300"/>
              <w:jc w:val="left"/>
              <w:rPr>
                <w:color w:val="000000"/>
                <w:kern w:val="0"/>
                <w:sz w:val="21"/>
                <w:szCs w:val="21"/>
              </w:rPr>
            </w:pPr>
            <w:r>
              <w:rPr>
                <w:color w:val="000000"/>
                <w:kern w:val="0"/>
                <w:sz w:val="21"/>
                <w:szCs w:val="21"/>
              </w:rPr>
              <w:t>项目支出：</w:t>
            </w:r>
            <w:r>
              <w:rPr>
                <w:rFonts w:hint="eastAsia"/>
                <w:color w:val="000000"/>
                <w:kern w:val="0"/>
                <w:sz w:val="21"/>
                <w:szCs w:val="21"/>
              </w:rPr>
              <w:t>235.44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5056" w:type="dxa"/>
            <w:gridSpan w:val="5"/>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纳入专户管理的非税收入拨款：</w:t>
            </w:r>
            <w:r>
              <w:rPr>
                <w:rFonts w:hint="eastAsia"/>
                <w:color w:val="000000"/>
                <w:kern w:val="0"/>
                <w:sz w:val="21"/>
                <w:szCs w:val="21"/>
              </w:rPr>
              <w:t>0</w:t>
            </w:r>
          </w:p>
        </w:tc>
        <w:tc>
          <w:tcPr>
            <w:tcW w:w="4187"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5056" w:type="dxa"/>
            <w:gridSpan w:val="5"/>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1470" w:firstLineChars="700"/>
              <w:jc w:val="left"/>
              <w:rPr>
                <w:color w:val="000000"/>
                <w:kern w:val="0"/>
                <w:sz w:val="21"/>
                <w:szCs w:val="21"/>
              </w:rPr>
            </w:pPr>
            <w:r>
              <w:rPr>
                <w:color w:val="000000"/>
                <w:kern w:val="0"/>
                <w:sz w:val="21"/>
                <w:szCs w:val="21"/>
              </w:rPr>
              <w:t>其他资金：</w:t>
            </w:r>
            <w:r>
              <w:rPr>
                <w:rFonts w:hint="eastAsia"/>
                <w:color w:val="000000"/>
                <w:kern w:val="0"/>
                <w:sz w:val="21"/>
                <w:szCs w:val="21"/>
              </w:rPr>
              <w:t>4.88</w:t>
            </w:r>
          </w:p>
        </w:tc>
        <w:tc>
          <w:tcPr>
            <w:tcW w:w="4187"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年度总体目标</w:t>
            </w:r>
          </w:p>
        </w:tc>
        <w:tc>
          <w:tcPr>
            <w:tcW w:w="5056" w:type="dxa"/>
            <w:gridSpan w:val="5"/>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预期目标</w:t>
            </w:r>
          </w:p>
        </w:tc>
        <w:tc>
          <w:tcPr>
            <w:tcW w:w="4187"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5056" w:type="dxa"/>
            <w:gridSpan w:val="5"/>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　　</w:t>
            </w:r>
            <w:r>
              <w:rPr>
                <w:rFonts w:hint="eastAsia"/>
                <w:color w:val="000000"/>
                <w:kern w:val="0"/>
                <w:sz w:val="21"/>
                <w:szCs w:val="21"/>
              </w:rPr>
              <w:t>加强农村宅基地改革与管理相关工作；提高农村土地承包和承包纠纷仲裁管理及考评工作水平；做好惠民政策宣传；提升全省农村集体经济审计管理水平；促进农民专业合作社、家庭农场发展和农民权益维护；开展业务培训，提升农经管理水平；规范绩效评价管理资料的收集整理，确保相关信息完整、可靠，客观公正地反映项目资金实际使用和产生的绩效状况，为今后该项目实施方向及管理方式改进提供指导。</w:t>
            </w:r>
          </w:p>
        </w:tc>
        <w:tc>
          <w:tcPr>
            <w:tcW w:w="4187"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农村宅基地管理工作不断规范，农村土地承包经营纠纷调解仲裁考评工作连续8年位列全国第一等次，农村宅基地制度改革试点工作圆满收官，农村乱占耕地建房住宅类专项整治试点工作扎实推进，宁远县分类整治经验在全国视频会上推介。根据农业农村部《关于做好2024年农村经营管理情况统计相关报表年终预报和年报工作的通知》要求，认真做好了社会化服务、农民专业合作社、集体经济财务管理与审计、农民负担、宅基地、农经机构队伍、乡村治理等农经统计年报工作；组织开展了宅基地、土地仲裁、农民合作社辅导员和理事长等业务培训工作，提升了市县工作人员的能力水平；坚持为民情怀，认真做好宅基地信访工作，全年共依法处理人民群众信访件31件，有效化解了农村宅基地纠纷；做好了老干、工会工作，定期组织开展健康体检、走访慰问、文化娱乐等活动，增强了干部职工的归属感、幸福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rPr>
                <w:color w:val="000000"/>
                <w:kern w:val="0"/>
                <w:sz w:val="21"/>
                <w:szCs w:val="21"/>
              </w:rPr>
            </w:pPr>
            <w:r>
              <w:rPr>
                <w:color w:val="000000"/>
                <w:kern w:val="0"/>
                <w:sz w:val="21"/>
                <w:szCs w:val="21"/>
              </w:rPr>
              <w:t>标</w:t>
            </w:r>
          </w:p>
        </w:tc>
        <w:tc>
          <w:tcPr>
            <w:tcW w:w="1395"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一级指标</w:t>
            </w:r>
          </w:p>
        </w:tc>
        <w:tc>
          <w:tcPr>
            <w:tcW w:w="1252"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二级指标</w:t>
            </w:r>
          </w:p>
        </w:tc>
        <w:tc>
          <w:tcPr>
            <w:tcW w:w="120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三级指标</w:t>
            </w:r>
          </w:p>
        </w:tc>
        <w:tc>
          <w:tcPr>
            <w:tcW w:w="120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rPr>
                <w:color w:val="000000"/>
                <w:kern w:val="0"/>
                <w:sz w:val="21"/>
                <w:szCs w:val="21"/>
              </w:rPr>
            </w:pPr>
            <w:r>
              <w:rPr>
                <w:color w:val="000000"/>
                <w:kern w:val="0"/>
                <w:sz w:val="21"/>
                <w:szCs w:val="21"/>
              </w:rPr>
              <w:t>指标值</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rPr>
                <w:color w:val="000000"/>
                <w:kern w:val="0"/>
                <w:sz w:val="21"/>
                <w:szCs w:val="21"/>
              </w:rPr>
            </w:pPr>
            <w:r>
              <w:rPr>
                <w:color w:val="000000"/>
                <w:kern w:val="0"/>
                <w:sz w:val="21"/>
                <w:szCs w:val="21"/>
              </w:rPr>
              <w:t>完成值</w:t>
            </w: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分值</w:t>
            </w: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得分</w:t>
            </w:r>
          </w:p>
        </w:tc>
        <w:tc>
          <w:tcPr>
            <w:tcW w:w="1446" w:type="dxa"/>
            <w:tcBorders>
              <w:top w:val="single" w:color="auto" w:sz="4" w:space="0"/>
              <w:left w:val="single" w:color="auto" w:sz="4" w:space="0"/>
              <w:bottom w:val="single" w:color="auto" w:sz="4" w:space="0"/>
              <w:right w:val="single" w:color="auto" w:sz="4" w:space="0"/>
            </w:tcBorders>
          </w:tcPr>
          <w:p>
            <w:pPr>
              <w:widowControl/>
              <w:adjustRightInd/>
              <w:spacing w:line="280" w:lineRule="exact"/>
              <w:ind w:firstLine="0" w:firstLineChars="0"/>
              <w:jc w:val="center"/>
              <w:rPr>
                <w:color w:val="000000"/>
                <w:kern w:val="0"/>
                <w:sz w:val="21"/>
                <w:szCs w:val="21"/>
              </w:rPr>
            </w:pPr>
            <w:r>
              <w:rPr>
                <w:color w:val="000000"/>
                <w:kern w:val="0"/>
                <w:sz w:val="21"/>
                <w:szCs w:val="21"/>
              </w:rPr>
              <w:t>偏差原因</w:t>
            </w:r>
          </w:p>
          <w:p>
            <w:pPr>
              <w:widowControl/>
              <w:adjustRightInd/>
              <w:spacing w:line="280" w:lineRule="exact"/>
              <w:ind w:firstLine="0" w:firstLineChars="0"/>
              <w:jc w:val="center"/>
              <w:rPr>
                <w:color w:val="000000"/>
                <w:kern w:val="0"/>
                <w:sz w:val="21"/>
                <w:szCs w:val="21"/>
              </w:rPr>
            </w:pPr>
            <w:r>
              <w:rPr>
                <w:color w:val="000000"/>
                <w:kern w:val="0"/>
                <w:sz w:val="21"/>
                <w:szCs w:val="21"/>
              </w:rPr>
              <w:t>分析及</w:t>
            </w:r>
          </w:p>
          <w:p>
            <w:pPr>
              <w:widowControl/>
              <w:adjustRightInd/>
              <w:spacing w:line="280" w:lineRule="exact"/>
              <w:ind w:firstLine="0" w:firstLineChars="0"/>
              <w:jc w:val="center"/>
              <w:rPr>
                <w:color w:val="000000"/>
                <w:kern w:val="0"/>
                <w:sz w:val="21"/>
                <w:szCs w:val="21"/>
              </w:rPr>
            </w:pPr>
            <w:r>
              <w:rPr>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395"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rPr>
                <w:color w:val="000000"/>
                <w:kern w:val="0"/>
                <w:sz w:val="21"/>
                <w:szCs w:val="21"/>
              </w:rPr>
            </w:pPr>
            <w:r>
              <w:rPr>
                <w:color w:val="000000"/>
                <w:kern w:val="0"/>
                <w:sz w:val="21"/>
                <w:szCs w:val="21"/>
              </w:rPr>
              <w:t>(50分)</w:t>
            </w:r>
          </w:p>
        </w:tc>
        <w:tc>
          <w:tcPr>
            <w:tcW w:w="1252"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数量</w:t>
            </w:r>
          </w:p>
          <w:p>
            <w:pPr>
              <w:widowControl/>
              <w:adjustRightInd/>
              <w:spacing w:line="280" w:lineRule="exact"/>
              <w:ind w:firstLine="0" w:firstLineChars="0"/>
              <w:jc w:val="center"/>
              <w:rPr>
                <w:color w:val="000000"/>
                <w:kern w:val="0"/>
                <w:sz w:val="21"/>
                <w:szCs w:val="21"/>
              </w:rPr>
            </w:pPr>
            <w:r>
              <w:rPr>
                <w:color w:val="000000"/>
                <w:kern w:val="0"/>
                <w:sz w:val="21"/>
                <w:szCs w:val="21"/>
              </w:rPr>
              <w:t>指标</w:t>
            </w:r>
          </w:p>
        </w:tc>
        <w:tc>
          <w:tcPr>
            <w:tcW w:w="120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绩效评价抽查项目比例≧30%</w:t>
            </w:r>
          </w:p>
        </w:tc>
        <w:tc>
          <w:tcPr>
            <w:tcW w:w="120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30%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大于30%</w:t>
            </w: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10</w:t>
            </w: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105" w:firstLineChars="50"/>
              <w:jc w:val="left"/>
              <w:rPr>
                <w:color w:val="000000"/>
                <w:kern w:val="0"/>
                <w:sz w:val="21"/>
                <w:szCs w:val="21"/>
              </w:rPr>
            </w:pPr>
            <w:r>
              <w:rPr>
                <w:rFonts w:hint="eastAsia"/>
                <w:color w:val="000000"/>
                <w:kern w:val="0"/>
                <w:sz w:val="21"/>
                <w:szCs w:val="21"/>
              </w:rPr>
              <w:t>10</w:t>
            </w:r>
            <w:r>
              <w:rPr>
                <w:color w:val="000000"/>
                <w:kern w:val="0"/>
                <w:sz w:val="21"/>
                <w:szCs w:val="21"/>
              </w:rPr>
              <w:t>　</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52"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0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0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52"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质量</w:t>
            </w:r>
          </w:p>
          <w:p>
            <w:pPr>
              <w:widowControl/>
              <w:adjustRightInd/>
              <w:spacing w:line="280" w:lineRule="exact"/>
              <w:ind w:firstLine="0" w:firstLineChars="0"/>
              <w:jc w:val="center"/>
              <w:rPr>
                <w:color w:val="000000"/>
                <w:kern w:val="0"/>
                <w:sz w:val="21"/>
                <w:szCs w:val="21"/>
              </w:rPr>
            </w:pPr>
            <w:r>
              <w:rPr>
                <w:color w:val="000000"/>
                <w:kern w:val="0"/>
                <w:sz w:val="21"/>
                <w:szCs w:val="21"/>
              </w:rPr>
              <w:t>指标</w:t>
            </w:r>
          </w:p>
        </w:tc>
        <w:tc>
          <w:tcPr>
            <w:tcW w:w="120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宣传活动次数</w:t>
            </w:r>
          </w:p>
        </w:tc>
        <w:tc>
          <w:tcPr>
            <w:tcW w:w="120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3次以上</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210" w:firstLineChars="100"/>
              <w:jc w:val="left"/>
              <w:rPr>
                <w:color w:val="000000"/>
                <w:kern w:val="0"/>
                <w:sz w:val="21"/>
                <w:szCs w:val="21"/>
              </w:rPr>
            </w:pPr>
            <w:r>
              <w:rPr>
                <w:rFonts w:hint="eastAsia"/>
                <w:color w:val="000000"/>
                <w:kern w:val="0"/>
                <w:sz w:val="21"/>
                <w:szCs w:val="21"/>
              </w:rPr>
              <w:t>3次</w:t>
            </w:r>
            <w:r>
              <w:rPr>
                <w:color w:val="000000"/>
                <w:kern w:val="0"/>
                <w:sz w:val="21"/>
                <w:szCs w:val="21"/>
              </w:rPr>
              <w:t>　</w:t>
            </w: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105" w:firstLineChars="50"/>
              <w:jc w:val="left"/>
              <w:rPr>
                <w:color w:val="000000"/>
                <w:kern w:val="0"/>
                <w:sz w:val="21"/>
                <w:szCs w:val="21"/>
              </w:rPr>
            </w:pPr>
            <w:r>
              <w:rPr>
                <w:rFonts w:hint="eastAsia"/>
                <w:color w:val="000000"/>
                <w:kern w:val="0"/>
                <w:sz w:val="21"/>
                <w:szCs w:val="21"/>
              </w:rPr>
              <w:t>10</w:t>
            </w: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10</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52"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0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项目评审合格率100%</w:t>
            </w:r>
          </w:p>
        </w:tc>
        <w:tc>
          <w:tcPr>
            <w:tcW w:w="120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100%</w:t>
            </w: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100%</w:t>
            </w: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105" w:firstLineChars="50"/>
              <w:jc w:val="left"/>
              <w:rPr>
                <w:color w:val="000000"/>
                <w:kern w:val="0"/>
                <w:sz w:val="21"/>
                <w:szCs w:val="21"/>
              </w:rPr>
            </w:pPr>
            <w:r>
              <w:rPr>
                <w:rFonts w:hint="eastAsia"/>
                <w:color w:val="000000"/>
                <w:kern w:val="0"/>
                <w:sz w:val="21"/>
                <w:szCs w:val="21"/>
              </w:rPr>
              <w:t>10</w:t>
            </w:r>
            <w:r>
              <w:rPr>
                <w:color w:val="000000"/>
                <w:kern w:val="0"/>
                <w:sz w:val="21"/>
                <w:szCs w:val="21"/>
              </w:rPr>
              <w:t>　</w:t>
            </w: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10</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52"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时效</w:t>
            </w:r>
          </w:p>
          <w:p>
            <w:pPr>
              <w:widowControl/>
              <w:adjustRightInd/>
              <w:spacing w:line="280" w:lineRule="exact"/>
              <w:ind w:firstLine="0" w:firstLineChars="0"/>
              <w:jc w:val="center"/>
              <w:rPr>
                <w:color w:val="000000"/>
                <w:kern w:val="0"/>
                <w:sz w:val="21"/>
                <w:szCs w:val="21"/>
              </w:rPr>
            </w:pPr>
            <w:r>
              <w:rPr>
                <w:color w:val="000000"/>
                <w:kern w:val="0"/>
                <w:sz w:val="21"/>
                <w:szCs w:val="21"/>
              </w:rPr>
              <w:t>指标</w:t>
            </w:r>
          </w:p>
        </w:tc>
        <w:tc>
          <w:tcPr>
            <w:tcW w:w="120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2024年12月31日完成</w:t>
            </w:r>
          </w:p>
        </w:tc>
        <w:tc>
          <w:tcPr>
            <w:tcW w:w="120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105" w:firstLineChars="50"/>
              <w:jc w:val="left"/>
              <w:rPr>
                <w:color w:val="000000"/>
                <w:kern w:val="0"/>
                <w:sz w:val="21"/>
                <w:szCs w:val="21"/>
              </w:rPr>
            </w:pPr>
            <w:r>
              <w:rPr>
                <w:rFonts w:hint="eastAsia"/>
                <w:color w:val="000000"/>
                <w:kern w:val="0"/>
                <w:sz w:val="21"/>
                <w:szCs w:val="21"/>
              </w:rPr>
              <w:t>完成</w:t>
            </w: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100%</w:t>
            </w: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105" w:firstLineChars="50"/>
              <w:jc w:val="left"/>
              <w:rPr>
                <w:color w:val="000000"/>
                <w:kern w:val="0"/>
                <w:sz w:val="21"/>
                <w:szCs w:val="21"/>
              </w:rPr>
            </w:pPr>
            <w:r>
              <w:rPr>
                <w:rFonts w:hint="eastAsia"/>
                <w:color w:val="000000"/>
                <w:kern w:val="0"/>
                <w:sz w:val="21"/>
                <w:szCs w:val="21"/>
              </w:rPr>
              <w:t>10</w:t>
            </w:r>
            <w:r>
              <w:rPr>
                <w:color w:val="000000"/>
                <w:kern w:val="0"/>
                <w:sz w:val="21"/>
                <w:szCs w:val="21"/>
              </w:rPr>
              <w:t>　</w:t>
            </w: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105" w:firstLineChars="50"/>
              <w:jc w:val="left"/>
              <w:rPr>
                <w:color w:val="000000"/>
                <w:kern w:val="0"/>
                <w:sz w:val="21"/>
                <w:szCs w:val="21"/>
              </w:rPr>
            </w:pPr>
            <w:r>
              <w:rPr>
                <w:rFonts w:hint="eastAsia"/>
                <w:color w:val="000000"/>
                <w:kern w:val="0"/>
                <w:sz w:val="21"/>
                <w:szCs w:val="21"/>
              </w:rPr>
              <w:t>10</w:t>
            </w:r>
            <w:r>
              <w:rPr>
                <w:color w:val="000000"/>
                <w:kern w:val="0"/>
                <w:sz w:val="21"/>
                <w:szCs w:val="21"/>
              </w:rPr>
              <w:t>　</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52"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0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0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52"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成本</w:t>
            </w:r>
          </w:p>
          <w:p>
            <w:pPr>
              <w:widowControl/>
              <w:adjustRightInd/>
              <w:spacing w:line="280" w:lineRule="exact"/>
              <w:ind w:firstLine="0" w:firstLineChars="0"/>
              <w:jc w:val="center"/>
              <w:rPr>
                <w:color w:val="000000"/>
                <w:kern w:val="0"/>
                <w:sz w:val="21"/>
                <w:szCs w:val="21"/>
              </w:rPr>
            </w:pPr>
            <w:r>
              <w:rPr>
                <w:color w:val="000000"/>
                <w:kern w:val="0"/>
                <w:sz w:val="21"/>
                <w:szCs w:val="21"/>
              </w:rPr>
              <w:t>指标</w:t>
            </w:r>
          </w:p>
        </w:tc>
        <w:tc>
          <w:tcPr>
            <w:tcW w:w="120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控制预算批复范围内</w:t>
            </w:r>
          </w:p>
        </w:tc>
        <w:tc>
          <w:tcPr>
            <w:tcW w:w="120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完成</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100%</w:t>
            </w: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10</w:t>
            </w: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10</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52"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0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0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395"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效益指标</w:t>
            </w:r>
          </w:p>
          <w:p>
            <w:pPr>
              <w:widowControl/>
              <w:adjustRightInd/>
              <w:spacing w:line="280" w:lineRule="exact"/>
              <w:ind w:firstLine="210" w:firstLineChars="100"/>
              <w:jc w:val="left"/>
              <w:rPr>
                <w:color w:val="000000"/>
                <w:kern w:val="0"/>
                <w:sz w:val="21"/>
                <w:szCs w:val="21"/>
              </w:rPr>
            </w:pPr>
            <w:r>
              <w:rPr>
                <w:color w:val="000000"/>
                <w:kern w:val="0"/>
                <w:sz w:val="21"/>
                <w:szCs w:val="21"/>
              </w:rPr>
              <w:t>（30分）　</w:t>
            </w:r>
          </w:p>
        </w:tc>
        <w:tc>
          <w:tcPr>
            <w:tcW w:w="1252"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经济效</w:t>
            </w:r>
          </w:p>
          <w:p>
            <w:pPr>
              <w:widowControl/>
              <w:adjustRightInd/>
              <w:spacing w:line="280" w:lineRule="exact"/>
              <w:ind w:firstLine="0" w:firstLineChars="0"/>
              <w:jc w:val="center"/>
              <w:rPr>
                <w:color w:val="000000"/>
                <w:kern w:val="0"/>
                <w:sz w:val="21"/>
                <w:szCs w:val="21"/>
              </w:rPr>
            </w:pPr>
            <w:r>
              <w:rPr>
                <w:color w:val="000000"/>
                <w:kern w:val="0"/>
                <w:sz w:val="21"/>
                <w:szCs w:val="21"/>
              </w:rPr>
              <w:t>益指标</w:t>
            </w:r>
          </w:p>
        </w:tc>
        <w:tc>
          <w:tcPr>
            <w:tcW w:w="120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rFonts w:hint="eastAsia"/>
                <w:color w:val="000000" w:themeColor="text1"/>
                <w:kern w:val="0"/>
                <w:sz w:val="21"/>
                <w:szCs w:val="21"/>
                <w14:textFill>
                  <w14:solidFill>
                    <w14:schemeClr w14:val="tx1"/>
                  </w14:solidFill>
                </w14:textFill>
              </w:rPr>
              <w:t>不断完善节约措施，形成长效节约机制</w:t>
            </w:r>
          </w:p>
        </w:tc>
        <w:tc>
          <w:tcPr>
            <w:tcW w:w="120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节约</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100%</w:t>
            </w:r>
            <w:r>
              <w:rPr>
                <w:color w:val="000000"/>
                <w:kern w:val="0"/>
                <w:sz w:val="21"/>
                <w:szCs w:val="21"/>
              </w:rPr>
              <w:t>　</w:t>
            </w: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10</w:t>
            </w: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105" w:firstLineChars="50"/>
              <w:jc w:val="left"/>
              <w:rPr>
                <w:color w:val="000000"/>
                <w:kern w:val="0"/>
                <w:sz w:val="21"/>
                <w:szCs w:val="21"/>
              </w:rPr>
            </w:pPr>
            <w:r>
              <w:rPr>
                <w:rFonts w:hint="eastAsia"/>
                <w:color w:val="000000"/>
                <w:kern w:val="0"/>
                <w:sz w:val="21"/>
                <w:szCs w:val="21"/>
              </w:rPr>
              <w:t>10</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52"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0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0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52"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社会效</w:t>
            </w:r>
          </w:p>
          <w:p>
            <w:pPr>
              <w:widowControl/>
              <w:adjustRightInd/>
              <w:spacing w:line="280" w:lineRule="exact"/>
              <w:ind w:firstLine="0" w:firstLineChars="0"/>
              <w:jc w:val="center"/>
              <w:rPr>
                <w:color w:val="000000"/>
                <w:kern w:val="0"/>
                <w:sz w:val="21"/>
                <w:szCs w:val="21"/>
              </w:rPr>
            </w:pPr>
            <w:r>
              <w:rPr>
                <w:color w:val="000000"/>
                <w:kern w:val="0"/>
                <w:sz w:val="21"/>
                <w:szCs w:val="21"/>
              </w:rPr>
              <w:t>益指标</w:t>
            </w:r>
          </w:p>
        </w:tc>
        <w:tc>
          <w:tcPr>
            <w:tcW w:w="120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社会公信力逐步提升</w:t>
            </w:r>
          </w:p>
        </w:tc>
        <w:tc>
          <w:tcPr>
            <w:tcW w:w="120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提升</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100%</w:t>
            </w: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20</w:t>
            </w: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20</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52"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0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0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52"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生态效</w:t>
            </w:r>
          </w:p>
          <w:p>
            <w:pPr>
              <w:widowControl/>
              <w:adjustRightInd/>
              <w:spacing w:line="280" w:lineRule="exact"/>
              <w:ind w:firstLine="0" w:firstLineChars="0"/>
              <w:jc w:val="center"/>
              <w:rPr>
                <w:color w:val="000000"/>
                <w:kern w:val="0"/>
                <w:sz w:val="21"/>
                <w:szCs w:val="21"/>
              </w:rPr>
            </w:pPr>
            <w:r>
              <w:rPr>
                <w:color w:val="000000"/>
                <w:kern w:val="0"/>
                <w:sz w:val="21"/>
                <w:szCs w:val="21"/>
              </w:rPr>
              <w:t>益指标</w:t>
            </w:r>
          </w:p>
        </w:tc>
        <w:tc>
          <w:tcPr>
            <w:tcW w:w="120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w:t>
            </w:r>
          </w:p>
        </w:tc>
        <w:tc>
          <w:tcPr>
            <w:tcW w:w="120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52"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0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0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52"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可持续影响指标</w:t>
            </w:r>
          </w:p>
        </w:tc>
        <w:tc>
          <w:tcPr>
            <w:tcW w:w="120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w:t>
            </w:r>
          </w:p>
        </w:tc>
        <w:tc>
          <w:tcPr>
            <w:tcW w:w="120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52"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0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0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395"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rPr>
                <w:color w:val="000000"/>
                <w:kern w:val="0"/>
                <w:sz w:val="21"/>
                <w:szCs w:val="21"/>
              </w:rPr>
            </w:pPr>
            <w:r>
              <w:rPr>
                <w:color w:val="000000"/>
                <w:kern w:val="0"/>
                <w:sz w:val="21"/>
                <w:szCs w:val="21"/>
              </w:rPr>
              <w:t>（10分）</w:t>
            </w:r>
          </w:p>
        </w:tc>
        <w:tc>
          <w:tcPr>
            <w:tcW w:w="1252"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服务对象满意度指标</w:t>
            </w:r>
          </w:p>
        </w:tc>
        <w:tc>
          <w:tcPr>
            <w:tcW w:w="120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满意度</w:t>
            </w:r>
          </w:p>
        </w:tc>
        <w:tc>
          <w:tcPr>
            <w:tcW w:w="120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95%以上</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95%以上</w:t>
            </w: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10</w:t>
            </w: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10</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52"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20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c>
          <w:tcPr>
            <w:tcW w:w="1200" w:type="dxa"/>
          </w:tcPr>
          <w:p>
            <w:pPr>
              <w:widowControl/>
              <w:adjustRightInd/>
              <w:spacing w:line="280" w:lineRule="exact"/>
              <w:ind w:firstLine="0" w:firstLineChars="0"/>
              <w:jc w:val="left"/>
              <w:rPr>
                <w:color w:val="000000"/>
                <w:kern w:val="0"/>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c>
          <w:tcPr>
            <w:tcW w:w="1446"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270" w:type="dxa"/>
            <w:gridSpan w:val="7"/>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rPr>
                <w:color w:val="000000"/>
                <w:kern w:val="0"/>
                <w:sz w:val="21"/>
                <w:szCs w:val="21"/>
              </w:rPr>
            </w:pPr>
            <w:r>
              <w:rPr>
                <w:rFonts w:hint="eastAsia"/>
                <w:color w:val="000000"/>
                <w:kern w:val="0"/>
                <w:sz w:val="21"/>
                <w:szCs w:val="21"/>
              </w:rPr>
              <w:t>100</w:t>
            </w:r>
          </w:p>
        </w:tc>
        <w:tc>
          <w:tcPr>
            <w:tcW w:w="89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105" w:firstLineChars="50"/>
              <w:jc w:val="left"/>
              <w:rPr>
                <w:color w:val="000000"/>
                <w:kern w:val="0"/>
                <w:sz w:val="21"/>
                <w:szCs w:val="21"/>
              </w:rPr>
            </w:pPr>
            <w:r>
              <w:rPr>
                <w:rFonts w:hint="eastAsia"/>
                <w:color w:val="000000"/>
                <w:kern w:val="0"/>
                <w:sz w:val="21"/>
                <w:szCs w:val="21"/>
              </w:rPr>
              <w:t>97.61</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p>
        </w:tc>
      </w:tr>
    </w:tbl>
    <w:p>
      <w:pPr>
        <w:widowControl/>
        <w:adjustRightInd/>
        <w:snapToGrid/>
        <w:spacing w:line="240" w:lineRule="auto"/>
        <w:ind w:firstLine="0" w:firstLineChars="0"/>
        <w:jc w:val="left"/>
        <w:rPr>
          <w:rFonts w:eastAsia="黑体"/>
          <w:szCs w:val="32"/>
        </w:rPr>
      </w:pPr>
      <w:r>
        <w:rPr>
          <w:rFonts w:eastAsia="黑体"/>
          <w:szCs w:val="32"/>
        </w:rPr>
        <w:t xml:space="preserve"> </w:t>
      </w:r>
    </w:p>
    <w:p>
      <w:pPr>
        <w:pStyle w:val="6"/>
        <w:ind w:firstLine="0" w:firstLineChars="0"/>
      </w:pPr>
      <w:r>
        <w:br w:type="page"/>
      </w:r>
      <w:r>
        <w:t>附件3</w:t>
      </w:r>
      <w:r>
        <w:rPr>
          <w:rFonts w:hint="eastAsia"/>
        </w:rPr>
        <w:t>-1</w:t>
      </w:r>
    </w:p>
    <w:p>
      <w:pPr>
        <w:pStyle w:val="5"/>
        <w:spacing w:beforeLines="25" w:line="500" w:lineRule="exact"/>
        <w:rPr>
          <w:sz w:val="36"/>
          <w:szCs w:val="36"/>
        </w:rPr>
      </w:pPr>
      <w:r>
        <w:rPr>
          <w:sz w:val="36"/>
          <w:szCs w:val="36"/>
        </w:rPr>
        <w:t>项目支出绩效自评表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rPr>
        <w:t xml:space="preserve">2024 </w:t>
      </w:r>
      <w:r>
        <w:rPr>
          <w:color w:val="000000"/>
          <w:kern w:val="0"/>
          <w:sz w:val="21"/>
          <w:szCs w:val="21"/>
        </w:rPr>
        <w:t>年度）</w:t>
      </w:r>
    </w:p>
    <w:tbl>
      <w:tblPr>
        <w:tblStyle w:val="12"/>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项目支</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　</w:t>
            </w:r>
            <w:r>
              <w:rPr>
                <w:rFonts w:hint="eastAsia"/>
                <w:kern w:val="0"/>
                <w:sz w:val="21"/>
                <w:szCs w:val="21"/>
              </w:rPr>
              <w:t>农村人才培育与农村政策改革(市县)(2023结转)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湖南省农业农村厅</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3119" w:type="dxa"/>
            <w:gridSpan w:val="3"/>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湖南省农村经营管理服务站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年初</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全年</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textAlignment w:val="center"/>
              <w:rPr>
                <w:sz w:val="21"/>
                <w:szCs w:val="21"/>
              </w:rPr>
            </w:pPr>
            <w:r>
              <w:rPr>
                <w:sz w:val="21"/>
                <w:szCs w:val="21"/>
              </w:rPr>
              <w:t>全年</w:t>
            </w:r>
          </w:p>
          <w:p>
            <w:pPr>
              <w:adjustRightInd/>
              <w:spacing w:line="280" w:lineRule="exact"/>
              <w:ind w:firstLine="0" w:firstLineChars="0"/>
              <w:jc w:val="center"/>
              <w:textAlignment w:val="center"/>
              <w:rPr>
                <w:sz w:val="21"/>
                <w:szCs w:val="21"/>
              </w:rPr>
            </w:pPr>
            <w:r>
              <w:rPr>
                <w:sz w:val="21"/>
                <w:szCs w:val="21"/>
              </w:rPr>
              <w:t>执行数</w:t>
            </w:r>
          </w:p>
        </w:tc>
        <w:tc>
          <w:tcPr>
            <w:tcW w:w="828"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textAlignment w:val="center"/>
              <w:rPr>
                <w:sz w:val="21"/>
                <w:szCs w:val="21"/>
              </w:rPr>
            </w:pPr>
            <w:r>
              <w:rPr>
                <w:sz w:val="21"/>
                <w:szCs w:val="21"/>
              </w:rPr>
              <w:t>分值</w:t>
            </w:r>
          </w:p>
        </w:tc>
        <w:tc>
          <w:tcPr>
            <w:tcW w:w="873"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textAlignment w:val="center"/>
              <w:rPr>
                <w:sz w:val="21"/>
                <w:szCs w:val="21"/>
              </w:rPr>
            </w:pPr>
            <w:r>
              <w:rPr>
                <w:sz w:val="21"/>
                <w:szCs w:val="21"/>
              </w:rPr>
              <w:t>执行率</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textAlignment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57.37</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57.37</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57.37</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100%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57.37</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57.37</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57.37</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100%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4253"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　　　</w:t>
            </w:r>
            <w:r>
              <w:rPr>
                <w:rFonts w:hint="eastAsia"/>
                <w:color w:val="000000"/>
                <w:kern w:val="0"/>
                <w:sz w:val="21"/>
                <w:szCs w:val="21"/>
              </w:rPr>
              <w:t>加强农村宅基地改革与管理相关工作</w:t>
            </w:r>
          </w:p>
        </w:tc>
        <w:tc>
          <w:tcPr>
            <w:tcW w:w="4253"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农村宅基地管理工作不断规范，农村土地承包经营纠纷调解仲裁考评工作连续8年位列全国第一等次，农村宅基地制度改革试点工作圆满收官，农村乱占耕地建房住宅类专项整治试点工作扎实推进，宁远县分类整治经验在全国视频会上推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偏差原因</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分析及</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(50分)</w:t>
            </w: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数量指标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13"/>
                <w:szCs w:val="13"/>
              </w:rPr>
            </w:pPr>
            <w:r>
              <w:rPr>
                <w:rFonts w:hint="eastAsia"/>
                <w:color w:val="000000"/>
                <w:kern w:val="0"/>
                <w:sz w:val="13"/>
                <w:szCs w:val="13"/>
              </w:rPr>
              <w:t>农村宅基地制度改革试点县个数</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4个</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20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105" w:firstLineChars="5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20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质量指标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13"/>
                <w:szCs w:val="13"/>
              </w:rPr>
            </w:pPr>
            <w:r>
              <w:rPr>
                <w:rFonts w:hint="eastAsia"/>
                <w:color w:val="000000"/>
                <w:kern w:val="0"/>
                <w:sz w:val="13"/>
                <w:szCs w:val="13"/>
              </w:rPr>
              <w:t>全面完成住宅类房屋专项整治试点工作</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完成</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20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20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时效指标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2024年12月31日完成</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210" w:firstLineChars="100"/>
              <w:jc w:val="left"/>
              <w:rPr>
                <w:color w:val="000000"/>
                <w:kern w:val="0"/>
                <w:sz w:val="21"/>
                <w:szCs w:val="21"/>
              </w:rPr>
            </w:pPr>
            <w:r>
              <w:rPr>
                <w:rFonts w:hint="eastAsia"/>
                <w:color w:val="000000"/>
                <w:kern w:val="0"/>
                <w:sz w:val="21"/>
                <w:szCs w:val="21"/>
              </w:rPr>
              <w:t>完成</w:t>
            </w: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210" w:firstLineChars="100"/>
              <w:jc w:val="left"/>
              <w:rPr>
                <w:color w:val="000000"/>
                <w:kern w:val="0"/>
                <w:sz w:val="21"/>
                <w:szCs w:val="21"/>
              </w:rPr>
            </w:pPr>
            <w:r>
              <w:rPr>
                <w:rFonts w:hint="eastAsia"/>
                <w:color w:val="000000"/>
                <w:kern w:val="0"/>
                <w:sz w:val="21"/>
                <w:szCs w:val="21"/>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210" w:firstLineChars="100"/>
              <w:jc w:val="left"/>
              <w:rPr>
                <w:color w:val="000000"/>
                <w:kern w:val="0"/>
                <w:sz w:val="21"/>
                <w:szCs w:val="21"/>
              </w:rPr>
            </w:pPr>
            <w:r>
              <w:rPr>
                <w:rFonts w:hint="eastAsia"/>
                <w:color w:val="000000"/>
                <w:kern w:val="0"/>
                <w:sz w:val="21"/>
                <w:szCs w:val="21"/>
              </w:rPr>
              <w:t>10</w:t>
            </w: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成本指标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效益指标</w:t>
            </w:r>
          </w:p>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（30分）</w:t>
            </w: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经济效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13"/>
                <w:szCs w:val="13"/>
              </w:rPr>
            </w:pPr>
            <w:r>
              <w:rPr>
                <w:rFonts w:hint="eastAsia"/>
                <w:color w:val="000000"/>
                <w:kern w:val="0"/>
                <w:sz w:val="13"/>
                <w:szCs w:val="13"/>
              </w:rPr>
              <w:t>盘活闲置宅基地和闲置农房</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完成</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社会效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13"/>
                <w:szCs w:val="13"/>
              </w:rPr>
            </w:pPr>
            <w:r>
              <w:rPr>
                <w:rFonts w:hint="eastAsia"/>
                <w:color w:val="000000"/>
                <w:kern w:val="0"/>
                <w:sz w:val="13"/>
                <w:szCs w:val="13"/>
              </w:rPr>
              <w:t>提升便民</w:t>
            </w:r>
            <w:r>
              <w:rPr>
                <w:rFonts w:hint="eastAsia"/>
                <w:color w:val="000000"/>
                <w:kern w:val="0"/>
                <w:sz w:val="13"/>
                <w:szCs w:val="13"/>
                <w:lang w:eastAsia="zh-CN"/>
              </w:rPr>
              <w:t>、利民</w:t>
            </w:r>
            <w:r>
              <w:rPr>
                <w:rFonts w:hint="eastAsia"/>
                <w:color w:val="000000"/>
                <w:kern w:val="0"/>
                <w:sz w:val="13"/>
                <w:szCs w:val="13"/>
              </w:rPr>
              <w:t>服务水平</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完成</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生态效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13"/>
                <w:szCs w:val="13"/>
              </w:rPr>
            </w:pP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可持续影响指标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13"/>
                <w:szCs w:val="13"/>
              </w:rPr>
            </w:pPr>
            <w:r>
              <w:rPr>
                <w:rFonts w:hint="eastAsia"/>
                <w:color w:val="000000"/>
                <w:kern w:val="0"/>
                <w:sz w:val="13"/>
                <w:szCs w:val="13"/>
              </w:rPr>
              <w:t>建设智慧化监管体系</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完成</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（10分）</w:t>
            </w: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服务对象满意度指标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13"/>
                <w:szCs w:val="13"/>
              </w:rPr>
            </w:pPr>
            <w:r>
              <w:rPr>
                <w:rFonts w:hint="eastAsia"/>
                <w:color w:val="000000"/>
                <w:kern w:val="0"/>
                <w:sz w:val="13"/>
                <w:szCs w:val="13"/>
              </w:rPr>
              <w:t>社会公益或服务对象满意度指标</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服务对象满意度100%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8</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32" w:type="dxa"/>
            <w:gridSpan w:val="6"/>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98</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bl>
    <w:p>
      <w:pPr>
        <w:spacing w:line="240" w:lineRule="exact"/>
        <w:ind w:firstLine="0" w:firstLineChars="0"/>
      </w:pPr>
    </w:p>
    <w:p>
      <w:pPr>
        <w:spacing w:line="240" w:lineRule="exact"/>
        <w:ind w:firstLine="0" w:firstLineChars="0"/>
      </w:pPr>
    </w:p>
    <w:p>
      <w:pPr>
        <w:spacing w:line="240" w:lineRule="exact"/>
        <w:ind w:firstLine="0" w:firstLineChars="0"/>
      </w:pPr>
    </w:p>
    <w:p>
      <w:pPr>
        <w:ind w:firstLine="640"/>
      </w:pPr>
    </w:p>
    <w:p>
      <w:pPr>
        <w:pStyle w:val="6"/>
        <w:ind w:firstLine="0" w:firstLineChars="0"/>
      </w:pPr>
      <w:r>
        <w:t>附件3</w:t>
      </w:r>
      <w:r>
        <w:rPr>
          <w:rFonts w:hint="eastAsia"/>
        </w:rPr>
        <w:t>-2</w:t>
      </w:r>
    </w:p>
    <w:p>
      <w:pPr>
        <w:pStyle w:val="5"/>
        <w:spacing w:beforeLines="25" w:line="500" w:lineRule="exact"/>
        <w:rPr>
          <w:sz w:val="36"/>
          <w:szCs w:val="36"/>
        </w:rPr>
      </w:pPr>
      <w:r>
        <w:rPr>
          <w:sz w:val="36"/>
          <w:szCs w:val="36"/>
        </w:rPr>
        <w:t>项目支出绩效自评表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 xml:space="preserve">（ </w:t>
      </w:r>
      <w:r>
        <w:rPr>
          <w:rFonts w:hint="eastAsia"/>
          <w:color w:val="000000"/>
          <w:kern w:val="0"/>
          <w:sz w:val="21"/>
          <w:szCs w:val="21"/>
        </w:rPr>
        <w:t>2024</w:t>
      </w:r>
      <w:r>
        <w:rPr>
          <w:color w:val="000000"/>
          <w:kern w:val="0"/>
          <w:sz w:val="21"/>
          <w:szCs w:val="21"/>
        </w:rPr>
        <w:t>年度）</w:t>
      </w:r>
    </w:p>
    <w:tbl>
      <w:tblPr>
        <w:tblStyle w:val="12"/>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项目支</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　</w:t>
            </w:r>
            <w:r>
              <w:rPr>
                <w:rFonts w:hint="eastAsia"/>
                <w:kern w:val="0"/>
                <w:sz w:val="21"/>
                <w:szCs w:val="21"/>
              </w:rPr>
              <w:t>土地仲裁工作经费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湖南省农业农村厅</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3119" w:type="dxa"/>
            <w:gridSpan w:val="3"/>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湖南省农村经营管理服务站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11"/>
                <w:szCs w:val="11"/>
              </w:rPr>
            </w:pPr>
            <w:r>
              <w:rPr>
                <w:color w:val="000000"/>
                <w:kern w:val="0"/>
                <w:sz w:val="11"/>
                <w:szCs w:val="11"/>
              </w:rPr>
              <w:t>年初预算数</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11"/>
                <w:szCs w:val="11"/>
              </w:rPr>
            </w:pPr>
            <w:r>
              <w:rPr>
                <w:color w:val="000000"/>
                <w:kern w:val="0"/>
                <w:sz w:val="11"/>
                <w:szCs w:val="11"/>
              </w:rPr>
              <w:t>全年预算数</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textAlignment w:val="center"/>
              <w:rPr>
                <w:sz w:val="11"/>
                <w:szCs w:val="11"/>
              </w:rPr>
            </w:pPr>
            <w:r>
              <w:rPr>
                <w:sz w:val="11"/>
                <w:szCs w:val="11"/>
              </w:rPr>
              <w:t>全年执行数</w:t>
            </w:r>
          </w:p>
        </w:tc>
        <w:tc>
          <w:tcPr>
            <w:tcW w:w="828"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textAlignment w:val="center"/>
              <w:rPr>
                <w:sz w:val="21"/>
                <w:szCs w:val="21"/>
              </w:rPr>
            </w:pPr>
            <w:r>
              <w:rPr>
                <w:sz w:val="21"/>
                <w:szCs w:val="21"/>
              </w:rPr>
              <w:t>分值</w:t>
            </w:r>
          </w:p>
        </w:tc>
        <w:tc>
          <w:tcPr>
            <w:tcW w:w="873"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textAlignment w:val="center"/>
              <w:rPr>
                <w:sz w:val="21"/>
                <w:szCs w:val="21"/>
              </w:rPr>
            </w:pPr>
            <w:r>
              <w:rPr>
                <w:sz w:val="21"/>
                <w:szCs w:val="21"/>
              </w:rPr>
              <w:t>执行率</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textAlignment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105</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46.73</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44.5%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105</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46.73</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44.5%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4253"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　　</w:t>
            </w:r>
            <w:r>
              <w:rPr>
                <w:rFonts w:hint="eastAsia"/>
                <w:color w:val="000000"/>
                <w:kern w:val="0"/>
                <w:sz w:val="21"/>
                <w:szCs w:val="21"/>
              </w:rPr>
              <w:t>土地仲裁培训250人，二期培训班，提高对政策的解读</w:t>
            </w:r>
          </w:p>
        </w:tc>
        <w:tc>
          <w:tcPr>
            <w:tcW w:w="4253"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13"/>
                <w:szCs w:val="13"/>
              </w:rPr>
              <w:t>顺应土地延包整省试点带来的新形势、新变化、新要求，加强法规宣传教育，健全机构队伍，规范仲裁程序，优化服务流程，积极探索推广调解与仲裁相结合、巡回与定点相结合的仲裁方式，及时公正解决农村土地承包经营纠纷，维护农民群众合法权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偏差原因</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分析及</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(50分)</w:t>
            </w: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数量指标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培训2期，250人</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质量指标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提高对政策的解读</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有所提高</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时效指标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2024年12月31日完成</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已完成</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成本指标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控制在预算范围内</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范围内</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效益指标</w:t>
            </w:r>
          </w:p>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（30分）</w:t>
            </w: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经济效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社会效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13"/>
                <w:szCs w:val="13"/>
              </w:rPr>
              <w:t>构建了“乡村调解、县级仲裁、司法保障”的矛盾纠纷化解机制纠纷调处机制</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完成</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105" w:firstLineChars="5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生态效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可持续影响指标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15"/>
                <w:szCs w:val="15"/>
              </w:rPr>
            </w:pPr>
            <w:r>
              <w:rPr>
                <w:rFonts w:hint="eastAsia"/>
                <w:color w:val="000000"/>
                <w:kern w:val="0"/>
                <w:sz w:val="11"/>
                <w:szCs w:val="11"/>
              </w:rPr>
              <w:t>提升了司法公信力，有效维护当事人的合法权益</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完成</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（10分）</w:t>
            </w: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服务对象满意度指标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满意度</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≧90%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210" w:firstLineChars="100"/>
              <w:jc w:val="left"/>
              <w:textAlignment w:val="center"/>
              <w:rPr>
                <w:color w:val="000000"/>
                <w:kern w:val="0"/>
                <w:sz w:val="21"/>
                <w:szCs w:val="21"/>
              </w:rPr>
            </w:pPr>
            <w:r>
              <w:rPr>
                <w:rFonts w:hint="eastAsia"/>
                <w:color w:val="000000"/>
                <w:kern w:val="0"/>
                <w:sz w:val="21"/>
                <w:szCs w:val="21"/>
              </w:rPr>
              <w:t>10</w:t>
            </w: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32" w:type="dxa"/>
            <w:gridSpan w:val="6"/>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94.45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bl>
    <w:p>
      <w:pPr>
        <w:spacing w:line="240" w:lineRule="exact"/>
        <w:ind w:firstLine="0" w:firstLineChars="0"/>
      </w:pPr>
    </w:p>
    <w:p>
      <w:pPr>
        <w:spacing w:line="240" w:lineRule="exact"/>
        <w:ind w:firstLine="0" w:firstLineChars="0"/>
      </w:pPr>
    </w:p>
    <w:p>
      <w:pPr>
        <w:spacing w:line="240" w:lineRule="exact"/>
        <w:ind w:firstLine="0" w:firstLineChars="0"/>
      </w:pPr>
    </w:p>
    <w:p>
      <w:pPr>
        <w:pStyle w:val="6"/>
        <w:ind w:firstLine="0" w:firstLineChars="0"/>
      </w:pPr>
      <w:r>
        <w:t>附件3</w:t>
      </w:r>
      <w:r>
        <w:rPr>
          <w:rFonts w:hint="eastAsia"/>
        </w:rPr>
        <w:t>-3</w:t>
      </w:r>
    </w:p>
    <w:p>
      <w:pPr>
        <w:pStyle w:val="5"/>
        <w:spacing w:beforeLines="25" w:line="500" w:lineRule="exact"/>
        <w:rPr>
          <w:sz w:val="36"/>
          <w:szCs w:val="36"/>
        </w:rPr>
      </w:pPr>
      <w:r>
        <w:rPr>
          <w:sz w:val="36"/>
          <w:szCs w:val="36"/>
        </w:rPr>
        <w:t>项目支出绩效自评表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rPr>
        <w:t>2024</w:t>
      </w:r>
      <w:r>
        <w:rPr>
          <w:color w:val="000000"/>
          <w:kern w:val="0"/>
          <w:sz w:val="21"/>
          <w:szCs w:val="21"/>
        </w:rPr>
        <w:t>年度）</w:t>
      </w:r>
    </w:p>
    <w:tbl>
      <w:tblPr>
        <w:tblStyle w:val="12"/>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419"/>
        <w:gridCol w:w="93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项目支</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　</w:t>
            </w:r>
            <w:r>
              <w:rPr>
                <w:rFonts w:hint="eastAsia"/>
                <w:kern w:val="0"/>
                <w:sz w:val="21"/>
                <w:szCs w:val="21"/>
              </w:rPr>
              <w:t>农村土地承包经营纠纷仲裁考评(2023结转)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湖南省农业农村厅</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3119" w:type="dxa"/>
            <w:gridSpan w:val="3"/>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湖南省农村经营管理服务站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年初预算数</w:t>
            </w:r>
          </w:p>
        </w:tc>
        <w:tc>
          <w:tcPr>
            <w:tcW w:w="93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10"/>
                <w:szCs w:val="10"/>
              </w:rPr>
              <w:t>全年预算数</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sz w:val="21"/>
                <w:szCs w:val="21"/>
              </w:rPr>
            </w:pPr>
            <w:r>
              <w:rPr>
                <w:color w:val="000000"/>
                <w:kern w:val="0"/>
                <w:sz w:val="10"/>
                <w:szCs w:val="10"/>
              </w:rPr>
              <w:t>全年执行数</w:t>
            </w:r>
          </w:p>
        </w:tc>
        <w:tc>
          <w:tcPr>
            <w:tcW w:w="828"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textAlignment w:val="center"/>
              <w:rPr>
                <w:sz w:val="21"/>
                <w:szCs w:val="21"/>
              </w:rPr>
            </w:pPr>
            <w:r>
              <w:rPr>
                <w:sz w:val="21"/>
                <w:szCs w:val="21"/>
              </w:rPr>
              <w:t>分值</w:t>
            </w:r>
          </w:p>
        </w:tc>
        <w:tc>
          <w:tcPr>
            <w:tcW w:w="873"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textAlignment w:val="center"/>
              <w:rPr>
                <w:sz w:val="21"/>
                <w:szCs w:val="21"/>
              </w:rPr>
            </w:pPr>
            <w:r>
              <w:rPr>
                <w:sz w:val="21"/>
                <w:szCs w:val="21"/>
              </w:rPr>
              <w:t>执行率</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textAlignment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41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28.9</w:t>
            </w:r>
          </w:p>
        </w:tc>
        <w:tc>
          <w:tcPr>
            <w:tcW w:w="93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28.9</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100%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41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93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41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28.9</w:t>
            </w:r>
          </w:p>
        </w:tc>
        <w:tc>
          <w:tcPr>
            <w:tcW w:w="93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28.9</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100%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41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93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4253"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　　</w:t>
            </w:r>
            <w:r>
              <w:rPr>
                <w:rFonts w:hint="eastAsia"/>
                <w:color w:val="000000"/>
                <w:kern w:val="0"/>
                <w:sz w:val="21"/>
                <w:szCs w:val="21"/>
              </w:rPr>
              <w:t>土地仲裁培训250人，二期培训班，提高对政策的解读</w:t>
            </w:r>
          </w:p>
        </w:tc>
        <w:tc>
          <w:tcPr>
            <w:tcW w:w="4253"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顺应土地延包整省试点带来的新形势、新变化、新要求，加强法规宣传教育，健全机构队伍，规范仲裁程序，优化服务流程，积极探索推广调解与仲裁相结合、巡回与定点相结合的仲裁方式，及时公正解决农村土地承包经营纠纷，维护农民群众合法权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41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93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偏差原因</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分析及</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(50分)</w:t>
            </w: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数量指标</w:t>
            </w:r>
          </w:p>
        </w:tc>
        <w:tc>
          <w:tcPr>
            <w:tcW w:w="141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培训2期，250人</w:t>
            </w:r>
          </w:p>
        </w:tc>
        <w:tc>
          <w:tcPr>
            <w:tcW w:w="93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20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20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质量指标</w:t>
            </w:r>
          </w:p>
        </w:tc>
        <w:tc>
          <w:tcPr>
            <w:tcW w:w="141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提高对政策的解读</w:t>
            </w:r>
          </w:p>
        </w:tc>
        <w:tc>
          <w:tcPr>
            <w:tcW w:w="93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有所提高</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时效指标</w:t>
            </w:r>
          </w:p>
        </w:tc>
        <w:tc>
          <w:tcPr>
            <w:tcW w:w="141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2024年12月31日完成</w:t>
            </w:r>
          </w:p>
        </w:tc>
        <w:tc>
          <w:tcPr>
            <w:tcW w:w="93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已完成</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成本指标</w:t>
            </w:r>
          </w:p>
        </w:tc>
        <w:tc>
          <w:tcPr>
            <w:tcW w:w="141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控制在预算范围内</w:t>
            </w:r>
          </w:p>
        </w:tc>
        <w:tc>
          <w:tcPr>
            <w:tcW w:w="93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范围内</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效益指标</w:t>
            </w:r>
          </w:p>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（30分）</w:t>
            </w: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经济效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41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93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社会效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41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15"/>
                <w:szCs w:val="15"/>
              </w:rPr>
            </w:pPr>
            <w:r>
              <w:rPr>
                <w:rFonts w:hint="eastAsia"/>
                <w:color w:val="000000"/>
                <w:kern w:val="0"/>
                <w:sz w:val="13"/>
                <w:szCs w:val="13"/>
              </w:rPr>
              <w:t>构建了“乡村调解、县级仲裁、司法保障”的矛盾纠纷化解机制纠纷调处机制</w:t>
            </w:r>
          </w:p>
        </w:tc>
        <w:tc>
          <w:tcPr>
            <w:tcW w:w="93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完成</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105" w:firstLineChars="5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可持续影响指标</w:t>
            </w:r>
          </w:p>
        </w:tc>
        <w:tc>
          <w:tcPr>
            <w:tcW w:w="141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15"/>
                <w:szCs w:val="15"/>
              </w:rPr>
            </w:pPr>
            <w:r>
              <w:rPr>
                <w:rFonts w:hint="eastAsia"/>
                <w:color w:val="000000"/>
                <w:kern w:val="0"/>
                <w:sz w:val="21"/>
                <w:szCs w:val="21"/>
              </w:rPr>
              <w:t>提升了司法公信力，有效维护当事人的合法权益</w:t>
            </w:r>
          </w:p>
        </w:tc>
        <w:tc>
          <w:tcPr>
            <w:tcW w:w="93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完成</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105" w:firstLineChars="5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（10分）</w:t>
            </w: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服务对象满意度指标</w:t>
            </w:r>
          </w:p>
        </w:tc>
        <w:tc>
          <w:tcPr>
            <w:tcW w:w="141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满意度</w:t>
            </w:r>
          </w:p>
        </w:tc>
        <w:tc>
          <w:tcPr>
            <w:tcW w:w="93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≧90%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105" w:firstLineChars="50"/>
              <w:jc w:val="left"/>
              <w:textAlignment w:val="center"/>
              <w:rPr>
                <w:color w:val="000000"/>
                <w:kern w:val="0"/>
                <w:sz w:val="21"/>
                <w:szCs w:val="21"/>
              </w:rPr>
            </w:pPr>
            <w:r>
              <w:rPr>
                <w:rFonts w:hint="eastAsia"/>
                <w:color w:val="000000"/>
                <w:kern w:val="0"/>
                <w:sz w:val="21"/>
                <w:szCs w:val="21"/>
              </w:rPr>
              <w:t>10</w:t>
            </w: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32" w:type="dxa"/>
            <w:gridSpan w:val="6"/>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95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bl>
    <w:p>
      <w:pPr>
        <w:spacing w:line="240" w:lineRule="exact"/>
        <w:ind w:firstLine="0" w:firstLineChars="0"/>
      </w:pPr>
    </w:p>
    <w:p>
      <w:pPr>
        <w:spacing w:line="240" w:lineRule="exact"/>
        <w:ind w:firstLine="0" w:firstLineChars="0"/>
      </w:pPr>
    </w:p>
    <w:p>
      <w:pPr>
        <w:spacing w:line="240" w:lineRule="exact"/>
        <w:ind w:firstLine="0" w:firstLineChars="0"/>
      </w:pPr>
    </w:p>
    <w:p>
      <w:pPr>
        <w:ind w:firstLine="640"/>
      </w:pPr>
    </w:p>
    <w:p>
      <w:pPr>
        <w:pStyle w:val="6"/>
        <w:ind w:firstLine="0" w:firstLineChars="0"/>
      </w:pPr>
      <w:r>
        <w:t>附件3</w:t>
      </w:r>
      <w:r>
        <w:rPr>
          <w:rFonts w:hint="eastAsia"/>
        </w:rPr>
        <w:t>-4</w:t>
      </w:r>
    </w:p>
    <w:p>
      <w:pPr>
        <w:pStyle w:val="5"/>
        <w:spacing w:beforeLines="25" w:line="500" w:lineRule="exact"/>
        <w:rPr>
          <w:sz w:val="36"/>
          <w:szCs w:val="36"/>
        </w:rPr>
      </w:pPr>
      <w:r>
        <w:rPr>
          <w:sz w:val="36"/>
          <w:szCs w:val="36"/>
        </w:rPr>
        <w:t>项目支出绩效自评表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rPr>
        <w:t>2024</w:t>
      </w:r>
      <w:r>
        <w:rPr>
          <w:color w:val="000000"/>
          <w:kern w:val="0"/>
          <w:sz w:val="21"/>
          <w:szCs w:val="21"/>
        </w:rPr>
        <w:t>年度）</w:t>
      </w:r>
    </w:p>
    <w:tbl>
      <w:tblPr>
        <w:tblStyle w:val="12"/>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项目支</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　</w:t>
            </w:r>
            <w:r>
              <w:rPr>
                <w:rFonts w:hint="eastAsia"/>
                <w:kern w:val="0"/>
                <w:sz w:val="21"/>
                <w:szCs w:val="21"/>
              </w:rPr>
              <w:t>农民专业合作组织工作经费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湖南省农业农村厅</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3119" w:type="dxa"/>
            <w:gridSpan w:val="3"/>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湖南省农村经营管理服务站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年初</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全年</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textAlignment w:val="center"/>
              <w:rPr>
                <w:sz w:val="21"/>
                <w:szCs w:val="21"/>
              </w:rPr>
            </w:pPr>
            <w:r>
              <w:rPr>
                <w:sz w:val="21"/>
                <w:szCs w:val="21"/>
              </w:rPr>
              <w:t>全年</w:t>
            </w:r>
          </w:p>
          <w:p>
            <w:pPr>
              <w:adjustRightInd/>
              <w:spacing w:line="280" w:lineRule="exact"/>
              <w:ind w:firstLine="0" w:firstLineChars="0"/>
              <w:jc w:val="center"/>
              <w:textAlignment w:val="center"/>
              <w:rPr>
                <w:sz w:val="21"/>
                <w:szCs w:val="21"/>
              </w:rPr>
            </w:pPr>
            <w:r>
              <w:rPr>
                <w:sz w:val="21"/>
                <w:szCs w:val="21"/>
              </w:rPr>
              <w:t>执行数</w:t>
            </w:r>
          </w:p>
        </w:tc>
        <w:tc>
          <w:tcPr>
            <w:tcW w:w="828"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textAlignment w:val="center"/>
              <w:rPr>
                <w:sz w:val="21"/>
                <w:szCs w:val="21"/>
              </w:rPr>
            </w:pPr>
            <w:r>
              <w:rPr>
                <w:sz w:val="21"/>
                <w:szCs w:val="21"/>
              </w:rPr>
              <w:t>分值</w:t>
            </w:r>
          </w:p>
        </w:tc>
        <w:tc>
          <w:tcPr>
            <w:tcW w:w="873"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textAlignment w:val="center"/>
              <w:rPr>
                <w:sz w:val="21"/>
                <w:szCs w:val="21"/>
              </w:rPr>
            </w:pPr>
            <w:r>
              <w:rPr>
                <w:sz w:val="21"/>
                <w:szCs w:val="21"/>
              </w:rPr>
              <w:t>执行率</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textAlignment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99.17</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99.17%</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99.17</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99.17%</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4253"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　　</w:t>
            </w:r>
            <w:r>
              <w:rPr>
                <w:rFonts w:hint="eastAsia"/>
                <w:color w:val="000000"/>
                <w:kern w:val="0"/>
                <w:sz w:val="21"/>
                <w:szCs w:val="21"/>
              </w:rPr>
              <w:t>开展</w:t>
            </w:r>
            <w:r>
              <w:rPr>
                <w:sz w:val="21"/>
                <w:szCs w:val="21"/>
              </w:rPr>
              <w:t>农民合作社</w:t>
            </w:r>
            <w:r>
              <w:rPr>
                <w:rFonts w:hint="eastAsia"/>
                <w:sz w:val="21"/>
                <w:szCs w:val="21"/>
              </w:rPr>
              <w:t>辅导员和理事长</w:t>
            </w:r>
            <w:r>
              <w:rPr>
                <w:sz w:val="21"/>
                <w:szCs w:val="21"/>
              </w:rPr>
              <w:t>培训</w:t>
            </w:r>
            <w:r>
              <w:rPr>
                <w:rFonts w:hint="eastAsia"/>
                <w:sz w:val="21"/>
                <w:szCs w:val="21"/>
              </w:rPr>
              <w:t>工作</w:t>
            </w:r>
          </w:p>
        </w:tc>
        <w:tc>
          <w:tcPr>
            <w:tcW w:w="4253" w:type="dxa"/>
            <w:gridSpan w:val="4"/>
            <w:tcBorders>
              <w:top w:val="single" w:color="auto" w:sz="4" w:space="0"/>
              <w:left w:val="single" w:color="auto" w:sz="4" w:space="0"/>
              <w:bottom w:val="single" w:color="auto" w:sz="4" w:space="0"/>
              <w:right w:val="single" w:color="auto" w:sz="4" w:space="0"/>
            </w:tcBorders>
            <w:vAlign w:val="center"/>
          </w:tcPr>
          <w:p>
            <w:pPr>
              <w:adjustRightInd/>
              <w:spacing w:line="280" w:lineRule="exact"/>
              <w:ind w:firstLine="0" w:firstLineChars="0"/>
              <w:jc w:val="center"/>
              <w:textAlignment w:val="center"/>
              <w:rPr>
                <w:sz w:val="21"/>
                <w:szCs w:val="21"/>
              </w:rPr>
            </w:pPr>
            <w:r>
              <w:rPr>
                <w:sz w:val="21"/>
                <w:szCs w:val="21"/>
              </w:rPr>
              <w:t>　农民合作社</w:t>
            </w:r>
            <w:r>
              <w:rPr>
                <w:rFonts w:hint="eastAsia"/>
                <w:sz w:val="21"/>
                <w:szCs w:val="21"/>
              </w:rPr>
              <w:t>辅导员和理事长等</w:t>
            </w:r>
            <w:r>
              <w:rPr>
                <w:sz w:val="21"/>
                <w:szCs w:val="21"/>
              </w:rPr>
              <w:t>业务培训</w:t>
            </w:r>
            <w:r>
              <w:rPr>
                <w:rFonts w:hint="eastAsia"/>
                <w:sz w:val="21"/>
                <w:szCs w:val="21"/>
              </w:rPr>
              <w:t>工作，提升了市县工作人员的能力水平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偏差原因</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分析及</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(50分)</w:t>
            </w: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数量指标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合作社培训</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20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20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质量指标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时效指标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2024年12月31日完成</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已完成</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成本指标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控制在预算范围内</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效益指标</w:t>
            </w:r>
          </w:p>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（30分）</w:t>
            </w:r>
          </w:p>
        </w:tc>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经济效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推动农民专业合作社增收</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有所推动</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105" w:firstLineChars="50"/>
              <w:jc w:val="left"/>
              <w:textAlignment w:val="center"/>
              <w:rPr>
                <w:color w:val="000000"/>
                <w:kern w:val="0"/>
                <w:sz w:val="21"/>
                <w:szCs w:val="21"/>
              </w:rPr>
            </w:pP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社会效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农民专业合作社高质量发展</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有所提高</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生态效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可持续影响指标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sz w:val="21"/>
                <w:szCs w:val="21"/>
              </w:rPr>
              <w:t>市县工作人员的能力水平</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有所提高</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105" w:firstLineChars="50"/>
              <w:jc w:val="left"/>
              <w:textAlignment w:val="center"/>
              <w:rPr>
                <w:color w:val="000000"/>
                <w:kern w:val="0"/>
                <w:sz w:val="21"/>
                <w:szCs w:val="21"/>
              </w:rPr>
            </w:pPr>
            <w:r>
              <w:rPr>
                <w:rFonts w:hint="eastAsia"/>
                <w:color w:val="000000"/>
                <w:kern w:val="0"/>
                <w:sz w:val="21"/>
                <w:szCs w:val="21"/>
              </w:rPr>
              <w:t>10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（10分）</w:t>
            </w:r>
          </w:p>
        </w:tc>
        <w:tc>
          <w:tcPr>
            <w:tcW w:w="1080" w:type="dxa"/>
            <w:tcBorders>
              <w:top w:val="nil"/>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服务对象满意度指标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服务对象满意度</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≧95%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10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32" w:type="dxa"/>
            <w:gridSpan w:val="6"/>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82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99.91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bl>
    <w:p>
      <w:pPr>
        <w:pStyle w:val="16"/>
        <w:spacing w:line="600" w:lineRule="exact"/>
        <w:ind w:firstLine="640" w:firstLineChars="200"/>
        <w:rPr>
          <w:rFonts w:ascii="Times New Roman" w:hAnsi="Times New Roman" w:eastAsia="仿宋_GB2312" w:cs="Times New Roman"/>
          <w:sz w:val="32"/>
          <w:szCs w:val="3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jc w:val="left"/>
        <w:rPr>
          <w:rFonts w:ascii="Times New Roman" w:hAnsi="Times New Roman" w:cs="Times New Roman"/>
          <w:color w:val="000000"/>
          <w:kern w:val="0"/>
          <w:sz w:val="32"/>
          <w:szCs w:val="32"/>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ESI楷体-GB18030">
    <w:altName w:val="楷体"/>
    <w:panose1 w:val="00000000000000000000"/>
    <w:charset w:val="86"/>
    <w:family w:val="auto"/>
    <w:pitch w:val="default"/>
    <w:sig w:usb0="00000000" w:usb1="00000000" w:usb2="00000016" w:usb3="00000000" w:csb0="0004000F" w:csb1="00000000"/>
  </w:font>
  <w:font w:name="Batang">
    <w:altName w:val="方正书宋_GBK"/>
    <w:panose1 w:val="02030600000101010101"/>
    <w:charset w:val="81"/>
    <w:family w:val="auto"/>
    <w:pitch w:val="default"/>
    <w:sig w:usb0="00000000" w:usb1="00000000" w:usb2="00000030" w:usb3="00000000" w:csb0="4008009F" w:csb1="DFD7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20</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FE3E7B"/>
    <w:rsid w:val="07C82852"/>
    <w:rsid w:val="0A3C1A6D"/>
    <w:rsid w:val="10EF574B"/>
    <w:rsid w:val="18B915B8"/>
    <w:rsid w:val="19B718CE"/>
    <w:rsid w:val="1BA01B1B"/>
    <w:rsid w:val="1BF568DB"/>
    <w:rsid w:val="1C4D63BF"/>
    <w:rsid w:val="1C9A0789"/>
    <w:rsid w:val="1D97DEFF"/>
    <w:rsid w:val="1DFF72E5"/>
    <w:rsid w:val="1EFC6F07"/>
    <w:rsid w:val="22D0716F"/>
    <w:rsid w:val="277231B0"/>
    <w:rsid w:val="2FDF85B8"/>
    <w:rsid w:val="2FFFEE04"/>
    <w:rsid w:val="34DF85B0"/>
    <w:rsid w:val="37931E80"/>
    <w:rsid w:val="3B602C26"/>
    <w:rsid w:val="3B8F36BC"/>
    <w:rsid w:val="3D9A5D52"/>
    <w:rsid w:val="42C37C1F"/>
    <w:rsid w:val="491FF225"/>
    <w:rsid w:val="4C2F7CD8"/>
    <w:rsid w:val="4CAD3685"/>
    <w:rsid w:val="4E564138"/>
    <w:rsid w:val="4FFD214C"/>
    <w:rsid w:val="50263528"/>
    <w:rsid w:val="5777D4F5"/>
    <w:rsid w:val="59DD8326"/>
    <w:rsid w:val="5BE7C222"/>
    <w:rsid w:val="5CCD3038"/>
    <w:rsid w:val="5DEF592A"/>
    <w:rsid w:val="5F074FDA"/>
    <w:rsid w:val="5FC6BB1E"/>
    <w:rsid w:val="5FD40DB7"/>
    <w:rsid w:val="5FF720F1"/>
    <w:rsid w:val="60770406"/>
    <w:rsid w:val="67FF5C0B"/>
    <w:rsid w:val="6EE62F8C"/>
    <w:rsid w:val="6EFC0924"/>
    <w:rsid w:val="6FB74722"/>
    <w:rsid w:val="6FEF8B7E"/>
    <w:rsid w:val="71A6591B"/>
    <w:rsid w:val="73216337"/>
    <w:rsid w:val="737D59BA"/>
    <w:rsid w:val="75BF414F"/>
    <w:rsid w:val="77C37683"/>
    <w:rsid w:val="79D19834"/>
    <w:rsid w:val="79FF515B"/>
    <w:rsid w:val="7E9E1962"/>
    <w:rsid w:val="7E9F11B4"/>
    <w:rsid w:val="7EF02F3D"/>
    <w:rsid w:val="7F37EC1E"/>
    <w:rsid w:val="7F7DCD9D"/>
    <w:rsid w:val="7F970A6F"/>
    <w:rsid w:val="7FC1FFF3"/>
    <w:rsid w:val="7FC69637"/>
    <w:rsid w:val="7FDF8620"/>
    <w:rsid w:val="7FE8C8F7"/>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qFormat/>
    <w:uiPriority w:val="0"/>
    <w:pPr>
      <w:spacing w:line="700" w:lineRule="exact"/>
      <w:ind w:firstLine="0" w:firstLineChars="0"/>
      <w:jc w:val="center"/>
      <w:outlineLvl w:val="0"/>
    </w:pPr>
    <w:rPr>
      <w:rFonts w:eastAsia="方正小标宋简体"/>
      <w:bCs/>
      <w:kern w:val="44"/>
      <w:sz w:val="44"/>
      <w:szCs w:val="44"/>
    </w:rPr>
  </w:style>
  <w:style w:type="paragraph" w:styleId="6">
    <w:name w:val="heading 2"/>
    <w:basedOn w:val="1"/>
    <w:next w:val="1"/>
    <w:qFormat/>
    <w:uiPriority w:val="0"/>
    <w:pPr>
      <w:outlineLvl w:val="1"/>
    </w:pPr>
    <w:rPr>
      <w:rFonts w:ascii="Times New Roman" w:hAnsi="Times New Roman" w:eastAsia="黑体"/>
      <w:bCs/>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7">
    <w:name w:val="Normal Indent"/>
    <w:basedOn w:val="1"/>
    <w:qFormat/>
    <w:uiPriority w:val="0"/>
    <w:pPr>
      <w:ind w:firstLine="420" w:firstLineChars="200"/>
    </w:pPr>
  </w:style>
  <w:style w:type="paragraph" w:styleId="8">
    <w:name w:val="Body Text"/>
    <w:basedOn w:val="1"/>
    <w:next w:val="1"/>
    <w:qFormat/>
    <w:uiPriority w:val="0"/>
    <w:pPr>
      <w:spacing w:after="120" w:afterLines="0"/>
    </w:pPr>
  </w:style>
  <w:style w:type="paragraph" w:styleId="9">
    <w:name w:val="Balloon Text"/>
    <w:basedOn w:val="1"/>
    <w:link w:val="18"/>
    <w:semiHidden/>
    <w:unhideWhenUsed/>
    <w:qFormat/>
    <w:uiPriority w:val="99"/>
    <w:rPr>
      <w:sz w:val="18"/>
      <w:szCs w:val="18"/>
    </w:rPr>
  </w:style>
  <w:style w:type="paragraph" w:styleId="10">
    <w:name w:val="footer"/>
    <w:basedOn w:val="1"/>
    <w:link w:val="15"/>
    <w:unhideWhenUsed/>
    <w:qFormat/>
    <w:uiPriority w:val="99"/>
    <w:pPr>
      <w:tabs>
        <w:tab w:val="center" w:pos="4153"/>
        <w:tab w:val="right" w:pos="8306"/>
      </w:tabs>
      <w:snapToGrid w:val="0"/>
      <w:jc w:val="left"/>
    </w:pPr>
    <w:rPr>
      <w:sz w:val="18"/>
      <w:szCs w:val="18"/>
    </w:rPr>
  </w:style>
  <w:style w:type="paragraph" w:styleId="11">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4">
    <w:name w:val="页眉 Char"/>
    <w:basedOn w:val="13"/>
    <w:link w:val="11"/>
    <w:qFormat/>
    <w:uiPriority w:val="99"/>
    <w:rPr>
      <w:sz w:val="18"/>
      <w:szCs w:val="18"/>
    </w:rPr>
  </w:style>
  <w:style w:type="character" w:customStyle="1" w:styleId="15">
    <w:name w:val="页脚 Char"/>
    <w:basedOn w:val="13"/>
    <w:link w:val="10"/>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3"/>
    <w:link w:val="9"/>
    <w:semiHidden/>
    <w:qFormat/>
    <w:uiPriority w:val="99"/>
    <w:rPr>
      <w:sz w:val="18"/>
      <w:szCs w:val="18"/>
    </w:rPr>
  </w:style>
  <w:style w:type="character" w:customStyle="1" w:styleId="19">
    <w:name w:val="font01"/>
    <w:basedOn w:val="13"/>
    <w:qFormat/>
    <w:uiPriority w:val="0"/>
    <w:rPr>
      <w:rFonts w:hint="eastAsia" w:ascii="宋体" w:hAnsi="宋体" w:eastAsia="宋体" w:cs="宋体"/>
      <w:color w:val="000000"/>
      <w:sz w:val="22"/>
      <w:szCs w:val="22"/>
      <w:u w:val="none"/>
    </w:rPr>
  </w:style>
  <w:style w:type="character" w:customStyle="1" w:styleId="20">
    <w:name w:val="font21"/>
    <w:basedOn w:val="13"/>
    <w:qFormat/>
    <w:uiPriority w:val="0"/>
    <w:rPr>
      <w:rFonts w:hint="eastAsia" w:ascii="宋体" w:hAnsi="宋体" w:eastAsia="宋体" w:cs="宋体"/>
      <w:color w:val="000000"/>
      <w:sz w:val="24"/>
      <w:szCs w:val="24"/>
      <w:u w:val="none"/>
    </w:rPr>
  </w:style>
  <w:style w:type="character" w:customStyle="1" w:styleId="21">
    <w:name w:val="font11"/>
    <w:basedOn w:val="1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51</Pages>
  <Words>1887</Words>
  <Characters>2781</Characters>
  <Lines>69</Lines>
  <Paragraphs>19</Paragraphs>
  <TotalTime>11</TotalTime>
  <ScaleCrop>false</ScaleCrop>
  <LinksUpToDate>false</LinksUpToDate>
  <CharactersWithSpaces>2869</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2025-08-18T18:17:00Z</dcterms:created>
  <dc:creator>李航 null</dc:creator>
  <cp:lastModifiedBy>greatwall</cp:lastModifiedBy>
  <cp:lastPrinted>2025-09-12T09:19:00Z</cp:lastPrinted>
  <dcterms:modified xsi:type="dcterms:W3CDTF">2025-09-16T15:39:16Z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BB7B6AA21D207914D6FDA268992A22D6</vt:lpwstr>
  </property>
  <property fmtid="{D5CDD505-2E9C-101B-9397-08002B2CF9AE}" pid="4" name="KSOTemplateDocerSaveRecord">
    <vt:lpwstr>eyJoZGlkIjoiMjkwNmFiMjE5YzMxMmRiYThlYzVkZmNiMWE0YTllZjEiLCJ1c2VySWQiOiIyNTA2Nzc3ODkifQ==</vt:lpwstr>
  </property>
</Properties>
</file>