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ascii="Times New Roman" w:hAnsi="Times New Roman" w:cs="Times New Roman"/>
          <w:sz w:val="56"/>
          <w:szCs w:val="56"/>
        </w:rPr>
      </w:pPr>
    </w:p>
    <w:p>
      <w:pPr>
        <w:pStyle w:val="12"/>
        <w:jc w:val="center"/>
        <w:rPr>
          <w:rFonts w:ascii="Times New Roman" w:hAnsi="Times New Roman" w:cs="Times New Roman"/>
          <w:sz w:val="84"/>
          <w:szCs w:val="84"/>
        </w:rPr>
      </w:pPr>
    </w:p>
    <w:p>
      <w:pPr>
        <w:pStyle w:val="12"/>
        <w:jc w:val="center"/>
        <w:rPr>
          <w:rFonts w:ascii="Times New Roman" w:hAnsi="Times New Roman" w:cs="Times New Roman"/>
          <w:sz w:val="84"/>
          <w:szCs w:val="84"/>
        </w:rPr>
      </w:pPr>
    </w:p>
    <w:p>
      <w:pPr>
        <w:pStyle w:val="12"/>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2"/>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w:t>
      </w:r>
      <w:r>
        <w:rPr>
          <w:rFonts w:ascii="Times New Roman" w:hAnsi="Times New Roman" w:eastAsia="方正小标宋简体" w:cs="Times New Roman"/>
          <w:sz w:val="72"/>
          <w:szCs w:val="72"/>
        </w:rPr>
        <w:t>省种子管理服务站</w:t>
      </w:r>
      <w:r>
        <w:rPr>
          <w:rFonts w:ascii="Times New Roman" w:hAnsi="Times New Roman" w:eastAsia="方正小标宋简体" w:cs="Times New Roman"/>
          <w:sz w:val="72"/>
          <w:szCs w:val="72"/>
        </w:rPr>
        <w:br w:type="textWrapping"/>
      </w:r>
      <w:r>
        <w:rPr>
          <w:rFonts w:ascii="Times New Roman" w:hAnsi="Times New Roman" w:eastAsia="方正小标宋简体" w:cs="Times New Roman"/>
          <w:sz w:val="72"/>
          <w:szCs w:val="72"/>
        </w:rPr>
        <w:t>部门决算</w:t>
      </w:r>
    </w:p>
    <w:p>
      <w:pPr>
        <w:pStyle w:val="12"/>
        <w:jc w:val="center"/>
        <w:rPr>
          <w:rFonts w:ascii="Times New Roman" w:hAnsi="Times New Roman" w:eastAsia="方正小标宋_GBK" w:cs="Times New Roman"/>
          <w:sz w:val="56"/>
          <w:szCs w:val="56"/>
        </w:rPr>
      </w:pPr>
    </w:p>
    <w:p>
      <w:pPr>
        <w:pStyle w:val="12"/>
        <w:jc w:val="center"/>
        <w:rPr>
          <w:rFonts w:ascii="Times New Roman" w:hAnsi="Times New Roman" w:cs="Times New Roman"/>
          <w:sz w:val="56"/>
          <w:szCs w:val="56"/>
        </w:rPr>
      </w:pPr>
    </w:p>
    <w:p>
      <w:pPr>
        <w:pStyle w:val="12"/>
        <w:rPr>
          <w:rFonts w:ascii="Times New Roman" w:hAnsi="Times New Roman" w:cs="Times New Roman"/>
          <w:sz w:val="56"/>
          <w:szCs w:val="56"/>
        </w:rPr>
      </w:pPr>
    </w:p>
    <w:p>
      <w:pPr>
        <w:pStyle w:val="12"/>
        <w:jc w:val="center"/>
        <w:rPr>
          <w:rFonts w:ascii="Times New Roman" w:hAnsi="Times New Roman" w:cs="Times New Roman"/>
          <w:sz w:val="32"/>
          <w:szCs w:val="32"/>
        </w:rPr>
      </w:pPr>
    </w:p>
    <w:p>
      <w:pPr>
        <w:pStyle w:val="12"/>
        <w:spacing w:line="600" w:lineRule="exact"/>
        <w:jc w:val="both"/>
        <w:rPr>
          <w:rFonts w:ascii="Times New Roman" w:hAnsi="Times New Roman" w:cs="Times New Roman"/>
          <w:b/>
          <w:sz w:val="36"/>
          <w:szCs w:val="28"/>
        </w:rPr>
        <w:sectPr>
          <w:pgSz w:w="11906" w:h="16838"/>
          <w:pgMar w:top="1417" w:right="1588" w:bottom="1417" w:left="1588" w:header="851" w:footer="992" w:gutter="0"/>
          <w:pgNumType w:start="1"/>
          <w:cols w:space="425" w:num="1"/>
          <w:docGrid w:type="lines" w:linePitch="312" w:charSpace="0"/>
        </w:sectPr>
      </w:pPr>
    </w:p>
    <w:p>
      <w:pPr>
        <w:pStyle w:val="12"/>
        <w:spacing w:line="600" w:lineRule="exact"/>
        <w:jc w:val="both"/>
        <w:rPr>
          <w:rFonts w:ascii="Times New Roman" w:hAnsi="Times New Roman" w:cs="Times New Roman"/>
          <w:b/>
          <w:sz w:val="36"/>
          <w:szCs w:val="28"/>
        </w:rPr>
      </w:pPr>
    </w:p>
    <w:p>
      <w:pPr>
        <w:pStyle w:val="12"/>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2"/>
        <w:spacing w:line="600" w:lineRule="exact"/>
        <w:jc w:val="center"/>
        <w:rPr>
          <w:rFonts w:ascii="Times New Roman" w:hAnsi="Times New Roman" w:cs="Times New Roman"/>
          <w:b/>
          <w:sz w:val="36"/>
          <w:szCs w:val="28"/>
        </w:rPr>
      </w:pPr>
    </w:p>
    <w:p>
      <w:pPr>
        <w:pStyle w:val="12"/>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湖</w:t>
      </w:r>
      <w:r>
        <w:rPr>
          <w:rFonts w:ascii="Times New Roman" w:hAnsi="Times New Roman" w:cs="Times New Roman"/>
          <w:bCs/>
          <w:sz w:val="32"/>
          <w:szCs w:val="32"/>
        </w:rPr>
        <w:t>南省种子管理服务站概况</w:t>
      </w:r>
    </w:p>
    <w:p>
      <w:pPr>
        <w:pStyle w:val="12"/>
        <w:numPr>
          <w:ilvl w:val="0"/>
          <w:numId w:val="1"/>
        </w:num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部门职责</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2"/>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2"/>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2"/>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2"/>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w:t>
      </w:r>
      <w:r>
        <w:rPr>
          <w:rFonts w:ascii="Times New Roman" w:hAnsi="Times New Roman" w:eastAsia="方正小标宋_GBK" w:cs="Times New Roman"/>
          <w:sz w:val="52"/>
          <w:szCs w:val="52"/>
        </w:rPr>
        <w:t>省种子管理服务站概况</w:t>
      </w:r>
    </w:p>
    <w:p>
      <w:pPr>
        <w:pStyle w:val="3"/>
        <w:ind w:left="0" w:leftChars="0" w:firstLine="0" w:firstLineChars="0"/>
        <w:rPr>
          <w:rFonts w:ascii="Times New Roman" w:hAnsi="Times New Roman" w:cs="Times New Roman"/>
        </w:rPr>
      </w:pPr>
    </w:p>
    <w:p>
      <w:pPr>
        <w:pStyle w:val="13"/>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spacing w:line="600" w:lineRule="exact"/>
        <w:ind w:firstLine="800" w:firstLineChars="25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湖南省种子管理服务站是湖南省农业农村厅直属正处级事业单位（参公管理）。主要职能职责有：</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组织实施省级农作物品种区域试验、生产试验,承担省级审定农作物品种标准样品的封存、保管工作；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负责省级农作物新品种展示、示范工作；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负责农作物种子质量检验工作,承担种子检验员、种子质量检验机构考核的技术评价工作；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承担农作物种子纯度种植鉴定和组织种子质量纠纷田间现场鉴定工作；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五</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开展种子供需形势调度和价格监测,负责种业基础信息收集和统计分析；</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承担救灾备荒种子储备管理的技术服务工作；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承担农作物种子南繁技术服务工作；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八</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负责种子繁育、检验、加工、储藏等种业新技术的试验、示范与推广工作；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九</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承担种业技术标准的制修订工作。</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rPr>
        <w:t>湖</w:t>
      </w:r>
      <w:r>
        <w:rPr>
          <w:rFonts w:ascii="Times New Roman" w:hAnsi="Times New Roman" w:eastAsia="仿宋_GB2312" w:cs="Times New Roman"/>
          <w:bCs/>
          <w:kern w:val="0"/>
          <w:sz w:val="32"/>
          <w:szCs w:val="32"/>
        </w:rPr>
        <w:t>南省种子管理服务站内设机构包括：</w:t>
      </w:r>
      <w:r>
        <w:rPr>
          <w:rFonts w:hint="eastAsia" w:ascii="Times New Roman" w:hAnsi="Times New Roman" w:eastAsia="仿宋_GB2312" w:cs="Times New Roman"/>
          <w:bCs/>
          <w:kern w:val="0"/>
          <w:sz w:val="32"/>
          <w:szCs w:val="32"/>
        </w:rPr>
        <w:t>综合科、财务科、品种管理科、新品种保护与种子质量科、种业监测科等五个科室。</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kern w:val="0"/>
          <w:sz w:val="32"/>
          <w:szCs w:val="32"/>
        </w:rPr>
        <w:t>湖</w:t>
      </w:r>
      <w:r>
        <w:rPr>
          <w:rFonts w:ascii="Times New Roman" w:hAnsi="Times New Roman" w:eastAsia="仿宋_GB2312" w:cs="Times New Roman"/>
          <w:bCs/>
          <w:kern w:val="0"/>
          <w:sz w:val="32"/>
          <w:szCs w:val="32"/>
        </w:rPr>
        <w:t>南省种子管理服务站2024年部门决算汇总公开单位构成包括：</w:t>
      </w:r>
      <w:r>
        <w:rPr>
          <w:rFonts w:hint="eastAsia" w:ascii="Times New Roman" w:hAnsi="Times New Roman" w:eastAsia="仿宋_GB2312" w:cs="Times New Roman"/>
          <w:bCs/>
          <w:kern w:val="0"/>
          <w:sz w:val="32"/>
          <w:szCs w:val="32"/>
        </w:rPr>
        <w:t>湖南省种子管理服务站</w:t>
      </w:r>
      <w:r>
        <w:rPr>
          <w:rFonts w:ascii="Times New Roman" w:hAnsi="Times New Roman" w:eastAsia="仿宋_GB2312" w:cs="Times New Roman"/>
          <w:bCs/>
          <w:kern w:val="0"/>
          <w:sz w:val="32"/>
          <w:szCs w:val="32"/>
        </w:rPr>
        <w:t>本级</w:t>
      </w:r>
      <w:r>
        <w:rPr>
          <w:rFonts w:hint="eastAsia" w:ascii="Times New Roman" w:hAnsi="Times New Roman" w:eastAsia="仿宋_GB2312" w:cs="Times New Roman"/>
          <w:bCs/>
          <w:kern w:val="0"/>
          <w:sz w:val="32"/>
          <w:szCs w:val="32"/>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2"/>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湖南省种子管理服务站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8"/>
        <w:tblW w:w="14071" w:type="dxa"/>
        <w:tblInd w:w="113" w:type="dxa"/>
        <w:tblLayout w:type="fixed"/>
        <w:tblCellMar>
          <w:top w:w="0" w:type="dxa"/>
          <w:left w:w="108" w:type="dxa"/>
          <w:bottom w:w="0" w:type="dxa"/>
          <w:right w:w="108" w:type="dxa"/>
        </w:tblCellMar>
      </w:tblPr>
      <w:tblGrid>
        <w:gridCol w:w="5297"/>
        <w:gridCol w:w="705"/>
        <w:gridCol w:w="1033"/>
        <w:gridCol w:w="5212"/>
        <w:gridCol w:w="740"/>
        <w:gridCol w:w="1084"/>
      </w:tblGrid>
      <w:tr>
        <w:tblPrEx>
          <w:tblCellMar>
            <w:top w:w="0" w:type="dxa"/>
            <w:left w:w="108" w:type="dxa"/>
            <w:bottom w:w="0" w:type="dxa"/>
            <w:right w:w="108" w:type="dxa"/>
          </w:tblCellMar>
        </w:tblPrEx>
        <w:trPr>
          <w:trHeight w:val="300" w:hRule="atLeast"/>
        </w:trPr>
        <w:tc>
          <w:tcPr>
            <w:tcW w:w="70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收入</w:t>
            </w:r>
          </w:p>
        </w:tc>
        <w:tc>
          <w:tcPr>
            <w:tcW w:w="70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支出</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金额</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金额</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一、一般公共预算财政拨款收入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457.09</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一、一般公共服务支出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二、政府性基金预算财政拨款收入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二、外交支出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三、国有资本经营预算财政拨款收入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三、国防支出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四、上级补助收入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四、公共安全支出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五、事业收入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五、教育支出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六、经营收入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六、科学技术支出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七、附属单位上缴收入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七、文化旅游体育与传媒支出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八、其他收入</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八、社会保障和就业支出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129.05</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九、卫生健康支出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十、节能环保支出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十一、城乡社区支出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十二、农林水支出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十三、交通运输支出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十四、资源勘探工业信息等支出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十五、商业服务业等支出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十六、金融支出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46</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十七、援助其他地区支出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47</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十八、自然资源海洋气象等支出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48</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十九、住房保障支出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二十、粮油物资储备支出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50</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二十一、国有资本经营预算支出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51</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二十二、灾害防治及应急管理支出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二十三、其他支出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二十四、债务还本支出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54</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二十五、债务付息支出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55</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二十六、抗疫特别国债安排的支出</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56</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本年收入合计</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457.10</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本年支出合计</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57</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408.06</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使用非财政拨款结余（含专用结余）</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结余分配</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年初结转和结余</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79.27</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年末结转和结余</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59</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128.30</w:t>
            </w:r>
          </w:p>
        </w:tc>
      </w:tr>
      <w:tr>
        <w:tblPrEx>
          <w:tblCellMar>
            <w:top w:w="0" w:type="dxa"/>
            <w:left w:w="108" w:type="dxa"/>
            <w:bottom w:w="0" w:type="dxa"/>
            <w:right w:w="108" w:type="dxa"/>
          </w:tblCellMar>
        </w:tblPrEx>
        <w:trPr>
          <w:trHeight w:val="300" w:hRule="atLeast"/>
        </w:trPr>
        <w:tc>
          <w:tcPr>
            <w:tcW w:w="5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总计</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536.37</w:t>
            </w:r>
          </w:p>
        </w:tc>
        <w:tc>
          <w:tcPr>
            <w:tcW w:w="5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总计</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w:t>
            </w:r>
          </w:p>
        </w:tc>
        <w:tc>
          <w:tcPr>
            <w:tcW w:w="1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536.37</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rPr>
        <w:t>湖南省种子管理服务站</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8"/>
        <w:tblW w:w="14218" w:type="dxa"/>
        <w:tblInd w:w="0" w:type="dxa"/>
        <w:tblLayout w:type="fixed"/>
        <w:tblCellMar>
          <w:top w:w="0" w:type="dxa"/>
          <w:left w:w="108" w:type="dxa"/>
          <w:bottom w:w="0" w:type="dxa"/>
          <w:right w:w="108" w:type="dxa"/>
        </w:tblCellMar>
      </w:tblPr>
      <w:tblGrid>
        <w:gridCol w:w="1788"/>
        <w:gridCol w:w="3443"/>
        <w:gridCol w:w="1402"/>
        <w:gridCol w:w="1402"/>
        <w:gridCol w:w="1391"/>
        <w:gridCol w:w="1007"/>
        <w:gridCol w:w="1007"/>
        <w:gridCol w:w="1774"/>
        <w:gridCol w:w="1004"/>
      </w:tblGrid>
      <w:tr>
        <w:tblPrEx>
          <w:tblCellMar>
            <w:top w:w="0" w:type="dxa"/>
            <w:left w:w="108" w:type="dxa"/>
            <w:bottom w:w="0" w:type="dxa"/>
            <w:right w:w="108" w:type="dxa"/>
          </w:tblCellMar>
        </w:tblPrEx>
        <w:trPr>
          <w:trHeight w:val="300" w:hRule="atLeast"/>
        </w:trPr>
        <w:tc>
          <w:tcPr>
            <w:tcW w:w="52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本年收入合计</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财政拨款收入</w:t>
            </w:r>
          </w:p>
        </w:tc>
        <w:tc>
          <w:tcPr>
            <w:tcW w:w="1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上级补助收入</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事业收入</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经营收入</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附属单位上缴收入</w:t>
            </w: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其他收入</w:t>
            </w:r>
          </w:p>
        </w:tc>
      </w:tr>
      <w:tr>
        <w:tblPrEx>
          <w:tblCellMar>
            <w:top w:w="0" w:type="dxa"/>
            <w:left w:w="108" w:type="dxa"/>
            <w:bottom w:w="0" w:type="dxa"/>
            <w:right w:w="108" w:type="dxa"/>
          </w:tblCellMar>
        </w:tblPrEx>
        <w:trPr>
          <w:trHeight w:val="312" w:hRule="atLeast"/>
        </w:trPr>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34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科目名称</w:t>
            </w: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77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12"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4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77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12"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4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4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77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00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00" w:hRule="atLeast"/>
        </w:trPr>
        <w:tc>
          <w:tcPr>
            <w:tcW w:w="52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r>
      <w:tr>
        <w:tblPrEx>
          <w:tblCellMar>
            <w:top w:w="0" w:type="dxa"/>
            <w:left w:w="108" w:type="dxa"/>
            <w:bottom w:w="0" w:type="dxa"/>
            <w:right w:w="108" w:type="dxa"/>
          </w:tblCellMar>
        </w:tblPrEx>
        <w:trPr>
          <w:trHeight w:val="300" w:hRule="atLeast"/>
        </w:trPr>
        <w:tc>
          <w:tcPr>
            <w:tcW w:w="52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合计</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457.10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457.09</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0.01</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教育支出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进修及培训</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2050803</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培训支出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社会保障和就业支出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130.58</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130.58</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行政事业单位养老支出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110.50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110.50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行政单位离退休</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83.80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83.80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2080505</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26.70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26.70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抚恤</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死亡抚恤</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卫生健康支出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26.40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26.40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行政事业单位医疗</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26.40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26.40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行政单位医疗</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14.40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14.40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2101103</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公务员医疗补助</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农林水支出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275.42</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275.41</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农业农村</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275.42</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275.41</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行政运行</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211.51</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211.51</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2130104</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事业运行</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0.01</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2130106</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科技转化与推广服务</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2130109</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农产品质量安全</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2130122</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农业生产发展</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2130199</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其他农业农村支出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9.00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住房保障支出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住房改革支出</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r>
        <w:tblPrEx>
          <w:tblCellMar>
            <w:top w:w="0" w:type="dxa"/>
            <w:left w:w="108" w:type="dxa"/>
            <w:bottom w:w="0" w:type="dxa"/>
            <w:right w:w="108" w:type="dxa"/>
          </w:tblCellMar>
        </w:tblPrEx>
        <w:trPr>
          <w:trHeight w:val="300"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2210201</w:t>
            </w:r>
          </w:p>
        </w:tc>
        <w:tc>
          <w:tcPr>
            <w:tcW w:w="3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22.70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kern w:val="0"/>
          <w:sz w:val="24"/>
          <w:szCs w:val="24"/>
        </w:rPr>
        <w:t>湖南省种子管理服务站</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8"/>
        <w:tblW w:w="14218" w:type="dxa"/>
        <w:tblInd w:w="0" w:type="dxa"/>
        <w:tblLayout w:type="fixed"/>
        <w:tblCellMar>
          <w:top w:w="0" w:type="dxa"/>
          <w:left w:w="108" w:type="dxa"/>
          <w:bottom w:w="0" w:type="dxa"/>
          <w:right w:w="108" w:type="dxa"/>
        </w:tblCellMar>
      </w:tblPr>
      <w:tblGrid>
        <w:gridCol w:w="1968"/>
        <w:gridCol w:w="3691"/>
        <w:gridCol w:w="1536"/>
        <w:gridCol w:w="1100"/>
        <w:gridCol w:w="1100"/>
        <w:gridCol w:w="1536"/>
        <w:gridCol w:w="1100"/>
        <w:gridCol w:w="2187"/>
      </w:tblGrid>
      <w:tr>
        <w:tblPrEx>
          <w:tblCellMar>
            <w:top w:w="0" w:type="dxa"/>
            <w:left w:w="108" w:type="dxa"/>
            <w:bottom w:w="0" w:type="dxa"/>
            <w:right w:w="108" w:type="dxa"/>
          </w:tblCellMar>
        </w:tblPrEx>
        <w:trPr>
          <w:trHeight w:val="300" w:hRule="atLeast"/>
        </w:trPr>
        <w:tc>
          <w:tcPr>
            <w:tcW w:w="56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本年支出合计</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上缴上级支出</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经营支出</w:t>
            </w:r>
          </w:p>
        </w:tc>
        <w:tc>
          <w:tcPr>
            <w:tcW w:w="2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对附属单位补助支出</w:t>
            </w:r>
          </w:p>
        </w:tc>
      </w:tr>
      <w:tr>
        <w:tblPrEx>
          <w:tblCellMar>
            <w:top w:w="0" w:type="dxa"/>
            <w:left w:w="108" w:type="dxa"/>
            <w:bottom w:w="0" w:type="dxa"/>
            <w:right w:w="108" w:type="dxa"/>
          </w:tblCellMar>
        </w:tblPrEx>
        <w:trPr>
          <w:trHeight w:val="312" w:hRule="atLeast"/>
        </w:trPr>
        <w:tc>
          <w:tcPr>
            <w:tcW w:w="19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369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科目名称</w:t>
            </w: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12" w:hRule="atLeast"/>
        </w:trPr>
        <w:tc>
          <w:tcPr>
            <w:tcW w:w="196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69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12" w:hRule="atLeast"/>
        </w:trPr>
        <w:tc>
          <w:tcPr>
            <w:tcW w:w="196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69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00" w:hRule="atLeast"/>
        </w:trPr>
        <w:tc>
          <w:tcPr>
            <w:tcW w:w="56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r>
      <w:tr>
        <w:tblPrEx>
          <w:tblCellMar>
            <w:top w:w="0" w:type="dxa"/>
            <w:left w:w="108" w:type="dxa"/>
            <w:bottom w:w="0" w:type="dxa"/>
            <w:right w:w="108" w:type="dxa"/>
          </w:tblCellMar>
        </w:tblPrEx>
        <w:trPr>
          <w:trHeight w:val="300" w:hRule="atLeast"/>
        </w:trPr>
        <w:tc>
          <w:tcPr>
            <w:tcW w:w="56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合计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408.06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343.41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64.65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教育支出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进修及培训</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2050803</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培训支出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社会保障和就业支出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129.05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行政事业单位养老支出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行政单位离退休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83.01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83.01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25.96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25.96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抚恤</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死亡抚恤</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卫生健康支出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行政事业单位医疗</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行政单位医疗</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12.55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12.55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2101103</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公务员医疗补助</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农林水支出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43.46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农业农村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43.46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行政运行</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202.19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2130109</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农产品质量安全</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13.66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13.66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2130122</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农业生产发展</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13.93</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13.93</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2130199</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其他农业农村支出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住房保障支出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住房改革支出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1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bl>
    <w:p>
      <w:pPr>
        <w:widowControl/>
        <w:spacing w:before="12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注：本表反映部门本年度各项支出情况。</w:t>
      </w:r>
    </w:p>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br w:type="page"/>
      </w: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2"/>
          <w:szCs w:val="32"/>
          <w:lang w:bidi="ar"/>
        </w:rPr>
      </w:pPr>
      <w:bookmarkStart w:id="0" w:name="RANGE!A1:I22"/>
      <w:bookmarkEnd w:id="0"/>
      <w:bookmarkStart w:id="1" w:name="RANGE!A1:F16"/>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湖南省种子管理服务站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8"/>
        <w:tblW w:w="14218" w:type="dxa"/>
        <w:tblInd w:w="0" w:type="dxa"/>
        <w:tblLayout w:type="fixed"/>
        <w:tblCellMar>
          <w:top w:w="0" w:type="dxa"/>
          <w:left w:w="108" w:type="dxa"/>
          <w:bottom w:w="0" w:type="dxa"/>
          <w:right w:w="108" w:type="dxa"/>
        </w:tblCellMar>
      </w:tblPr>
      <w:tblGrid>
        <w:gridCol w:w="3040"/>
        <w:gridCol w:w="546"/>
        <w:gridCol w:w="822"/>
        <w:gridCol w:w="3242"/>
        <w:gridCol w:w="546"/>
        <w:gridCol w:w="822"/>
        <w:gridCol w:w="1706"/>
        <w:gridCol w:w="1683"/>
        <w:gridCol w:w="1811"/>
      </w:tblGrid>
      <w:tr>
        <w:tblPrEx>
          <w:tblCellMar>
            <w:top w:w="0" w:type="dxa"/>
            <w:left w:w="108" w:type="dxa"/>
            <w:bottom w:w="0" w:type="dxa"/>
            <w:right w:w="108" w:type="dxa"/>
          </w:tblCellMar>
        </w:tblPrEx>
        <w:trPr>
          <w:trHeight w:val="300" w:hRule="atLeast"/>
        </w:trPr>
        <w:tc>
          <w:tcPr>
            <w:tcW w:w="44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收     入</w:t>
            </w:r>
          </w:p>
        </w:tc>
        <w:tc>
          <w:tcPr>
            <w:tcW w:w="9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支     出</w:t>
            </w:r>
          </w:p>
        </w:tc>
      </w:tr>
      <w:tr>
        <w:tblPrEx>
          <w:tblCellMar>
            <w:top w:w="0" w:type="dxa"/>
            <w:left w:w="108" w:type="dxa"/>
            <w:bottom w:w="0" w:type="dxa"/>
            <w:right w:w="108" w:type="dxa"/>
          </w:tblCellMar>
        </w:tblPrEx>
        <w:trPr>
          <w:trHeight w:val="312" w:hRule="atLeast"/>
        </w:trPr>
        <w:tc>
          <w:tcPr>
            <w:tcW w:w="3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行次</w:t>
            </w:r>
          </w:p>
        </w:tc>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金额</w:t>
            </w:r>
          </w:p>
        </w:tc>
        <w:tc>
          <w:tcPr>
            <w:tcW w:w="3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行次</w:t>
            </w:r>
          </w:p>
        </w:tc>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合计</w:t>
            </w:r>
          </w:p>
        </w:tc>
        <w:tc>
          <w:tcPr>
            <w:tcW w:w="1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一般公共预算财政拨款</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政府性基金预算财政拨款</w:t>
            </w:r>
          </w:p>
        </w:tc>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国有资本经营预算财政拨款</w:t>
            </w:r>
          </w:p>
        </w:tc>
      </w:tr>
      <w:tr>
        <w:tblPrEx>
          <w:tblCellMar>
            <w:top w:w="0" w:type="dxa"/>
            <w:left w:w="108" w:type="dxa"/>
            <w:bottom w:w="0" w:type="dxa"/>
            <w:right w:w="108" w:type="dxa"/>
          </w:tblCellMar>
        </w:tblPrEx>
        <w:trPr>
          <w:trHeight w:val="600" w:hRule="atLeast"/>
        </w:trPr>
        <w:tc>
          <w:tcPr>
            <w:tcW w:w="30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82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324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82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170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168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c>
          <w:tcPr>
            <w:tcW w:w="181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一、一般公共预算财政拨款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457.09</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一、一般公共服务支出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二、政府性基金预算财政拨款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二、外交支出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三、国有资本经营预算财政拨款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三、国防支出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四、公共安全支出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五、教育支出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六、科学技术支出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七、文化旅游体育与传媒支出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八、社会保障和就业支出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129.05</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129.05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九、卫生健康支出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十、节能环保支出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十一、城乡社区支出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十二、农林水支出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十三、交通运输支出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十四、资源勘探工业信息等支出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十五、商业服务业等支出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十六、金融支出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十七、援助其他地区支出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十八、自然资源海洋气象等支出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十九、住房保障支出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二十、粮油物资储备支出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二十一、国有资本经营预算支出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二十二、灾害防治及应急管理支出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二十三、其他支出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二十四、债务还本支出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二十五、债务付息支出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二十六、抗疫特别国债安排的支出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本年收入合计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457.09</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本年支出合计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408.06</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408.06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年初财政拨款结转和结余</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79.27</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年末财政拨款结转和结余</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128.30</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128.30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一般公共预算财政拨款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79.27</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政府性基金预算财政拨款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国有资本经营预算财政拨款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总计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536.36</w:t>
            </w:r>
          </w:p>
        </w:tc>
        <w:tc>
          <w:tcPr>
            <w:tcW w:w="3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总计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536.36</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536.36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Times New Roman" w:hAnsi="Times New Roman" w:eastAsia="Times New Roman" w:cs="Times New Roman"/>
                <w:kern w:val="0"/>
                <w:sz w:val="20"/>
                <w:szCs w:val="20"/>
              </w:rPr>
            </w:pPr>
          </w:p>
        </w:tc>
      </w:tr>
    </w:tbl>
    <w:p>
      <w:pPr>
        <w:widowControl/>
        <w:jc w:val="left"/>
        <w:rPr>
          <w:rFonts w:ascii="Times New Roman" w:hAnsi="Times New Roman" w:eastAsia="仿宋_GB2312" w:cs="Times New Roman"/>
          <w:spacing w:val="-6"/>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left"/>
        <w:rPr>
          <w:rFonts w:ascii="Times New Roman" w:hAnsi="Times New Roman" w:eastAsia="仿宋_GB2312" w:cs="Times New Roman"/>
          <w:spacing w:val="-6"/>
          <w:kern w:val="0"/>
          <w:sz w:val="24"/>
          <w:szCs w:val="24"/>
        </w:rPr>
      </w:pPr>
      <w:r>
        <w:rPr>
          <w:rFonts w:ascii="Times New Roman" w:hAnsi="Times New Roman" w:eastAsia="仿宋_GB2312" w:cs="Times New Roman"/>
          <w:spacing w:val="-6"/>
          <w:kern w:val="0"/>
          <w:sz w:val="24"/>
          <w:szCs w:val="24"/>
        </w:rPr>
        <w:br w:type="page"/>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rPr>
        <w:t>湖南省种子管理服务站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8"/>
        <w:tblW w:w="14218" w:type="dxa"/>
        <w:tblInd w:w="0" w:type="dxa"/>
        <w:tblLayout w:type="fixed"/>
        <w:tblCellMar>
          <w:top w:w="0" w:type="dxa"/>
          <w:left w:w="108" w:type="dxa"/>
          <w:bottom w:w="0" w:type="dxa"/>
          <w:right w:w="108" w:type="dxa"/>
        </w:tblCellMar>
      </w:tblPr>
      <w:tblGrid>
        <w:gridCol w:w="1043"/>
        <w:gridCol w:w="4148"/>
        <w:gridCol w:w="3009"/>
        <w:gridCol w:w="3009"/>
        <w:gridCol w:w="3009"/>
      </w:tblGrid>
      <w:tr>
        <w:tblPrEx>
          <w:tblCellMar>
            <w:top w:w="0" w:type="dxa"/>
            <w:left w:w="108" w:type="dxa"/>
            <w:bottom w:w="0" w:type="dxa"/>
            <w:right w:w="108" w:type="dxa"/>
          </w:tblCellMar>
        </w:tblPrEx>
        <w:trPr>
          <w:trHeight w:val="300" w:hRule="atLeast"/>
        </w:trPr>
        <w:tc>
          <w:tcPr>
            <w:tcW w:w="51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w:t>
            </w:r>
          </w:p>
        </w:tc>
        <w:tc>
          <w:tcPr>
            <w:tcW w:w="9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本年支出</w:t>
            </w:r>
          </w:p>
        </w:tc>
      </w:tr>
      <w:tr>
        <w:tblPrEx>
          <w:tblCellMar>
            <w:top w:w="0" w:type="dxa"/>
            <w:left w:w="108" w:type="dxa"/>
            <w:bottom w:w="0" w:type="dxa"/>
            <w:right w:w="108" w:type="dxa"/>
          </w:tblCellMar>
        </w:tblPrEx>
        <w:trPr>
          <w:trHeight w:val="312" w:hRule="atLeast"/>
        </w:trPr>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41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科目名称</w:t>
            </w:r>
          </w:p>
        </w:tc>
        <w:tc>
          <w:tcPr>
            <w:tcW w:w="3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3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3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12"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414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12"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414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c>
          <w:tcPr>
            <w:tcW w:w="30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300" w:hRule="atLeast"/>
        </w:trPr>
        <w:tc>
          <w:tcPr>
            <w:tcW w:w="51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栏次</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r>
      <w:tr>
        <w:tblPrEx>
          <w:tblCellMar>
            <w:top w:w="0" w:type="dxa"/>
            <w:left w:w="108" w:type="dxa"/>
            <w:bottom w:w="0" w:type="dxa"/>
            <w:right w:w="108" w:type="dxa"/>
          </w:tblCellMar>
        </w:tblPrEx>
        <w:trPr>
          <w:trHeight w:val="300" w:hRule="atLeast"/>
        </w:trPr>
        <w:tc>
          <w:tcPr>
            <w:tcW w:w="51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合计</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408.06</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343.41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64.65</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教育支出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进修及培训</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2050803</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培训支出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1.11</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社会保障和就业支出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129.05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行政事业单位养老支出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108.97</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行政单位离退休</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83.01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83.01</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2080505</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25.96</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25.96</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抚恤</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2080801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死亡抚恤</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20.08</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卫生健康支出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行政事业单位医疗</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行政单位医疗</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12.55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12.55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2101103</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公务员医疗补助</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农林水支出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43.46</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农业农村</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235.65</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43.46</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行政运行</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202.19</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192.19</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10.00</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2130109</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农产品质量安全</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13.66</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13.66</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2130122</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农业生产发展</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13.93</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13.93</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2130199</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其他农业农村支出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5.86</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5.86</w:t>
            </w: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住房保障支出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住房改革支出</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300" w:hRule="atLeast"/>
        </w:trPr>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2210201</w:t>
            </w:r>
          </w:p>
        </w:tc>
        <w:tc>
          <w:tcPr>
            <w:tcW w:w="4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19.60</w:t>
            </w:r>
          </w:p>
        </w:tc>
        <w:tc>
          <w:tcPr>
            <w:tcW w:w="3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rPr>
                <w:rFonts w:ascii="仿宋_GB2312" w:hAnsi="宋体" w:eastAsia="仿宋_GB2312" w:cs="宋体"/>
                <w:color w:val="000000"/>
                <w:kern w:val="0"/>
                <w:sz w:val="20"/>
                <w:szCs w:val="20"/>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Cs w:val="21"/>
        </w:rPr>
        <w:t>湖南省种子管理服务站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8"/>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227.46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32.95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75.12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3.69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45.91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0.12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32.11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6.11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0.15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23.07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1.85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0.59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12.55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10.10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4.35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2.89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19.60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83.01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77.53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3.43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0.97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1.86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2.51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1.08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4.70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8"/>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8"/>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12.07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tcPr>
          <w:p>
            <w:pPr>
              <w:jc w:val="right"/>
            </w:pPr>
            <w:r>
              <w:rPr>
                <w:rFonts w:hint="eastAsia" w:ascii="仿宋_GB2312" w:eastAsia="仿宋_GB2312"/>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tcPr>
          <w:p>
            <w:pPr>
              <w:jc w:val="right"/>
              <w:rPr>
                <w:rFonts w:ascii="仿宋_GB2312" w:eastAsia="仿宋_GB2312"/>
                <w:sz w:val="20"/>
                <w:szCs w:val="20"/>
              </w:rPr>
            </w:pPr>
            <w:r>
              <w:rPr>
                <w:rFonts w:hint="eastAsia" w:ascii="仿宋_GB2312" w:eastAsia="仿宋_GB2312"/>
                <w:sz w:val="20"/>
                <w:szCs w:val="20"/>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tcPr>
          <w:p>
            <w:pPr>
              <w:jc w:val="right"/>
              <w:rPr>
                <w:rFonts w:ascii="仿宋_GB2312" w:eastAsia="仿宋_GB2312"/>
              </w:rPr>
            </w:pPr>
            <w:r>
              <w:rPr>
                <w:rFonts w:hint="eastAsia" w:ascii="仿宋_GB2312" w:eastAsia="仿宋_GB2312"/>
              </w:rPr>
              <w:t>0.57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仿宋_GB2312" w:eastAsia="仿宋_GB2312"/>
                <w:sz w:val="20"/>
                <w:szCs w:val="20"/>
              </w:rPr>
            </w:pPr>
            <w:r>
              <w:rPr>
                <w:rFonts w:hint="eastAsia" w:ascii="仿宋_GB2312" w:eastAsia="仿宋_GB2312"/>
                <w:sz w:val="20"/>
                <w:szCs w:val="20"/>
              </w:rPr>
              <w:t>310.46</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Times New Roman" w:eastAsia="仿宋_GB2312" w:cs="Times New Roman"/>
                <w:color w:val="000000"/>
                <w:kern w:val="0"/>
                <w:sz w:val="20"/>
                <w:szCs w:val="20"/>
              </w:rPr>
            </w:pPr>
            <w:r>
              <w:rPr>
                <w:rFonts w:hint="eastAsia" w:ascii="仿宋_GB2312" w:hAnsi="Times New Roman" w:eastAsia="仿宋_GB2312" w:cs="Times New Roman"/>
                <w:color w:val="000000"/>
                <w:kern w:val="0"/>
                <w:sz w:val="20"/>
                <w:szCs w:val="20"/>
              </w:rPr>
              <w:t>32.95</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sz w:val="20"/>
          <w:szCs w:val="20"/>
        </w:rPr>
        <w:t>湖南省种子管理服务站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8"/>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5"/>
                <w:rFonts w:hint="default" w:ascii="Times New Roman" w:hAnsi="Times New Roman" w:eastAsia="仿宋_GB2312" w:cs="Times New Roman"/>
                <w:b/>
                <w:bCs/>
                <w:lang w:bidi="ar"/>
              </w:rPr>
              <w:t xml:space="preserve">   </w:t>
            </w:r>
            <w:r>
              <w:rPr>
                <w:rStyle w:val="16"/>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br w:type="page"/>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sz w:val="20"/>
          <w:szCs w:val="20"/>
        </w:rPr>
        <w:t>湖南省种子管理服务站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8"/>
        <w:tblW w:w="14215" w:type="dxa"/>
        <w:tblInd w:w="0" w:type="dxa"/>
        <w:tblLayout w:type="fixed"/>
        <w:tblCellMar>
          <w:top w:w="0" w:type="dxa"/>
          <w:left w:w="108" w:type="dxa"/>
          <w:bottom w:w="0" w:type="dxa"/>
          <w:right w:w="108" w:type="dxa"/>
        </w:tblCellMar>
      </w:tblPr>
      <w:tblGrid>
        <w:gridCol w:w="3093"/>
        <w:gridCol w:w="3097"/>
        <w:gridCol w:w="1831"/>
        <w:gridCol w:w="3097"/>
        <w:gridCol w:w="3097"/>
      </w:tblGrid>
      <w:tr>
        <w:tblPrEx>
          <w:tblCellMar>
            <w:top w:w="0" w:type="dxa"/>
            <w:left w:w="108" w:type="dxa"/>
            <w:bottom w:w="0" w:type="dxa"/>
            <w:right w:w="108" w:type="dxa"/>
          </w:tblCellMar>
        </w:tblPrEx>
        <w:trPr>
          <w:trHeight w:val="548" w:hRule="atLeast"/>
        </w:trPr>
        <w:tc>
          <w:tcPr>
            <w:tcW w:w="6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7"/>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sz w:val="20"/>
          <w:szCs w:val="20"/>
        </w:rPr>
        <w:t>湖南省种子管理服务站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8"/>
        <w:tblW w:w="14542" w:type="dxa"/>
        <w:jc w:val="center"/>
        <w:tblLayout w:type="fixed"/>
        <w:tblCellMar>
          <w:top w:w="0" w:type="dxa"/>
          <w:left w:w="108" w:type="dxa"/>
          <w:bottom w:w="0" w:type="dxa"/>
          <w:right w:w="108" w:type="dxa"/>
        </w:tblCellMar>
      </w:tblPr>
      <w:tblGrid>
        <w:gridCol w:w="934"/>
        <w:gridCol w:w="1230"/>
        <w:gridCol w:w="1085"/>
        <w:gridCol w:w="1187"/>
        <w:gridCol w:w="1428"/>
        <w:gridCol w:w="1376"/>
        <w:gridCol w:w="1050"/>
        <w:gridCol w:w="1166"/>
        <w:gridCol w:w="1166"/>
        <w:gridCol w:w="1166"/>
        <w:gridCol w:w="1358"/>
        <w:gridCol w:w="1396"/>
      </w:tblGrid>
      <w:tr>
        <w:tblPrEx>
          <w:tblCellMar>
            <w:top w:w="0" w:type="dxa"/>
            <w:left w:w="108" w:type="dxa"/>
            <w:bottom w:w="0" w:type="dxa"/>
            <w:right w:w="108" w:type="dxa"/>
          </w:tblCellMar>
        </w:tblPrEx>
        <w:trPr>
          <w:trHeight w:val="606" w:hRule="atLeast"/>
          <w:jc w:val="center"/>
        </w:trPr>
        <w:tc>
          <w:tcPr>
            <w:tcW w:w="72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r>
              <w:rPr>
                <w:rFonts w:hint="eastAsia" w:ascii="仿宋_GB2312" w:eastAsia="仿宋_GB2312"/>
                <w:sz w:val="20"/>
                <w:szCs w:val="20"/>
              </w:rPr>
              <w:t>9.00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r>
              <w:rPr>
                <w:rFonts w:hint="eastAsia" w:ascii="仿宋_GB2312" w:eastAsia="仿宋_GB2312"/>
                <w:sz w:val="20"/>
                <w:szCs w:val="20"/>
              </w:rPr>
              <w:t>9.00</w:t>
            </w:r>
          </w:p>
        </w:tc>
        <w:tc>
          <w:tcPr>
            <w:tcW w:w="1085"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r>
              <w:rPr>
                <w:rFonts w:hint="eastAsia" w:ascii="仿宋_GB2312" w:eastAsia="仿宋_GB2312"/>
                <w:sz w:val="20"/>
                <w:szCs w:val="20"/>
              </w:rPr>
              <w:t>5.86</w:t>
            </w:r>
          </w:p>
        </w:tc>
        <w:tc>
          <w:tcPr>
            <w:tcW w:w="1166"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r>
              <w:rPr>
                <w:rFonts w:hint="eastAsia" w:ascii="仿宋_GB2312" w:eastAsia="仿宋_GB2312"/>
                <w:sz w:val="20"/>
                <w:szCs w:val="20"/>
              </w:rPr>
              <w:t>5.86</w:t>
            </w:r>
          </w:p>
        </w:tc>
        <w:tc>
          <w:tcPr>
            <w:tcW w:w="1166"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c>
          <w:tcPr>
            <w:tcW w:w="1396" w:type="dxa"/>
            <w:tcBorders>
              <w:top w:val="single" w:color="000000" w:sz="4" w:space="0"/>
              <w:left w:val="single" w:color="000000" w:sz="4" w:space="0"/>
              <w:bottom w:val="single" w:color="000000" w:sz="4" w:space="0"/>
              <w:right w:val="single" w:color="000000" w:sz="4" w:space="0"/>
            </w:tcBorders>
            <w:shd w:val="clear" w:color="auto" w:fill="auto"/>
          </w:tcPr>
          <w:p>
            <w:pPr>
              <w:jc w:val="right"/>
              <w:rPr>
                <w:rFonts w:ascii="仿宋_GB2312" w:eastAsia="仿宋_GB2312"/>
                <w:sz w:val="20"/>
                <w:szCs w:val="20"/>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567" w:right="1418" w:bottom="567" w:left="1418" w:header="851" w:footer="992" w:gutter="0"/>
          <w:cols w:space="425" w:num="1"/>
          <w:docGrid w:type="lines" w:linePitch="312" w:charSpace="0"/>
        </w:sectPr>
      </w:pPr>
      <w:r>
        <w:rPr>
          <w:rFonts w:ascii="Times New Roman" w:hAnsi="Times New Roman" w:eastAsia="黑体" w:cs="Times New Roman"/>
          <w:szCs w:val="21"/>
        </w:rPr>
        <w:br w:type="page"/>
      </w:r>
    </w:p>
    <w:p>
      <w:pPr>
        <w:pStyle w:val="12"/>
        <w:rPr>
          <w:rFonts w:ascii="Times New Roman" w:hAnsi="Times New Roman" w:cs="Times New Roman"/>
          <w:sz w:val="72"/>
          <w:szCs w:val="72"/>
        </w:rPr>
      </w:pPr>
    </w:p>
    <w:p>
      <w:pPr>
        <w:pStyle w:val="12"/>
        <w:rPr>
          <w:rFonts w:ascii="Times New Roman" w:hAnsi="Times New Roman" w:cs="Times New Roman"/>
          <w:sz w:val="72"/>
          <w:szCs w:val="72"/>
        </w:rPr>
      </w:pPr>
    </w:p>
    <w:p>
      <w:pPr>
        <w:pStyle w:val="12"/>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eastAsia="方正小标宋_GBK"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2024年度收、支总计536.37万元。与上年相比减少52.94万元，降低</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.98%，主要是因为</w:t>
      </w:r>
      <w:r>
        <w:rPr>
          <w:rFonts w:hint="eastAsia" w:ascii="Times New Roman" w:hAnsi="Times New Roman" w:eastAsia="仿宋_GB2312" w:cs="Times New Roman"/>
          <w:sz w:val="32"/>
          <w:szCs w:val="32"/>
        </w:rPr>
        <w:t>人</w:t>
      </w:r>
      <w:r>
        <w:rPr>
          <w:rFonts w:ascii="Times New Roman" w:hAnsi="Times New Roman" w:eastAsia="仿宋_GB2312" w:cs="Times New Roman"/>
          <w:sz w:val="32"/>
          <w:szCs w:val="32"/>
        </w:rPr>
        <w:t>员经费</w:t>
      </w:r>
      <w:r>
        <w:rPr>
          <w:rFonts w:hint="eastAsia" w:ascii="Times New Roman" w:hAnsi="Times New Roman" w:eastAsia="仿宋_GB2312" w:cs="Times New Roman"/>
          <w:sz w:val="32"/>
          <w:szCs w:val="32"/>
        </w:rPr>
        <w:t>支</w:t>
      </w:r>
      <w:r>
        <w:rPr>
          <w:rFonts w:ascii="Times New Roman" w:hAnsi="Times New Roman" w:eastAsia="仿宋_GB2312" w:cs="Times New Roman"/>
          <w:sz w:val="32"/>
          <w:szCs w:val="32"/>
        </w:rPr>
        <w:t>出减少</w:t>
      </w:r>
      <w:r>
        <w:rPr>
          <w:rFonts w:hint="eastAsia"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2024年度收入合计457.10万元，其中：财政拨款收入457.09万元，占100.00%；上级补助收入0万元，占0%；事业收入0万元，占0%；经营收入0万元，占0%；附属单位上缴收入0万元，占0%；其他收入0.01万元，占0.00%。</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2024年度支出合计408.06万元，其中：基本支出343.41万元，占84.16%；项目支出64.65万元，占15.84%；上缴上级支出0万元，占0%；经营支出0万元，占0%；对附属单位补助支出0万元，占0%。</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2024年度财政拨款收、支总计536.36万元，与上年相比，减少52.93万元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降低8.98%，主要是因为</w:t>
      </w:r>
      <w:r>
        <w:rPr>
          <w:rFonts w:hint="eastAsia" w:ascii="Times New Roman" w:hAnsi="Times New Roman" w:eastAsia="仿宋_GB2312" w:cs="Times New Roman"/>
          <w:sz w:val="32"/>
          <w:szCs w:val="32"/>
        </w:rPr>
        <w:t>人</w:t>
      </w:r>
      <w:r>
        <w:rPr>
          <w:rFonts w:ascii="Times New Roman" w:hAnsi="Times New Roman" w:eastAsia="仿宋_GB2312" w:cs="Times New Roman"/>
          <w:sz w:val="32"/>
          <w:szCs w:val="32"/>
        </w:rPr>
        <w:t>员经费</w:t>
      </w:r>
      <w:r>
        <w:rPr>
          <w:rFonts w:hint="eastAsia" w:ascii="Times New Roman" w:hAnsi="Times New Roman" w:eastAsia="仿宋_GB2312" w:cs="Times New Roman"/>
          <w:sz w:val="32"/>
          <w:szCs w:val="32"/>
        </w:rPr>
        <w:t>支</w:t>
      </w:r>
      <w:r>
        <w:rPr>
          <w:rFonts w:ascii="Times New Roman" w:hAnsi="Times New Roman" w:eastAsia="仿宋_GB2312" w:cs="Times New Roman"/>
          <w:sz w:val="32"/>
          <w:szCs w:val="32"/>
        </w:rPr>
        <w:t>出减少</w:t>
      </w:r>
      <w:r>
        <w:rPr>
          <w:rFonts w:hint="eastAsia"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2024年度财政拨款支出408.06万元，占本年支出合计的100%，与上年相比，财政拨款支出减少66.92万元，降低</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4.09%，主要是因为</w:t>
      </w:r>
      <w:r>
        <w:rPr>
          <w:rFonts w:hint="eastAsia" w:ascii="Times New Roman" w:hAnsi="Times New Roman" w:eastAsia="仿宋_GB2312" w:cs="Times New Roman"/>
          <w:sz w:val="32"/>
          <w:szCs w:val="32"/>
        </w:rPr>
        <w:t>人</w:t>
      </w:r>
      <w:r>
        <w:rPr>
          <w:rFonts w:ascii="Times New Roman" w:hAnsi="Times New Roman" w:eastAsia="仿宋_GB2312" w:cs="Times New Roman"/>
          <w:sz w:val="32"/>
          <w:szCs w:val="32"/>
        </w:rPr>
        <w:t>员经费</w:t>
      </w:r>
      <w:r>
        <w:rPr>
          <w:rFonts w:hint="eastAsia" w:ascii="Times New Roman" w:hAnsi="Times New Roman" w:eastAsia="仿宋_GB2312" w:cs="Times New Roman"/>
          <w:sz w:val="32"/>
          <w:szCs w:val="32"/>
        </w:rPr>
        <w:t>支</w:t>
      </w:r>
      <w:r>
        <w:rPr>
          <w:rFonts w:ascii="Times New Roman" w:hAnsi="Times New Roman" w:eastAsia="仿宋_GB2312" w:cs="Times New Roman"/>
          <w:sz w:val="32"/>
          <w:szCs w:val="32"/>
        </w:rPr>
        <w:t>出减少</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及农</w:t>
      </w:r>
      <w:r>
        <w:rPr>
          <w:rFonts w:hint="eastAsia" w:ascii="Times New Roman" w:hAnsi="Times New Roman" w:eastAsia="仿宋_GB2312" w:cs="Times New Roman"/>
          <w:sz w:val="32"/>
          <w:szCs w:val="32"/>
        </w:rPr>
        <w:t>业</w:t>
      </w:r>
      <w:r>
        <w:rPr>
          <w:rFonts w:ascii="Times New Roman" w:hAnsi="Times New Roman" w:eastAsia="仿宋_GB2312" w:cs="Times New Roman"/>
          <w:sz w:val="32"/>
          <w:szCs w:val="32"/>
        </w:rPr>
        <w:t>生产发展类项目支出减少。</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2024年度财政拨款支出408.06万元，主要用于以下方面：</w:t>
      </w:r>
      <w:r>
        <w:rPr>
          <w:rFonts w:hint="eastAsia" w:ascii="Times New Roman" w:hAnsi="Times New Roman" w:eastAsia="仿宋_GB2312" w:cs="Times New Roman"/>
          <w:sz w:val="32"/>
          <w:szCs w:val="32"/>
        </w:rPr>
        <w:t>教育</w:t>
      </w:r>
      <w:r>
        <w:rPr>
          <w:rFonts w:ascii="Times New Roman" w:hAnsi="Times New Roman" w:eastAsia="仿宋_GB2312" w:cs="Times New Roman"/>
          <w:sz w:val="32"/>
          <w:szCs w:val="32"/>
        </w:rPr>
        <w:t>（类）支出1.11万元，占0.27%；</w:t>
      </w:r>
      <w:r>
        <w:rPr>
          <w:rFonts w:hint="eastAsia" w:ascii="Times New Roman" w:hAnsi="Times New Roman" w:eastAsia="仿宋_GB2312" w:cs="Times New Roman"/>
          <w:sz w:val="32"/>
          <w:szCs w:val="32"/>
        </w:rPr>
        <w:t>社会</w:t>
      </w:r>
      <w:r>
        <w:rPr>
          <w:rFonts w:ascii="Times New Roman" w:hAnsi="Times New Roman" w:eastAsia="仿宋_GB2312" w:cs="Times New Roman"/>
          <w:sz w:val="32"/>
          <w:szCs w:val="32"/>
        </w:rPr>
        <w:t>保障和就业（类）支出129.05万元，占31.63%；</w:t>
      </w:r>
      <w:r>
        <w:rPr>
          <w:rFonts w:hint="eastAsia" w:ascii="Times New Roman" w:hAnsi="Times New Roman" w:eastAsia="仿宋_GB2312" w:cs="Times New Roman"/>
          <w:sz w:val="32"/>
          <w:szCs w:val="32"/>
        </w:rPr>
        <w:t>卫</w:t>
      </w:r>
      <w:r>
        <w:rPr>
          <w:rFonts w:ascii="Times New Roman" w:hAnsi="Times New Roman" w:eastAsia="仿宋_GB2312" w:cs="Times New Roman"/>
          <w:sz w:val="32"/>
          <w:szCs w:val="32"/>
        </w:rPr>
        <w:t>生</w:t>
      </w:r>
      <w:r>
        <w:rPr>
          <w:rFonts w:hint="eastAsia" w:ascii="Times New Roman" w:hAnsi="Times New Roman" w:eastAsia="仿宋_GB2312" w:cs="Times New Roman"/>
          <w:sz w:val="32"/>
          <w:szCs w:val="32"/>
        </w:rPr>
        <w:t>健</w:t>
      </w:r>
      <w:r>
        <w:rPr>
          <w:rFonts w:ascii="Times New Roman" w:hAnsi="Times New Roman" w:eastAsia="仿宋_GB2312" w:cs="Times New Roman"/>
          <w:sz w:val="32"/>
          <w:szCs w:val="32"/>
        </w:rPr>
        <w:t>康（类）支出22.65万元，占5.55%；</w:t>
      </w:r>
      <w:r>
        <w:rPr>
          <w:rFonts w:hint="eastAsia" w:ascii="Times New Roman" w:hAnsi="Times New Roman" w:eastAsia="仿宋_GB2312" w:cs="Times New Roman"/>
          <w:sz w:val="32"/>
          <w:szCs w:val="32"/>
        </w:rPr>
        <w:t>农</w:t>
      </w:r>
      <w:r>
        <w:rPr>
          <w:rFonts w:ascii="Times New Roman" w:hAnsi="Times New Roman" w:eastAsia="仿宋_GB2312" w:cs="Times New Roman"/>
          <w:sz w:val="32"/>
          <w:szCs w:val="32"/>
        </w:rPr>
        <w:t>林水（类）支出235.65万元，占57.75%；</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（类）支出19.60万元，占4.8%；</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2024年度财政拨款支出年初预算数为501.78万元，支出决算数为408.06万元，完成年初预算的81.32%，其中：</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教育（类）进修及培训（款）培训支出（项）。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年初预算为2.00万元，支出决算为1.11万元，完成年初预算的55.50%，决算数小于年初预算数的主要原因是：</w:t>
      </w:r>
      <w:r>
        <w:rPr>
          <w:rFonts w:hint="eastAsia" w:ascii="Times New Roman" w:hAnsi="Times New Roman" w:eastAsia="仿宋_GB2312" w:cs="Times New Roman"/>
          <w:sz w:val="32"/>
          <w:szCs w:val="32"/>
        </w:rPr>
        <w:t>培训支出</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有</w:t>
      </w:r>
      <w:r>
        <w:rPr>
          <w:rFonts w:ascii="Times New Roman" w:hAnsi="Times New Roman" w:eastAsia="仿宋_GB2312" w:cs="Times New Roman"/>
          <w:sz w:val="32"/>
          <w:szCs w:val="32"/>
        </w:rPr>
        <w:t>结</w:t>
      </w:r>
      <w:r>
        <w:rPr>
          <w:rFonts w:hint="eastAsia" w:ascii="Times New Roman" w:hAnsi="Times New Roman" w:eastAsia="仿宋_GB2312" w:cs="Times New Roman"/>
          <w:sz w:val="32"/>
          <w:szCs w:val="32"/>
        </w:rPr>
        <w:t>余</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社会保障和就业支</w:t>
      </w:r>
      <w:r>
        <w:rPr>
          <w:rFonts w:ascii="Times New Roman" w:hAnsi="Times New Roman" w:eastAsia="仿宋_GB2312" w:cs="Times New Roman"/>
          <w:sz w:val="32"/>
          <w:szCs w:val="32"/>
        </w:rPr>
        <w:t>出</w:t>
      </w:r>
      <w:r>
        <w:rPr>
          <w:rFonts w:hint="eastAsia" w:ascii="Times New Roman" w:hAnsi="Times New Roman" w:eastAsia="仿宋_GB2312" w:cs="Times New Roman"/>
          <w:sz w:val="32"/>
          <w:szCs w:val="32"/>
        </w:rPr>
        <w:t>（类）行政事业单位养老支出（款）行政单位离退休（项）。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年初预算为83.80万元，支出决算为83.01万元，完成年初预算的99.06%，决算数小于年初预算数的主要原因是：</w:t>
      </w:r>
      <w:r>
        <w:rPr>
          <w:rFonts w:hint="eastAsia" w:ascii="Times New Roman" w:hAnsi="Times New Roman" w:eastAsia="仿宋_GB2312" w:cs="Times New Roman"/>
          <w:sz w:val="32"/>
          <w:szCs w:val="32"/>
        </w:rPr>
        <w:t>行政单位离退休</w:t>
      </w:r>
      <w:r>
        <w:rPr>
          <w:rFonts w:ascii="Times New Roman" w:hAnsi="Times New Roman" w:eastAsia="仿宋_GB2312" w:cs="Times New Roman"/>
          <w:sz w:val="32"/>
          <w:szCs w:val="32"/>
        </w:rPr>
        <w:t>经费有结余。</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社会保障和就业支出（类）行政事业单位养老支出（款）机关事业单位基本养老保险缴费支出（项）。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年初预算为26.70万元，支出决算为25.96万元，完成年初预算的97.23%，决算数小于年初预算数的主要原因是：</w:t>
      </w:r>
      <w:r>
        <w:rPr>
          <w:rFonts w:hint="eastAsia" w:ascii="Times New Roman" w:hAnsi="Times New Roman" w:eastAsia="仿宋_GB2312" w:cs="Times New Roman"/>
          <w:sz w:val="32"/>
          <w:szCs w:val="32"/>
        </w:rPr>
        <w:t>机关事业单位基本养老保险缴费</w:t>
      </w:r>
      <w:r>
        <w:rPr>
          <w:rFonts w:ascii="Times New Roman" w:hAnsi="Times New Roman" w:eastAsia="仿宋_GB2312" w:cs="Times New Roman"/>
          <w:sz w:val="32"/>
          <w:szCs w:val="32"/>
        </w:rPr>
        <w:t>经费有结余。</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社会保障和就业支出（类）抚恤（款）死亡抚恤（项）。</w:t>
      </w:r>
      <w:r>
        <w:rPr>
          <w:rFonts w:ascii="Times New Roman" w:hAnsi="Times New Roman" w:eastAsia="仿宋_GB2312" w:cs="Times New Roman"/>
          <w:sz w:val="32"/>
          <w:szCs w:val="32"/>
        </w:rPr>
        <w:t>年初预算为0万元，支出决算为20.08万元，决算数大于年初预算数的主要原因是：年中</w:t>
      </w:r>
      <w:r>
        <w:rPr>
          <w:rFonts w:hint="eastAsia" w:ascii="Times New Roman" w:hAnsi="Times New Roman" w:eastAsia="仿宋_GB2312" w:cs="Times New Roman"/>
          <w:sz w:val="32"/>
          <w:szCs w:val="32"/>
        </w:rPr>
        <w:t>追加</w:t>
      </w:r>
      <w:r>
        <w:rPr>
          <w:rFonts w:hint="eastAsia" w:ascii="Times New Roman" w:hAnsi="Times New Roman" w:eastAsia="仿宋_GB2312" w:cs="Times New Roman"/>
          <w:sz w:val="32"/>
          <w:szCs w:val="32"/>
          <w:lang w:eastAsia="zh-CN"/>
        </w:rPr>
        <w:t>抚恤金。</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卫生健康支出（类）行政事业单位医疗（款）行政单位医疗（项）。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年初预算为14.40万元，支出决算为12.55万元，完成年初预算的87.15%，决算数小于年初预算数的主要原因是：</w:t>
      </w:r>
      <w:r>
        <w:rPr>
          <w:rFonts w:hint="eastAsia" w:ascii="Times New Roman" w:hAnsi="Times New Roman" w:eastAsia="仿宋_GB2312" w:cs="Times New Roman"/>
          <w:sz w:val="32"/>
          <w:szCs w:val="32"/>
        </w:rPr>
        <w:t>行政单位医疗经</w:t>
      </w:r>
      <w:r>
        <w:rPr>
          <w:rFonts w:ascii="Times New Roman" w:hAnsi="Times New Roman" w:eastAsia="仿宋_GB2312" w:cs="Times New Roman"/>
          <w:sz w:val="32"/>
          <w:szCs w:val="32"/>
        </w:rPr>
        <w:t>费有结余。</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卫生健康支出（类）行政事业单位医疗（款）公务员医疗补助（项）。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年初预算为12.00万元，支出决算为10.10万元，完成年初预算的84.17%，决算数小于年初预算数的主要原因是：</w:t>
      </w:r>
      <w:r>
        <w:rPr>
          <w:rFonts w:hint="eastAsia" w:ascii="Times New Roman" w:hAnsi="Times New Roman" w:eastAsia="仿宋_GB2312" w:cs="Times New Roman"/>
          <w:sz w:val="32"/>
          <w:szCs w:val="32"/>
        </w:rPr>
        <w:t>公务员医疗补助经</w:t>
      </w:r>
      <w:r>
        <w:rPr>
          <w:rFonts w:ascii="Times New Roman" w:hAnsi="Times New Roman" w:eastAsia="仿宋_GB2312" w:cs="Times New Roman"/>
          <w:sz w:val="32"/>
          <w:szCs w:val="32"/>
        </w:rPr>
        <w:t>费有结余。</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农林水支出（类）农业农村（款）行政运行（项）。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年初预算为197.01万元，支出决算为202.19万元，完成年初预算的102.63%，决算数大于年初预算数的主要原因是：</w:t>
      </w:r>
      <w:r>
        <w:rPr>
          <w:rFonts w:hint="eastAsia" w:ascii="Times New Roman" w:hAnsi="Times New Roman" w:eastAsia="仿宋_GB2312" w:cs="Times New Roman"/>
          <w:sz w:val="32"/>
          <w:szCs w:val="32"/>
        </w:rPr>
        <w:t>年中追</w:t>
      </w:r>
      <w:r>
        <w:rPr>
          <w:rFonts w:ascii="Times New Roman" w:hAnsi="Times New Roman" w:eastAsia="仿宋_GB2312" w:cs="Times New Roman"/>
          <w:sz w:val="32"/>
          <w:szCs w:val="32"/>
        </w:rPr>
        <w:t>加资金。</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农林水支出（类）农业农村（款）科技转化与推广服务（项）。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年初预算为4.90万元，支出决算为0万元，决算数小于年初预算数的主要原因是：项目</w:t>
      </w:r>
      <w:r>
        <w:rPr>
          <w:rFonts w:hint="eastAsia" w:ascii="Times New Roman" w:hAnsi="Times New Roman" w:eastAsia="仿宋_GB2312" w:cs="Times New Roman"/>
          <w:sz w:val="32"/>
          <w:szCs w:val="32"/>
          <w:lang w:eastAsia="zh-CN"/>
        </w:rPr>
        <w:t>跨年实施</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农林水支出（类）农业农村（款）农产品质量安全（项）。</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年初预算为48万元，支出决算为13.66万元，完成年初预算的28.46%，决算数小于年初预算数的主要原因是：项目</w:t>
      </w:r>
      <w:r>
        <w:rPr>
          <w:rFonts w:hint="eastAsia" w:ascii="Times New Roman" w:hAnsi="Times New Roman" w:eastAsia="仿宋_GB2312" w:cs="Times New Roman"/>
          <w:sz w:val="32"/>
          <w:szCs w:val="32"/>
          <w:lang w:eastAsia="zh-CN"/>
        </w:rPr>
        <w:t>跨年实施。</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农林水支出（类）农业农村（款）农业生产发展（项）。</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年初预算为81.27万元，支出决算为13.93万元，完成年初预算的17.14%，决算数小于年初预算数的主要原因是：项目</w:t>
      </w:r>
      <w:r>
        <w:rPr>
          <w:rFonts w:hint="eastAsia" w:ascii="Times New Roman" w:hAnsi="Times New Roman" w:eastAsia="仿宋_GB2312" w:cs="Times New Roman"/>
          <w:sz w:val="32"/>
          <w:szCs w:val="32"/>
          <w:lang w:eastAsia="zh-CN"/>
        </w:rPr>
        <w:t>跨年实施。</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11、</w:t>
      </w:r>
      <w:r>
        <w:rPr>
          <w:rFonts w:hint="eastAsia" w:ascii="Times New Roman" w:hAnsi="Times New Roman" w:eastAsia="仿宋_GB2312" w:cs="Times New Roman"/>
          <w:sz w:val="32"/>
          <w:szCs w:val="32"/>
        </w:rPr>
        <w:t>农林水支出（类）农业农村（款）其他农业农村支出（项）。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年初预算为9.00万元，支出决算为5.86万元，完成年初预算的65.11%，决算数小于年初预算数的主要原因是：</w:t>
      </w:r>
      <w:r>
        <w:rPr>
          <w:rFonts w:hint="eastAsia" w:ascii="Times New Roman" w:hAnsi="Times New Roman" w:eastAsia="仿宋_GB2312" w:cs="Times New Roman"/>
          <w:sz w:val="32"/>
          <w:szCs w:val="32"/>
          <w:lang w:eastAsia="zh-CN"/>
        </w:rPr>
        <w:t>此项项目</w:t>
      </w:r>
      <w:r>
        <w:rPr>
          <w:rFonts w:ascii="Times New Roman" w:hAnsi="Times New Roman" w:eastAsia="仿宋_GB2312" w:cs="Times New Roman"/>
          <w:sz w:val="32"/>
          <w:szCs w:val="32"/>
        </w:rPr>
        <w:t>经费有结余。</w:t>
      </w:r>
    </w:p>
    <w:p>
      <w:pPr>
        <w:pStyle w:val="12"/>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w:t>
      </w:r>
      <w:r>
        <w:rPr>
          <w:rFonts w:hint="eastAsia" w:ascii="Times New Roman" w:hAnsi="Times New Roman" w:eastAsia="仿宋_GB2312" w:cs="Times New Roman"/>
          <w:sz w:val="32"/>
          <w:szCs w:val="32"/>
        </w:rPr>
        <w:t>住房保障支出（类）住房改革支出（款）住房公积金</w:t>
      </w:r>
    </w:p>
    <w:p>
      <w:pPr>
        <w:pStyle w:val="12"/>
        <w:overflowPunct w:val="0"/>
        <w:autoSpaceDE/>
        <w:autoSpaceDN/>
        <w:spacing w:line="60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年初预算为22.70万元，支出决算为19.60万元，完成年初预算的86.34%，决算数小于年初预算数的主要原因是：</w:t>
      </w:r>
      <w:r>
        <w:rPr>
          <w:rFonts w:hint="eastAsia" w:ascii="Times New Roman" w:hAnsi="Times New Roman" w:eastAsia="仿宋_GB2312" w:cs="Times New Roman"/>
          <w:sz w:val="32"/>
          <w:szCs w:val="32"/>
        </w:rPr>
        <w:t>住房公积金</w:t>
      </w:r>
      <w:r>
        <w:rPr>
          <w:rFonts w:ascii="Times New Roman" w:hAnsi="Times New Roman" w:eastAsia="仿宋_GB2312" w:cs="Times New Roman"/>
          <w:sz w:val="32"/>
          <w:szCs w:val="32"/>
        </w:rPr>
        <w:t>经费有结余。</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2024年度一般公共预算财政拨款基本支出343.41万元，其中：</w:t>
      </w:r>
    </w:p>
    <w:p>
      <w:pPr>
        <w:pStyle w:val="12"/>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ascii="Times New Roman" w:hAnsi="Times New Roman" w:eastAsia="仿宋_GB2312" w:cs="Times New Roman"/>
          <w:sz w:val="32"/>
          <w:szCs w:val="32"/>
        </w:rPr>
        <w:t>310.46万元，占基本支出的90.41%</w:t>
      </w:r>
      <w:r>
        <w:rPr>
          <w:rFonts w:hint="eastAsia" w:ascii="Times New Roman" w:hAnsi="Times New Roman" w:eastAsia="仿宋_GB2312" w:cs="Times New Roman"/>
          <w:sz w:val="32"/>
          <w:szCs w:val="32"/>
        </w:rPr>
        <w:t>，主要包括基本工资、津贴补贴、奖金、伙食补助费、机关事业单位基本养老保险缴费、职工基本医疗保险缴费、公务员医疗补助缴费、其他社会保障缴费、住房公积金、退休费、抚恤金、生活补助等。</w:t>
      </w:r>
    </w:p>
    <w:p>
      <w:pPr>
        <w:pStyle w:val="12"/>
        <w:overflowPunct w:val="0"/>
        <w:spacing w:line="600" w:lineRule="exact"/>
        <w:ind w:firstLine="640" w:firstLineChars="200"/>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ascii="Times New Roman" w:hAnsi="Times New Roman" w:eastAsia="仿宋_GB2312" w:cs="Times New Roman"/>
          <w:sz w:val="32"/>
          <w:szCs w:val="32"/>
        </w:rPr>
        <w:t>32.95万元，占基本支出的9.59%，</w:t>
      </w:r>
      <w:r>
        <w:rPr>
          <w:rFonts w:hint="eastAsia" w:ascii="Times New Roman" w:hAnsi="Times New Roman" w:eastAsia="仿宋_GB2312" w:cs="Times New Roman"/>
          <w:sz w:val="32"/>
          <w:szCs w:val="32"/>
        </w:rPr>
        <w:t>主要包括办公费、印刷费、电费、物业管理费、差旅费、劳务费、工会经费、福利费、其他交通费、其他商品和服务支出等。</w:t>
      </w:r>
    </w:p>
    <w:p>
      <w:pPr>
        <w:pStyle w:val="12"/>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2024年度“三公”经费财政拨款支出预算为9.00万元，支出决算为5.86万元，完成预算的65.11%；与上年相比增加</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.86万元。决算数小于预算数的主要原因是</w:t>
      </w:r>
      <w:r>
        <w:rPr>
          <w:rFonts w:hint="eastAsia" w:ascii="Times New Roman" w:hAnsi="Times New Roman" w:eastAsia="仿宋_GB2312" w:cs="Times New Roman"/>
          <w:sz w:val="32"/>
          <w:szCs w:val="32"/>
          <w:lang w:eastAsia="zh-CN"/>
        </w:rPr>
        <w:t>厉行节约，</w:t>
      </w:r>
      <w:r>
        <w:rPr>
          <w:rFonts w:hint="eastAsia" w:ascii="Times New Roman" w:hAnsi="Times New Roman" w:eastAsia="仿宋_GB2312" w:cs="Times New Roman"/>
          <w:sz w:val="32"/>
          <w:szCs w:val="32"/>
        </w:rPr>
        <w:t>严控</w:t>
      </w:r>
      <w:r>
        <w:rPr>
          <w:rFonts w:hint="eastAsia" w:ascii="Times New Roman" w:hAnsi="Times New Roman" w:eastAsia="仿宋_GB2312" w:cs="Times New Roman"/>
          <w:sz w:val="32"/>
          <w:szCs w:val="32"/>
          <w:lang w:eastAsia="zh-CN"/>
        </w:rPr>
        <w:t>经费</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决算数大于上年数的主要原因是2024</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val="en-US" w:eastAsia="zh-CN"/>
        </w:rPr>
        <w:t>工作需要</w:t>
      </w:r>
      <w:r>
        <w:rPr>
          <w:rFonts w:ascii="Times New Roman" w:hAnsi="Times New Roman" w:eastAsia="仿宋_GB2312" w:cs="Times New Roman"/>
          <w:sz w:val="32"/>
          <w:szCs w:val="32"/>
        </w:rPr>
        <w:t>增加出因公出国（境）</w:t>
      </w:r>
      <w:r>
        <w:rPr>
          <w:rFonts w:hint="eastAsia" w:ascii="Times New Roman" w:hAnsi="Times New Roman" w:eastAsia="仿宋_GB2312" w:cs="Times New Roman"/>
          <w:sz w:val="32"/>
          <w:szCs w:val="32"/>
        </w:rPr>
        <w:t>任</w:t>
      </w:r>
      <w:r>
        <w:rPr>
          <w:rFonts w:ascii="Times New Roman" w:hAnsi="Times New Roman" w:eastAsia="仿宋_GB2312" w:cs="Times New Roman"/>
          <w:sz w:val="32"/>
          <w:szCs w:val="32"/>
        </w:rPr>
        <w:t>务。</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1.因公出国（境）费支出预算为9.00万元，支出决算为5.86万元，完成预算的65.11%；与上年相比增加</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.86万元，决算数小于预算数的主要原因是</w:t>
      </w:r>
      <w:r>
        <w:rPr>
          <w:rFonts w:hint="eastAsia" w:ascii="Times New Roman" w:hAnsi="Times New Roman" w:eastAsia="仿宋_GB2312" w:cs="Times New Roman"/>
          <w:sz w:val="32"/>
          <w:szCs w:val="32"/>
          <w:lang w:eastAsia="zh-CN"/>
        </w:rPr>
        <w:t>厉行节约，</w:t>
      </w:r>
      <w:r>
        <w:rPr>
          <w:rFonts w:hint="eastAsia" w:ascii="Times New Roman" w:hAnsi="Times New Roman" w:eastAsia="仿宋_GB2312" w:cs="Times New Roman"/>
          <w:sz w:val="32"/>
          <w:szCs w:val="32"/>
        </w:rPr>
        <w:t>严控</w:t>
      </w:r>
      <w:r>
        <w:rPr>
          <w:rFonts w:hint="eastAsia" w:ascii="Times New Roman" w:hAnsi="Times New Roman" w:eastAsia="仿宋_GB2312" w:cs="Times New Roman"/>
          <w:sz w:val="32"/>
          <w:szCs w:val="32"/>
          <w:lang w:eastAsia="zh-CN"/>
        </w:rPr>
        <w:t>经费</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决算数大于上年数的主要原因是2024</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val="en-US" w:eastAsia="zh-CN"/>
        </w:rPr>
        <w:t>工作需要</w:t>
      </w:r>
      <w:r>
        <w:rPr>
          <w:rFonts w:ascii="Times New Roman" w:hAnsi="Times New Roman" w:eastAsia="仿宋_GB2312" w:cs="Times New Roman"/>
          <w:sz w:val="32"/>
          <w:szCs w:val="32"/>
        </w:rPr>
        <w:t>增加出因公出国（境）</w:t>
      </w:r>
      <w:r>
        <w:rPr>
          <w:rFonts w:hint="eastAsia" w:ascii="Times New Roman" w:hAnsi="Times New Roman" w:eastAsia="仿宋_GB2312" w:cs="Times New Roman"/>
          <w:sz w:val="32"/>
          <w:szCs w:val="32"/>
        </w:rPr>
        <w:t>任</w:t>
      </w:r>
      <w:r>
        <w:rPr>
          <w:rFonts w:ascii="Times New Roman" w:hAnsi="Times New Roman" w:eastAsia="仿宋_GB2312" w:cs="Times New Roman"/>
          <w:sz w:val="32"/>
          <w:szCs w:val="32"/>
        </w:rPr>
        <w:t>务。。2024年度安排因公出国（境）团组1个，累计1人次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主要包括：</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hint="eastAsia" w:ascii="Times New Roman" w:hAnsi="Times New Roman" w:eastAsia="仿宋_GB2312" w:cs="Times New Roman"/>
          <w:sz w:val="32"/>
          <w:szCs w:val="32"/>
        </w:rPr>
        <w:t>出访意大利、法国团支出</w:t>
      </w:r>
      <w:r>
        <w:rPr>
          <w:rFonts w:ascii="Times New Roman" w:hAnsi="Times New Roman" w:eastAsia="仿宋_GB2312" w:cs="Times New Roman"/>
          <w:sz w:val="32"/>
          <w:szCs w:val="32"/>
        </w:rPr>
        <w:t>5.86</w:t>
      </w:r>
      <w:r>
        <w:rPr>
          <w:rFonts w:hint="eastAsia" w:ascii="Times New Roman" w:hAnsi="Times New Roman" w:eastAsia="仿宋_GB2312" w:cs="Times New Roman"/>
          <w:sz w:val="32"/>
          <w:szCs w:val="32"/>
        </w:rPr>
        <w:t>万元，主要用于出访意大利、法国农业、经贸等情况考察。</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2.公务用车购置费及运行维护费支出预算为0万元，支出决算为0万元，</w:t>
      </w:r>
      <w:r>
        <w:rPr>
          <w:rFonts w:hint="eastAsia" w:ascii="Times New Roman" w:hAnsi="Times New Roman" w:eastAsia="仿宋_GB2312" w:cs="Times New Roman"/>
          <w:sz w:val="32"/>
          <w:szCs w:val="32"/>
        </w:rPr>
        <w:t>与上年持平</w:t>
      </w:r>
      <w:r>
        <w:rPr>
          <w:rFonts w:ascii="Times New Roman" w:hAnsi="Times New Roman" w:eastAsia="仿宋_GB2312" w:cs="Times New Roman"/>
          <w:sz w:val="32"/>
          <w:szCs w:val="32"/>
        </w:rPr>
        <w:t>。其中：</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公务用车购置费支出预算为0万元，支出决算为0万元，</w:t>
      </w:r>
      <w:r>
        <w:rPr>
          <w:rFonts w:hint="eastAsia" w:ascii="Times New Roman" w:hAnsi="Times New Roman" w:eastAsia="仿宋_GB2312" w:cs="Times New Roman"/>
          <w:sz w:val="32"/>
          <w:szCs w:val="32"/>
        </w:rPr>
        <w:t>与上年持平</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湖南省种子管理服务</w:t>
      </w:r>
      <w:bookmarkStart w:id="6" w:name="_GoBack"/>
      <w:r>
        <w:rPr>
          <w:rFonts w:hint="eastAsia" w:ascii="Times New Roman" w:hAnsi="Times New Roman" w:eastAsia="仿宋_GB2312" w:cs="Times New Roman"/>
          <w:color w:val="000000" w:themeColor="text1"/>
          <w:sz w:val="32"/>
          <w:szCs w:val="32"/>
          <w:highlight w:val="none"/>
          <w:lang w:eastAsia="zh-CN"/>
          <w:rPrChange w:id="0" w:author="greatwall" w:date="2025-09-17T11:13:39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站</w:t>
      </w:r>
      <w:r>
        <w:rPr>
          <w:rFonts w:ascii="Times New Roman" w:hAnsi="Times New Roman" w:eastAsia="仿宋_GB2312" w:cs="Times New Roman"/>
          <w:sz w:val="32"/>
          <w:szCs w:val="32"/>
          <w:highlight w:val="none"/>
          <w:rPrChange w:id="1" w:author="greatwall" w:date="2025-09-17T11:13:39Z">
            <w:rPr>
              <w:rFonts w:ascii="Times New Roman" w:hAnsi="Times New Roman" w:eastAsia="仿宋_GB2312" w:cs="Times New Roman"/>
              <w:sz w:val="32"/>
              <w:szCs w:val="32"/>
              <w:highlight w:val="yellow"/>
            </w:rPr>
          </w:rPrChange>
        </w:rPr>
        <w:t>更新公务用车</w:t>
      </w:r>
      <w:r>
        <w:rPr>
          <w:rFonts w:hint="eastAsia" w:ascii="Times New Roman" w:hAnsi="Times New Roman" w:eastAsia="仿宋_GB2312" w:cs="Times New Roman"/>
          <w:sz w:val="32"/>
          <w:szCs w:val="32"/>
          <w:highlight w:val="none"/>
          <w:lang w:val="en-US" w:eastAsia="zh-CN"/>
          <w:rPrChange w:id="2" w:author="greatwall" w:date="2025-09-17T11:13:39Z">
            <w:rPr>
              <w:rFonts w:hint="eastAsia" w:ascii="Times New Roman" w:hAnsi="Times New Roman" w:eastAsia="仿宋_GB2312" w:cs="Times New Roman"/>
              <w:sz w:val="32"/>
              <w:szCs w:val="32"/>
              <w:highlight w:val="yellow"/>
              <w:lang w:val="en-US" w:eastAsia="zh-CN"/>
            </w:rPr>
          </w:rPrChange>
        </w:rPr>
        <w:t>0</w:t>
      </w:r>
      <w:r>
        <w:rPr>
          <w:rFonts w:ascii="Times New Roman" w:hAnsi="Times New Roman" w:eastAsia="仿宋_GB2312" w:cs="Times New Roman"/>
          <w:sz w:val="32"/>
          <w:szCs w:val="32"/>
          <w:highlight w:val="none"/>
          <w:rPrChange w:id="3" w:author="greatwall" w:date="2025-09-17T11:13:39Z">
            <w:rPr>
              <w:rFonts w:ascii="Times New Roman" w:hAnsi="Times New Roman" w:eastAsia="仿宋_GB2312" w:cs="Times New Roman"/>
              <w:sz w:val="32"/>
              <w:szCs w:val="32"/>
              <w:highlight w:val="yellow"/>
            </w:rPr>
          </w:rPrChange>
        </w:rPr>
        <w:t>辆</w:t>
      </w:r>
      <w:r>
        <w:rPr>
          <w:rFonts w:hint="eastAsia" w:ascii="Times New Roman" w:hAnsi="Times New Roman" w:eastAsia="仿宋_GB2312" w:cs="Times New Roman"/>
          <w:sz w:val="32"/>
          <w:szCs w:val="32"/>
          <w:highlight w:val="none"/>
          <w:lang w:eastAsia="zh-CN"/>
          <w:rPrChange w:id="4" w:author="greatwall" w:date="2025-09-17T11:13:39Z">
            <w:rPr>
              <w:rFonts w:hint="eastAsia" w:ascii="Times New Roman" w:hAnsi="Times New Roman" w:eastAsia="仿宋_GB2312" w:cs="Times New Roman"/>
              <w:sz w:val="32"/>
              <w:szCs w:val="32"/>
              <w:highlight w:val="yellow"/>
              <w:lang w:eastAsia="zh-CN"/>
            </w:rPr>
          </w:rPrChange>
        </w:rPr>
        <w:t>。</w:t>
      </w:r>
      <w:bookmarkEnd w:id="6"/>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公务用车运行维护费支出预算为0万元，支出决算为0万元，</w:t>
      </w:r>
      <w:r>
        <w:rPr>
          <w:rFonts w:hint="eastAsia" w:ascii="Times New Roman" w:hAnsi="Times New Roman" w:eastAsia="仿宋_GB2312" w:cs="Times New Roman"/>
          <w:sz w:val="32"/>
          <w:szCs w:val="32"/>
        </w:rPr>
        <w:t>与上年持平。</w:t>
      </w:r>
      <w:r>
        <w:rPr>
          <w:rFonts w:ascii="Times New Roman" w:hAnsi="Times New Roman" w:eastAsia="仿宋_GB2312" w:cs="Times New Roman"/>
          <w:sz w:val="32"/>
          <w:szCs w:val="32"/>
        </w:rPr>
        <w:t>截止2024年12月31日，我单位开支财政拨款的公务用车保有量为0辆。</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3.公务接待费支出预算为0万元，支出决算为0万元，</w:t>
      </w:r>
      <w:r>
        <w:rPr>
          <w:rFonts w:hint="eastAsia" w:ascii="Times New Roman" w:hAnsi="Times New Roman" w:eastAsia="仿宋_GB2312" w:cs="Times New Roman"/>
          <w:sz w:val="32"/>
          <w:szCs w:val="32"/>
        </w:rPr>
        <w:t>与上年持平。</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2024年度</w:t>
      </w:r>
      <w:r>
        <w:rPr>
          <w:rFonts w:hint="eastAsia" w:ascii="Times New Roman" w:hAnsi="Times New Roman" w:eastAsia="仿宋_GB2312" w:cs="Times New Roman"/>
          <w:sz w:val="32"/>
          <w:szCs w:val="32"/>
        </w:rPr>
        <w:t>本单位无政府性基金收支。</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2024年度机关运行经费支出32.95万元，比年初预算数减少</w:t>
      </w:r>
      <w:r>
        <w:rPr>
          <w:rFonts w:hint="eastAsia" w:ascii="Times New Roman" w:hAnsi="Times New Roman" w:eastAsia="仿宋_GB2312" w:cs="Times New Roman"/>
          <w:sz w:val="32"/>
          <w:szCs w:val="32"/>
        </w:rPr>
        <w:t>6.69</w:t>
      </w:r>
      <w:r>
        <w:rPr>
          <w:rFonts w:ascii="Times New Roman" w:hAnsi="Times New Roman" w:eastAsia="仿宋_GB2312" w:cs="Times New Roman"/>
          <w:sz w:val="32"/>
          <w:szCs w:val="32"/>
        </w:rPr>
        <w:t>万元，降低16.88%。主要原因是：</w:t>
      </w:r>
      <w:r>
        <w:rPr>
          <w:rFonts w:hint="eastAsia" w:ascii="Times New Roman" w:hAnsi="Times New Roman" w:eastAsia="仿宋_GB2312" w:cs="Times New Roman"/>
          <w:sz w:val="32"/>
          <w:szCs w:val="32"/>
        </w:rPr>
        <w:t>厉行</w:t>
      </w:r>
      <w:r>
        <w:rPr>
          <w:rFonts w:ascii="Times New Roman" w:hAnsi="Times New Roman" w:eastAsia="仿宋_GB2312" w:cs="Times New Roman"/>
          <w:sz w:val="32"/>
          <w:szCs w:val="32"/>
        </w:rPr>
        <w:t>节</w:t>
      </w:r>
      <w:r>
        <w:rPr>
          <w:rFonts w:hint="eastAsia" w:ascii="Times New Roman" w:hAnsi="Times New Roman" w:eastAsia="仿宋_GB2312" w:cs="Times New Roman"/>
          <w:sz w:val="32"/>
          <w:szCs w:val="32"/>
        </w:rPr>
        <w:t>约</w:t>
      </w:r>
      <w:r>
        <w:rPr>
          <w:rFonts w:ascii="Times New Roman" w:hAnsi="Times New Roman" w:eastAsia="仿宋_GB2312" w:cs="Times New Roman"/>
          <w:sz w:val="32"/>
          <w:szCs w:val="32"/>
        </w:rPr>
        <w:t>，严控机关运行经费支出。</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2"/>
        <w:overflowPunct w:val="0"/>
        <w:autoSpaceDE/>
        <w:autoSpaceDN/>
        <w:spacing w:line="600" w:lineRule="exact"/>
        <w:ind w:firstLine="640" w:firstLineChars="200"/>
        <w:jc w:val="both"/>
        <w:rPr>
          <w:rFonts w:ascii="Times New Roman" w:hAnsi="Times New Roman" w:eastAsia="仿宋_GB2312" w:cs="Times New Roman"/>
          <w:b/>
          <w:bCs/>
          <w:i/>
          <w:color w:val="auto"/>
          <w:sz w:val="32"/>
          <w:szCs w:val="32"/>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开支会议费2.75万元，用于召开</w:t>
      </w:r>
      <w:r>
        <w:rPr>
          <w:rFonts w:hint="eastAsia" w:ascii="Times New Roman" w:hAnsi="Times New Roman" w:eastAsia="仿宋_GB2312" w:cs="Times New Roman"/>
          <w:sz w:val="32"/>
          <w:szCs w:val="32"/>
        </w:rPr>
        <w:t>与全省种子管理服</w:t>
      </w:r>
      <w:r>
        <w:rPr>
          <w:rFonts w:ascii="Times New Roman" w:hAnsi="Times New Roman" w:eastAsia="仿宋_GB2312" w:cs="Times New Roman"/>
          <w:sz w:val="32"/>
          <w:szCs w:val="32"/>
        </w:rPr>
        <w:t>务</w:t>
      </w:r>
      <w:r>
        <w:rPr>
          <w:rFonts w:hint="eastAsia" w:ascii="Times New Roman" w:hAnsi="Times New Roman" w:eastAsia="仿宋_GB2312" w:cs="Times New Roman"/>
          <w:sz w:val="32"/>
          <w:szCs w:val="32"/>
        </w:rPr>
        <w:t>工作相关的会议</w:t>
      </w:r>
      <w:r>
        <w:rPr>
          <w:rFonts w:ascii="Times New Roman" w:hAnsi="Times New Roman" w:eastAsia="仿宋_GB2312" w:cs="Times New Roman"/>
          <w:sz w:val="32"/>
          <w:szCs w:val="32"/>
        </w:rPr>
        <w:t>，人数169人，内容为</w:t>
      </w:r>
      <w:r>
        <w:rPr>
          <w:rFonts w:hint="eastAsia" w:ascii="Times New Roman" w:hAnsi="Times New Roman" w:eastAsia="仿宋_GB2312" w:cs="Times New Roman"/>
          <w:sz w:val="32"/>
          <w:szCs w:val="32"/>
        </w:rPr>
        <w:t>冬季农作物种子生产经营企业监督检查工作部署会议、非主要农作物品种登记材料专家审核会议、种业技术服务能力提升培训会议、农作物种子纯度海南种植现场鉴定会议</w:t>
      </w:r>
      <w:r>
        <w:rPr>
          <w:rFonts w:ascii="Times New Roman" w:hAnsi="Times New Roman" w:eastAsia="仿宋_GB2312" w:cs="Times New Roman"/>
          <w:sz w:val="32"/>
          <w:szCs w:val="32"/>
        </w:rPr>
        <w:t>；开支培训费1.11万元，用于开展</w:t>
      </w:r>
      <w:r>
        <w:rPr>
          <w:rFonts w:hint="eastAsia" w:ascii="Times New Roman" w:hAnsi="Times New Roman" w:eastAsia="仿宋_GB2312" w:cs="Times New Roman"/>
          <w:sz w:val="32"/>
          <w:szCs w:val="32"/>
        </w:rPr>
        <w:t>2024年全省农作物种子供需调度形式分析暨农作物种子供需调度系统培训</w:t>
      </w:r>
      <w:r>
        <w:rPr>
          <w:rFonts w:ascii="Times New Roman" w:hAnsi="Times New Roman" w:eastAsia="仿宋_GB2312" w:cs="Times New Roman"/>
          <w:sz w:val="32"/>
          <w:szCs w:val="32"/>
        </w:rPr>
        <w:t>培训，人数39人，</w:t>
      </w:r>
      <w:r>
        <w:rPr>
          <w:rFonts w:hint="eastAsia" w:ascii="Times New Roman" w:hAnsi="Times New Roman" w:eastAsia="仿宋_GB2312" w:cs="Times New Roman"/>
          <w:sz w:val="32"/>
          <w:szCs w:val="32"/>
        </w:rPr>
        <w:t>内容为农作物种子供需调度形式分析暨农作物种子供需调度系统培训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未</w:t>
      </w:r>
      <w:r>
        <w:rPr>
          <w:rFonts w:ascii="Times New Roman" w:hAnsi="Times New Roman" w:eastAsia="仿宋_GB2312" w:cs="Times New Roman"/>
          <w:sz w:val="32"/>
          <w:szCs w:val="32"/>
        </w:rPr>
        <w:t>举办节庆、晚会、论坛、赛事</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活动</w:t>
      </w:r>
      <w:r>
        <w:rPr>
          <w:rFonts w:hint="eastAsia"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部门2024年度政府采购支出总额20.39万元，其中：政府采购货物支出1.97万元、政府采购工程支出0万元、政府采购服务支出18.42万元。授予中小企业合同金额18.57万元，占政府采购支出总额的91.07%，其中：授予小微企业合同金额15.40万元，</w:t>
      </w:r>
      <w:r>
        <w:rPr>
          <w:rFonts w:ascii="Times New Roman" w:hAnsi="Times New Roman" w:eastAsia="仿宋_GB2312" w:cs="Times New Roman"/>
          <w:color w:val="auto"/>
          <w:sz w:val="32"/>
          <w:szCs w:val="32"/>
        </w:rPr>
        <w:t>占授予中小企业合同金额的82.93%。货物采购授予中小企业合同金额占货物支出金额的100%，服务采购授予中小企业合同金额占服务支出金额的90.12%。</w:t>
      </w:r>
    </w:p>
    <w:p>
      <w:pPr>
        <w:pStyle w:val="12"/>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2"/>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0辆，其中，副部（省）级及以上领导用车0辆、主要负责人用车0辆、机要通信用车0辆、应急保障用车0辆、执法执勤用车0辆、特种专业技术用车0辆、离退休干部服务用车0辆、其他用车0辆</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；单位价值100万元以上设备（不含车辆）0台（套）。</w:t>
      </w:r>
    </w:p>
    <w:p>
      <w:pPr>
        <w:pStyle w:val="12"/>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b/>
          <w:bCs/>
          <w:sz w:val="32"/>
          <w:szCs w:val="32"/>
          <w:highlight w:val="yellow"/>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w:t>
      </w:r>
      <w:r>
        <w:rPr>
          <w:rFonts w:hint="eastAsia" w:ascii="Times New Roman" w:hAnsi="Times New Roman" w:eastAsia="仿宋_GB2312" w:cs="Times New Roman"/>
          <w:kern w:val="0"/>
          <w:sz w:val="32"/>
          <w:szCs w:val="32"/>
        </w:rPr>
        <w:t>项</w:t>
      </w:r>
      <w:r>
        <w:rPr>
          <w:rFonts w:ascii="Times New Roman" w:hAnsi="Times New Roman" w:eastAsia="仿宋_GB2312" w:cs="Times New Roman"/>
          <w:kern w:val="0"/>
          <w:sz w:val="32"/>
          <w:szCs w:val="32"/>
        </w:rPr>
        <w:t>目资金</w:t>
      </w:r>
      <w:r>
        <w:rPr>
          <w:rFonts w:hint="eastAsia" w:ascii="Times New Roman" w:hAnsi="Times New Roman" w:eastAsia="仿宋_GB2312" w:cs="Times New Roman"/>
          <w:kern w:val="0"/>
          <w:sz w:val="32"/>
          <w:szCs w:val="32"/>
          <w:lang w:val="en-US" w:eastAsia="zh-CN"/>
        </w:rPr>
        <w:t>64.64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64.64</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15.84</w:t>
      </w:r>
      <w:r>
        <w:rPr>
          <w:rFonts w:ascii="Times New Roman" w:hAnsi="Times New Roman" w:eastAsia="仿宋_GB2312" w:cs="Times New Roman"/>
          <w:kern w:val="0"/>
          <w:sz w:val="32"/>
          <w:szCs w:val="32"/>
        </w:rPr>
        <w:t>%；政府性基金预算项目0 个0万元</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国有资本经营预算项目0 个0万元</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社会保险基金预算项目0 个0 万元。</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全年预算数536.36万元，执行数408.06万元，完成预算的76.08%</w:t>
      </w:r>
      <w:r>
        <w:rPr>
          <w:rFonts w:ascii="Times New Roman" w:hAnsi="Times New Roman" w:eastAsia="仿宋_GB2312" w:cs="Times New Roman"/>
          <w:kern w:val="0"/>
          <w:sz w:val="32"/>
          <w:szCs w:val="32"/>
        </w:rPr>
        <w:t>，绩效自评得分</w:t>
      </w:r>
      <w:r>
        <w:rPr>
          <w:rFonts w:ascii="Times New Roman" w:hAnsi="Times New Roman" w:eastAsia="仿宋_GB2312" w:cs="Times New Roman"/>
          <w:sz w:val="32"/>
          <w:szCs w:val="32"/>
        </w:rPr>
        <w:t>97.61分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健全完善品种审定制度。狠抓品种审定制度建设，把握种业振兴重大品种培育方向走势，成立了第八届湖南省农作物品种审定委员会，设立了稻、玉米、棉花（大豆）等3个专业委员会委员库，制订了湖南省农作物品种审定委员会章程，对标对表国家章程，制订了湖南省章程，健全了部省协同、标准统一的品种审定试验管理机制。修订了审定标准，重点提高了品种抗性、产量等方面的要求，相关量化指标一律不低于国家标准。2024年全省省级审定品种106个，其中水稻77个，玉米17个，大豆11个，棉花1个</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严格规范品种试验。全年共完成522个主要农作物品种区试工作。三</w:t>
      </w:r>
      <w:r>
        <w:rPr>
          <w:rFonts w:ascii="Times New Roman" w:hAnsi="Times New Roman" w:eastAsia="仿宋_GB2312" w:cs="Times New Roman"/>
          <w:sz w:val="32"/>
          <w:szCs w:val="32"/>
        </w:rPr>
        <w:t>是</w:t>
      </w:r>
      <w:r>
        <w:rPr>
          <w:rFonts w:hint="eastAsia" w:ascii="Times New Roman" w:hAnsi="Times New Roman" w:eastAsia="仿宋_GB2312" w:cs="Times New Roman"/>
          <w:sz w:val="32"/>
          <w:szCs w:val="32"/>
        </w:rPr>
        <w:t>优化提升品种登记。认真贯彻全国农技中心关于非主要农作物品种登记的部署要求，依法强化登记许可初审，要求申请单位严格按照《非主要农作物品种登记指南》要求准备材料、网上申报，严格按照《非主要农作物品种登记办法》《农业植物品种命名规定》《种业司关于进一步农作物品种命名及来源亲本组合表述要求的通知》等法规规章，强化品种登记初审。四是加强登记品种试验管理，要求各申请单位在开展适应性、抗病性、DUS试验前，将试验方案报我站备案。根据备案内容，开展现场调研，核实试验现场、试验过程、原始数据、图片影像资料，确保试验过程真实客观，试验结果公正有效；五是积极推进登记品种展示评价。依托省产业技术体系和阵型企业，联合开展登记品种展示评价，推出了一批综合性状优良、推广潜力大的苗头品种；六</w:t>
      </w:r>
      <w:r>
        <w:rPr>
          <w:rFonts w:ascii="Times New Roman" w:hAnsi="Times New Roman" w:eastAsia="仿宋_GB2312" w:cs="Times New Roman"/>
          <w:sz w:val="32"/>
          <w:szCs w:val="32"/>
        </w:rPr>
        <w:t>是</w:t>
      </w:r>
      <w:r>
        <w:rPr>
          <w:rFonts w:hint="eastAsia" w:ascii="Times New Roman" w:hAnsi="Times New Roman" w:eastAsia="仿宋_GB2312" w:cs="Times New Roman"/>
          <w:sz w:val="32"/>
          <w:szCs w:val="32"/>
        </w:rPr>
        <w:t>全链条监管净化种业市场。以种业知识产权保护为重点，强化监管工作机制建设，推行全链条全流程监管，着力净化种业市场；七是全面规范南繁科研育种园运营管理。着力打造种业创新基础平台，发挥南繁育种加速效能；</w:t>
      </w:r>
      <w:r>
        <w:rPr>
          <w:rFonts w:ascii="Times New Roman" w:hAnsi="Times New Roman" w:eastAsia="仿宋_GB2312" w:cs="Times New Roman"/>
          <w:sz w:val="32"/>
          <w:szCs w:val="32"/>
        </w:rPr>
        <w:t>八是</w:t>
      </w:r>
      <w:r>
        <w:rPr>
          <w:rFonts w:hint="eastAsia" w:ascii="Times New Roman" w:hAnsi="Times New Roman" w:eastAsia="仿宋_GB2312" w:cs="Times New Roman"/>
          <w:sz w:val="32"/>
          <w:szCs w:val="32"/>
        </w:rPr>
        <w:t>狠抓种情调度监测。八</w:t>
      </w:r>
      <w:r>
        <w:rPr>
          <w:rFonts w:ascii="Times New Roman" w:hAnsi="Times New Roman" w:eastAsia="仿宋_GB2312" w:cs="Times New Roman"/>
          <w:sz w:val="32"/>
          <w:szCs w:val="32"/>
        </w:rPr>
        <w:t>是</w:t>
      </w:r>
      <w:r>
        <w:rPr>
          <w:rFonts w:hint="eastAsia" w:ascii="Times New Roman" w:hAnsi="Times New Roman" w:eastAsia="仿宋_GB2312" w:cs="Times New Roman"/>
          <w:sz w:val="32"/>
          <w:szCs w:val="32"/>
        </w:rPr>
        <w:t>常态化开展产业运行监测，为精准施策提供支撑</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rPr>
        <w:t>预算执行率有待继续提高，预算执行有待进一步加强。预算执行进度落后于预算绩效目标完成情况，项目开支往往是在项目完成到一定阶段后才进行经费支出，部分项目结算进度较慢或者为跨年项目，未能在当年形成支出，指标结转较多。</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rPr>
        <w:t>进一步加强预算管理，提高预算执行率。预算编制与相关科室科学分析预算的必要性、可行性，测算所需资金，将预算细化，保证整体支出预算的准确性。实施过程中，加强动态分析，依据执行进度及时调整应对措施，以确保预算有效执行，提高年度预算执行率；优化指标设置，提高绩效管理水平。科学制定绩效目标，从数量、质量、成本、时效以及经济效益、社会效益、生态效益、可持续影响、满意度等方面细化，定量和定性指标相结合，优先采用定量指标表述，不能量化的，采用定性表述。</w:t>
      </w:r>
    </w:p>
    <w:p>
      <w:pPr>
        <w:pStyle w:val="12"/>
        <w:overflowPunct w:val="0"/>
        <w:spacing w:line="600" w:lineRule="exact"/>
        <w:ind w:firstLine="640" w:firstLineChars="200"/>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r>
        <w:rPr>
          <w:rFonts w:ascii="Times New Roman" w:hAnsi="Times New Roman" w:eastAsia="仿宋_GB2312" w:cs="Times New Roman"/>
          <w:color w:val="auto"/>
          <w:sz w:val="32"/>
          <w:szCs w:val="32"/>
        </w:rPr>
        <w:t>根据2024年度绩效自评结果、</w:t>
      </w:r>
      <w:r>
        <w:rPr>
          <w:rFonts w:hint="eastAsia" w:ascii="Times New Roman" w:hAnsi="Times New Roman" w:eastAsia="仿宋_GB2312" w:cs="Times New Roman"/>
          <w:color w:val="auto"/>
          <w:sz w:val="32"/>
          <w:szCs w:val="32"/>
        </w:rPr>
        <w:t>根据2024 年度绩效自评结果，不</w:t>
      </w:r>
      <w:r>
        <w:rPr>
          <w:rFonts w:ascii="Times New Roman" w:hAnsi="Times New Roman" w:eastAsia="仿宋_GB2312" w:cs="Times New Roman"/>
          <w:color w:val="auto"/>
          <w:sz w:val="32"/>
          <w:szCs w:val="32"/>
        </w:rPr>
        <w:t>断</w:t>
      </w:r>
      <w:r>
        <w:rPr>
          <w:rFonts w:hint="eastAsia" w:ascii="Times New Roman" w:hAnsi="Times New Roman" w:eastAsia="仿宋_GB2312" w:cs="Times New Roman"/>
          <w:color w:val="auto"/>
          <w:sz w:val="32"/>
          <w:szCs w:val="32"/>
        </w:rPr>
        <w:t>完善预算编制、优化预算支出结构，指</w:t>
      </w:r>
      <w:r>
        <w:rPr>
          <w:rFonts w:ascii="Times New Roman" w:hAnsi="Times New Roman" w:eastAsia="仿宋_GB2312" w:cs="Times New Roman"/>
          <w:color w:val="auto"/>
          <w:sz w:val="32"/>
          <w:szCs w:val="32"/>
        </w:rPr>
        <w:t>导</w:t>
      </w:r>
      <w:r>
        <w:rPr>
          <w:rFonts w:hint="eastAsia" w:ascii="Times New Roman" w:hAnsi="Times New Roman" w:eastAsia="仿宋_GB2312" w:cs="Times New Roman"/>
          <w:color w:val="auto"/>
          <w:sz w:val="32"/>
          <w:szCs w:val="32"/>
        </w:rPr>
        <w:t>提高下</w:t>
      </w:r>
      <w:r>
        <w:rPr>
          <w:rFonts w:ascii="Times New Roman" w:hAnsi="Times New Roman" w:eastAsia="仿宋_GB2312" w:cs="Times New Roman"/>
          <w:color w:val="auto"/>
          <w:sz w:val="32"/>
          <w:szCs w:val="32"/>
        </w:rPr>
        <w:t>一年</w:t>
      </w:r>
      <w:r>
        <w:rPr>
          <w:rFonts w:hint="eastAsia" w:ascii="Times New Roman" w:hAnsi="Times New Roman" w:eastAsia="仿宋_GB2312" w:cs="Times New Roman"/>
          <w:color w:val="auto"/>
          <w:sz w:val="32"/>
          <w:szCs w:val="32"/>
        </w:rPr>
        <w:t>财政资金使用效益，加强预算支出的规范化管理、健全和完善支出项目和资金使用、优化绩</w:t>
      </w:r>
      <w:r>
        <w:rPr>
          <w:rFonts w:ascii="Times New Roman" w:hAnsi="Times New Roman" w:eastAsia="仿宋_GB2312" w:cs="Times New Roman"/>
          <w:color w:val="auto"/>
          <w:sz w:val="32"/>
          <w:szCs w:val="32"/>
        </w:rPr>
        <w:t>效</w:t>
      </w:r>
      <w:r>
        <w:rPr>
          <w:rFonts w:hint="eastAsia" w:ascii="Times New Roman" w:hAnsi="Times New Roman" w:eastAsia="仿宋_GB2312" w:cs="Times New Roman"/>
          <w:color w:val="auto"/>
          <w:sz w:val="32"/>
          <w:szCs w:val="32"/>
        </w:rPr>
        <w:t>指标设置，提高绩效管理水平加强绩效目标管理和绩效考核工作。同时，按要求将自评报告在官网上公开。</w:t>
      </w:r>
    </w:p>
    <w:p>
      <w:pPr>
        <w:pStyle w:val="12"/>
        <w:jc w:val="center"/>
        <w:rPr>
          <w:rFonts w:ascii="Times New Roman" w:hAnsi="Times New Roman" w:cs="Times New Roman"/>
          <w:sz w:val="72"/>
          <w:szCs w:val="72"/>
        </w:rPr>
      </w:pPr>
    </w:p>
    <w:p>
      <w:pPr>
        <w:pStyle w:val="12"/>
        <w:jc w:val="both"/>
        <w:rPr>
          <w:rFonts w:ascii="Times New Roman" w:hAnsi="Times New Roman"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2"/>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 发生的各项支出，包括人员支出和公用支出。</w:t>
      </w:r>
    </w:p>
    <w:p>
      <w:pPr>
        <w:pStyle w:val="12"/>
        <w:ind w:firstLine="750" w:firstLineChars="2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项目支出：指在基本支出以外为完成相关行政任务和事业 发展目标所发生的各项支出。 </w:t>
      </w:r>
    </w:p>
    <w:p>
      <w:pPr>
        <w:pStyle w:val="12"/>
        <w:ind w:firstLine="750" w:firstLineChars="2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三、</w:t>
      </w:r>
      <w:r>
        <w:rPr>
          <w:rFonts w:ascii="Times New Roman" w:hAnsi="仿宋" w:eastAsia="仿宋" w:cs="Times New Roman"/>
          <w:color w:val="auto"/>
          <w:sz w:val="30"/>
          <w:szCs w:val="30"/>
        </w:rPr>
        <w:t xml:space="preserve">“三公”经费：指通过财政拨款资金安排的因公出国（境） 费、公务用车购置及运行费和公务接待费支出。 </w:t>
      </w:r>
    </w:p>
    <w:p>
      <w:pPr>
        <w:pStyle w:val="12"/>
        <w:spacing w:line="600" w:lineRule="exact"/>
        <w:ind w:firstLine="600" w:firstLineChars="200"/>
        <w:rPr>
          <w:rFonts w:ascii="Times New Roman" w:hAnsi="Times New Roman" w:eastAsia="楷体_GB2312" w:cs="Times New Roman"/>
          <w:b/>
          <w:bCs/>
          <w:i/>
          <w:color w:val="auto"/>
          <w:sz w:val="32"/>
          <w:szCs w:val="32"/>
        </w:rPr>
      </w:pPr>
      <w:r>
        <w:rPr>
          <w:rFonts w:hint="eastAsia" w:ascii="Times New Roman" w:hAnsi="仿宋" w:eastAsia="仿宋" w:cs="Times New Roman"/>
          <w:color w:val="auto"/>
          <w:sz w:val="30"/>
          <w:szCs w:val="30"/>
        </w:rPr>
        <w:t>四、</w:t>
      </w:r>
      <w:r>
        <w:rPr>
          <w:rFonts w:ascii="Times New Roman" w:hAnsi="仿宋" w:eastAsia="仿宋" w:cs="Times New Roman"/>
          <w:color w:val="auto"/>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both"/>
        <w:rPr>
          <w:rFonts w:ascii="Times New Roman" w:hAnsi="Times New Roman" w:cs="Times New Roman"/>
          <w:sz w:val="72"/>
          <w:szCs w:val="72"/>
        </w:rPr>
      </w:pPr>
    </w:p>
    <w:p>
      <w:pPr>
        <w:pStyle w:val="12"/>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adjustRightInd w:val="0"/>
        <w:snapToGrid w:val="0"/>
        <w:spacing w:line="600" w:lineRule="exact"/>
        <w:jc w:val="center"/>
        <w:rPr>
          <w:rFonts w:ascii="Times New Roman" w:hAnsi="Times New Roman" w:eastAsia="仿宋_GB2312" w:cs="Times New Roman"/>
          <w:sz w:val="32"/>
          <w:szCs w:val="32"/>
        </w:rPr>
      </w:pPr>
      <w:r>
        <w:rPr>
          <w:rFonts w:hint="eastAsia" w:ascii="Times New Roman" w:hAnsi="Times New Roman" w:eastAsia="方正小标宋_GBK" w:cs="Times New Roman"/>
          <w:sz w:val="48"/>
          <w:szCs w:val="48"/>
        </w:rPr>
        <w:t>2024</w:t>
      </w:r>
      <w:r>
        <w:rPr>
          <w:rFonts w:ascii="Times New Roman" w:hAnsi="Times New Roman" w:eastAsia="方正小标宋_GBK" w:cs="Times New Roman"/>
          <w:sz w:val="48"/>
          <w:szCs w:val="48"/>
        </w:rPr>
        <w:t>年</w:t>
      </w:r>
      <w:r>
        <w:rPr>
          <w:rFonts w:hint="eastAsia" w:ascii="Times New Roman" w:hAnsi="Times New Roman" w:eastAsia="方正小标宋_GBK" w:cs="Times New Roman"/>
          <w:sz w:val="48"/>
          <w:szCs w:val="48"/>
        </w:rPr>
        <w:t>度单位</w:t>
      </w:r>
      <w:r>
        <w:rPr>
          <w:rFonts w:ascii="Times New Roman" w:hAnsi="Times New Roman" w:eastAsia="方正小标宋_GBK" w:cs="Times New Roman"/>
          <w:sz w:val="48"/>
          <w:szCs w:val="48"/>
        </w:rPr>
        <w:t>整体支出</w:t>
      </w:r>
      <w:r>
        <w:rPr>
          <w:rFonts w:ascii="Times New Roman" w:hAnsi="Times New Roman" w:eastAsia="方正小标宋_GBK" w:cs="Times New Roman"/>
          <w:sz w:val="48"/>
          <w:szCs w:val="48"/>
        </w:rPr>
        <w:br w:type="textWrapping"/>
      </w:r>
      <w:r>
        <w:rPr>
          <w:rFonts w:ascii="Times New Roman" w:hAnsi="Times New Roman" w:eastAsia="方正小标宋_GBK" w:cs="Times New Roman"/>
          <w:sz w:val="48"/>
          <w:szCs w:val="48"/>
        </w:rPr>
        <w:t>绩效自评报告</w:t>
      </w: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cs="Times New Roman"/>
          <w:sz w:val="72"/>
          <w:szCs w:val="72"/>
        </w:rPr>
      </w:pPr>
    </w:p>
    <w:p>
      <w:pPr>
        <w:pStyle w:val="12"/>
        <w:jc w:val="center"/>
        <w:rPr>
          <w:rFonts w:ascii="Times New Roman" w:hAnsi="Times New Roman"/>
          <w:sz w:val="36"/>
          <w:szCs w:val="36"/>
        </w:rPr>
      </w:pPr>
      <w:r>
        <w:rPr>
          <w:rFonts w:ascii="Times New Roman" w:hAnsi="Times New Roman" w:cs="Times New Roman"/>
          <w:color w:val="auto"/>
          <w:sz w:val="36"/>
          <w:szCs w:val="36"/>
        </w:rPr>
        <w:t>单位名称（盖章）：</w:t>
      </w:r>
      <w:r>
        <w:rPr>
          <w:rFonts w:hint="eastAsia" w:ascii="Times New Roman" w:hAnsi="Times New Roman" w:cs="Times New Roman"/>
          <w:color w:val="auto"/>
          <w:sz w:val="36"/>
          <w:szCs w:val="36"/>
        </w:rPr>
        <w:t>湖南省</w:t>
      </w:r>
      <w:r>
        <w:rPr>
          <w:rFonts w:hint="eastAsia" w:ascii="Times New Roman" w:hAnsi="Times New Roman"/>
          <w:sz w:val="36"/>
          <w:szCs w:val="36"/>
        </w:rPr>
        <w:t>种子</w:t>
      </w:r>
      <w:r>
        <w:rPr>
          <w:rFonts w:ascii="Times New Roman" w:hAnsi="Times New Roman"/>
          <w:sz w:val="36"/>
          <w:szCs w:val="36"/>
        </w:rPr>
        <w:t>管理</w:t>
      </w:r>
      <w:r>
        <w:rPr>
          <w:rFonts w:hint="eastAsia" w:ascii="Times New Roman" w:hAnsi="Times New Roman"/>
          <w:sz w:val="36"/>
          <w:szCs w:val="36"/>
        </w:rPr>
        <w:t>服务站</w:t>
      </w:r>
    </w:p>
    <w:p>
      <w:pPr>
        <w:pStyle w:val="12"/>
        <w:jc w:val="center"/>
        <w:rPr>
          <w:rFonts w:ascii="Times New Roman" w:hAnsi="Times New Roman"/>
          <w:sz w:val="36"/>
          <w:szCs w:val="36"/>
        </w:rPr>
      </w:pPr>
    </w:p>
    <w:p>
      <w:pPr>
        <w:pStyle w:val="12"/>
        <w:jc w:val="center"/>
        <w:rPr>
          <w:rFonts w:ascii="Times New Roman" w:hAnsi="Times New Roman"/>
          <w:sz w:val="36"/>
          <w:szCs w:val="36"/>
        </w:rPr>
      </w:pPr>
    </w:p>
    <w:p>
      <w:pPr>
        <w:pStyle w:val="12"/>
        <w:jc w:val="center"/>
        <w:rPr>
          <w:rFonts w:ascii="Times New Roman" w:hAnsi="Times New Roman"/>
          <w:sz w:val="36"/>
          <w:szCs w:val="36"/>
        </w:rPr>
      </w:pPr>
    </w:p>
    <w:p>
      <w:pPr>
        <w:widowControl/>
        <w:jc w:val="left"/>
        <w:rPr>
          <w:rFonts w:ascii="Times New Roman" w:hAnsi="Times New Roman" w:eastAsia="黑体" w:cs="黑体"/>
          <w:color w:val="000000"/>
          <w:kern w:val="0"/>
          <w:sz w:val="36"/>
          <w:szCs w:val="36"/>
        </w:rPr>
      </w:pPr>
      <w:r>
        <w:rPr>
          <w:rFonts w:ascii="Times New Roman" w:hAnsi="Times New Roman"/>
          <w:sz w:val="36"/>
          <w:szCs w:val="36"/>
        </w:rPr>
        <w:br w:type="page"/>
      </w:r>
    </w:p>
    <w:p>
      <w:pPr>
        <w:pStyle w:val="12"/>
        <w:jc w:val="center"/>
        <w:rPr>
          <w:rFonts w:ascii="Times New Roman" w:hAnsi="Times New Roman"/>
          <w:sz w:val="36"/>
          <w:szCs w:val="36"/>
        </w:rPr>
      </w:pPr>
    </w:p>
    <w:p>
      <w:pPr>
        <w:spacing w:line="600" w:lineRule="exact"/>
        <w:ind w:firstLine="640" w:firstLineChars="200"/>
        <w:outlineLvl w:val="0"/>
        <w:rPr>
          <w:rFonts w:ascii="Times New Roman" w:hAnsi="Times New Roman" w:eastAsia="仿宋_GB2312"/>
          <w:sz w:val="32"/>
          <w:szCs w:val="32"/>
        </w:rPr>
      </w:pPr>
      <w:r>
        <w:rPr>
          <w:rFonts w:ascii="Times New Roman" w:hAnsi="Times New Roman" w:eastAsia="方正公文黑体"/>
          <w:sz w:val="32"/>
          <w:szCs w:val="32"/>
        </w:rPr>
        <w:t>一、基本情况</w:t>
      </w:r>
    </w:p>
    <w:p>
      <w:pPr>
        <w:ind w:firstLine="640" w:firstLineChars="200"/>
        <w:rPr>
          <w:rFonts w:ascii="Times New Roman" w:hAnsi="Times New Roman" w:eastAsia="仿宋_GB2312"/>
          <w:sz w:val="32"/>
          <w:szCs w:val="32"/>
        </w:rPr>
      </w:pPr>
      <w:r>
        <w:rPr>
          <w:rFonts w:ascii="Times New Roman" w:hAnsi="Times New Roman" w:eastAsia="楷体_GB2312"/>
          <w:b/>
          <w:bCs/>
          <w:sz w:val="32"/>
          <w:szCs w:val="32"/>
        </w:rPr>
        <w:t>1</w:t>
      </w:r>
      <w:r>
        <w:rPr>
          <w:rFonts w:hint="eastAsia" w:ascii="Times New Roman" w:hAnsi="Times New Roman" w:eastAsia="楷体_GB2312"/>
          <w:b/>
          <w:bCs/>
          <w:sz w:val="32"/>
          <w:szCs w:val="32"/>
        </w:rPr>
        <w:t>.</w:t>
      </w:r>
      <w:r>
        <w:rPr>
          <w:rFonts w:ascii="Times New Roman" w:hAnsi="Times New Roman" w:eastAsia="楷体_GB2312"/>
          <w:b/>
          <w:bCs/>
          <w:sz w:val="32"/>
          <w:szCs w:val="32"/>
        </w:rPr>
        <w:t>主要职能。</w:t>
      </w:r>
      <w:r>
        <w:rPr>
          <w:rFonts w:hint="eastAsia" w:ascii="Times New Roman" w:hAnsi="Times New Roman" w:eastAsia="仿宋_GB2312"/>
          <w:sz w:val="32"/>
          <w:szCs w:val="32"/>
        </w:rPr>
        <w:t>湖南省种子管理服务站系省农业农村厅二级预算单位，主要职责有：</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组织实施省级农作物品种区域试验、生产试验,承担省级审定农作物品种标准样品的封存、保管工作；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负责省级农作物新品种展示、示范工作；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负责农作物种子质量检验工作,承担种子检验员、种子质量检验机构考核的技术评价工作；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承担农作物种子纯度种植鉴定和组织种子质量纠纷田间现场鉴定工作；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开展种子供需形势调度和价格监测,负责种业基础信息收集和统计分析；</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承担救灾备荒种子储备管理的技术服务工作；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承担农作物种子南繁技术服务工作；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负责种子繁育、检验、加工、储藏等种业新技术的试验、示范与推广工作；</w:t>
      </w:r>
    </w:p>
    <w:p>
      <w:pPr>
        <w:ind w:firstLine="640" w:firstLineChars="200"/>
        <w:rPr>
          <w:rFonts w:ascii="仿宋_GB2312" w:hAnsi="仿宋_GB2312" w:eastAsia="仿宋_GB2312" w:cs="仿宋_GB2312"/>
          <w:sz w:val="32"/>
          <w:szCs w:val="32"/>
        </w:rPr>
      </w:pPr>
      <w:r>
        <w:rPr>
          <w:rFonts w:hint="eastAsia" w:ascii="Times New Roman" w:hAnsi="Times New Roman" w:eastAsia="仿宋_GB2312"/>
          <w:sz w:val="32"/>
          <w:szCs w:val="32"/>
        </w:rPr>
        <w:t>承担种业技术标准的制修订工作；</w:t>
      </w:r>
    </w:p>
    <w:p>
      <w:pPr>
        <w:snapToGrid w:val="0"/>
        <w:spacing w:line="600" w:lineRule="exact"/>
        <w:ind w:firstLine="640" w:firstLineChars="200"/>
        <w:rPr>
          <w:rFonts w:ascii="Times New Roman" w:hAnsi="Times New Roman" w:eastAsia="仿宋_GB2312"/>
          <w:sz w:val="32"/>
          <w:szCs w:val="32"/>
        </w:rPr>
      </w:pPr>
      <w:r>
        <w:rPr>
          <w:rFonts w:ascii="Times New Roman" w:hAnsi="Times New Roman" w:eastAsia="楷体_GB2312"/>
          <w:b/>
          <w:bCs/>
          <w:sz w:val="32"/>
          <w:szCs w:val="32"/>
        </w:rPr>
        <w:t>2</w:t>
      </w:r>
      <w:r>
        <w:rPr>
          <w:rFonts w:hint="eastAsia" w:ascii="Times New Roman" w:hAnsi="Times New Roman" w:eastAsia="楷体_GB2312"/>
          <w:b/>
          <w:bCs/>
          <w:sz w:val="32"/>
          <w:szCs w:val="32"/>
        </w:rPr>
        <w:t>.</w:t>
      </w:r>
      <w:r>
        <w:rPr>
          <w:rFonts w:hint="eastAsia"/>
        </w:rPr>
        <w:t xml:space="preserve"> </w:t>
      </w:r>
      <w:r>
        <w:rPr>
          <w:rFonts w:hint="eastAsia" w:ascii="Times New Roman" w:hAnsi="Times New Roman" w:eastAsia="楷体_GB2312"/>
          <w:b/>
          <w:bCs/>
          <w:sz w:val="32"/>
          <w:szCs w:val="32"/>
        </w:rPr>
        <w:t>内设机构设置</w:t>
      </w:r>
      <w:r>
        <w:rPr>
          <w:rFonts w:ascii="Times New Roman" w:hAnsi="Times New Roman" w:eastAsia="楷体_GB2312"/>
          <w:b/>
          <w:bCs/>
          <w:sz w:val="32"/>
          <w:szCs w:val="32"/>
        </w:rPr>
        <w:t>。</w:t>
      </w:r>
      <w:r>
        <w:rPr>
          <w:rFonts w:hint="eastAsia" w:ascii="Times New Roman" w:hAnsi="Times New Roman" w:eastAsia="仿宋_GB2312"/>
          <w:sz w:val="32"/>
          <w:szCs w:val="32"/>
        </w:rPr>
        <w:t>湖南省种子管理服务站内设机构包括：综合科、财务科、品种管理科、种业监测科、新品种保护与种子质量科等五个科室。</w:t>
      </w:r>
    </w:p>
    <w:p>
      <w:pPr>
        <w:spacing w:line="600" w:lineRule="exact"/>
        <w:ind w:firstLine="640" w:firstLineChars="200"/>
        <w:rPr>
          <w:rFonts w:ascii="Times New Roman" w:hAnsi="Times New Roman" w:eastAsia="仿宋_GB2312"/>
          <w:sz w:val="32"/>
          <w:szCs w:val="32"/>
        </w:rPr>
      </w:pPr>
      <w:r>
        <w:rPr>
          <w:rFonts w:ascii="Times New Roman" w:hAnsi="Times New Roman" w:eastAsia="楷体_GB2312"/>
          <w:b/>
          <w:bCs/>
          <w:sz w:val="32"/>
          <w:szCs w:val="32"/>
        </w:rPr>
        <w:t>3</w:t>
      </w:r>
      <w:r>
        <w:rPr>
          <w:rFonts w:hint="eastAsia" w:ascii="Times New Roman" w:hAnsi="Times New Roman" w:eastAsia="楷体_GB2312"/>
          <w:b/>
          <w:bCs/>
          <w:sz w:val="32"/>
          <w:szCs w:val="32"/>
        </w:rPr>
        <w:t>.</w:t>
      </w:r>
      <w:r>
        <w:rPr>
          <w:rFonts w:ascii="Times New Roman" w:hAnsi="Times New Roman" w:eastAsia="楷体_GB2312"/>
          <w:b/>
          <w:bCs/>
          <w:sz w:val="32"/>
          <w:szCs w:val="32"/>
        </w:rPr>
        <w:t>人员情况。</w:t>
      </w:r>
      <w:r>
        <w:rPr>
          <w:rFonts w:ascii="Times New Roman" w:hAnsi="Times New Roman" w:eastAsia="仿宋_GB2312"/>
          <w:sz w:val="32"/>
          <w:szCs w:val="32"/>
        </w:rPr>
        <w:t>截至202</w:t>
      </w:r>
      <w:r>
        <w:rPr>
          <w:rFonts w:hint="eastAsia" w:ascii="Times New Roman" w:hAnsi="Times New Roman" w:eastAsia="仿宋_GB2312"/>
          <w:sz w:val="32"/>
          <w:szCs w:val="32"/>
        </w:rPr>
        <w:t>4</w:t>
      </w:r>
      <w:r>
        <w:rPr>
          <w:rFonts w:ascii="Times New Roman" w:hAnsi="Times New Roman" w:eastAsia="仿宋_GB2312"/>
          <w:sz w:val="32"/>
          <w:szCs w:val="32"/>
        </w:rPr>
        <w:t>年底，</w:t>
      </w:r>
      <w:r>
        <w:rPr>
          <w:rFonts w:hint="eastAsia" w:ascii="Times New Roman" w:hAnsi="Times New Roman" w:eastAsia="仿宋_GB2312"/>
          <w:sz w:val="32"/>
          <w:szCs w:val="32"/>
        </w:rPr>
        <w:t>省种子管理服务站实有在职人员8人，其中：参照公务员法管理事业人员8人；退休人员18人。</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二、一般公共预算支出情况</w:t>
      </w:r>
    </w:p>
    <w:p>
      <w:pPr>
        <w:pStyle w:val="13"/>
        <w:widowControl/>
        <w:spacing w:line="600" w:lineRule="exact"/>
        <w:ind w:firstLine="643"/>
        <w:outlineLvl w:val="1"/>
        <w:rPr>
          <w:rFonts w:ascii="Times New Roman" w:hAnsi="Times New Roman" w:eastAsia="楷体_GB2312"/>
          <w:b/>
          <w:bCs/>
          <w:sz w:val="32"/>
          <w:szCs w:val="32"/>
        </w:rPr>
      </w:pPr>
      <w:r>
        <w:rPr>
          <w:rFonts w:ascii="Times New Roman" w:hAnsi="Times New Roman" w:eastAsia="楷体_GB2312"/>
          <w:b/>
          <w:bCs/>
          <w:sz w:val="32"/>
          <w:szCs w:val="32"/>
        </w:rPr>
        <w:t>（一）基本支出情况</w:t>
      </w:r>
    </w:p>
    <w:p>
      <w:pPr>
        <w:spacing w:line="600" w:lineRule="exact"/>
        <w:ind w:firstLine="632" w:firstLineChars="200"/>
        <w:rPr>
          <w:rFonts w:ascii="Times New Roman" w:hAnsi="Times New Roman" w:eastAsia="仿宋_GB2312"/>
          <w:bCs/>
          <w:spacing w:val="-2"/>
          <w:sz w:val="32"/>
          <w:szCs w:val="32"/>
        </w:rPr>
      </w:pPr>
      <w:r>
        <w:rPr>
          <w:rFonts w:ascii="Times New Roman" w:hAnsi="Times New Roman" w:eastAsia="仿宋_GB2312"/>
          <w:spacing w:val="-2"/>
          <w:sz w:val="32"/>
          <w:szCs w:val="32"/>
        </w:rPr>
        <w:t>202</w:t>
      </w:r>
      <w:r>
        <w:rPr>
          <w:rFonts w:hint="eastAsia" w:ascii="Times New Roman" w:hAnsi="Times New Roman" w:eastAsia="仿宋_GB2312"/>
          <w:spacing w:val="-2"/>
          <w:sz w:val="32"/>
          <w:szCs w:val="32"/>
        </w:rPr>
        <w:t>4</w:t>
      </w:r>
      <w:r>
        <w:rPr>
          <w:rFonts w:ascii="Times New Roman" w:hAnsi="Times New Roman" w:eastAsia="仿宋_GB2312"/>
          <w:spacing w:val="-2"/>
          <w:sz w:val="32"/>
          <w:szCs w:val="32"/>
        </w:rPr>
        <w:t>年</w:t>
      </w:r>
      <w:r>
        <w:rPr>
          <w:rFonts w:ascii="Times New Roman" w:hAnsi="Times New Roman" w:eastAsia="仿宋_GB2312"/>
          <w:sz w:val="32"/>
          <w:szCs w:val="32"/>
        </w:rPr>
        <w:t>基本支出预算安排为</w:t>
      </w:r>
      <w:r>
        <w:rPr>
          <w:rFonts w:hint="eastAsia" w:ascii="Times New Roman" w:hAnsi="Times New Roman" w:eastAsia="仿宋_GB2312"/>
          <w:spacing w:val="-2"/>
          <w:sz w:val="32"/>
          <w:szCs w:val="32"/>
          <w:lang w:val="en"/>
        </w:rPr>
        <w:t>361.11</w:t>
      </w:r>
      <w:r>
        <w:rPr>
          <w:rFonts w:ascii="Times New Roman" w:hAnsi="Times New Roman" w:eastAsia="仿宋_GB2312"/>
          <w:sz w:val="32"/>
          <w:szCs w:val="32"/>
        </w:rPr>
        <w:t>万元，实际</w:t>
      </w:r>
      <w:r>
        <w:rPr>
          <w:rFonts w:ascii="Times New Roman" w:hAnsi="Times New Roman" w:eastAsia="仿宋_GB2312"/>
          <w:spacing w:val="-2"/>
          <w:sz w:val="32"/>
          <w:szCs w:val="32"/>
        </w:rPr>
        <w:t>支出</w:t>
      </w:r>
      <w:r>
        <w:rPr>
          <w:rFonts w:hint="eastAsia" w:ascii="Times New Roman" w:hAnsi="Times New Roman" w:eastAsia="仿宋_GB2312"/>
          <w:spacing w:val="-2"/>
          <w:sz w:val="32"/>
          <w:szCs w:val="32"/>
          <w:lang w:val="en"/>
        </w:rPr>
        <w:t>343.41</w:t>
      </w:r>
      <w:r>
        <w:rPr>
          <w:rFonts w:ascii="Times New Roman" w:hAnsi="Times New Roman" w:eastAsia="仿宋_GB2312"/>
          <w:spacing w:val="-2"/>
          <w:sz w:val="32"/>
          <w:szCs w:val="32"/>
        </w:rPr>
        <w:t>万元，其中工资福利支出</w:t>
      </w:r>
      <w:r>
        <w:rPr>
          <w:rFonts w:hint="eastAsia" w:ascii="Times New Roman" w:hAnsi="Times New Roman" w:eastAsia="仿宋_GB2312"/>
          <w:spacing w:val="-2"/>
          <w:sz w:val="32"/>
          <w:szCs w:val="32"/>
          <w:lang w:val="en"/>
        </w:rPr>
        <w:t>227.46</w:t>
      </w:r>
      <w:r>
        <w:rPr>
          <w:rFonts w:ascii="Times New Roman" w:hAnsi="Times New Roman" w:eastAsia="仿宋_GB2312"/>
          <w:spacing w:val="-2"/>
          <w:sz w:val="32"/>
          <w:szCs w:val="32"/>
        </w:rPr>
        <w:t>万元，商品服务支出</w:t>
      </w:r>
      <w:r>
        <w:rPr>
          <w:rFonts w:hint="eastAsia" w:ascii="Times New Roman" w:hAnsi="Times New Roman" w:eastAsia="仿宋_GB2312"/>
          <w:spacing w:val="-2"/>
          <w:sz w:val="32"/>
          <w:szCs w:val="32"/>
          <w:lang w:val="en"/>
        </w:rPr>
        <w:t>32.95</w:t>
      </w:r>
      <w:r>
        <w:rPr>
          <w:rFonts w:ascii="Times New Roman" w:hAnsi="Times New Roman" w:eastAsia="仿宋_GB2312"/>
          <w:spacing w:val="-2"/>
          <w:sz w:val="32"/>
          <w:szCs w:val="32"/>
        </w:rPr>
        <w:t>万元，对个人和家庭的补助支出</w:t>
      </w:r>
      <w:r>
        <w:rPr>
          <w:rFonts w:hint="eastAsia" w:ascii="Times New Roman" w:hAnsi="Times New Roman" w:eastAsia="仿宋_GB2312"/>
          <w:spacing w:val="-2"/>
          <w:sz w:val="32"/>
          <w:szCs w:val="32"/>
          <w:lang w:val="en"/>
        </w:rPr>
        <w:t>83.01</w:t>
      </w:r>
      <w:r>
        <w:rPr>
          <w:rFonts w:ascii="Times New Roman" w:hAnsi="Times New Roman" w:eastAsia="仿宋_GB2312"/>
          <w:spacing w:val="-2"/>
          <w:sz w:val="32"/>
          <w:szCs w:val="32"/>
        </w:rPr>
        <w:t>万元。</w:t>
      </w:r>
      <w:r>
        <w:rPr>
          <w:rFonts w:ascii="Times New Roman" w:hAnsi="Times New Roman" w:eastAsia="仿宋_GB2312"/>
          <w:sz w:val="32"/>
          <w:szCs w:val="32"/>
        </w:rPr>
        <w:t>指标结余</w:t>
      </w:r>
      <w:r>
        <w:rPr>
          <w:rFonts w:hint="eastAsia" w:ascii="Times New Roman" w:hAnsi="Times New Roman" w:eastAsia="仿宋_GB2312"/>
          <w:sz w:val="32"/>
          <w:szCs w:val="32"/>
        </w:rPr>
        <w:t>17.70</w:t>
      </w:r>
      <w:r>
        <w:rPr>
          <w:rFonts w:ascii="Times New Roman" w:hAnsi="Times New Roman" w:eastAsia="仿宋_GB2312"/>
          <w:sz w:val="32"/>
          <w:szCs w:val="32"/>
        </w:rPr>
        <w:t>万元</w:t>
      </w:r>
      <w:r>
        <w:rPr>
          <w:rFonts w:ascii="Times New Roman" w:hAnsi="Times New Roman" w:eastAsia="仿宋_GB2312"/>
          <w:spacing w:val="-2"/>
          <w:sz w:val="32"/>
          <w:szCs w:val="32"/>
        </w:rPr>
        <w:t>，完成预算安排的</w:t>
      </w:r>
      <w:r>
        <w:rPr>
          <w:rFonts w:hint="eastAsia" w:ascii="Times New Roman" w:hAnsi="Times New Roman" w:eastAsia="仿宋_GB2312"/>
          <w:spacing w:val="-2"/>
          <w:sz w:val="32"/>
          <w:szCs w:val="32"/>
          <w:lang w:val="en"/>
        </w:rPr>
        <w:t>95.10</w:t>
      </w:r>
      <w:r>
        <w:rPr>
          <w:rFonts w:ascii="Times New Roman" w:hAnsi="Times New Roman" w:eastAsia="仿宋_GB2312"/>
          <w:spacing w:val="-2"/>
          <w:sz w:val="32"/>
          <w:szCs w:val="32"/>
          <w:lang w:val="en"/>
        </w:rPr>
        <w:t>%</w:t>
      </w:r>
      <w:r>
        <w:rPr>
          <w:rFonts w:ascii="Times New Roman" w:hAnsi="Times New Roman" w:eastAsia="仿宋_GB2312"/>
          <w:spacing w:val="-2"/>
          <w:sz w:val="32"/>
          <w:szCs w:val="32"/>
        </w:rPr>
        <w:t>，基本支出</w:t>
      </w:r>
      <w:bookmarkStart w:id="3" w:name="OLE_LINK5"/>
      <w:bookmarkStart w:id="4" w:name="OLE_LINK4"/>
      <w:r>
        <w:rPr>
          <w:rFonts w:ascii="Times New Roman" w:hAnsi="Times New Roman" w:eastAsia="仿宋_GB2312"/>
          <w:spacing w:val="-2"/>
          <w:sz w:val="32"/>
          <w:szCs w:val="32"/>
        </w:rPr>
        <w:t>较好地控制在预算额度内。</w:t>
      </w:r>
      <w:bookmarkEnd w:id="3"/>
      <w:bookmarkEnd w:id="4"/>
    </w:p>
    <w:p>
      <w:pPr>
        <w:pStyle w:val="13"/>
        <w:widowControl/>
        <w:spacing w:line="600" w:lineRule="exact"/>
        <w:ind w:firstLine="643"/>
        <w:outlineLvl w:val="1"/>
        <w:rPr>
          <w:rFonts w:ascii="Times New Roman" w:hAnsi="Times New Roman" w:eastAsia="楷体_GB2312"/>
          <w:b/>
          <w:bCs/>
          <w:sz w:val="32"/>
          <w:szCs w:val="32"/>
        </w:rPr>
      </w:pPr>
      <w:r>
        <w:rPr>
          <w:rFonts w:ascii="Times New Roman" w:hAnsi="Times New Roman" w:eastAsia="楷体_GB2312"/>
          <w:b/>
          <w:bCs/>
          <w:sz w:val="32"/>
          <w:szCs w:val="32"/>
        </w:rPr>
        <w:t>（二）项目支出情况</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2024年项目支出预算安排175.25万元，本年项目支出数为64.65万元，年末结转结余110.60万元。其</w:t>
      </w:r>
      <w:r>
        <w:rPr>
          <w:rFonts w:ascii="Times New Roman" w:hAnsi="Times New Roman" w:eastAsia="仿宋_GB2312"/>
          <w:sz w:val="32"/>
          <w:szCs w:val="32"/>
        </w:rPr>
        <w:t>中</w:t>
      </w:r>
      <w:r>
        <w:rPr>
          <w:rFonts w:hint="eastAsia" w:ascii="Times New Roman" w:hAnsi="Times New Roman" w:eastAsia="仿宋_GB2312"/>
          <w:sz w:val="32"/>
          <w:szCs w:val="32"/>
        </w:rPr>
        <w:t>：省级专项支出28.71万元，主要用于农作物种业安全监管、早稻集中育秧及粮食面积核查及农产品质量安全等方面的支出；其他事业类发展资金支出35.94万元，主要用于农作物品种区试和市场管理服务方面及人员经费方面的支出。</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三、政府性基金预算支出情况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四、国有资本经营预算支出情况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五、社会保险基金预算支出情况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58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六、部门整体支出绩效情况</w:t>
      </w:r>
    </w:p>
    <w:p>
      <w:pPr>
        <w:pStyle w:val="18"/>
        <w:pBdr>
          <w:bottom w:val="single" w:color="FFFFFF" w:sz="4" w:space="31"/>
        </w:pBdr>
        <w:tabs>
          <w:tab w:val="left" w:pos="1440"/>
        </w:tabs>
        <w:adjustRightInd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2024年，我站严格按照厅党组的决策部署，立足“三高四新”，以种业技术服务为主线，促进湖南种业高质量发展，较好地完成了全年目标任务。</w:t>
      </w:r>
    </w:p>
    <w:p>
      <w:pPr>
        <w:pStyle w:val="18"/>
        <w:numPr>
          <w:ilvl w:val="0"/>
          <w:numId w:val="2"/>
        </w:numPr>
        <w:pBdr>
          <w:bottom w:val="single" w:color="FFFFFF" w:sz="4" w:space="31"/>
        </w:pBdr>
        <w:tabs>
          <w:tab w:val="left" w:pos="1440"/>
        </w:tabs>
        <w:adjustRightInd w:val="0"/>
        <w:snapToGrid w:val="0"/>
        <w:spacing w:line="580" w:lineRule="exact"/>
        <w:ind w:firstLine="640" w:firstLineChars="200"/>
        <w:outlineLvl w:val="1"/>
        <w:rPr>
          <w:rFonts w:ascii="楷体_GB2312" w:hAnsi="楷体_GB2312" w:eastAsia="楷体_GB2312" w:cs="楷体_GB2312"/>
          <w:b/>
          <w:sz w:val="32"/>
          <w:szCs w:val="32"/>
        </w:rPr>
      </w:pPr>
      <w:r>
        <w:rPr>
          <w:rFonts w:hint="eastAsia" w:ascii="楷体_GB2312" w:hAnsi="楷体_GB2312" w:eastAsia="楷体_GB2312" w:cs="楷体_GB2312"/>
          <w:b/>
          <w:sz w:val="32"/>
          <w:szCs w:val="32"/>
        </w:rPr>
        <w:t>严控运行成本</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hint="eastAsia" w:ascii="Times New Roman" w:hAnsi="Times New Roman" w:eastAsia="仿宋_GB2312"/>
          <w:sz w:val="32"/>
          <w:szCs w:val="32"/>
          <w:shd w:val="clear" w:color="auto" w:fill="FFFFFF"/>
        </w:rPr>
        <w:t>2024年“三公”经费支出5.86万元。其中公务接待费0万元、公务用车运行维护费0万元、车辆购置费支出0万元，较年初预算9万元节约2.5万元，节约比为34.89%。基本支出中水费、电费和差旅费等公用经费年初预算为39.64万元，决算数为32.95万元，节约比为16.88%。会议费和培训费年初预算为12万元，决算数为3.86万元，节约比为67.83%，均合理控制在预算以内。</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kern w:val="0"/>
          <w:sz w:val="32"/>
          <w:szCs w:val="32"/>
          <w:shd w:val="clear" w:color="auto" w:fill="FFFFFF"/>
          <w:lang w:bidi="ar"/>
        </w:rPr>
      </w:pPr>
      <w:r>
        <w:rPr>
          <w:rFonts w:ascii="Times New Roman" w:hAnsi="Times New Roman" w:eastAsia="仿宋_GB2312"/>
          <w:bCs/>
          <w:sz w:val="32"/>
          <w:szCs w:val="32"/>
          <w:shd w:val="clear" w:color="auto" w:fill="FFFFFF"/>
        </w:rPr>
        <w:t>规范资产的管理。</w:t>
      </w:r>
      <w:r>
        <w:rPr>
          <w:rFonts w:ascii="Times New Roman" w:hAnsi="Times New Roman" w:eastAsia="仿宋_GB2312"/>
          <w:sz w:val="32"/>
          <w:szCs w:val="32"/>
          <w:shd w:val="clear" w:color="auto" w:fill="FFFFFF"/>
        </w:rPr>
        <w:t>定期开展资产清查。严格按照国有资产配置限额和标准，有计划有部署地做好资产预算编制和政府采购工作，</w:t>
      </w:r>
      <w:r>
        <w:rPr>
          <w:rFonts w:ascii="Times New Roman" w:hAnsi="Times New Roman" w:eastAsia="仿宋_GB2312"/>
          <w:kern w:val="0"/>
          <w:sz w:val="32"/>
          <w:szCs w:val="32"/>
          <w:shd w:val="clear" w:color="auto" w:fill="FFFFFF"/>
          <w:lang w:bidi="ar"/>
        </w:rPr>
        <w:t>及时更新资产管理系统信息，</w:t>
      </w:r>
      <w:r>
        <w:rPr>
          <w:rFonts w:ascii="Times New Roman" w:hAnsi="Times New Roman" w:eastAsia="仿宋_GB2312"/>
          <w:sz w:val="32"/>
          <w:szCs w:val="32"/>
          <w:shd w:val="clear" w:color="auto" w:fill="FFFFFF"/>
        </w:rPr>
        <w:t>做到资产账账相符、账实相符</w:t>
      </w:r>
      <w:r>
        <w:rPr>
          <w:rFonts w:hint="eastAsia" w:ascii="Times New Roman" w:hAnsi="Times New Roman" w:eastAsia="仿宋_GB2312"/>
          <w:sz w:val="32"/>
          <w:szCs w:val="32"/>
          <w:shd w:val="clear" w:color="auto" w:fill="FFFFFF"/>
        </w:rPr>
        <w:t>，</w:t>
      </w:r>
      <w:r>
        <w:rPr>
          <w:rFonts w:ascii="Times New Roman" w:hAnsi="Times New Roman" w:eastAsia="仿宋_GB2312"/>
          <w:kern w:val="0"/>
          <w:sz w:val="32"/>
          <w:szCs w:val="32"/>
          <w:shd w:val="clear" w:color="auto" w:fill="FFFFFF"/>
          <w:lang w:bidi="ar"/>
        </w:rPr>
        <w:t>全面反映实物资产情况。</w:t>
      </w:r>
    </w:p>
    <w:p>
      <w:pPr>
        <w:pStyle w:val="18"/>
        <w:numPr>
          <w:ilvl w:val="0"/>
          <w:numId w:val="2"/>
        </w:numPr>
        <w:pBdr>
          <w:bottom w:val="single" w:color="FFFFFF" w:sz="4" w:space="31"/>
        </w:pBdr>
        <w:tabs>
          <w:tab w:val="left" w:pos="1440"/>
        </w:tabs>
        <w:adjustRightInd w:val="0"/>
        <w:snapToGrid w:val="0"/>
        <w:spacing w:line="580" w:lineRule="exact"/>
        <w:ind w:firstLine="640" w:firstLineChars="200"/>
        <w:outlineLvl w:val="1"/>
        <w:rPr>
          <w:rFonts w:ascii="楷体_GB2312" w:hAnsi="楷体_GB2312" w:eastAsia="楷体_GB2312" w:cs="楷体_GB2312"/>
          <w:b/>
          <w:sz w:val="32"/>
          <w:szCs w:val="32"/>
        </w:rPr>
      </w:pPr>
      <w:r>
        <w:rPr>
          <w:rFonts w:ascii="楷体_GB2312" w:hAnsi="楷体_GB2312" w:eastAsia="楷体_GB2312" w:cs="楷体_GB2312"/>
          <w:b/>
          <w:sz w:val="32"/>
          <w:szCs w:val="32"/>
        </w:rPr>
        <w:t>管理效率高</w:t>
      </w:r>
      <w:r>
        <w:rPr>
          <w:rFonts w:hint="eastAsia" w:ascii="楷体_GB2312" w:hAnsi="楷体_GB2312" w:eastAsia="楷体_GB2312" w:cs="楷体_GB2312"/>
          <w:b/>
          <w:sz w:val="32"/>
          <w:szCs w:val="32"/>
        </w:rPr>
        <w:t>、</w:t>
      </w:r>
      <w:r>
        <w:rPr>
          <w:rFonts w:hint="eastAsia" w:ascii="Times New Roman" w:hAnsi="Times New Roman" w:eastAsia="仿宋_GB2312"/>
          <w:b/>
          <w:bCs/>
          <w:sz w:val="32"/>
          <w:szCs w:val="32"/>
        </w:rPr>
        <w:t>成效显著</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健全完善品种审定制度。狠抓品种审定制度建设，把握种业振兴重大品种培育方向走势。一是成立了第八届湖南省农作物品种审定委员会。设立了稻、玉米、棉花（大豆）等3个专业委员会委员库。二是制订了湖南省农作物品种审定委员会章程。认真落实国家品审委要求，对标对表国家章程，制订了湖南省章程，健全了部省协同、标准统一的品种审定试验管理机制。三是修订了审定标准。针对异常气候多发、频发，以及异常气候对我省大田生产的影响，组织科研、教学、生产、推广等方面专家，再次修订水稻审定标准，重点提高了品种抗性、产量等方面的要求，相关量化指标一律不低于国家标准。</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2024年全省省级审定品种106个，其中水稻77个，玉米17个，大豆11个，棉花1个。</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严格规范品种试验。狠抓区试工作的准确性、公正性，科学比选高抗、广适、绿色新优品种。一是强化试验过程监管。二是加快对照品种更换。三是增设纯度鉴定试验。</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全年共完成522个主要农作物品种区试工作。其中水稻品种389个，省级统一试验115个、潇湘联合体95个、低镉联合体34个、绿色通道145个；玉米品种63个，其中粒用型玉米24个、甜糯玉米39个；大豆品种58个；棉花品种12个。</w:t>
      </w:r>
    </w:p>
    <w:p>
      <w:pPr>
        <w:pStyle w:val="18"/>
        <w:numPr>
          <w:ilvl w:val="0"/>
          <w:numId w:val="2"/>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Times New Roman" w:hAnsi="Times New Roman" w:eastAsia="仿宋_GB2312"/>
          <w:b/>
          <w:bCs/>
          <w:sz w:val="32"/>
          <w:szCs w:val="32"/>
        </w:rPr>
        <w:t>积极提升履职效能</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优化提升品种登记。认真贯彻全国农技中心关于非主要农作物品种登记的部署要求，一是依法强化登记许可初审。要求申请单位严格按照《非主要农作物品种登记指南》要求准备材料、网上申报，严格按照《非主要农作物品种登记办法》《农业植物品种命名规定》《种业司关于进一步农作物品种命名及来源亲本组合表述要求的通知》等法规规章，强化品种登记初审。在完成省级初审上报农业农村部审批之前，增加“专家会议审议”环节，提升初审质量。二是加强登记品种试验管理。要求各申请单位在开展适应性、抗病性、DUS试验前，将试验方案报我站备案。根据备案内容，在适当时候开展现场调研，核实试验现场、试验过程、原始数据、图片影像资料，确保试验过程真实客观，试验结果公正有效。三是积极推进登记品种展示评价。依托省产业技术体系和阵型企业（与登记作物相关的体系，如油菜、蔬菜等），联合开展登记品种展示评价，推出了一批综合性状优良、推广潜力大的苗头品种。</w:t>
      </w:r>
    </w:p>
    <w:p>
      <w:pPr>
        <w:pStyle w:val="13"/>
        <w:numPr>
          <w:ilvl w:val="0"/>
          <w:numId w:val="2"/>
        </w:numPr>
        <w:pBdr>
          <w:bottom w:val="single" w:color="FFFFFF" w:sz="4" w:space="31"/>
        </w:pBdr>
        <w:tabs>
          <w:tab w:val="left" w:pos="1440"/>
        </w:tabs>
        <w:adjustRightInd w:val="0"/>
        <w:snapToGrid w:val="0"/>
        <w:spacing w:line="580" w:lineRule="exact"/>
        <w:ind w:firstLine="641" w:firstLineChars="0"/>
        <w:rPr>
          <w:rFonts w:ascii="楷体_GB2312" w:hAnsi="楷体_GB2312" w:eastAsia="楷体_GB2312" w:cs="楷体_GB2312"/>
          <w:b/>
          <w:sz w:val="32"/>
          <w:szCs w:val="32"/>
        </w:rPr>
      </w:pPr>
      <w:r>
        <w:rPr>
          <w:rFonts w:hint="eastAsia" w:ascii="楷体_GB2312" w:hAnsi="楷体_GB2312" w:eastAsia="楷体_GB2312" w:cs="楷体_GB2312"/>
          <w:b/>
          <w:sz w:val="32"/>
          <w:szCs w:val="32"/>
        </w:rPr>
        <w:t>社会效应显著</w:t>
      </w:r>
    </w:p>
    <w:p>
      <w:pPr>
        <w:pBdr>
          <w:bottom w:val="single" w:color="FFFFFF" w:sz="4" w:space="31"/>
        </w:pBdr>
        <w:tabs>
          <w:tab w:val="left" w:pos="1440"/>
        </w:tabs>
        <w:adjustRightInd w:val="0"/>
        <w:snapToGrid w:val="0"/>
        <w:spacing w:line="580" w:lineRule="exact"/>
        <w:ind w:firstLine="627" w:firstLineChars="196"/>
        <w:outlineLvl w:val="1"/>
        <w:rPr>
          <w:rFonts w:ascii="楷体_GB2312" w:hAnsi="楷体_GB2312" w:eastAsia="楷体_GB2312" w:cs="楷体_GB2312"/>
          <w:b/>
          <w:sz w:val="32"/>
          <w:szCs w:val="32"/>
        </w:rPr>
      </w:pPr>
      <w:r>
        <w:rPr>
          <w:rFonts w:hint="eastAsia" w:ascii="仿宋" w:hAnsi="仿宋" w:eastAsia="仿宋" w:cs="楷体_GB2312"/>
          <w:bCs/>
          <w:sz w:val="32"/>
          <w:szCs w:val="32"/>
        </w:rPr>
        <w:t>全链条监管净化种业市场。以种业知识产权保护为重点，强化监管工作机制建设，推行全链条全流程监管，着力净化种业市场。</w:t>
      </w:r>
      <w:r>
        <w:rPr>
          <w:rFonts w:hint="eastAsia" w:ascii="仿宋" w:hAnsi="仿宋" w:eastAsia="仿宋" w:cs="楷体_GB2312"/>
          <w:b/>
          <w:sz w:val="32"/>
          <w:szCs w:val="32"/>
        </w:rPr>
        <w:t>一是</w:t>
      </w:r>
      <w:r>
        <w:rPr>
          <w:rFonts w:hint="eastAsia" w:ascii="仿宋" w:hAnsi="仿宋" w:eastAsia="仿宋" w:cs="宋体"/>
          <w:b/>
          <w:sz w:val="32"/>
          <w:szCs w:val="32"/>
        </w:rPr>
        <w:t>统筹谋划全省全年市场监管工作。</w:t>
      </w:r>
      <w:r>
        <w:rPr>
          <w:rFonts w:hint="eastAsia" w:ascii="仿宋" w:hAnsi="仿宋" w:eastAsia="仿宋" w:cs="宋体"/>
          <w:sz w:val="32"/>
          <w:szCs w:val="32"/>
        </w:rPr>
        <w:t>3</w:t>
      </w:r>
      <w:r>
        <w:rPr>
          <w:rFonts w:hint="eastAsia" w:ascii="仿宋" w:hAnsi="仿宋" w:eastAsia="仿宋"/>
          <w:sz w:val="32"/>
          <w:szCs w:val="32"/>
        </w:rPr>
        <w:t>月中旬印发工作方案，对全省全年的企业监督检查、春季市场检查、试验环节检测、夏季生产基地巡查、秋冬市场检查等专项行动做出部署安排。</w:t>
      </w:r>
      <w:r>
        <w:rPr>
          <w:rFonts w:hint="eastAsia" w:ascii="仿宋" w:hAnsi="仿宋" w:eastAsia="仿宋" w:cs="宋体"/>
          <w:b/>
          <w:sz w:val="32"/>
          <w:szCs w:val="32"/>
        </w:rPr>
        <w:t>二是全覆盖开展冬季种子企业督查</w:t>
      </w:r>
      <w:r>
        <w:rPr>
          <w:rFonts w:hint="eastAsia" w:ascii="仿宋" w:hAnsi="仿宋" w:eastAsia="仿宋" w:cs="宋体"/>
          <w:bCs/>
          <w:sz w:val="32"/>
          <w:szCs w:val="32"/>
        </w:rPr>
        <w:t>。</w:t>
      </w:r>
      <w:r>
        <w:rPr>
          <w:rFonts w:hint="eastAsia" w:ascii="仿宋" w:hAnsi="仿宋" w:eastAsia="仿宋"/>
          <w:sz w:val="32"/>
          <w:szCs w:val="32"/>
        </w:rPr>
        <w:t>2023年12月初印发监督检查通知，2024年元月5日完成了检查与抽样工作，3月10完成了样品检测，</w:t>
      </w:r>
      <w:r>
        <w:rPr>
          <w:rFonts w:hint="eastAsia" w:ascii="仿宋" w:hAnsi="仿宋" w:eastAsia="仿宋" w:cs="仿宋"/>
          <w:bCs/>
          <w:color w:val="000000"/>
          <w:sz w:val="32"/>
          <w:szCs w:val="32"/>
        </w:rPr>
        <w:t>4月底在海南组织召开2023年度种子纯度种植现场鉴定活动，</w:t>
      </w:r>
      <w:r>
        <w:rPr>
          <w:rFonts w:hint="eastAsia" w:ascii="仿宋" w:hAnsi="仿宋" w:eastAsia="仿宋"/>
          <w:sz w:val="32"/>
          <w:szCs w:val="32"/>
        </w:rPr>
        <w:t>5月底完成了1530个样品的种植鉴定。</w:t>
      </w:r>
      <w:r>
        <w:rPr>
          <w:rFonts w:hint="eastAsia" w:ascii="仿宋" w:hAnsi="仿宋" w:eastAsia="仿宋" w:cs="仿宋"/>
          <w:color w:val="000000"/>
          <w:sz w:val="32"/>
          <w:szCs w:val="32"/>
        </w:rPr>
        <w:t>全省42家企业184个样品中，发芽率、转基因成分检测全部合格，品种纯度5个不合格，品种真实性1个不合格、1个无标准样品未完成复检</w:t>
      </w:r>
      <w:r>
        <w:rPr>
          <w:rFonts w:hint="eastAsia" w:ascii="仿宋" w:hAnsi="仿宋" w:eastAsia="仿宋"/>
          <w:color w:val="000000"/>
          <w:sz w:val="32"/>
          <w:szCs w:val="32"/>
        </w:rPr>
        <w:t>。</w:t>
      </w:r>
      <w:r>
        <w:rPr>
          <w:rFonts w:hint="eastAsia" w:ascii="仿宋" w:hAnsi="仿宋" w:eastAsia="仿宋" w:cs="楷体_GB2312"/>
          <w:b/>
          <w:sz w:val="32"/>
          <w:szCs w:val="32"/>
        </w:rPr>
        <w:t>三是</w:t>
      </w:r>
      <w:r>
        <w:rPr>
          <w:rFonts w:hint="eastAsia" w:ascii="仿宋" w:hAnsi="仿宋" w:eastAsia="仿宋" w:cs="宋体"/>
          <w:b/>
          <w:sz w:val="32"/>
          <w:szCs w:val="32"/>
        </w:rPr>
        <w:t>全面组织春季种子市场检查。</w:t>
      </w:r>
      <w:r>
        <w:rPr>
          <w:rFonts w:hint="eastAsia" w:ascii="仿宋" w:hAnsi="仿宋" w:eastAsia="仿宋" w:cs="宋体"/>
          <w:bCs/>
          <w:sz w:val="32"/>
          <w:szCs w:val="32"/>
        </w:rPr>
        <w:t>3</w:t>
      </w:r>
      <w:r>
        <w:rPr>
          <w:rFonts w:hint="eastAsia" w:ascii="仿宋" w:hAnsi="仿宋" w:eastAsia="仿宋"/>
          <w:sz w:val="32"/>
          <w:szCs w:val="32"/>
        </w:rPr>
        <w:t>月中旬，印发了2024年全省春季种子市场检查通知，组织各市州全面展开春季种子市场专项检查。14个市州从全省市场抽取样品985个，我站抽取其中的290个进行检测，3个样品发芽率不合格，1个样品转基因检测呈阳性（已按规定报厅科技教育处），4个品种真实性不合格、2个样品纯度不合格，已按规定接受复检。</w:t>
      </w:r>
      <w:r>
        <w:rPr>
          <w:rFonts w:hint="eastAsia" w:ascii="仿宋" w:hAnsi="仿宋" w:eastAsia="仿宋"/>
          <w:b/>
          <w:bCs/>
          <w:sz w:val="32"/>
          <w:szCs w:val="32"/>
        </w:rPr>
        <w:t>四是切实加强制种基地源头监管。</w:t>
      </w:r>
      <w:r>
        <w:rPr>
          <w:rFonts w:hint="eastAsia" w:ascii="仿宋" w:hAnsi="仿宋" w:eastAsia="仿宋" w:cs="仿宋"/>
          <w:sz w:val="32"/>
          <w:szCs w:val="32"/>
        </w:rPr>
        <w:t>7月份，</w:t>
      </w:r>
      <w:r>
        <w:rPr>
          <w:rFonts w:hint="eastAsia" w:ascii="仿宋" w:hAnsi="仿宋" w:eastAsia="仿宋"/>
          <w:sz w:val="32"/>
          <w:szCs w:val="32"/>
        </w:rPr>
        <w:t>对国家级制种大县和区域性良繁基地进行全覆盖检查，其他制种基地抽查比例不低于60%。省本级随机抽取水稻转基因样品28个，经快速检测全部合格；各市州共抽取综合样品1079个，现已安排到海南陵水开展纯度</w:t>
      </w:r>
      <w:r>
        <w:rPr>
          <w:rFonts w:hint="eastAsia" w:ascii="仿宋" w:hAnsi="仿宋" w:eastAsia="仿宋"/>
          <w:color w:val="000000"/>
          <w:sz w:val="32"/>
          <w:szCs w:val="32"/>
        </w:rPr>
        <w:t>种植鉴定。</w:t>
      </w:r>
      <w:r>
        <w:rPr>
          <w:rFonts w:hint="eastAsia" w:ascii="仿宋" w:hAnsi="仿宋" w:eastAsia="仿宋"/>
          <w:b/>
          <w:bCs/>
          <w:color w:val="000000"/>
          <w:sz w:val="32"/>
          <w:szCs w:val="32"/>
        </w:rPr>
        <w:t>五是扎实</w:t>
      </w:r>
      <w:r>
        <w:rPr>
          <w:rFonts w:hint="eastAsia" w:ascii="仿宋" w:hAnsi="仿宋" w:eastAsia="仿宋"/>
          <w:b/>
          <w:bCs/>
          <w:sz w:val="32"/>
          <w:szCs w:val="32"/>
        </w:rPr>
        <w:t>开展秋季种子市场专项检查。</w:t>
      </w:r>
      <w:r>
        <w:rPr>
          <w:rFonts w:hint="eastAsia" w:ascii="仿宋" w:hAnsi="仿宋" w:eastAsia="仿宋"/>
          <w:sz w:val="32"/>
          <w:szCs w:val="32"/>
        </w:rPr>
        <w:t>以油菜、蔬菜等秋冬种作物种子为重点，核查种子供应保障、政府采购种子质量监管、市场监管措施落实等情况，</w:t>
      </w:r>
      <w:r>
        <w:rPr>
          <w:rFonts w:hint="eastAsia" w:ascii="仿宋" w:hAnsi="仿宋" w:eastAsia="仿宋" w:cs="仿宋"/>
          <w:color w:val="000000"/>
          <w:sz w:val="32"/>
          <w:szCs w:val="32"/>
        </w:rPr>
        <w:t>抽取103个油菜样品开展转基因检测，全部合格；106个油菜种子纯度种植鉴定正在进行中。</w:t>
      </w:r>
    </w:p>
    <w:p>
      <w:pPr>
        <w:pStyle w:val="18"/>
        <w:numPr>
          <w:ilvl w:val="0"/>
          <w:numId w:val="2"/>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楷体_GB2312" w:hAnsi="楷体_GB2312" w:eastAsia="楷体_GB2312" w:cs="楷体_GB2312"/>
          <w:b/>
          <w:sz w:val="32"/>
          <w:szCs w:val="32"/>
        </w:rPr>
        <w:t>可持续发展能力增强</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全面规范南繁科研育种园运营管理。着力打造种业创新基础平台，发挥南繁育种加速效能。一是园区平台得到上级领导充分肯定。二是园区已成长为种业研发源创地。三是园区支持种业发展的成效初步显现。常年入驻企业和科研单位28家、约300人开展品种选育。目前，我省选育的品种95%以上经过南繁加代。园区将成为建设国家“南繁硅谷”、推进湖南种业振兴的一支重要力量。</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狠抓种情调度监测。常态化开展产业运行监测，摸清种业发展家底，为精准施策提供支撑。一是充分发挥供需形势分析对产能布局的引导作用。</w:t>
      </w:r>
      <w:r>
        <w:rPr>
          <w:rFonts w:hint="eastAsia" w:ascii="仿宋" w:hAnsi="仿宋" w:eastAsia="仿宋" w:cs="楷体_GB2312"/>
          <w:bCs/>
          <w:sz w:val="32"/>
          <w:szCs w:val="32"/>
        </w:rPr>
        <w:t>3月18日在长沙召开主要农作物种子生产计划调度暨春季种子供需形势分析会，组织行业头部企业、市县管理部门交流分析2024年种子生产供需情况，引导行业合理布局生产计划。</w:t>
      </w:r>
      <w:r>
        <w:rPr>
          <w:rFonts w:hint="eastAsia" w:ascii="Times New Roman" w:hAnsi="Times New Roman" w:eastAsia="仿宋_GB2312"/>
          <w:bCs/>
          <w:sz w:val="32"/>
          <w:szCs w:val="32"/>
        </w:rPr>
        <w:t>二是切实加强对产业发展的动态监测。三是助推湘米品种品牌打造。组织全省种业积极企业参加第五届全国优质稻品种食味品质鉴评，隆科丝苗13号等4个品种获得全国金奖。</w:t>
      </w:r>
    </w:p>
    <w:p>
      <w:pPr>
        <w:pStyle w:val="18"/>
        <w:numPr>
          <w:ilvl w:val="0"/>
          <w:numId w:val="2"/>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Times New Roman" w:hAnsi="Times New Roman" w:eastAsia="仿宋_GB2312"/>
          <w:b/>
          <w:bCs/>
          <w:sz w:val="32"/>
          <w:szCs w:val="32"/>
        </w:rPr>
        <w:t>服务对象满意度高</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2024年我单位服务对象满意度为90%以上。</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综上，我</w:t>
      </w:r>
      <w:r>
        <w:rPr>
          <w:rFonts w:hint="eastAsia" w:ascii="Times New Roman" w:hAnsi="Times New Roman" w:eastAsia="仿宋_GB2312"/>
          <w:bCs/>
          <w:sz w:val="32"/>
          <w:szCs w:val="32"/>
        </w:rPr>
        <w:t>站</w:t>
      </w:r>
      <w:r>
        <w:rPr>
          <w:rFonts w:ascii="Times New Roman" w:hAnsi="Times New Roman" w:eastAsia="仿宋_GB2312"/>
          <w:bCs/>
          <w:sz w:val="32"/>
          <w:szCs w:val="32"/>
        </w:rPr>
        <w:t>202</w:t>
      </w:r>
      <w:r>
        <w:rPr>
          <w:rFonts w:hint="eastAsia" w:ascii="Times New Roman" w:hAnsi="Times New Roman" w:eastAsia="仿宋_GB2312"/>
          <w:bCs/>
          <w:sz w:val="32"/>
          <w:szCs w:val="32"/>
        </w:rPr>
        <w:t>4</w:t>
      </w:r>
      <w:r>
        <w:rPr>
          <w:rFonts w:ascii="Times New Roman" w:hAnsi="Times New Roman" w:eastAsia="仿宋_GB2312"/>
          <w:bCs/>
          <w:sz w:val="32"/>
          <w:szCs w:val="32"/>
        </w:rPr>
        <w:t>年运行成本控制得当，管理效率高，积极提升履职效能，社会效应显著，可持续发展能力增强，</w:t>
      </w:r>
      <w:r>
        <w:rPr>
          <w:rFonts w:hint="eastAsia" w:ascii="Times New Roman" w:hAnsi="Times New Roman" w:eastAsia="仿宋_GB2312"/>
          <w:bCs/>
          <w:sz w:val="32"/>
          <w:szCs w:val="32"/>
        </w:rPr>
        <w:t>服务对象</w:t>
      </w:r>
      <w:r>
        <w:rPr>
          <w:rFonts w:ascii="Times New Roman" w:hAnsi="Times New Roman" w:eastAsia="仿宋_GB2312"/>
          <w:bCs/>
          <w:sz w:val="32"/>
          <w:szCs w:val="32"/>
        </w:rPr>
        <w:t>满意度高。</w:t>
      </w:r>
      <w:r>
        <w:rPr>
          <w:rFonts w:ascii="Times New Roman" w:hAnsi="Times New Roman" w:eastAsia="仿宋_GB2312"/>
          <w:sz w:val="32"/>
          <w:szCs w:val="32"/>
        </w:rPr>
        <w:t>202</w:t>
      </w:r>
      <w:r>
        <w:rPr>
          <w:rFonts w:hint="eastAsia" w:ascii="Times New Roman" w:hAnsi="Times New Roman" w:eastAsia="仿宋_GB2312"/>
          <w:sz w:val="32"/>
          <w:szCs w:val="32"/>
        </w:rPr>
        <w:t>4</w:t>
      </w:r>
      <w:r>
        <w:rPr>
          <w:rFonts w:ascii="Times New Roman" w:hAnsi="Times New Roman" w:eastAsia="仿宋_GB2312"/>
          <w:sz w:val="32"/>
          <w:szCs w:val="32"/>
        </w:rPr>
        <w:t>年部门整体支出绩效评价自评得分为</w:t>
      </w:r>
      <w:r>
        <w:rPr>
          <w:rFonts w:hint="eastAsia" w:ascii="Times New Roman" w:hAnsi="Times New Roman" w:eastAsia="仿宋_GB2312"/>
          <w:sz w:val="32"/>
          <w:szCs w:val="32"/>
        </w:rPr>
        <w:t>97.61</w:t>
      </w:r>
      <w:r>
        <w:rPr>
          <w:rFonts w:ascii="Times New Roman" w:hAnsi="Times New Roman" w:eastAsia="仿宋_GB2312"/>
          <w:sz w:val="32"/>
          <w:szCs w:val="32"/>
        </w:rPr>
        <w:t>分</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hint="eastAsia" w:ascii="Times New Roman" w:hAnsi="Times New Roman" w:eastAsia="方正公文黑体"/>
          <w:sz w:val="32"/>
          <w:szCs w:val="32"/>
        </w:rPr>
        <w:t>七、</w:t>
      </w:r>
      <w:r>
        <w:rPr>
          <w:rFonts w:ascii="Times New Roman" w:hAnsi="Times New Roman" w:eastAsia="方正公文黑体"/>
          <w:sz w:val="32"/>
          <w:szCs w:val="32"/>
        </w:rPr>
        <w:t>存在的问题及原因分析</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预算执行率有待继续提高。</w:t>
      </w:r>
      <w:r>
        <w:rPr>
          <w:rFonts w:hint="eastAsia" w:ascii="Times New Roman" w:hAnsi="Times New Roman" w:eastAsia="仿宋_GB2312"/>
          <w:bCs/>
          <w:sz w:val="32"/>
          <w:szCs w:val="32"/>
        </w:rPr>
        <w:t>全年预算执行率76.08%，预算执行有待进一步加强。</w:t>
      </w:r>
      <w:r>
        <w:rPr>
          <w:rFonts w:ascii="Times New Roman" w:hAnsi="Times New Roman" w:eastAsia="仿宋_GB2312"/>
          <w:sz w:val="32"/>
          <w:szCs w:val="32"/>
        </w:rPr>
        <w:t>预算执行进度落后于预算绩效目标完成情况，项目开支往往是在项目完成到一定阶段后才进行经费支出，部分项目结算进度较慢或者为跨年项目</w:t>
      </w:r>
      <w:r>
        <w:rPr>
          <w:rFonts w:hint="eastAsia" w:ascii="Times New Roman" w:hAnsi="Times New Roman" w:eastAsia="仿宋_GB2312"/>
          <w:sz w:val="32"/>
          <w:szCs w:val="32"/>
        </w:rPr>
        <w:t>，</w:t>
      </w:r>
      <w:r>
        <w:rPr>
          <w:rFonts w:ascii="Times New Roman" w:hAnsi="Times New Roman" w:eastAsia="仿宋_GB2312"/>
          <w:sz w:val="32"/>
          <w:szCs w:val="32"/>
        </w:rPr>
        <w:t>未能在当年形成支出，指标结转较</w:t>
      </w:r>
      <w:r>
        <w:rPr>
          <w:rFonts w:hint="eastAsia" w:ascii="Times New Roman" w:hAnsi="Times New Roman" w:eastAsia="仿宋_GB2312"/>
          <w:sz w:val="32"/>
          <w:szCs w:val="32"/>
        </w:rPr>
        <w:t>多</w:t>
      </w:r>
      <w:r>
        <w:rPr>
          <w:rFonts w:ascii="Times New Roman" w:hAnsi="Times New Roman" w:eastAsia="仿宋_GB2312"/>
          <w:sz w:val="32"/>
          <w:szCs w:val="32"/>
        </w:rPr>
        <w:t>。</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hint="eastAsia" w:ascii="Times New Roman" w:hAnsi="Times New Roman" w:eastAsia="方正公文黑体"/>
          <w:sz w:val="32"/>
          <w:szCs w:val="32"/>
        </w:rPr>
        <w:t>八、</w:t>
      </w:r>
      <w:r>
        <w:rPr>
          <w:rFonts w:ascii="Times New Roman" w:hAnsi="Times New Roman" w:eastAsia="方正公文黑体"/>
          <w:sz w:val="32"/>
          <w:szCs w:val="32"/>
        </w:rPr>
        <w:t>下一步改进措施</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ascii="Times New Roman" w:hAnsi="Times New Roman" w:eastAsia="仿宋_GB2312"/>
          <w:bCs/>
          <w:sz w:val="32"/>
          <w:szCs w:val="32"/>
        </w:rPr>
        <w:t>进一步</w:t>
      </w:r>
      <w:r>
        <w:rPr>
          <w:rFonts w:ascii="Times New Roman" w:hAnsi="Times New Roman" w:eastAsia="仿宋_GB2312"/>
          <w:bCs/>
          <w:sz w:val="32"/>
          <w:szCs w:val="32"/>
          <w:shd w:val="clear" w:color="auto" w:fill="FFFFFF"/>
        </w:rPr>
        <w:t>加强预算管理，</w:t>
      </w:r>
      <w:r>
        <w:rPr>
          <w:rFonts w:ascii="Times New Roman" w:hAnsi="Times New Roman" w:eastAsia="仿宋_GB2312"/>
          <w:bCs/>
          <w:sz w:val="32"/>
          <w:szCs w:val="32"/>
        </w:rPr>
        <w:t>提高预算执行率。</w:t>
      </w:r>
      <w:r>
        <w:rPr>
          <w:rFonts w:ascii="Times New Roman" w:hAnsi="Times New Roman" w:eastAsia="仿宋_GB2312"/>
          <w:sz w:val="32"/>
          <w:szCs w:val="32"/>
          <w:shd w:val="clear" w:color="auto" w:fill="FFFFFF"/>
        </w:rPr>
        <w:t>预算编制与相关</w:t>
      </w:r>
      <w:r>
        <w:rPr>
          <w:rFonts w:hint="eastAsia" w:ascii="Times New Roman" w:hAnsi="Times New Roman" w:eastAsia="仿宋_GB2312"/>
          <w:sz w:val="32"/>
          <w:szCs w:val="32"/>
          <w:shd w:val="clear" w:color="auto" w:fill="FFFFFF"/>
        </w:rPr>
        <w:t>科</w:t>
      </w:r>
      <w:r>
        <w:rPr>
          <w:rFonts w:ascii="Times New Roman" w:hAnsi="Times New Roman" w:eastAsia="仿宋_GB2312"/>
          <w:sz w:val="32"/>
          <w:szCs w:val="32"/>
          <w:shd w:val="clear" w:color="auto" w:fill="FFFFFF"/>
        </w:rPr>
        <w:t>室科学分析预算的必要性、可行性，测算所需资金，将预算细化，保证整体支出预算的准确性。实施过程中，</w:t>
      </w:r>
      <w:r>
        <w:rPr>
          <w:rFonts w:ascii="Times New Roman" w:hAnsi="Times New Roman" w:eastAsia="仿宋_GB2312"/>
          <w:sz w:val="32"/>
          <w:szCs w:val="32"/>
        </w:rPr>
        <w:t>加强动态分析，</w:t>
      </w:r>
      <w:r>
        <w:rPr>
          <w:rFonts w:ascii="Times New Roman" w:hAnsi="Times New Roman" w:eastAsia="仿宋_GB2312"/>
          <w:sz w:val="32"/>
          <w:szCs w:val="32"/>
          <w:shd w:val="clear" w:color="auto" w:fill="FFFFFF"/>
        </w:rPr>
        <w:t>依据执行进度及时调整应对措施，以确保预算有效执行，提高年度预算执行率。</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ascii="Times New Roman" w:hAnsi="Times New Roman" w:eastAsia="仿宋_GB2312"/>
          <w:bCs/>
          <w:sz w:val="32"/>
          <w:szCs w:val="32"/>
          <w:shd w:val="clear" w:color="auto" w:fill="FFFFFF"/>
        </w:rPr>
        <w:t>优化指标设置，提高绩效管理水平。</w:t>
      </w:r>
      <w:r>
        <w:rPr>
          <w:rFonts w:ascii="Times New Roman" w:hAnsi="Times New Roman" w:eastAsia="仿宋_GB2312"/>
          <w:sz w:val="32"/>
          <w:szCs w:val="32"/>
          <w:shd w:val="clear" w:color="auto" w:fill="FFFFFF"/>
        </w:rPr>
        <w:t>科学制定绩效目标，从数量、质量、成本、时效以及经济效益、社会效益、生态效益、可持续影响、满意度等方面细化，定量和定性指标相结合，优先采用定量指标表述，不能量化的，采用定性表述。</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九、整体支出绩效自评结果公开</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按要求将部门整体支出绩效自评报告在</w:t>
      </w:r>
      <w:r>
        <w:rPr>
          <w:rFonts w:hint="eastAsia" w:ascii="Times New Roman" w:hAnsi="Times New Roman" w:eastAsia="仿宋_GB2312"/>
          <w:sz w:val="32"/>
          <w:szCs w:val="32"/>
        </w:rPr>
        <w:t>省农业农村厅</w:t>
      </w:r>
      <w:r>
        <w:rPr>
          <w:rFonts w:ascii="Times New Roman" w:hAnsi="Times New Roman" w:eastAsia="仿宋_GB2312"/>
          <w:sz w:val="32"/>
          <w:szCs w:val="32"/>
        </w:rPr>
        <w:t>门户官网上公开，接受社会监督。</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hint="eastAsia" w:ascii="Times New Roman" w:hAnsi="Times New Roman" w:eastAsia="方正公文黑体" w:cs="Times New Roman"/>
          <w:sz w:val="32"/>
          <w:szCs w:val="32"/>
        </w:rPr>
        <w:t>其他需要说明的情况</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方正公文黑体" w:cs="Times New Roman"/>
          <w:sz w:val="32"/>
          <w:szCs w:val="32"/>
        </w:rPr>
        <w:t>无</w:t>
      </w:r>
    </w:p>
    <w:p>
      <w:pPr>
        <w:widowControl/>
        <w:spacing w:line="58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w:t>
      </w:r>
      <w:r>
        <w:rPr>
          <w:rFonts w:hint="eastAsia" w:ascii="Times New Roman" w:hAnsi="Times New Roman" w:eastAsia="仿宋_GB2312"/>
          <w:sz w:val="32"/>
          <w:szCs w:val="32"/>
        </w:rPr>
        <w:t>2024年度整体支出绩效评价基础数据表</w:t>
      </w:r>
    </w:p>
    <w:p>
      <w:pPr>
        <w:widowControl/>
        <w:spacing w:line="580" w:lineRule="exact"/>
        <w:ind w:firstLine="1600" w:firstLineChars="500"/>
        <w:jc w:val="left"/>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2024年度整体支出绩效自评表</w:t>
      </w:r>
    </w:p>
    <w:p>
      <w:pPr>
        <w:widowControl/>
        <w:spacing w:line="580" w:lineRule="exact"/>
        <w:ind w:firstLine="1600" w:firstLineChars="500"/>
        <w:jc w:val="left"/>
        <w:rPr>
          <w:rFonts w:ascii="Times New Roman" w:hAnsi="Times New Roman" w:eastAsia="仿宋_GB2312"/>
          <w:sz w:val="32"/>
          <w:szCs w:val="32"/>
        </w:rPr>
      </w:pPr>
      <w:bookmarkStart w:id="5" w:name="OLE_LINK1"/>
      <w:r>
        <w:rPr>
          <w:rFonts w:hint="eastAsia" w:ascii="Times New Roman" w:hAnsi="Times New Roman" w:eastAsia="仿宋_GB2312"/>
          <w:sz w:val="32"/>
          <w:szCs w:val="32"/>
        </w:rPr>
        <w:t>3、2024年项目支出绩效自评（其他事业发展）</w:t>
      </w:r>
    </w:p>
    <w:bookmarkEnd w:id="5"/>
    <w:p>
      <w:pPr>
        <w:widowControl/>
        <w:spacing w:line="580" w:lineRule="exact"/>
        <w:ind w:firstLine="1600" w:firstLineChars="500"/>
        <w:jc w:val="left"/>
        <w:rPr>
          <w:rFonts w:ascii="Times New Roman" w:hAnsi="Times New Roman" w:eastAsia="仿宋_GB2312"/>
          <w:sz w:val="32"/>
          <w:szCs w:val="32"/>
        </w:rPr>
      </w:pPr>
      <w:r>
        <w:rPr>
          <w:rFonts w:hint="eastAsia" w:ascii="Times New Roman" w:hAnsi="Times New Roman" w:eastAsia="仿宋_GB2312"/>
          <w:sz w:val="32"/>
          <w:szCs w:val="32"/>
        </w:rPr>
        <w:t>4、2024年项目支出绩效自评（现代农业发展专项）</w:t>
      </w:r>
    </w:p>
    <w:p>
      <w:pPr>
        <w:widowControl/>
        <w:jc w:val="left"/>
        <w:rPr>
          <w:rFonts w:ascii="Times New Roman" w:hAnsi="Times New Roman" w:eastAsia="黑体" w:cs="Times New Roman"/>
          <w:color w:val="000000"/>
          <w:kern w:val="0"/>
          <w:sz w:val="72"/>
          <w:szCs w:val="72"/>
        </w:rPr>
      </w:pPr>
      <w:r>
        <w:rPr>
          <w:rFonts w:ascii="Times New Roman" w:hAnsi="Times New Roman" w:cs="Times New Roman"/>
          <w:sz w:val="72"/>
          <w:szCs w:val="72"/>
        </w:rPr>
        <w:br w:type="page"/>
      </w:r>
    </w:p>
    <w:p>
      <w:pPr>
        <w:adjustRightInd w:val="0"/>
        <w:snapToGrid w:val="0"/>
        <w:spacing w:line="579" w:lineRule="atLeast"/>
        <w:outlineLvl w:val="1"/>
        <w:rPr>
          <w:rFonts w:ascii="Times New Roman" w:hAnsi="Times New Roman" w:eastAsia="黑体" w:cs="Times New Roman"/>
          <w:bCs/>
          <w:sz w:val="32"/>
          <w:szCs w:val="32"/>
        </w:rPr>
      </w:pPr>
      <w:r>
        <w:rPr>
          <w:rFonts w:ascii="Times New Roman" w:hAnsi="Times New Roman" w:eastAsia="黑体" w:cs="Times New Roman"/>
          <w:bCs/>
          <w:sz w:val="32"/>
          <w:szCs w:val="32"/>
        </w:rPr>
        <w:t>附件1</w:t>
      </w:r>
    </w:p>
    <w:p>
      <w:pPr>
        <w:adjustRightInd w:val="0"/>
        <w:snapToGrid w:val="0"/>
        <w:spacing w:before="78" w:beforeLines="25" w:after="78" w:afterLines="25" w:line="500" w:lineRule="exact"/>
        <w:jc w:val="center"/>
        <w:outlineLvl w:val="0"/>
        <w:rPr>
          <w:rFonts w:ascii="Times New Roman" w:hAnsi="Times New Roman" w:eastAsia="方正小标宋简体" w:cs="Times New Roman"/>
          <w:bCs/>
          <w:kern w:val="44"/>
          <w:sz w:val="36"/>
          <w:szCs w:val="36"/>
        </w:rPr>
      </w:pPr>
      <w:r>
        <w:rPr>
          <w:rFonts w:ascii="Times New Roman" w:hAnsi="Times New Roman" w:eastAsia="方正小标宋简体" w:cs="Times New Roman"/>
          <w:bCs/>
          <w:kern w:val="44"/>
          <w:sz w:val="36"/>
          <w:szCs w:val="36"/>
        </w:rPr>
        <w:t>部门整体支出绩效评价基础数据表</w:t>
      </w:r>
    </w:p>
    <w:tbl>
      <w:tblPr>
        <w:tblStyle w:val="8"/>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编制数</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9</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5.86</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9</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5.86</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86.18</w:t>
            </w: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175.25</w:t>
            </w: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64.65</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3、省级专项资金</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86.18</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131.27</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735" w:firstLineChars="350"/>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农作物种业安全监管</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50" w:firstLineChars="300"/>
              <w:jc w:val="left"/>
              <w:rPr>
                <w:rFonts w:ascii="Times New Roman" w:hAnsi="Times New Roman" w:eastAsia="仿宋_GB2312" w:cs="Times New Roman"/>
                <w:kern w:val="0"/>
                <w:sz w:val="15"/>
                <w:szCs w:val="15"/>
              </w:rPr>
            </w:pPr>
            <w:r>
              <w:rPr>
                <w:rFonts w:hint="eastAsia" w:ascii="Times New Roman" w:hAnsi="Times New Roman" w:eastAsia="仿宋_GB2312" w:cs="Times New Roman"/>
                <w:kern w:val="0"/>
                <w:sz w:val="15"/>
                <w:szCs w:val="15"/>
              </w:rPr>
              <w:t>2024年早稻集中育秧及粮食面积核查</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12</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50" w:firstLineChars="300"/>
              <w:jc w:val="left"/>
              <w:rPr>
                <w:rFonts w:ascii="Times New Roman" w:hAnsi="Times New Roman" w:eastAsia="仿宋_GB2312" w:cs="Times New Roman"/>
                <w:kern w:val="0"/>
                <w:sz w:val="15"/>
                <w:szCs w:val="15"/>
              </w:rPr>
            </w:pPr>
            <w:r>
              <w:rPr>
                <w:rFonts w:hint="eastAsia" w:ascii="Times New Roman" w:hAnsi="Times New Roman" w:eastAsia="仿宋_GB2312" w:cs="Times New Roman"/>
                <w:kern w:val="0"/>
                <w:sz w:val="15"/>
                <w:szCs w:val="15"/>
              </w:rPr>
              <w:t>农作物新品种试验示范推广</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50" w:firstLineChars="300"/>
              <w:jc w:val="left"/>
              <w:rPr>
                <w:rFonts w:ascii="Times New Roman" w:hAnsi="Times New Roman" w:eastAsia="仿宋_GB2312" w:cs="Times New Roman"/>
                <w:kern w:val="0"/>
                <w:sz w:val="15"/>
                <w:szCs w:val="15"/>
              </w:rPr>
            </w:pPr>
            <w:r>
              <w:rPr>
                <w:rFonts w:hint="eastAsia" w:ascii="Times New Roman" w:hAnsi="Times New Roman" w:eastAsia="仿宋_GB2312" w:cs="Times New Roman"/>
                <w:kern w:val="0"/>
                <w:sz w:val="15"/>
                <w:szCs w:val="15"/>
              </w:rPr>
              <w:t>重要农产品稳产保供（2023结转）</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50" w:firstLineChars="300"/>
              <w:jc w:val="left"/>
              <w:rPr>
                <w:rFonts w:ascii="Times New Roman" w:hAnsi="Times New Roman" w:eastAsia="仿宋_GB2312" w:cs="Times New Roman"/>
                <w:kern w:val="0"/>
                <w:sz w:val="15"/>
                <w:szCs w:val="15"/>
              </w:rPr>
            </w:pPr>
            <w:r>
              <w:rPr>
                <w:rFonts w:hint="eastAsia" w:ascii="Times New Roman" w:hAnsi="Times New Roman" w:eastAsia="仿宋_GB2312" w:cs="Times New Roman"/>
                <w:kern w:val="0"/>
                <w:sz w:val="15"/>
                <w:szCs w:val="15"/>
              </w:rPr>
              <w:t>产业兴旺与融合发展（2023结转）</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9.24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50" w:firstLineChars="300"/>
              <w:jc w:val="left"/>
              <w:rPr>
                <w:rFonts w:ascii="Times New Roman" w:hAnsi="Times New Roman" w:eastAsia="仿宋_GB2312" w:cs="Times New Roman"/>
                <w:kern w:val="0"/>
                <w:sz w:val="15"/>
                <w:szCs w:val="15"/>
              </w:rPr>
            </w:pPr>
            <w:r>
              <w:rPr>
                <w:rFonts w:hint="eastAsia" w:ascii="Times New Roman" w:hAnsi="Times New Roman" w:eastAsia="仿宋_GB2312" w:cs="Times New Roman"/>
                <w:kern w:val="0"/>
                <w:sz w:val="15"/>
                <w:szCs w:val="15"/>
              </w:rPr>
              <w:t>现代农业发展专项（2023结转）</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76.94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49.27</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43.98</w:t>
            </w: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35.94</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80" w:firstLineChars="300"/>
              <w:jc w:val="left"/>
              <w:rPr>
                <w:rFonts w:ascii="Times New Roman" w:hAnsi="Times New Roman" w:eastAsia="仿宋_GB2312" w:cs="Times New Roman"/>
                <w:kern w:val="0"/>
                <w:szCs w:val="21"/>
              </w:rPr>
            </w:pPr>
            <w:r>
              <w:rPr>
                <w:rFonts w:hint="eastAsia" w:ascii="Times New Roman" w:hAnsi="Times New Roman" w:eastAsia="仿宋_GB2312" w:cs="Times New Roman"/>
                <w:kern w:val="0"/>
                <w:sz w:val="16"/>
                <w:szCs w:val="16"/>
              </w:rPr>
              <w:t>农作物品种区试和市场管理服务</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13.9</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80" w:firstLineChars="300"/>
              <w:jc w:val="left"/>
              <w:rPr>
                <w:rFonts w:ascii="Times New Roman" w:hAnsi="Times New Roman" w:eastAsia="仿宋_GB2312" w:cs="Times New Roman"/>
                <w:kern w:val="0"/>
                <w:sz w:val="16"/>
                <w:szCs w:val="16"/>
              </w:rPr>
            </w:pPr>
            <w:r>
              <w:rPr>
                <w:rFonts w:hint="eastAsia" w:ascii="Times New Roman" w:hAnsi="Times New Roman" w:eastAsia="仿宋_GB2312" w:cs="Times New Roman"/>
                <w:kern w:val="0"/>
                <w:sz w:val="16"/>
                <w:szCs w:val="16"/>
              </w:rPr>
              <w:t>2023年度省直机关单位年度KHJ</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480" w:firstLineChars="300"/>
              <w:jc w:val="left"/>
              <w:rPr>
                <w:rFonts w:ascii="Times New Roman" w:hAnsi="Times New Roman" w:eastAsia="仿宋_GB2312" w:cs="Times New Roman"/>
                <w:kern w:val="0"/>
                <w:sz w:val="16"/>
                <w:szCs w:val="16"/>
              </w:rPr>
            </w:pPr>
            <w:r>
              <w:rPr>
                <w:rFonts w:hint="eastAsia" w:ascii="Times New Roman" w:hAnsi="Times New Roman" w:eastAsia="仿宋_GB2312" w:cs="Times New Roman"/>
                <w:kern w:val="0"/>
                <w:sz w:val="16"/>
                <w:szCs w:val="16"/>
              </w:rPr>
              <w:t>2024年第一批抚恤金、丧葬费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20.08</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35.84</w:t>
            </w: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39.64</w:t>
            </w: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32.95</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3.4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3.8</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3.69</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1.54</w:t>
            </w:r>
            <w:r>
              <w:rPr>
                <w:rFonts w:ascii="Times New Roman" w:hAnsi="Times New Roman" w:eastAsia="仿宋_GB2312" w:cs="Times New Roman"/>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color w:val="FF0000"/>
                <w:kern w:val="0"/>
                <w:szCs w:val="21"/>
              </w:rPr>
            </w:pPr>
            <w:r>
              <w:rPr>
                <w:rFonts w:ascii="Times New Roman" w:hAnsi="Times New Roman" w:eastAsia="仿宋_GB2312" w:cs="Times New Roman"/>
                <w:color w:val="FF0000"/>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color w:val="FF0000"/>
                <w:kern w:val="0"/>
                <w:szCs w:val="21"/>
              </w:rPr>
            </w:pPr>
            <w:r>
              <w:rPr>
                <w:rFonts w:ascii="Times New Roman" w:hAnsi="Times New Roman" w:eastAsia="仿宋_GB2312" w:cs="Times New Roman"/>
                <w:color w:val="FF0000"/>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color w:val="FF0000"/>
                <w:kern w:val="0"/>
                <w:szCs w:val="21"/>
              </w:rPr>
            </w:pPr>
            <w:r>
              <w:rPr>
                <w:rFonts w:ascii="Times New Roman" w:hAnsi="Times New Roman" w:eastAsia="仿宋_GB2312" w:cs="Times New Roman"/>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楼堂馆所控制情况</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（2024年完工项目）</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批复规模</w:t>
            </w:r>
            <w:r>
              <w:rPr>
                <w:rFonts w:ascii="Times New Roman" w:hAnsi="Times New Roman" w:eastAsia="仿宋_GB2312" w:cs="Times New Roman"/>
                <w:bCs/>
                <w:kern w:val="0"/>
                <w:szCs w:val="21"/>
              </w:rPr>
              <w:br w:type="textWrapping"/>
            </w:r>
            <w:r>
              <w:rPr>
                <w:rFonts w:ascii="Times New Roman" w:hAnsi="Times New Roman" w:eastAsia="仿宋_GB2312" w:cs="Times New Roman"/>
                <w:bCs/>
                <w:kern w:val="0"/>
                <w:szCs w:val="21"/>
              </w:rPr>
              <w:t>（</w:t>
            </w:r>
            <w:r>
              <w:rPr>
                <w:rFonts w:ascii="Times New Roman" w:hAnsi="Times New Roman" w:eastAsia="Batang" w:cs="Times New Roman"/>
                <w:bCs/>
                <w:kern w:val="0"/>
                <w:szCs w:val="21"/>
              </w:rPr>
              <w:t>㎡</w:t>
            </w:r>
            <w:r>
              <w:rPr>
                <w:rFonts w:ascii="Times New Roman" w:hAnsi="Times New Roman" w:eastAsia="仿宋_GB2312" w:cs="Times New Roman"/>
                <w:bCs/>
                <w:kern w:val="0"/>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规模</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w:t>
            </w:r>
            <w:r>
              <w:rPr>
                <w:rFonts w:ascii="Times New Roman" w:hAnsi="Times New Roman" w:eastAsia="Batang" w:cs="Times New Roman"/>
                <w:bCs/>
                <w:kern w:val="0"/>
                <w:szCs w:val="21"/>
              </w:rPr>
              <w:t>㎡</w:t>
            </w:r>
            <w:r>
              <w:rPr>
                <w:rFonts w:ascii="Times New Roman" w:hAnsi="Times New Roman" w:eastAsia="仿宋_GB2312" w:cs="Times New Roman"/>
                <w:bCs/>
                <w:kern w:val="0"/>
                <w:szCs w:val="21"/>
              </w:rPr>
              <w:t>）</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规模</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控制率</w:t>
            </w:r>
          </w:p>
        </w:tc>
        <w:tc>
          <w:tcPr>
            <w:tcW w:w="11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预算投资（万元）</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投资</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（万元）</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投资</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概算</w:t>
            </w:r>
          </w:p>
          <w:p>
            <w:pPr>
              <w:widowControl/>
              <w:spacing w:line="28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严格执行各项财经纪律，规范支出管理，贯彻落实省委省政府过“紧日子”要求，超预算、超标准、超范围、无政策依据的经费不予支出。　</w:t>
            </w:r>
            <w:r>
              <w:rPr>
                <w:rFonts w:ascii="Times New Roman" w:hAnsi="Times New Roman" w:eastAsia="仿宋_GB2312" w:cs="Times New Roman"/>
                <w:kern w:val="0"/>
                <w:szCs w:val="21"/>
              </w:rPr>
              <w:t>　</w:t>
            </w:r>
          </w:p>
        </w:tc>
      </w:tr>
    </w:tbl>
    <w:p>
      <w:pPr>
        <w:spacing w:line="360" w:lineRule="exact"/>
        <w:rPr>
          <w:rFonts w:ascii="Times New Roman" w:hAnsi="Times New Roman" w:eastAsia="仿宋_GB2312" w:cs="Times New Roman"/>
          <w:sz w:val="28"/>
          <w:szCs w:val="24"/>
        </w:rPr>
      </w:pPr>
      <w:r>
        <w:rPr>
          <w:rFonts w:ascii="Times New Roman" w:hAnsi="Times New Roman" w:eastAsia="仿宋_GB2312" w:cs="Times New Roman"/>
          <w:kern w:val="0"/>
          <w:sz w:val="22"/>
        </w:rPr>
        <w:t>说明：“项目支出”需要填报基本支出以外的所有项目支出情况，“公用经费”填报基本支出中的一般商品和服务支出。</w:t>
      </w:r>
    </w:p>
    <w:p>
      <w:pPr>
        <w:adjustRightInd w:val="0"/>
        <w:snapToGrid w:val="0"/>
        <w:spacing w:line="579" w:lineRule="atLeast"/>
        <w:outlineLvl w:val="1"/>
        <w:rPr>
          <w:rFonts w:ascii="Times New Roman" w:hAnsi="Times New Roman" w:eastAsia="黑体" w:cs="Times New Roman"/>
          <w:bCs/>
          <w:sz w:val="32"/>
          <w:szCs w:val="32"/>
        </w:rPr>
      </w:pPr>
      <w:r>
        <w:rPr>
          <w:rFonts w:ascii="Times New Roman" w:hAnsi="Times New Roman" w:eastAsia="黑体" w:cs="Times New Roman"/>
          <w:bCs/>
          <w:sz w:val="32"/>
          <w:szCs w:val="32"/>
        </w:rPr>
        <w:t>附件2</w:t>
      </w:r>
    </w:p>
    <w:p>
      <w:pPr>
        <w:adjustRightInd w:val="0"/>
        <w:snapToGrid w:val="0"/>
        <w:spacing w:before="78" w:beforeLines="25" w:line="500" w:lineRule="exact"/>
        <w:jc w:val="center"/>
        <w:outlineLvl w:val="0"/>
        <w:rPr>
          <w:rFonts w:ascii="Times New Roman" w:hAnsi="Times New Roman" w:eastAsia="方正小标宋简体" w:cs="Times New Roman"/>
          <w:bCs/>
          <w:kern w:val="44"/>
          <w:sz w:val="36"/>
          <w:szCs w:val="36"/>
        </w:rPr>
      </w:pPr>
      <w:r>
        <w:rPr>
          <w:rFonts w:ascii="Times New Roman" w:hAnsi="Times New Roman" w:eastAsia="方正小标宋简体" w:cs="Times New Roman"/>
          <w:bCs/>
          <w:kern w:val="44"/>
          <w:sz w:val="36"/>
          <w:szCs w:val="36"/>
        </w:rPr>
        <w:t>部门整体支出绩效自评表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rPr>
        <w:t>2024</w:t>
      </w:r>
      <w:r>
        <w:rPr>
          <w:rFonts w:ascii="Times New Roman" w:hAnsi="Times New Roman" w:eastAsia="仿宋_GB2312" w:cs="Times New Roman"/>
          <w:color w:val="000000"/>
          <w:kern w:val="0"/>
          <w:szCs w:val="21"/>
        </w:rPr>
        <w:t>年度）</w:t>
      </w:r>
    </w:p>
    <w:tbl>
      <w:tblPr>
        <w:tblStyle w:val="8"/>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87"/>
        <w:gridCol w:w="1244"/>
        <w:gridCol w:w="1111"/>
        <w:gridCol w:w="414"/>
        <w:gridCol w:w="1078"/>
        <w:gridCol w:w="1137"/>
        <w:gridCol w:w="743"/>
        <w:gridCol w:w="997"/>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省级预算部门名称</w:t>
            </w:r>
          </w:p>
        </w:tc>
        <w:tc>
          <w:tcPr>
            <w:tcW w:w="9248" w:type="dxa"/>
            <w:gridSpan w:val="9"/>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湖南省种子管理服务站</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年度预</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算申请</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631"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p>
        </w:tc>
        <w:tc>
          <w:tcPr>
            <w:tcW w:w="1111"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年初</w:t>
            </w:r>
          </w:p>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预算数</w:t>
            </w:r>
          </w:p>
        </w:tc>
        <w:tc>
          <w:tcPr>
            <w:tcW w:w="14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全年预算数</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74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2631"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color w:val="000000"/>
                <w:kern w:val="0"/>
                <w:szCs w:val="21"/>
              </w:rPr>
              <w:t>年度资金总额</w:t>
            </w:r>
          </w:p>
        </w:tc>
        <w:tc>
          <w:tcPr>
            <w:tcW w:w="11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 w:val="20"/>
                <w:szCs w:val="20"/>
              </w:rPr>
              <w:t>501.78</w:t>
            </w:r>
          </w:p>
        </w:tc>
        <w:tc>
          <w:tcPr>
            <w:tcW w:w="149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color w:val="000000"/>
                <w:kern w:val="0"/>
                <w:szCs w:val="21"/>
              </w:rPr>
              <w:t>536.36</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408.06</w:t>
            </w:r>
          </w:p>
        </w:tc>
        <w:tc>
          <w:tcPr>
            <w:tcW w:w="74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76.08%</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按收入性质分：</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其中：  一般公共预算：</w:t>
            </w:r>
            <w:r>
              <w:rPr>
                <w:rFonts w:hint="eastAsia" w:ascii="Times New Roman" w:hAnsi="Times New Roman" w:eastAsia="仿宋_GB2312" w:cs="Times New Roman"/>
                <w:color w:val="000000"/>
                <w:kern w:val="0"/>
                <w:szCs w:val="21"/>
              </w:rPr>
              <w:t>536.36</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其中：基本支出：</w:t>
            </w:r>
            <w:r>
              <w:rPr>
                <w:rFonts w:hint="eastAsia" w:ascii="Times New Roman" w:hAnsi="Times New Roman" w:eastAsia="仿宋_GB2312" w:cs="Times New Roman"/>
                <w:color w:val="000000"/>
                <w:kern w:val="0"/>
                <w:szCs w:val="21"/>
              </w:rPr>
              <w:t>343.41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840" w:firstLineChars="4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政府性基金拨款：</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项目支出：</w:t>
            </w:r>
            <w:r>
              <w:rPr>
                <w:rFonts w:hint="eastAsia" w:ascii="Times New Roman" w:hAnsi="Times New Roman" w:eastAsia="仿宋_GB2312" w:cs="Times New Roman"/>
                <w:color w:val="000000"/>
                <w:kern w:val="0"/>
                <w:szCs w:val="21"/>
              </w:rPr>
              <w:t>64.65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纳入专户管理的非税收入拨款：</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1470" w:firstLineChars="7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w:t>
            </w:r>
            <w:r>
              <w:rPr>
                <w:rFonts w:ascii="Times New Roman" w:hAnsi="Times New Roman" w:eastAsia="仿宋_GB2312" w:cs="Times New Roman"/>
                <w:kern w:val="0"/>
                <w:szCs w:val="21"/>
              </w:rPr>
              <w:t>资金：</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5234"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以习近平总书记二十大重要讲话精神为指引，认真落实厅党组的部署要求，聚焦种业事业技术支撑工作，积极承担种业管理基础性辅助性事务，推进湖南现代种业的振兴发展。</w:t>
            </w:r>
            <w:r>
              <w:rPr>
                <w:rFonts w:ascii="Times New Roman" w:hAnsi="Times New Roman" w:eastAsia="仿宋_GB2312" w:cs="Times New Roman"/>
                <w:color w:val="000000"/>
                <w:kern w:val="0"/>
                <w:szCs w:val="21"/>
              </w:rPr>
              <w:t>　　</w:t>
            </w:r>
          </w:p>
        </w:tc>
        <w:tc>
          <w:tcPr>
            <w:tcW w:w="4014"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严格按照厅党组的决策部署，立足“三高四新”，以种业技术服务为主线，促进湖南种业高质量发展，较好地完成了全年目标任务。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244"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开展专项检查</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≥3次</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3次</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left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c>
          <w:tcPr>
            <w:tcW w:w="1244" w:type="dxa"/>
            <w:vMerge w:val="continue"/>
            <w:tcBorders>
              <w:left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开展早稻集中育秧及粮食面积核查工作，进行品种试验示范调研</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Arial" w:hAnsi="Arial" w:eastAsia="仿宋_GB2312" w:cs="Arial"/>
                <w:color w:val="000000"/>
                <w:kern w:val="0"/>
                <w:szCs w:val="21"/>
              </w:rPr>
            </w:pPr>
            <w:r>
              <w:rPr>
                <w:rFonts w:hint="eastAsia" w:ascii="Times New Roman" w:hAnsi="Times New Roman" w:eastAsia="仿宋_GB2312" w:cs="Times New Roman"/>
                <w:color w:val="000000"/>
                <w:kern w:val="0"/>
                <w:szCs w:val="21"/>
              </w:rPr>
              <w:t>≥3人次</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sz w:val="20"/>
                <w:szCs w:val="20"/>
              </w:rPr>
              <w:t>开展水稻、玉米、棉花等省级区域试验</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w:t>
            </w:r>
            <w:r>
              <w:rPr>
                <w:rFonts w:hint="eastAsia" w:ascii="Arial" w:hAnsi="Arial" w:eastAsia="仿宋_GB2312" w:cs="Arial"/>
                <w:color w:val="000000"/>
                <w:kern w:val="0"/>
                <w:szCs w:val="21"/>
              </w:rPr>
              <w:t>120个</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190个</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专项检查覆盖率</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sz w:val="20"/>
                <w:szCs w:val="20"/>
              </w:rPr>
              <w:t>90%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按时完成任务工作</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kern w:val="0"/>
                <w:szCs w:val="21"/>
              </w:rPr>
              <w:t>2024年完成</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已完成</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成本</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sz w:val="20"/>
                <w:szCs w:val="20"/>
              </w:rPr>
              <w:t>预算控制</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sz w:val="20"/>
                <w:szCs w:val="20"/>
              </w:rPr>
              <w:t>按预算控制进行</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控制在预算内</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snapToGrid w:val="0"/>
              <w:spacing w:line="280" w:lineRule="exact"/>
              <w:ind w:firstLine="210" w:firstLineChars="1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　</w:t>
            </w: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助推湘米品种品牌打造</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促进品牌打造</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4个品种获得全国优质稻品种食味品质全国金奖</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净化种业市场，保障农业用种安全</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净化种业市场</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以种业知识产权保护为重点，强化监管工作机制建设，推行全链条全流程监管，着力净化种业市场。</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打造种业创新基础平台</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规范南繁科研育种园</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入驻企业和科研单位28家。选育的品种95%以上经过南繁加代。</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75"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p>
        </w:tc>
        <w:tc>
          <w:tcPr>
            <w:tcW w:w="1387"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244"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52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服务对象满意度（%）</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大于等于90%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90%</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46" w:type="dxa"/>
            <w:gridSpan w:val="7"/>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99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97.61</w:t>
            </w:r>
          </w:p>
        </w:tc>
        <w:tc>
          <w:tcPr>
            <w:tcW w:w="1137"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rPr>
          <w:rFonts w:ascii="Times New Roman" w:hAnsi="Times New Roman" w:eastAsia="仿宋_GB2312" w:cs="Times New Roman"/>
          <w:sz w:val="28"/>
          <w:szCs w:val="24"/>
        </w:rPr>
      </w:pPr>
    </w:p>
    <w:p>
      <w:pPr>
        <w:widowControl/>
        <w:jc w:val="left"/>
        <w:rPr>
          <w:rFonts w:ascii="Times New Roman" w:hAnsi="Times New Roman" w:eastAsia="黑体" w:cs="Times New Roman"/>
          <w:color w:val="000000"/>
          <w:kern w:val="0"/>
          <w:sz w:val="72"/>
          <w:szCs w:val="72"/>
        </w:rPr>
      </w:pPr>
      <w:r>
        <w:rPr>
          <w:rFonts w:ascii="Times New Roman" w:hAnsi="Times New Roman" w:cs="Times New Roman"/>
          <w:sz w:val="72"/>
          <w:szCs w:val="72"/>
        </w:rPr>
        <w:br w:type="page"/>
      </w:r>
    </w:p>
    <w:p>
      <w:pPr>
        <w:adjustRightInd w:val="0"/>
        <w:snapToGrid w:val="0"/>
        <w:spacing w:line="579" w:lineRule="atLeast"/>
        <w:outlineLvl w:val="1"/>
        <w:rPr>
          <w:rFonts w:ascii="Times New Roman" w:hAnsi="Times New Roman" w:eastAsia="黑体" w:cs="Times New Roman"/>
          <w:bCs/>
          <w:sz w:val="32"/>
          <w:szCs w:val="32"/>
        </w:rPr>
      </w:pPr>
      <w:r>
        <w:rPr>
          <w:rFonts w:ascii="Times New Roman" w:hAnsi="Times New Roman" w:eastAsia="黑体" w:cs="Times New Roman"/>
          <w:bCs/>
          <w:sz w:val="32"/>
          <w:szCs w:val="32"/>
        </w:rPr>
        <w:t>附件3</w:t>
      </w:r>
    </w:p>
    <w:p>
      <w:pPr>
        <w:adjustRightInd w:val="0"/>
        <w:snapToGrid w:val="0"/>
        <w:spacing w:before="78" w:beforeLines="25" w:line="500" w:lineRule="exact"/>
        <w:jc w:val="center"/>
        <w:outlineLvl w:val="0"/>
        <w:rPr>
          <w:rFonts w:ascii="Times New Roman" w:hAnsi="Times New Roman" w:eastAsia="方正小标宋简体" w:cs="Times New Roman"/>
          <w:bCs/>
          <w:kern w:val="44"/>
          <w:sz w:val="36"/>
          <w:szCs w:val="36"/>
        </w:rPr>
      </w:pPr>
      <w:r>
        <w:rPr>
          <w:rFonts w:ascii="Times New Roman" w:hAnsi="Times New Roman" w:eastAsia="方正小标宋简体" w:cs="Times New Roman"/>
          <w:bCs/>
          <w:kern w:val="44"/>
          <w:sz w:val="36"/>
          <w:szCs w:val="36"/>
        </w:rPr>
        <w:t>项目支出绩效自评表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2024 年度）</w:t>
      </w:r>
    </w:p>
    <w:tbl>
      <w:tblPr>
        <w:tblStyle w:val="8"/>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640"/>
        <w:gridCol w:w="936"/>
        <w:gridCol w:w="1242"/>
        <w:gridCol w:w="793"/>
        <w:gridCol w:w="1072"/>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kern w:val="0"/>
                <w:szCs w:val="21"/>
              </w:rPr>
              <w:t>其他事业类发展资金</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473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湖南省农业农村厅</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2793"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湖南省种子管理服务站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2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7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107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92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13.9</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kern w:val="0"/>
                <w:szCs w:val="21"/>
              </w:rPr>
              <w:t>43.98</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kern w:val="0"/>
                <w:szCs w:val="21"/>
              </w:rPr>
              <w:t>35.94</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10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81%</w:t>
            </w:r>
            <w:r>
              <w:rPr>
                <w:rFonts w:ascii="Times New Roman" w:hAnsi="Times New Roman" w:eastAsia="仿宋_GB2312" w:cs="Times New Roman"/>
                <w:color w:val="000000"/>
                <w:kern w:val="0"/>
                <w:szCs w:val="21"/>
              </w:rPr>
              <w:t>　</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13.9</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kern w:val="0"/>
                <w:szCs w:val="21"/>
              </w:rPr>
              <w:t>43.98</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kern w:val="0"/>
                <w:szCs w:val="21"/>
              </w:rPr>
              <w:t>35.94</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473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035"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473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为品种管理和市场管理工作服务，调研和考察国外优势及特色农作物种质资源利用、品种选育、示范推广、交流协作等情况</w:t>
            </w:r>
          </w:p>
        </w:tc>
        <w:tc>
          <w:tcPr>
            <w:tcW w:w="4035"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为品种管理和市场管理工作服务，调研和考察了国外优势及特色农作物种质资源利用、品种选育、示范推广、交流协作等情况</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出国考察调研人次</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1人次</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按工作要求完成</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完成</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已完成</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根据预算安排进度完成</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按进度实施</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已完成</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成本指标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按预算控制成本</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预算内</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控制在预算内</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促进种业技术服务的高质量发展</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提高品种管理工作效率</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水稻审定品种中，绿色品种较上年提高了2%；优质品种较上年提高了8%。</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30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210" w:firstLineChars="100"/>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服务对象满意度（%）</w:t>
            </w:r>
          </w:p>
        </w:tc>
        <w:tc>
          <w:tcPr>
            <w:tcW w:w="9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≥90%</w:t>
            </w:r>
          </w:p>
        </w:tc>
        <w:tc>
          <w:tcPr>
            <w:tcW w:w="124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90%</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058" w:type="dxa"/>
            <w:gridSpan w:val="6"/>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793"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10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94.22</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adjustRightInd w:val="0"/>
        <w:snapToGrid w:val="0"/>
        <w:spacing w:line="240" w:lineRule="exact"/>
        <w:rPr>
          <w:rFonts w:ascii="Times New Roman" w:hAnsi="Times New Roman" w:eastAsia="仿宋_GB2312" w:cs="Times New Roman"/>
          <w:sz w:val="32"/>
          <w:szCs w:val="24"/>
        </w:rPr>
      </w:pPr>
    </w:p>
    <w:p>
      <w:pPr>
        <w:widowControl/>
        <w:jc w:val="left"/>
        <w:rPr>
          <w:rFonts w:ascii="Times New Roman" w:hAnsi="Times New Roman" w:eastAsia="仿宋_GB2312" w:cs="Times New Roman"/>
          <w:sz w:val="32"/>
          <w:szCs w:val="24"/>
        </w:rPr>
        <w:sectPr>
          <w:pgSz w:w="11906" w:h="16838"/>
          <w:pgMar w:top="1418" w:right="1588" w:bottom="1418" w:left="1588" w:header="851" w:footer="992" w:gutter="0"/>
          <w:cols w:space="425" w:num="1"/>
          <w:docGrid w:type="linesAndChars" w:linePitch="312" w:charSpace="0"/>
        </w:sectPr>
      </w:pPr>
      <w:r>
        <w:rPr>
          <w:rFonts w:ascii="Times New Roman" w:hAnsi="Times New Roman" w:eastAsia="仿宋_GB2312" w:cs="Times New Roman"/>
          <w:sz w:val="32"/>
          <w:szCs w:val="24"/>
        </w:rPr>
        <w:br w:type="page"/>
      </w:r>
    </w:p>
    <w:p>
      <w:pPr>
        <w:widowControl/>
        <w:jc w:val="left"/>
        <w:rPr>
          <w:rFonts w:ascii="Times New Roman" w:hAnsi="Times New Roman" w:eastAsia="黑体" w:cs="Times New Roman"/>
          <w:bCs/>
          <w:sz w:val="32"/>
          <w:szCs w:val="32"/>
        </w:rPr>
      </w:pPr>
      <w:r>
        <w:rPr>
          <w:rFonts w:ascii="Times New Roman" w:hAnsi="Times New Roman" w:eastAsia="黑体" w:cs="Times New Roman"/>
          <w:bCs/>
          <w:sz w:val="32"/>
          <w:szCs w:val="32"/>
        </w:rPr>
        <w:t>附件4</w:t>
      </w:r>
    </w:p>
    <w:p>
      <w:pPr>
        <w:adjustRightInd w:val="0"/>
        <w:snapToGrid w:val="0"/>
        <w:spacing w:before="78" w:beforeLines="25" w:line="500" w:lineRule="exact"/>
        <w:jc w:val="center"/>
        <w:outlineLvl w:val="0"/>
        <w:rPr>
          <w:rFonts w:ascii="Times New Roman" w:hAnsi="Times New Roman" w:eastAsia="方正小标宋简体" w:cs="Times New Roman"/>
          <w:bCs/>
          <w:kern w:val="44"/>
          <w:sz w:val="36"/>
          <w:szCs w:val="36"/>
        </w:rPr>
      </w:pPr>
      <w:r>
        <w:rPr>
          <w:rFonts w:ascii="Times New Roman" w:hAnsi="Times New Roman" w:eastAsia="方正小标宋简体" w:cs="Times New Roman"/>
          <w:bCs/>
          <w:kern w:val="44"/>
          <w:sz w:val="36"/>
          <w:szCs w:val="36"/>
        </w:rPr>
        <w:t>项目支出绩效自评表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2024</w:t>
      </w:r>
      <w:r>
        <w:rPr>
          <w:rFonts w:ascii="Times New Roman" w:hAnsi="Times New Roman" w:eastAsia="仿宋_GB2312" w:cs="Times New Roman"/>
          <w:color w:val="000000"/>
          <w:kern w:val="0"/>
          <w:szCs w:val="21"/>
        </w:rPr>
        <w:t xml:space="preserve"> 年度）</w:t>
      </w:r>
    </w:p>
    <w:tbl>
      <w:tblPr>
        <w:tblStyle w:val="8"/>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240"/>
        <w:gridCol w:w="1080"/>
        <w:gridCol w:w="1484"/>
        <w:gridCol w:w="1082"/>
        <w:gridCol w:w="1489"/>
        <w:gridCol w:w="772"/>
        <w:gridCol w:w="920"/>
        <w:gridCol w:w="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931" w:type="dxa"/>
            <w:gridSpan w:val="8"/>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现代农业发展专项</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488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湖南省农业农村厅</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2556"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湖南省种子管理服务站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32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48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77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92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864"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32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131.27</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131.27</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28.7</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21.86%</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32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52</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52</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5.03</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32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79.27</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79.27</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23.87</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232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488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045"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4886"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组织开展优良新品种试点示范; 农作物品种区域试验现场考察; 组织开展农作物品种试验管理; 开展进行2024年早稻集中育秧及粮食面积核查工作。</w:t>
            </w:r>
            <w:r>
              <w:rPr>
                <w:rFonts w:ascii="Times New Roman" w:hAnsi="Times New Roman" w:eastAsia="仿宋_GB2312" w:cs="Times New Roman"/>
                <w:color w:val="000000"/>
                <w:kern w:val="0"/>
                <w:szCs w:val="21"/>
              </w:rPr>
              <w:t>　　</w:t>
            </w:r>
          </w:p>
        </w:tc>
        <w:tc>
          <w:tcPr>
            <w:tcW w:w="4045"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开展了优良新品种试点示范; 进行农作物品种区域试验现场考察; 组织开展农作物品种试验管理; 3人参加2024年早稻集中育秧及粮食面积核查工作。</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tc>
        <w:tc>
          <w:tcPr>
            <w:tcW w:w="124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08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开展专项检查</w:t>
            </w:r>
            <w:r>
              <w:rPr>
                <w:rFonts w:hint="eastAsia" w:ascii="Times New Roman" w:hAnsi="Times New Roman" w:eastAsia="仿宋_GB2312" w:cs="Times New Roman"/>
                <w:color w:val="000000"/>
                <w:kern w:val="0"/>
                <w:szCs w:val="21"/>
              </w:rPr>
              <w:tab/>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≥3次</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3次</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left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开展早稻集中育秧及粮食面积核查工作</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≥3人次</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3人次</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筛选一批适应性强的优良新品种</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sz w:val="20"/>
                <w:szCs w:val="20"/>
              </w:rPr>
              <w:t>100个</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106个</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按要求完成</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sz w:val="20"/>
                <w:szCs w:val="20"/>
              </w:rPr>
              <w:t>90%</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已完成</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成本指标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预算控制</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按预算控制进行</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控制在预算内</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restart"/>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助推湘米品种品牌打造</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促进品牌打造</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4个品种获得全国优质稻品种食味品质全国金奖</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通过审定品种不断增加</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增加</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2024年全省省级审定品种106个</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color w:val="000000"/>
                <w:kern w:val="0"/>
                <w:szCs w:val="21"/>
              </w:rPr>
              <w:t>打造种业创新基础平台</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color w:val="000000"/>
                <w:kern w:val="0"/>
                <w:szCs w:val="21"/>
              </w:rPr>
              <w:t>规范南繁科研育种园</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highlight w:val="red"/>
              </w:rPr>
            </w:pPr>
            <w:r>
              <w:rPr>
                <w:rFonts w:hint="eastAsia" w:ascii="Times New Roman" w:hAnsi="Times New Roman" w:eastAsia="仿宋_GB2312" w:cs="Times New Roman"/>
                <w:color w:val="000000"/>
                <w:kern w:val="0"/>
                <w:szCs w:val="21"/>
              </w:rPr>
              <w:t>入驻企业和科研单位28家。选育的品种95%以上经过南繁加代。</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highlight w:val="red"/>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p>
        </w:tc>
        <w:tc>
          <w:tcPr>
            <w:tcW w:w="124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080" w:type="dxa"/>
            <w:tcBorders>
              <w:top w:val="nil"/>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48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服务对象满意度（%）</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≥90%</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90%</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295" w:type="dxa"/>
            <w:gridSpan w:val="6"/>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772"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920"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92.2</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napToGrid w:val="0"/>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adjustRightInd w:val="0"/>
        <w:snapToGrid w:val="0"/>
        <w:spacing w:line="240" w:lineRule="exact"/>
        <w:rPr>
          <w:rFonts w:ascii="Times New Roman" w:hAnsi="Times New Roman" w:eastAsia="仿宋_GB2312" w:cs="Times New Roman"/>
          <w:sz w:val="32"/>
          <w:szCs w:val="24"/>
        </w:rPr>
      </w:pPr>
    </w:p>
    <w:sectPr>
      <w:pgSz w:w="11906" w:h="16838"/>
      <w:pgMar w:top="567" w:right="1588" w:bottom="56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公文黑体">
    <w:altName w:val="黑体"/>
    <w:panose1 w:val="00000000000000000000"/>
    <w:charset w:val="86"/>
    <w:family w:val="auto"/>
    <w:pitch w:val="default"/>
    <w:sig w:usb0="00000000" w:usb1="00000000" w:usb2="00000016" w:usb3="00000000" w:csb0="00040001" w:csb1="00000000"/>
  </w:font>
  <w:font w:name="Batang">
    <w:altName w:val="方正书宋_GBK"/>
    <w:panose1 w:val="02030600000101010101"/>
    <w:charset w:val="81"/>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72B47"/>
    <w:multiLevelType w:val="singleLevel"/>
    <w:tmpl w:val="F8372B47"/>
    <w:lvl w:ilvl="0" w:tentative="0">
      <w:start w:val="1"/>
      <w:numFmt w:val="chineseCounting"/>
      <w:suff w:val="nothing"/>
      <w:lvlText w:val="（%1）"/>
      <w:lvlJc w:val="left"/>
      <w:rPr>
        <w:rFonts w:hint="eastAsia"/>
      </w:rPr>
    </w:lvl>
  </w:abstractNum>
  <w:abstractNum w:abstractNumId="1">
    <w:nsid w:val="289A5212"/>
    <w:multiLevelType w:val="multilevel"/>
    <w:tmpl w:val="289A521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reatwall">
    <w15:presenceInfo w15:providerId="None" w15:userId="greatw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trackRevisions w:val="true"/>
  <w:documentProtection w:enforcement="0"/>
  <w:defaultTabStop w:val="420"/>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06958"/>
    <w:rsid w:val="0001178E"/>
    <w:rsid w:val="0002229B"/>
    <w:rsid w:val="000273BD"/>
    <w:rsid w:val="0003620C"/>
    <w:rsid w:val="00040CBC"/>
    <w:rsid w:val="000415B7"/>
    <w:rsid w:val="00041E3F"/>
    <w:rsid w:val="00055DAA"/>
    <w:rsid w:val="00061F7B"/>
    <w:rsid w:val="000658A3"/>
    <w:rsid w:val="0006724E"/>
    <w:rsid w:val="00074155"/>
    <w:rsid w:val="00080785"/>
    <w:rsid w:val="000A3F69"/>
    <w:rsid w:val="000B20F1"/>
    <w:rsid w:val="000C5742"/>
    <w:rsid w:val="000E72EA"/>
    <w:rsid w:val="00103957"/>
    <w:rsid w:val="00111728"/>
    <w:rsid w:val="00152C6D"/>
    <w:rsid w:val="00162D39"/>
    <w:rsid w:val="001678BD"/>
    <w:rsid w:val="00182373"/>
    <w:rsid w:val="001A3EF3"/>
    <w:rsid w:val="001A67DB"/>
    <w:rsid w:val="001A6E09"/>
    <w:rsid w:val="001B236E"/>
    <w:rsid w:val="001B67D1"/>
    <w:rsid w:val="001C3C29"/>
    <w:rsid w:val="001D2B79"/>
    <w:rsid w:val="001D51E5"/>
    <w:rsid w:val="001E080D"/>
    <w:rsid w:val="001E53D0"/>
    <w:rsid w:val="001F0C3B"/>
    <w:rsid w:val="001F658C"/>
    <w:rsid w:val="00202C82"/>
    <w:rsid w:val="00214427"/>
    <w:rsid w:val="002163B3"/>
    <w:rsid w:val="00220689"/>
    <w:rsid w:val="00221AFD"/>
    <w:rsid w:val="00226CB7"/>
    <w:rsid w:val="00245160"/>
    <w:rsid w:val="00252450"/>
    <w:rsid w:val="002629AD"/>
    <w:rsid w:val="002639AC"/>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A1255"/>
    <w:rsid w:val="003C2E17"/>
    <w:rsid w:val="003C47E6"/>
    <w:rsid w:val="003C4FC2"/>
    <w:rsid w:val="00401F9A"/>
    <w:rsid w:val="0041533B"/>
    <w:rsid w:val="00416E61"/>
    <w:rsid w:val="0042790C"/>
    <w:rsid w:val="004506F9"/>
    <w:rsid w:val="00462315"/>
    <w:rsid w:val="0047093C"/>
    <w:rsid w:val="004717A2"/>
    <w:rsid w:val="00473DF3"/>
    <w:rsid w:val="00487911"/>
    <w:rsid w:val="00490F48"/>
    <w:rsid w:val="00491741"/>
    <w:rsid w:val="004A3910"/>
    <w:rsid w:val="004B0CEE"/>
    <w:rsid w:val="004C2A0A"/>
    <w:rsid w:val="004E4A1C"/>
    <w:rsid w:val="004F5EFB"/>
    <w:rsid w:val="00500E5F"/>
    <w:rsid w:val="005122EF"/>
    <w:rsid w:val="0051441A"/>
    <w:rsid w:val="00517C33"/>
    <w:rsid w:val="00517D5F"/>
    <w:rsid w:val="00523644"/>
    <w:rsid w:val="0054069E"/>
    <w:rsid w:val="00544866"/>
    <w:rsid w:val="00552A3D"/>
    <w:rsid w:val="00552EA5"/>
    <w:rsid w:val="00574CC8"/>
    <w:rsid w:val="005767CC"/>
    <w:rsid w:val="00590D9F"/>
    <w:rsid w:val="00594CD3"/>
    <w:rsid w:val="00595D26"/>
    <w:rsid w:val="00597BDC"/>
    <w:rsid w:val="005A74E6"/>
    <w:rsid w:val="005B404E"/>
    <w:rsid w:val="005D18EB"/>
    <w:rsid w:val="005D4D55"/>
    <w:rsid w:val="005E0E6C"/>
    <w:rsid w:val="005E2CFB"/>
    <w:rsid w:val="005E7E61"/>
    <w:rsid w:val="005F2103"/>
    <w:rsid w:val="005F3D1C"/>
    <w:rsid w:val="005F4189"/>
    <w:rsid w:val="00603E19"/>
    <w:rsid w:val="00603F70"/>
    <w:rsid w:val="0060495E"/>
    <w:rsid w:val="006171EE"/>
    <w:rsid w:val="0062378F"/>
    <w:rsid w:val="00641842"/>
    <w:rsid w:val="00646BF5"/>
    <w:rsid w:val="00651EEC"/>
    <w:rsid w:val="0065758D"/>
    <w:rsid w:val="00686673"/>
    <w:rsid w:val="00691E8C"/>
    <w:rsid w:val="006A22C4"/>
    <w:rsid w:val="006A351B"/>
    <w:rsid w:val="006B0422"/>
    <w:rsid w:val="006C1B53"/>
    <w:rsid w:val="006D54B0"/>
    <w:rsid w:val="006D7730"/>
    <w:rsid w:val="006E5284"/>
    <w:rsid w:val="006F3EB5"/>
    <w:rsid w:val="006F56C8"/>
    <w:rsid w:val="00702E34"/>
    <w:rsid w:val="00704395"/>
    <w:rsid w:val="00710FE7"/>
    <w:rsid w:val="00717621"/>
    <w:rsid w:val="00720FF1"/>
    <w:rsid w:val="00727160"/>
    <w:rsid w:val="00727A53"/>
    <w:rsid w:val="007502DE"/>
    <w:rsid w:val="0077751E"/>
    <w:rsid w:val="007801AB"/>
    <w:rsid w:val="00787B42"/>
    <w:rsid w:val="007C34B1"/>
    <w:rsid w:val="007C4539"/>
    <w:rsid w:val="007E5256"/>
    <w:rsid w:val="007E7D8B"/>
    <w:rsid w:val="007F3657"/>
    <w:rsid w:val="008053CC"/>
    <w:rsid w:val="008072A1"/>
    <w:rsid w:val="00810F0C"/>
    <w:rsid w:val="00811AA2"/>
    <w:rsid w:val="00812ED5"/>
    <w:rsid w:val="008277D9"/>
    <w:rsid w:val="0084478C"/>
    <w:rsid w:val="0086638C"/>
    <w:rsid w:val="008764FA"/>
    <w:rsid w:val="00882309"/>
    <w:rsid w:val="008A1079"/>
    <w:rsid w:val="008A3E8D"/>
    <w:rsid w:val="008A5055"/>
    <w:rsid w:val="008B008C"/>
    <w:rsid w:val="008D17F4"/>
    <w:rsid w:val="008D22A6"/>
    <w:rsid w:val="00906EC9"/>
    <w:rsid w:val="0092039D"/>
    <w:rsid w:val="009237C4"/>
    <w:rsid w:val="00944C48"/>
    <w:rsid w:val="00950252"/>
    <w:rsid w:val="00967F5D"/>
    <w:rsid w:val="00982B85"/>
    <w:rsid w:val="009A0F95"/>
    <w:rsid w:val="009B3ADF"/>
    <w:rsid w:val="009B4B92"/>
    <w:rsid w:val="009C31C5"/>
    <w:rsid w:val="009C3B52"/>
    <w:rsid w:val="009E6817"/>
    <w:rsid w:val="009E6E9A"/>
    <w:rsid w:val="00A01D2B"/>
    <w:rsid w:val="00A1392A"/>
    <w:rsid w:val="00A42218"/>
    <w:rsid w:val="00A555C4"/>
    <w:rsid w:val="00A6796C"/>
    <w:rsid w:val="00A70249"/>
    <w:rsid w:val="00A70B02"/>
    <w:rsid w:val="00A71D9F"/>
    <w:rsid w:val="00A92E9F"/>
    <w:rsid w:val="00A94416"/>
    <w:rsid w:val="00A978AD"/>
    <w:rsid w:val="00AB18FF"/>
    <w:rsid w:val="00AB5F6B"/>
    <w:rsid w:val="00AC0E85"/>
    <w:rsid w:val="00AC5297"/>
    <w:rsid w:val="00AC5A97"/>
    <w:rsid w:val="00AC7FFA"/>
    <w:rsid w:val="00B26269"/>
    <w:rsid w:val="00B33BEA"/>
    <w:rsid w:val="00B4080B"/>
    <w:rsid w:val="00B57C9F"/>
    <w:rsid w:val="00B63572"/>
    <w:rsid w:val="00B82573"/>
    <w:rsid w:val="00B845B3"/>
    <w:rsid w:val="00B85D8B"/>
    <w:rsid w:val="00BB4A40"/>
    <w:rsid w:val="00BD6022"/>
    <w:rsid w:val="00BD6C3E"/>
    <w:rsid w:val="00BE3674"/>
    <w:rsid w:val="00C10681"/>
    <w:rsid w:val="00C10822"/>
    <w:rsid w:val="00C14A5C"/>
    <w:rsid w:val="00C15C89"/>
    <w:rsid w:val="00C25CAC"/>
    <w:rsid w:val="00C263D9"/>
    <w:rsid w:val="00C27C0D"/>
    <w:rsid w:val="00C3049A"/>
    <w:rsid w:val="00C31B1E"/>
    <w:rsid w:val="00C32F2E"/>
    <w:rsid w:val="00C73888"/>
    <w:rsid w:val="00C77645"/>
    <w:rsid w:val="00CA214D"/>
    <w:rsid w:val="00CC4DEE"/>
    <w:rsid w:val="00CE04C3"/>
    <w:rsid w:val="00CE34BE"/>
    <w:rsid w:val="00CE76A0"/>
    <w:rsid w:val="00D148C6"/>
    <w:rsid w:val="00D17A8A"/>
    <w:rsid w:val="00D3045B"/>
    <w:rsid w:val="00D415BA"/>
    <w:rsid w:val="00D55FEF"/>
    <w:rsid w:val="00D61B56"/>
    <w:rsid w:val="00D63780"/>
    <w:rsid w:val="00D644EE"/>
    <w:rsid w:val="00DD06FF"/>
    <w:rsid w:val="00DD5FE9"/>
    <w:rsid w:val="00E00C7A"/>
    <w:rsid w:val="00E0360C"/>
    <w:rsid w:val="00E16C99"/>
    <w:rsid w:val="00E37D6C"/>
    <w:rsid w:val="00E55B68"/>
    <w:rsid w:val="00E561AE"/>
    <w:rsid w:val="00E67BE6"/>
    <w:rsid w:val="00E8683C"/>
    <w:rsid w:val="00EA04AD"/>
    <w:rsid w:val="00EA2B72"/>
    <w:rsid w:val="00EC082C"/>
    <w:rsid w:val="00ED161F"/>
    <w:rsid w:val="00F13BEE"/>
    <w:rsid w:val="00F560BE"/>
    <w:rsid w:val="00F74360"/>
    <w:rsid w:val="00F920E4"/>
    <w:rsid w:val="00FB462F"/>
    <w:rsid w:val="00FD1494"/>
    <w:rsid w:val="00FE16FA"/>
    <w:rsid w:val="00FE328A"/>
    <w:rsid w:val="00FE6269"/>
    <w:rsid w:val="00FF5CD6"/>
    <w:rsid w:val="1D97DEFF"/>
    <w:rsid w:val="1DFF72E5"/>
    <w:rsid w:val="1EFC6F07"/>
    <w:rsid w:val="2FDF85B8"/>
    <w:rsid w:val="2FFFEE04"/>
    <w:rsid w:val="34DF85B0"/>
    <w:rsid w:val="3B8F36BC"/>
    <w:rsid w:val="3FF73BCC"/>
    <w:rsid w:val="47FF835D"/>
    <w:rsid w:val="491FF225"/>
    <w:rsid w:val="4FFD214C"/>
    <w:rsid w:val="55DF01A3"/>
    <w:rsid w:val="5777D4F5"/>
    <w:rsid w:val="59DD8326"/>
    <w:rsid w:val="5DEF592A"/>
    <w:rsid w:val="5FC6BB1E"/>
    <w:rsid w:val="5FCE61DF"/>
    <w:rsid w:val="5FF720F1"/>
    <w:rsid w:val="67FF5C0B"/>
    <w:rsid w:val="6EFC0924"/>
    <w:rsid w:val="6FB74722"/>
    <w:rsid w:val="6FEF8B7E"/>
    <w:rsid w:val="71A6591B"/>
    <w:rsid w:val="72606DA0"/>
    <w:rsid w:val="737D59BA"/>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8FBE777D"/>
    <w:rsid w:val="95FB2B98"/>
    <w:rsid w:val="9A639BC2"/>
    <w:rsid w:val="9FF7D786"/>
    <w:rsid w:val="ABBFB23D"/>
    <w:rsid w:val="ADDD4F6F"/>
    <w:rsid w:val="BFFFBE86"/>
    <w:rsid w:val="C3B4DA5A"/>
    <w:rsid w:val="CBFF70E0"/>
    <w:rsid w:val="CFF50B82"/>
    <w:rsid w:val="CFFFAD89"/>
    <w:rsid w:val="DFFE359E"/>
    <w:rsid w:val="DFFE4FFD"/>
    <w:rsid w:val="EEABED75"/>
    <w:rsid w:val="EF6FE155"/>
    <w:rsid w:val="F56FDF51"/>
    <w:rsid w:val="F6B69F17"/>
    <w:rsid w:val="F77F1D61"/>
    <w:rsid w:val="F7FED3A9"/>
    <w:rsid w:val="F8C9DB26"/>
    <w:rsid w:val="F97E8EAE"/>
    <w:rsid w:val="FAFAD9A5"/>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 w:type="paragraph" w:customStyle="1" w:styleId="18">
    <w:name w:val="正文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3352</Words>
  <Characters>19107</Characters>
  <Lines>159</Lines>
  <Paragraphs>44</Paragraphs>
  <TotalTime>4</TotalTime>
  <ScaleCrop>false</ScaleCrop>
  <LinksUpToDate>false</LinksUpToDate>
  <CharactersWithSpaces>22415</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greatwall</cp:lastModifiedBy>
  <cp:lastPrinted>2025-09-11T08:39:00Z</cp:lastPrinted>
  <dcterms:modified xsi:type="dcterms:W3CDTF">2025-09-17T11:13:47Z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