
<file path=[Content_Types].xml><?xml version="1.0" encoding="utf-8"?>
<Types xmlns="http://schemas.openxmlformats.org/package/2006/content-types">
  <Default Extension="xml" ContentType="application/xml"/>
  <Default Extension="emf" ContentType="image/x-emf"/>
  <Default Extension="bin" ContentType="application/vnd.openxmlformats-officedocument.oleObjec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jc w:val="both"/>
        <w:rPr>
          <w:rFonts w:hAnsi="黑体"/>
          <w:sz w:val="36"/>
          <w:szCs w:val="36"/>
        </w:rPr>
      </w:pPr>
    </w:p>
    <w:p>
      <w:pPr>
        <w:pStyle w:val="15"/>
        <w:jc w:val="center"/>
        <w:rPr>
          <w:rFonts w:ascii="Times New Roman" w:hAnsi="Times New Roman" w:cs="Times New Roman"/>
          <w:sz w:val="56"/>
          <w:szCs w:val="56"/>
        </w:rPr>
      </w:pPr>
    </w:p>
    <w:p>
      <w:pPr>
        <w:pStyle w:val="15"/>
        <w:jc w:val="center"/>
        <w:rPr>
          <w:rFonts w:ascii="Times New Roman" w:hAnsi="Times New Roman" w:cs="Times New Roman"/>
          <w:sz w:val="84"/>
          <w:szCs w:val="84"/>
        </w:rPr>
      </w:pPr>
    </w:p>
    <w:p>
      <w:pPr>
        <w:pStyle w:val="15"/>
        <w:jc w:val="center"/>
        <w:rPr>
          <w:rFonts w:ascii="Times New Roman" w:hAnsi="Times New Roman" w:cs="Times New Roman"/>
          <w:sz w:val="84"/>
          <w:szCs w:val="84"/>
        </w:rPr>
      </w:pPr>
    </w:p>
    <w:p>
      <w:pPr>
        <w:pStyle w:val="15"/>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pPr>
        <w:pStyle w:val="15"/>
        <w:jc w:val="center"/>
        <w:rPr>
          <w:rFonts w:ascii="Times New Roman" w:hAnsi="Times New Roman" w:cs="Times New Roman"/>
          <w:b/>
          <w:sz w:val="36"/>
          <w:szCs w:val="28"/>
        </w:rPr>
        <w:sectPr>
          <w:footerReference r:id="rId3" w:type="default"/>
          <w:pgSz w:w="11906" w:h="16838"/>
          <w:pgMar w:top="1417" w:right="1588" w:bottom="1417" w:left="1588" w:header="851" w:footer="992" w:gutter="0"/>
          <w:pgNumType w:start="1"/>
          <w:cols w:space="425" w:num="1"/>
          <w:docGrid w:type="lines" w:linePitch="312" w:charSpace="0"/>
        </w:sectPr>
      </w:pPr>
      <w:r>
        <w:rPr>
          <w:rFonts w:hint="eastAsia" w:ascii="Times New Roman" w:hAnsi="Times New Roman" w:eastAsia="方正小标宋简体" w:cs="Times New Roman"/>
          <w:sz w:val="72"/>
          <w:szCs w:val="72"/>
          <w:lang w:eastAsia="zh-CN"/>
        </w:rPr>
        <w:t>湖南省畜牧兽医研究所</w:t>
      </w:r>
      <w:r>
        <w:rPr>
          <w:rFonts w:ascii="Times New Roman" w:hAnsi="Times New Roman" w:eastAsia="方正小标宋简体" w:cs="Times New Roman"/>
          <w:sz w:val="72"/>
          <w:szCs w:val="72"/>
        </w:rPr>
        <w:t>部门决算</w:t>
      </w:r>
    </w:p>
    <w:p>
      <w:pPr>
        <w:pStyle w:val="15"/>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  录</w:t>
      </w:r>
    </w:p>
    <w:p>
      <w:pPr>
        <w:pStyle w:val="15"/>
        <w:spacing w:line="600" w:lineRule="exact"/>
        <w:jc w:val="center"/>
        <w:rPr>
          <w:rFonts w:ascii="Times New Roman" w:hAnsi="Times New Roman" w:cs="Times New Roman"/>
          <w:b/>
          <w:sz w:val="36"/>
          <w:szCs w:val="28"/>
        </w:rPr>
      </w:pPr>
    </w:p>
    <w:p>
      <w:pPr>
        <w:pStyle w:val="15"/>
        <w:spacing w:after="156" w:afterLines="50" w:line="600" w:lineRule="exact"/>
        <w:rPr>
          <w:rFonts w:ascii="Times New Roman" w:hAnsi="Times New Roman" w:cs="Times New Roman"/>
          <w:bCs/>
          <w:sz w:val="32"/>
          <w:szCs w:val="32"/>
        </w:rPr>
      </w:pPr>
      <w:r>
        <w:rPr>
          <w:rFonts w:ascii="Times New Roman" w:hAnsi="Times New Roman" w:cs="Times New Roman"/>
          <w:bCs/>
          <w:sz w:val="32"/>
          <w:szCs w:val="32"/>
        </w:rPr>
        <w:t xml:space="preserve">第一部分 </w:t>
      </w:r>
      <w:r>
        <w:rPr>
          <w:rFonts w:hint="eastAsia" w:ascii="Times New Roman" w:hAnsi="Times New Roman" w:cs="Times New Roman"/>
          <w:bCs/>
          <w:sz w:val="32"/>
          <w:szCs w:val="32"/>
          <w:lang w:eastAsia="zh-CN"/>
        </w:rPr>
        <w:t>湖南省畜牧兽医研究所</w:t>
      </w:r>
      <w:r>
        <w:rPr>
          <w:rFonts w:ascii="Times New Roman" w:hAnsi="Times New Roman" w:cs="Times New Roman"/>
          <w:bCs/>
          <w:sz w:val="32"/>
          <w:szCs w:val="32"/>
        </w:rPr>
        <w:t>概况</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一、部门职责</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 部门决算表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 部门决算情况说明</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4" w:type="default"/>
          <w:pgSz w:w="11906" w:h="16838"/>
          <w:pgMar w:top="1417" w:right="1588" w:bottom="1417" w:left="1588" w:header="851" w:footer="992" w:gutter="0"/>
          <w:pgNumType w:start="1"/>
          <w:cols w:space="425" w:num="1"/>
          <w:docGrid w:type="lines" w:linePitch="312" w:charSpace="0"/>
        </w:sectPr>
      </w:pP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 名词解释</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 附件</w:t>
      </w:r>
    </w:p>
    <w:p>
      <w:pPr>
        <w:pStyle w:val="15"/>
        <w:spacing w:line="600" w:lineRule="exact"/>
        <w:rPr>
          <w:rFonts w:ascii="Times New Roman" w:hAnsi="Times New Roman" w:cs="Times New Roman"/>
          <w:bCs/>
          <w:sz w:val="28"/>
          <w:szCs w:val="28"/>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pStyle w:val="9"/>
        <w:rPr>
          <w:rFonts w:ascii="Times New Roman" w:hAnsi="Times New Roman" w:cs="Times New Roman"/>
        </w:rPr>
        <w:sectPr>
          <w:footerReference r:id="rId5" w:type="default"/>
          <w:pgSz w:w="11906" w:h="16838"/>
          <w:pgMar w:top="1417" w:right="1588" w:bottom="1417" w:left="1588" w:header="851" w:footer="992" w:gutter="0"/>
          <w:pgNumType w:start="1"/>
          <w:cols w:space="425" w:num="1"/>
          <w:docGrid w:type="lines" w:linePitch="312" w:charSpace="0"/>
        </w:sectPr>
      </w:pPr>
    </w:p>
    <w:p>
      <w:pPr>
        <w:rPr>
          <w:rFonts w:ascii="Times New Roman" w:hAnsi="Times New Roman" w:eastAsia="方正小标宋_GBK" w:cs="Times New Roman"/>
          <w:sz w:val="72"/>
          <w:szCs w:val="72"/>
        </w:rPr>
      </w:pPr>
    </w:p>
    <w:p>
      <w:pPr>
        <w:pStyle w:val="15"/>
        <w:spacing w:line="360" w:lineRule="auto"/>
        <w:jc w:val="center"/>
        <w:rPr>
          <w:rFonts w:hint="eastAsia" w:ascii="华文仿宋" w:hAnsi="华文仿宋" w:eastAsia="华文仿宋" w:cs="华文仿宋"/>
          <w:b w:val="0"/>
          <w:bCs w:val="0"/>
          <w:sz w:val="52"/>
          <w:szCs w:val="52"/>
          <w:lang w:eastAsia="zh-CN"/>
        </w:rPr>
      </w:pPr>
      <w:r>
        <w:rPr>
          <w:rFonts w:hint="eastAsia" w:ascii="华文仿宋" w:hAnsi="华文仿宋" w:eastAsia="华文仿宋" w:cs="华文仿宋"/>
          <w:b w:val="0"/>
          <w:bCs w:val="0"/>
          <w:sz w:val="52"/>
          <w:szCs w:val="52"/>
          <w:lang w:eastAsia="zh-CN"/>
        </w:rPr>
        <w:t>第一部分</w:t>
      </w:r>
    </w:p>
    <w:p>
      <w:pPr>
        <w:pStyle w:val="15"/>
        <w:spacing w:line="360" w:lineRule="auto"/>
        <w:jc w:val="center"/>
        <w:rPr>
          <w:rFonts w:hint="eastAsia" w:ascii="华文仿宋" w:hAnsi="华文仿宋" w:eastAsia="华文仿宋" w:cs="华文仿宋"/>
          <w:b w:val="0"/>
          <w:bCs w:val="0"/>
          <w:sz w:val="52"/>
          <w:szCs w:val="52"/>
        </w:rPr>
      </w:pPr>
      <w:r>
        <w:rPr>
          <w:rFonts w:hint="eastAsia" w:ascii="华文仿宋" w:hAnsi="华文仿宋" w:eastAsia="华文仿宋" w:cs="华文仿宋"/>
          <w:b w:val="0"/>
          <w:bCs w:val="0"/>
          <w:sz w:val="52"/>
          <w:szCs w:val="52"/>
          <w:lang w:eastAsia="zh-CN"/>
        </w:rPr>
        <w:t>湖南省畜牧兽医研究所单位概况</w:t>
      </w:r>
    </w:p>
    <w:p>
      <w:pPr>
        <w:pStyle w:val="5"/>
        <w:ind w:left="0" w:leftChars="0" w:firstLine="0" w:firstLineChars="0"/>
        <w:rPr>
          <w:rFonts w:ascii="Times New Roman" w:hAnsi="Times New Roman" w:cs="Times New Roman"/>
        </w:rPr>
      </w:pPr>
    </w:p>
    <w:p>
      <w:pPr>
        <w:pStyle w:val="16"/>
        <w:spacing w:line="600" w:lineRule="exact"/>
        <w:ind w:firstLine="0" w:firstLineChars="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部门职责</w:t>
      </w:r>
    </w:p>
    <w:p>
      <w:pPr>
        <w:keepNext w:val="0"/>
        <w:keepLines w:val="0"/>
        <w:pageBreakBefore w:val="0"/>
        <w:kinsoku/>
        <w:wordWrap/>
        <w:overflowPunct/>
        <w:topLinePunct w:val="0"/>
        <w:autoSpaceDE/>
        <w:autoSpaceDN/>
        <w:bidi w:val="0"/>
        <w:adjustRightInd/>
        <w:snapToGrid/>
        <w:ind w:firstLine="560" w:firstLineChars="200"/>
        <w:jc w:val="left"/>
        <w:textAlignment w:val="auto"/>
        <w:rPr>
          <w:rFonts w:hint="eastAsia" w:ascii="Times New Roman" w:hAnsi="Times New Roman" w:eastAsia="仿宋_GB2312" w:cs="Times New Roman"/>
          <w:sz w:val="28"/>
          <w:szCs w:val="32"/>
          <w:lang w:eastAsia="zh-CN"/>
        </w:rPr>
      </w:pPr>
      <w:r>
        <w:rPr>
          <w:rFonts w:hint="eastAsia" w:ascii="Times New Roman" w:hAnsi="Times New Roman" w:eastAsia="仿宋_GB2312" w:cs="Times New Roman"/>
          <w:sz w:val="28"/>
          <w:szCs w:val="32"/>
          <w:lang w:eastAsia="zh-CN"/>
        </w:rPr>
        <w:t>湖南畜牧兽医研究所位于长沙市芙蓉区远大二路，系湖南省农业农村厅下属一类公益事业单位，主要承担全省畜禽遗传育种、动物营养、兽医兽药、畜禽新品种、畜禽产品加工等方面工作。</w:t>
      </w:r>
    </w:p>
    <w:p>
      <w:pPr>
        <w:widowControl/>
        <w:spacing w:line="600" w:lineRule="exac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二、机构设置及决算单位构成</w:t>
      </w:r>
    </w:p>
    <w:p>
      <w:pPr>
        <w:keepNext w:val="0"/>
        <w:keepLines w:val="0"/>
        <w:pageBreakBefore w:val="0"/>
        <w:kinsoku/>
        <w:wordWrap/>
        <w:overflowPunct/>
        <w:topLinePunct w:val="0"/>
        <w:autoSpaceDE/>
        <w:autoSpaceDN/>
        <w:bidi w:val="0"/>
        <w:adjustRightInd/>
        <w:snapToGrid/>
        <w:ind w:firstLine="560" w:firstLineChars="200"/>
        <w:jc w:val="left"/>
        <w:textAlignment w:val="auto"/>
        <w:rPr>
          <w:rFonts w:hint="eastAsia" w:ascii="Times New Roman" w:hAnsi="Times New Roman" w:eastAsia="仿宋_GB2312" w:cs="Times New Roman"/>
          <w:sz w:val="28"/>
          <w:szCs w:val="32"/>
        </w:rPr>
      </w:pPr>
      <w:r>
        <w:rPr>
          <w:rFonts w:hint="eastAsia" w:ascii="Times New Roman" w:hAnsi="Times New Roman" w:eastAsia="仿宋_GB2312" w:cs="Times New Roman"/>
          <w:sz w:val="28"/>
          <w:szCs w:val="32"/>
        </w:rPr>
        <w:t>（一）内设机构设置。湖南省畜牧兽医研究所内设机构包括：办公室、人事科、计财科、后勤中心、养猪研究室、动物营养研究室、兽医兽药研究室、资源化利用研究室、草业与草食动物研究室、信息资料研究室、良种牛繁育中心、奶牛原种场、科技开发服务中心等13 个科室、部门。</w:t>
      </w:r>
    </w:p>
    <w:p>
      <w:pPr>
        <w:keepNext w:val="0"/>
        <w:keepLines w:val="0"/>
        <w:pageBreakBefore w:val="0"/>
        <w:kinsoku/>
        <w:wordWrap/>
        <w:overflowPunct/>
        <w:topLinePunct w:val="0"/>
        <w:autoSpaceDE/>
        <w:autoSpaceDN/>
        <w:bidi w:val="0"/>
        <w:adjustRightInd/>
        <w:snapToGrid/>
        <w:ind w:firstLine="560" w:firstLineChars="200"/>
        <w:jc w:val="left"/>
        <w:textAlignment w:val="auto"/>
        <w:rPr>
          <w:rFonts w:ascii="Times New Roman" w:hAnsi="Times New Roman" w:eastAsia="仿宋_GB2312" w:cs="Times New Roman"/>
          <w:sz w:val="28"/>
          <w:szCs w:val="32"/>
        </w:rPr>
      </w:pPr>
      <w:r>
        <w:rPr>
          <w:rFonts w:hint="eastAsia" w:ascii="Times New Roman" w:hAnsi="Times New Roman" w:eastAsia="仿宋_GB2312" w:cs="Times New Roman"/>
          <w:sz w:val="28"/>
          <w:szCs w:val="32"/>
        </w:rPr>
        <w:t>（二）决算单位构成。湖南省畜牧兽医研究所202</w:t>
      </w:r>
      <w:r>
        <w:rPr>
          <w:rFonts w:hint="eastAsia" w:ascii="Times New Roman" w:hAnsi="Times New Roman" w:eastAsia="仿宋_GB2312" w:cs="Times New Roman"/>
          <w:sz w:val="28"/>
          <w:szCs w:val="32"/>
          <w:lang w:val="en-US" w:eastAsia="zh-CN"/>
        </w:rPr>
        <w:t>4</w:t>
      </w:r>
      <w:r>
        <w:rPr>
          <w:rFonts w:hint="eastAsia" w:ascii="Times New Roman" w:hAnsi="Times New Roman" w:eastAsia="仿宋_GB2312" w:cs="Times New Roman"/>
          <w:sz w:val="28"/>
          <w:szCs w:val="32"/>
        </w:rPr>
        <w:t>年部门决算汇总公开单位构成包括：湖南省畜牧兽医研究所本级。</w:t>
      </w:r>
    </w:p>
    <w:p>
      <w:pPr>
        <w:pStyle w:val="9"/>
        <w:rPr>
          <w:rFonts w:ascii="Times New Roman" w:hAnsi="Times New Roman" w:cs="Times New Roman"/>
        </w:rPr>
        <w:sectPr>
          <w:footerReference r:id="rId6" w:type="default"/>
          <w:pgSz w:w="11906" w:h="16838"/>
          <w:pgMar w:top="1417" w:right="1588" w:bottom="1417" w:left="1588" w:header="851" w:footer="992" w:gutter="0"/>
          <w:pgNumType w:start="1"/>
          <w:cols w:space="425" w:num="1"/>
          <w:docGrid w:type="lines" w:linePitch="312" w:charSpace="0"/>
        </w:sectPr>
      </w:pPr>
    </w:p>
    <w:p>
      <w:pPr>
        <w:pStyle w:val="15"/>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第二部分    部门决算表</w:t>
      </w:r>
    </w:p>
    <w:p>
      <w:pPr>
        <w:widowControl/>
        <w:spacing w:after="156" w:afterLines="50"/>
        <w:jc w:val="center"/>
        <w:textAlignment w:val="center"/>
        <w:rPr>
          <w:rFonts w:ascii="Times New Roman" w:hAnsi="Times New Roman" w:eastAsia="黑体" w:cs="Times New Roman"/>
          <w:color w:val="000000"/>
          <w:sz w:val="36"/>
          <w:szCs w:val="36"/>
        </w:rPr>
      </w:pPr>
      <w:r>
        <w:rPr>
          <w:rFonts w:ascii="Times New Roman" w:hAnsi="Times New Roman" w:eastAsia="黑体" w:cs="Times New Roman"/>
          <w:color w:val="000000"/>
          <w:kern w:val="0"/>
          <w:sz w:val="36"/>
          <w:szCs w:val="36"/>
          <w:lang w:bidi="ar"/>
        </w:rPr>
        <w:t>收入支出决算总表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公开01表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湖南省畜牧兽医研究所</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单位：万元</w:t>
      </w:r>
    </w:p>
    <w:tbl>
      <w:tblPr>
        <w:tblStyle w:val="10"/>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474"/>
        <w:gridCol w:w="768"/>
        <w:gridCol w:w="1808"/>
        <w:gridCol w:w="5280"/>
        <w:gridCol w:w="703"/>
        <w:gridCol w:w="10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7050" w:type="dxa"/>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收入</w:t>
            </w:r>
          </w:p>
        </w:tc>
        <w:tc>
          <w:tcPr>
            <w:tcW w:w="7050" w:type="dxa"/>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项目</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行次</w:t>
            </w:r>
          </w:p>
        </w:tc>
        <w:tc>
          <w:tcPr>
            <w:tcW w:w="164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金额</w:t>
            </w: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项目</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行次</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栏次</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164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1</w:t>
            </w: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栏次</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一、一般公共预算财政拨款收入</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1</w:t>
            </w:r>
          </w:p>
        </w:tc>
        <w:tc>
          <w:tcPr>
            <w:tcW w:w="1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3,332.46</w:t>
            </w: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一、一般公共服务支出</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31</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7.17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二、政府性基金预算财政拨款收入</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2</w:t>
            </w:r>
          </w:p>
        </w:tc>
        <w:tc>
          <w:tcPr>
            <w:tcW w:w="1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二、外交支出</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32</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三、国有资本经营预算财政拨款收入</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3</w:t>
            </w:r>
          </w:p>
        </w:tc>
        <w:tc>
          <w:tcPr>
            <w:tcW w:w="1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三、国防支出</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33</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四、上级补助收入</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4</w:t>
            </w:r>
          </w:p>
        </w:tc>
        <w:tc>
          <w:tcPr>
            <w:tcW w:w="1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0.00</w:t>
            </w: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四、公共安全支出</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34</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五、事业收入</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5</w:t>
            </w:r>
          </w:p>
        </w:tc>
        <w:tc>
          <w:tcPr>
            <w:tcW w:w="1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587.16</w:t>
            </w: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五、教育支出</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35</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六、经营收入</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6</w:t>
            </w:r>
          </w:p>
        </w:tc>
        <w:tc>
          <w:tcPr>
            <w:tcW w:w="1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0.00</w:t>
            </w: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六、科学技术支出</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36</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28.00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七、附属单位上缴收入</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7</w:t>
            </w:r>
          </w:p>
        </w:tc>
        <w:tc>
          <w:tcPr>
            <w:tcW w:w="1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0.00</w:t>
            </w: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七、文化旅游体育与传媒支出</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37</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八、其他收入</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8</w:t>
            </w:r>
          </w:p>
        </w:tc>
        <w:tc>
          <w:tcPr>
            <w:tcW w:w="1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780.14</w:t>
            </w: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八、社会保障和就业支出</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38</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534.15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9</w:t>
            </w:r>
          </w:p>
        </w:tc>
        <w:tc>
          <w:tcPr>
            <w:tcW w:w="1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九、卫生健康支出</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39</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10</w:t>
            </w:r>
          </w:p>
        </w:tc>
        <w:tc>
          <w:tcPr>
            <w:tcW w:w="1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十、节能环保支出</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40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11</w:t>
            </w:r>
          </w:p>
        </w:tc>
        <w:tc>
          <w:tcPr>
            <w:tcW w:w="1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十一、城乡社区支出</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41</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12</w:t>
            </w:r>
          </w:p>
        </w:tc>
        <w:tc>
          <w:tcPr>
            <w:tcW w:w="1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十二、农林水支出</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42</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3,028.47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13</w:t>
            </w:r>
          </w:p>
        </w:tc>
        <w:tc>
          <w:tcPr>
            <w:tcW w:w="1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十三、交通运输支出</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43</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14</w:t>
            </w:r>
          </w:p>
        </w:tc>
        <w:tc>
          <w:tcPr>
            <w:tcW w:w="1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十四、资源勘探工业信息等支出</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44</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15</w:t>
            </w:r>
          </w:p>
        </w:tc>
        <w:tc>
          <w:tcPr>
            <w:tcW w:w="1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十五、商业服务业等支出</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45</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16</w:t>
            </w:r>
          </w:p>
        </w:tc>
        <w:tc>
          <w:tcPr>
            <w:tcW w:w="1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十六、金融支出</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46</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17</w:t>
            </w:r>
          </w:p>
        </w:tc>
        <w:tc>
          <w:tcPr>
            <w:tcW w:w="1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十七、援助其他地区支出</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47</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18</w:t>
            </w:r>
          </w:p>
        </w:tc>
        <w:tc>
          <w:tcPr>
            <w:tcW w:w="1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十八、自然资源海洋气象等支出</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48</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19</w:t>
            </w:r>
          </w:p>
        </w:tc>
        <w:tc>
          <w:tcPr>
            <w:tcW w:w="1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十九、住房保障支出</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49</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170.90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20</w:t>
            </w:r>
          </w:p>
        </w:tc>
        <w:tc>
          <w:tcPr>
            <w:tcW w:w="1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二十、粮油物资储备支出</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50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21</w:t>
            </w:r>
          </w:p>
        </w:tc>
        <w:tc>
          <w:tcPr>
            <w:tcW w:w="1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二十一、国有资本经营预算支出</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51</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22</w:t>
            </w:r>
          </w:p>
        </w:tc>
        <w:tc>
          <w:tcPr>
            <w:tcW w:w="1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二十二、灾害防治及应急管理支出</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52</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23</w:t>
            </w:r>
          </w:p>
        </w:tc>
        <w:tc>
          <w:tcPr>
            <w:tcW w:w="1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二十三、其他支出</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53</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24</w:t>
            </w:r>
          </w:p>
        </w:tc>
        <w:tc>
          <w:tcPr>
            <w:tcW w:w="1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二十四、债务还本支出</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54</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25</w:t>
            </w:r>
          </w:p>
        </w:tc>
        <w:tc>
          <w:tcPr>
            <w:tcW w:w="1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二十五、债务付息支出</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55</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26</w:t>
            </w:r>
          </w:p>
        </w:tc>
        <w:tc>
          <w:tcPr>
            <w:tcW w:w="1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二十六、抗疫特别国债安排的支出</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56</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本年收入合计</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27</w:t>
            </w:r>
          </w:p>
        </w:tc>
        <w:tc>
          <w:tcPr>
            <w:tcW w:w="1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4,699.76</w:t>
            </w: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本年支出合计</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57</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3,768.68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使用非财政拨款结余（含专用结余）</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28</w:t>
            </w:r>
          </w:p>
        </w:tc>
        <w:tc>
          <w:tcPr>
            <w:tcW w:w="1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结余分配</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58</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602.84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年初结转和结余</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29</w:t>
            </w:r>
          </w:p>
        </w:tc>
        <w:tc>
          <w:tcPr>
            <w:tcW w:w="1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1,234.46</w:t>
            </w: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年末结转和结余</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59</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1,562.70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总计</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30</w:t>
            </w:r>
          </w:p>
        </w:tc>
        <w:tc>
          <w:tcPr>
            <w:tcW w:w="1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5,934.23</w:t>
            </w:r>
          </w:p>
        </w:tc>
        <w:tc>
          <w:tcPr>
            <w:tcW w:w="52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总计</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60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widowControl/>
              <w:jc w:val="left"/>
              <w:textAlignment w:val="center"/>
              <w:rPr>
                <w:rFonts w:hint="eastAsia"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val="en-US" w:eastAsia="zh-CN" w:bidi="ar"/>
              </w:rPr>
              <w:t>5,934.23</w:t>
            </w:r>
          </w:p>
        </w:tc>
      </w:tr>
    </w:tbl>
    <w:p>
      <w:pPr>
        <w:widowControl/>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注：1.本表反映部门本年度的总收支和年末结转结余情况。</w:t>
      </w:r>
      <w:r>
        <w:rPr>
          <w:rFonts w:ascii="Times New Roman" w:hAnsi="Times New Roman" w:eastAsia="仿宋_GB2312" w:cs="Times New Roman"/>
          <w:color w:val="000000"/>
          <w:kern w:val="0"/>
          <w:sz w:val="24"/>
          <w:szCs w:val="24"/>
          <w:lang w:bidi="ar"/>
        </w:rPr>
        <w:br w:type="textWrapping"/>
      </w:r>
      <w:r>
        <w:rPr>
          <w:rFonts w:ascii="Times New Roman" w:hAnsi="Times New Roman" w:eastAsia="仿宋_GB2312" w:cs="Times New Roman"/>
          <w:color w:val="000000"/>
          <w:kern w:val="0"/>
          <w:sz w:val="24"/>
          <w:szCs w:val="24"/>
          <w:lang w:bidi="ar"/>
        </w:rPr>
        <w:t xml:space="preserve">    2.本套报表金额单位转换时可能存在尾数误差。</w:t>
      </w:r>
    </w:p>
    <w:p>
      <w:pPr>
        <w:rPr>
          <w:rFonts w:ascii="Times New Roman" w:hAnsi="Times New Roman" w:eastAsia="华文中宋" w:cs="Times New Roman"/>
          <w:color w:val="000000"/>
          <w:sz w:val="32"/>
          <w:szCs w:val="32"/>
        </w:rPr>
      </w:pPr>
      <w:r>
        <w:rPr>
          <w:rFonts w:ascii="Times New Roman" w:hAnsi="Times New Roman" w:eastAsia="华文中宋" w:cs="Times New Roman"/>
          <w:color w:val="000000"/>
          <w:sz w:val="32"/>
          <w:szCs w:val="32"/>
        </w:rPr>
        <w:br w:type="page"/>
      </w: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收入决算表</w:t>
      </w:r>
    </w:p>
    <w:p>
      <w:pP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公开02表</w:t>
      </w:r>
    </w:p>
    <w:p>
      <w:pPr>
        <w:tabs>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部门：</w:t>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sz w:val="20"/>
          <w:szCs w:val="20"/>
          <w:lang w:eastAsia="zh-CN"/>
        </w:rPr>
        <w:t>湖南省畜牧兽医研究所</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　</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单位：万元</w:t>
      </w:r>
    </w:p>
    <w:p>
      <w:pPr>
        <w:spacing w:before="120"/>
        <w:rPr>
          <w:rFonts w:ascii="Times New Roman" w:hAnsi="Times New Roman" w:eastAsia="仿宋_GB2312" w:cs="Times New Roman"/>
        </w:rPr>
      </w:pPr>
      <w:r>
        <w:rPr>
          <w:rFonts w:ascii="Times New Roman" w:hAnsi="Times New Roman" w:eastAsia="仿宋_GB2312" w:cs="Times New Roman"/>
        </w:rPr>
        <w:object>
          <v:shape id="_x0000_i1025" o:spt="75" type="#_x0000_t75" style="height:299.45pt;width:699.35pt;" o:ole="t" filled="f" o:preferrelative="t" stroked="f" coordsize="21600,21600">
            <v:path/>
            <v:fill on="f" focussize="0,0"/>
            <v:stroke on="f"/>
            <v:imagedata r:id="rId9" o:title=""/>
            <o:lock v:ext="edit" aspectratio="f"/>
            <w10:wrap type="none"/>
            <w10:anchorlock/>
          </v:shape>
          <o:OLEObject Type="Embed" ProgID="Excel.Sheet.12" ShapeID="_x0000_i1025" DrawAspect="Content" ObjectID="_1468075725" r:id="rId8">
            <o:LockedField>false</o:LockedField>
          </o:OLEObject>
        </w:object>
      </w:r>
    </w:p>
    <w:p>
      <w:pPr>
        <w:spacing w:before="120"/>
        <w:rPr>
          <w:rFonts w:ascii="Times New Roman" w:hAnsi="Times New Roman" w:eastAsia="仿宋_GB2312" w:cs="Times New Roman"/>
          <w:sz w:val="24"/>
          <w:szCs w:val="24"/>
        </w:rPr>
      </w:pPr>
      <w:r>
        <w:rPr>
          <w:rFonts w:ascii="Times New Roman" w:hAnsi="Times New Roman" w:eastAsia="仿宋_GB2312" w:cs="Times New Roman"/>
        </w:rPr>
        <w:t>注：本表反映部门本年度取得的各项收入情况。</w:t>
      </w:r>
    </w:p>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pPr>
        <w:widowControl/>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支出决算表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公开03表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lang w:eastAsia="zh-CN"/>
        </w:rPr>
        <w:t>湖南省畜牧兽医研究所</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　</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单位：万元</w:t>
      </w:r>
    </w:p>
    <w:p>
      <w:pPr>
        <w:widowControl/>
        <w:spacing w:before="120"/>
        <w:jc w:val="left"/>
        <w:rPr>
          <w:rFonts w:ascii="Times New Roman" w:hAnsi="Times New Roman" w:eastAsia="方正小标宋_GBK" w:cs="Times New Roman"/>
          <w:color w:val="000000"/>
          <w:kern w:val="0"/>
          <w:sz w:val="36"/>
          <w:szCs w:val="21"/>
        </w:rPr>
      </w:pPr>
      <w:r>
        <w:rPr>
          <w:rFonts w:ascii="Times New Roman" w:hAnsi="Times New Roman" w:eastAsia="仿宋_GB2312" w:cs="Times New Roman"/>
          <w:kern w:val="0"/>
          <w:sz w:val="24"/>
          <w:szCs w:val="24"/>
        </w:rPr>
        <w:object>
          <v:shape id="_x0000_i1026" o:spt="75" type="#_x0000_t75" style="height:314.9pt;width:699.5pt;" o:ole="t" filled="f" o:preferrelative="t" stroked="f" coordsize="21600,21600">
            <v:path/>
            <v:fill on="f" focussize="0,0"/>
            <v:stroke on="f"/>
            <v:imagedata r:id="rId11" o:title=""/>
            <o:lock v:ext="edit" aspectratio="f"/>
            <w10:wrap type="none"/>
            <w10:anchorlock/>
          </v:shape>
          <o:OLEObject Type="Embed" ProgID="Excel.Sheet.12" ShapeID="_x0000_i1026" DrawAspect="Content" ObjectID="_1468075726" r:id="rId10">
            <o:LockedField>false</o:LockedField>
          </o:OLEObject>
        </w:object>
      </w:r>
      <w:r>
        <w:rPr>
          <w:rFonts w:ascii="Times New Roman" w:hAnsi="Times New Roman" w:eastAsia="仿宋_GB2312" w:cs="Times New Roman"/>
          <w:kern w:val="0"/>
          <w:sz w:val="24"/>
          <w:szCs w:val="24"/>
        </w:rPr>
        <w:t>注：本表反映部门本年度各项支出情况。</w:t>
      </w:r>
    </w:p>
    <w:p>
      <w:pPr>
        <w:widowControl/>
        <w:tabs>
          <w:tab w:val="left" w:pos="3595"/>
          <w:tab w:val="left" w:pos="4031"/>
          <w:tab w:val="left" w:pos="5605"/>
          <w:tab w:val="left" w:pos="9152"/>
          <w:tab w:val="left" w:pos="9587"/>
          <w:tab w:val="left" w:pos="11160"/>
          <w:tab w:val="left" w:pos="12554"/>
          <w:tab w:val="left" w:pos="13948"/>
        </w:tabs>
        <w:jc w:val="right"/>
        <w:rPr>
          <w:rFonts w:ascii="Times New Roman" w:hAnsi="Times New Roman" w:eastAsia="宋体" w:cs="Times New Roman"/>
          <w:kern w:val="0"/>
          <w:sz w:val="24"/>
          <w:szCs w:val="24"/>
        </w:rPr>
      </w:pPr>
      <w:bookmarkStart w:id="0" w:name="RANGE!A1:I22"/>
      <w:bookmarkEnd w:id="0"/>
      <w:bookmarkStart w:id="1" w:name="RANGE!A1:F16"/>
      <w:r>
        <w:rPr>
          <w:rFonts w:ascii="Times New Roman" w:hAnsi="Times New Roman" w:eastAsia="黑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财政拨款收入支出决算总表</w:t>
      </w:r>
    </w:p>
    <w:p>
      <w:pPr>
        <w:widowControl/>
        <w:tabs>
          <w:tab w:val="left" w:pos="3595"/>
          <w:tab w:val="left" w:pos="4031"/>
          <w:tab w:val="left" w:pos="5109"/>
          <w:tab w:val="left" w:pos="9152"/>
          <w:tab w:val="left" w:pos="9587"/>
          <w:tab w:val="left" w:pos="11160"/>
          <w:tab w:val="left" w:pos="12554"/>
          <w:tab w:val="left" w:pos="13948"/>
        </w:tabs>
        <w:jc w:val="left"/>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 xml:space="preserve">                                                                                                                 </w:t>
      </w:r>
      <w:r>
        <w:rPr>
          <w:rFonts w:hint="eastAsia" w:ascii="Times New Roman" w:hAnsi="Times New Roman" w:eastAsia="仿宋_GB2312" w:cs="Times New Roman"/>
          <w:color w:val="000000"/>
          <w:kern w:val="0"/>
          <w:sz w:val="20"/>
          <w:szCs w:val="20"/>
          <w:lang w:val="en-US" w:eastAsia="zh-CN"/>
        </w:rPr>
        <w:t xml:space="preserve">         </w:t>
      </w:r>
      <w:r>
        <w:rPr>
          <w:rFonts w:ascii="Times New Roman" w:hAnsi="Times New Roman" w:eastAsia="仿宋_GB2312" w:cs="Times New Roman"/>
          <w:color w:val="000000"/>
          <w:kern w:val="0"/>
          <w:sz w:val="20"/>
          <w:szCs w:val="20"/>
        </w:rPr>
        <w:t xml:space="preserve"> 公开04表</w:t>
      </w:r>
    </w:p>
    <w:p>
      <w:pPr>
        <w:widowControl/>
        <w:tabs>
          <w:tab w:val="left" w:pos="3595"/>
          <w:tab w:val="left" w:pos="4031"/>
          <w:tab w:val="left" w:pos="5109"/>
          <w:tab w:val="left" w:pos="9152"/>
          <w:tab w:val="left" w:pos="9587"/>
          <w:tab w:val="left" w:pos="11160"/>
          <w:tab w:val="left" w:pos="12554"/>
          <w:tab w:val="left" w:pos="13948"/>
        </w:tabs>
        <w:jc w:val="left"/>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lang w:eastAsia="zh-CN"/>
        </w:rPr>
        <w:t>湖南省畜牧兽医研究所</w:t>
      </w:r>
      <w:r>
        <w:rPr>
          <w:rFonts w:ascii="Times New Roman" w:hAnsi="Times New Roman" w:eastAsia="仿宋_GB2312" w:cs="Times New Roman"/>
          <w:color w:val="000000"/>
          <w:kern w:val="0"/>
          <w:sz w:val="20"/>
          <w:szCs w:val="20"/>
        </w:rPr>
        <w:tab/>
      </w:r>
      <w:r>
        <w:rPr>
          <w:rFonts w:hint="eastAsia" w:ascii="Times New Roman" w:hAnsi="Times New Roman" w:eastAsia="仿宋_GB2312" w:cs="Times New Roman"/>
          <w:color w:val="000000"/>
          <w:kern w:val="0"/>
          <w:sz w:val="20"/>
          <w:szCs w:val="20"/>
          <w:lang w:val="en-US" w:eastAsia="zh-CN"/>
        </w:rPr>
        <w:t xml:space="preserve">  </w:t>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hint="eastAsia" w:ascii="Times New Roman" w:hAnsi="Times New Roman" w:eastAsia="仿宋_GB2312" w:cs="Times New Roman"/>
          <w:kern w:val="0"/>
          <w:sz w:val="24"/>
          <w:szCs w:val="24"/>
          <w:lang w:val="en-US" w:eastAsia="zh-CN"/>
        </w:rPr>
        <w:t xml:space="preserve">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hint="eastAsia" w:ascii="Times New Roman" w:hAnsi="Times New Roman" w:eastAsia="仿宋_GB2312" w:cs="Times New Roman"/>
          <w:kern w:val="0"/>
          <w:sz w:val="24"/>
          <w:szCs w:val="24"/>
          <w:lang w:val="en-US" w:eastAsia="zh-CN"/>
        </w:rPr>
        <w:t xml:space="preserve">     </w:t>
      </w:r>
      <w:r>
        <w:rPr>
          <w:rFonts w:ascii="Times New Roman" w:hAnsi="Times New Roman" w:eastAsia="仿宋_GB2312" w:cs="Times New Roman"/>
          <w:kern w:val="0"/>
          <w:sz w:val="24"/>
          <w:szCs w:val="24"/>
        </w:rPr>
        <w:t>　</w:t>
      </w:r>
      <w:r>
        <w:rPr>
          <w:rFonts w:ascii="Times New Roman" w:hAnsi="Times New Roman" w:eastAsia="仿宋_GB2312" w:cs="Times New Roman"/>
          <w:color w:val="000000"/>
          <w:kern w:val="0"/>
          <w:sz w:val="20"/>
          <w:szCs w:val="20"/>
        </w:rPr>
        <w:t>单位：万元</w:t>
      </w:r>
    </w:p>
    <w:p>
      <w:pPr>
        <w:widowControl/>
        <w:ind w:left="240" w:hanging="240" w:hangingChars="10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object>
          <v:shape id="_x0000_i1027" o:spt="75" type="#_x0000_t75" style="height:354.9pt;width:629pt;" o:ole="t" filled="f" o:preferrelative="t" stroked="f" coordsize="21600,21600">
            <v:path/>
            <v:fill on="f" focussize="0,0"/>
            <v:stroke on="f"/>
            <v:imagedata r:id="rId13" o:title=""/>
            <o:lock v:ext="edit" aspectratio="f"/>
            <w10:wrap type="none"/>
            <w10:anchorlock/>
          </v:shape>
          <o:OLEObject Type="Embed" ProgID="Excel.Sheet.12" ShapeID="_x0000_i1027" DrawAspect="Content" ObjectID="_1468075727" r:id="rId12">
            <o:LockedField>false</o:LockedField>
          </o:OLEObject>
        </w:object>
      </w:r>
      <w:r>
        <w:rPr>
          <w:rFonts w:hint="eastAsia" w:ascii="Times New Roman" w:hAnsi="Times New Roman" w:eastAsia="仿宋_GB2312" w:cs="Times New Roman"/>
          <w:kern w:val="0"/>
          <w:sz w:val="24"/>
          <w:szCs w:val="24"/>
          <w:lang w:val="en-US" w:eastAsia="zh-CN"/>
        </w:rPr>
        <w:t xml:space="preserve">         </w:t>
      </w:r>
      <w:r>
        <w:rPr>
          <w:rFonts w:ascii="Times New Roman" w:hAnsi="Times New Roman" w:eastAsia="仿宋_GB2312" w:cs="Times New Roman"/>
          <w:kern w:val="0"/>
          <w:sz w:val="24"/>
          <w:szCs w:val="24"/>
        </w:rPr>
        <w:t>注：</w:t>
      </w:r>
      <w:r>
        <w:rPr>
          <w:rFonts w:ascii="Times New Roman" w:hAnsi="Times New Roman" w:eastAsia="仿宋_GB2312" w:cs="Times New Roman"/>
          <w:spacing w:val="-6"/>
          <w:kern w:val="0"/>
          <w:sz w:val="24"/>
          <w:szCs w:val="24"/>
        </w:rPr>
        <w:t>本表反映部门本年度一般公共预算财政拨款、政府性基金预算财政拨款和国有资本经营预算财政拨款的总收支和年末结转结余情况。</w:t>
      </w:r>
    </w:p>
    <w:p>
      <w:pPr>
        <w:widowControl/>
        <w:jc w:val="center"/>
        <w:rPr>
          <w:rFonts w:ascii="Times New Roman" w:hAnsi="Times New Roman" w:eastAsia="方正小标宋_GBK" w:cs="Times New Roman"/>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部门：</w:t>
      </w:r>
      <w:r>
        <w:rPr>
          <w:rFonts w:hint="eastAsia" w:ascii="Times New Roman" w:hAnsi="Times New Roman" w:eastAsia="仿宋_GB2312" w:cs="Times New Roman"/>
          <w:color w:val="000000"/>
          <w:kern w:val="0"/>
          <w:szCs w:val="21"/>
          <w:lang w:eastAsia="zh-CN"/>
        </w:rPr>
        <w:t>湖南省畜牧兽医研究所</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单位：万元</w:t>
      </w:r>
    </w:p>
    <w:p>
      <w:pPr>
        <w:widowControl/>
        <w:spacing w:before="120"/>
        <w:ind w:left="210" w:hanging="210" w:hangingChars="100"/>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 xml:space="preserve">    </w:t>
      </w:r>
      <w:r>
        <w:rPr>
          <w:rFonts w:ascii="Times New Roman" w:hAnsi="Times New Roman" w:eastAsia="仿宋_GB2312" w:cs="Times New Roman"/>
          <w:kern w:val="0"/>
          <w:szCs w:val="21"/>
        </w:rPr>
        <w:object>
          <v:shape id="_x0000_i1028" o:spt="75" type="#_x0000_t75" style="height:342.7pt;width:593.35pt;" o:ole="t" filled="f" o:preferrelative="t" stroked="f" coordsize="21600,21600">
            <v:path/>
            <v:fill on="f" focussize="0,0"/>
            <v:stroke on="f"/>
            <v:imagedata r:id="rId15" o:title=""/>
            <o:lock v:ext="edit" aspectratio="f"/>
            <w10:wrap type="none"/>
            <w10:anchorlock/>
          </v:shape>
          <o:OLEObject Type="Embed" ProgID="Excel.Sheet.12" ShapeID="_x0000_i1028" DrawAspect="Content" ObjectID="_1468075728" r:id="rId14">
            <o:LockedField>false</o:LockedField>
          </o:OLEObject>
        </w:object>
      </w:r>
      <w:r>
        <w:rPr>
          <w:rFonts w:hint="eastAsia" w:ascii="Times New Roman" w:hAnsi="Times New Roman" w:eastAsia="仿宋_GB2312" w:cs="Times New Roman"/>
          <w:kern w:val="0"/>
          <w:szCs w:val="21"/>
          <w:lang w:val="en-US" w:eastAsia="zh-CN"/>
        </w:rPr>
        <w:t xml:space="preserve">                    </w:t>
      </w:r>
      <w:r>
        <w:rPr>
          <w:rFonts w:ascii="Times New Roman" w:hAnsi="Times New Roman" w:eastAsia="仿宋_GB2312" w:cs="Times New Roman"/>
          <w:kern w:val="0"/>
          <w:szCs w:val="21"/>
        </w:rPr>
        <w:t>注：本表反映部门本年度一般公共预算财政拨款支出情况。</w:t>
      </w:r>
    </w:p>
    <w:p>
      <w:pPr>
        <w:widowControl/>
        <w:jc w:val="left"/>
        <w:rPr>
          <w:rFonts w:ascii="Times New Roman" w:hAnsi="Times New Roman" w:eastAsia="仿宋_GB2312" w:cs="Times New Roman"/>
          <w:bCs/>
          <w:kern w:val="0"/>
          <w:szCs w:val="21"/>
        </w:rPr>
      </w:pPr>
    </w:p>
    <w:p>
      <w:pPr>
        <w:widowControl/>
        <w:spacing w:after="120"/>
        <w:jc w:val="center"/>
        <w:textAlignment w:val="center"/>
        <w:rPr>
          <w:rFonts w:ascii="Times New Roman" w:hAnsi="Times New Roman" w:eastAsia="黑体" w:cs="Times New Roman"/>
          <w:color w:val="000000"/>
          <w:kern w:val="0"/>
          <w:sz w:val="36"/>
          <w:szCs w:val="36"/>
          <w:lang w:bidi="ar"/>
        </w:rPr>
      </w:pPr>
      <w:bookmarkStart w:id="2" w:name="RANGE!A1:I34"/>
      <w:r>
        <w:rPr>
          <w:rFonts w:ascii="Times New Roman" w:hAnsi="Times New Roman" w:eastAsia="黑体" w:cs="Times New Roman"/>
          <w:color w:val="000000"/>
          <w:kern w:val="0"/>
          <w:sz w:val="36"/>
          <w:szCs w:val="36"/>
          <w:lang w:bidi="ar"/>
        </w:rPr>
        <w:t>一般公共预算财政拨</w:t>
      </w:r>
      <w:r>
        <w:rPr>
          <w:rFonts w:ascii="Times New Roman" w:hAnsi="Times New Roman" w:eastAsia="黑体" w:cs="Times New Roman"/>
          <w:color w:val="000000"/>
          <w:kern w:val="0"/>
          <w:sz w:val="36"/>
          <w:szCs w:val="36"/>
          <w:highlight w:val="none"/>
          <w:lang w:bidi="ar"/>
        </w:rPr>
        <w:t>款基本支出决算</w:t>
      </w:r>
      <w:r>
        <w:rPr>
          <w:rFonts w:ascii="Times New Roman" w:hAnsi="Times New Roman" w:eastAsia="黑体" w:cs="Times New Roman"/>
          <w:color w:val="000000"/>
          <w:kern w:val="0"/>
          <w:sz w:val="36"/>
          <w:szCs w:val="36"/>
          <w:lang w:bidi="ar"/>
        </w:rPr>
        <w:t>明细表</w:t>
      </w:r>
      <w:bookmarkEnd w:id="2"/>
    </w:p>
    <w:p>
      <w:pPr>
        <w:widowControl/>
        <w:wordWrap w:val="0"/>
        <w:spacing w:line="240" w:lineRule="exact"/>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公开06表</w:t>
      </w:r>
    </w:p>
    <w:p>
      <w:pPr>
        <w:widowControl/>
        <w:spacing w:line="240" w:lineRule="exact"/>
        <w:jc w:val="right"/>
        <w:rPr>
          <w:rFonts w:ascii="Times New Roman" w:hAnsi="Times New Roman" w:eastAsia="华文中宋" w:cs="Times New Roman"/>
          <w:color w:val="000000"/>
          <w:kern w:val="0"/>
          <w:szCs w:val="32"/>
        </w:rPr>
      </w:pP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lang w:eastAsia="zh-CN"/>
        </w:rPr>
        <w:t>湖南省畜牧兽医研究所</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单位：万元</w:t>
      </w:r>
    </w:p>
    <w:p>
      <w:pPr>
        <w:widowControl/>
        <w:jc w:val="left"/>
        <w:rPr>
          <w:rFonts w:ascii="Times New Roman" w:hAnsi="Times New Roman" w:eastAsia="仿宋_GB2312" w:cs="Times New Roman"/>
          <w:color w:val="000000"/>
          <w:kern w:val="0"/>
          <w:szCs w:val="24"/>
        </w:rPr>
      </w:pPr>
      <w:r>
        <w:rPr>
          <w:rFonts w:ascii="Times New Roman" w:hAnsi="Times New Roman" w:eastAsia="仿宋_GB2312" w:cs="Times New Roman"/>
          <w:color w:val="000000"/>
          <w:kern w:val="0"/>
          <w:szCs w:val="24"/>
        </w:rPr>
        <w:object>
          <v:shape id="_x0000_i1029" o:spt="75" type="#_x0000_t75" style="height:348.05pt;width:699.4pt;" o:ole="t" filled="f" o:preferrelative="t" stroked="f" coordsize="21600,21600">
            <v:path/>
            <v:fill on="f" focussize="0,0"/>
            <v:stroke on="f"/>
            <v:imagedata r:id="rId17" o:title=""/>
            <o:lock v:ext="edit" aspectratio="f"/>
            <w10:wrap type="none"/>
            <w10:anchorlock/>
          </v:shape>
          <o:OLEObject Type="Embed" ProgID="Excel.Sheet.12" ShapeID="_x0000_i1029" DrawAspect="Content" ObjectID="_1468075729" r:id="rId16">
            <o:LockedField>false</o:LockedField>
          </o:OLEObject>
        </w:object>
      </w:r>
      <w:r>
        <w:rPr>
          <w:rFonts w:ascii="Times New Roman" w:hAnsi="Times New Roman" w:eastAsia="仿宋_GB2312" w:cs="Times New Roman"/>
          <w:color w:val="000000"/>
          <w:kern w:val="0"/>
          <w:szCs w:val="24"/>
        </w:rPr>
        <w:t>注：本表反映部门本年度一般公共预算财政拨款基本支出明细情况。</w:t>
      </w: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政府性基金预算财政拨款收入支出决算表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公开07表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湖南省畜牧兽医研究所</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0"/>
        <w:tblW w:w="14326" w:type="dxa"/>
        <w:jc w:val="center"/>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tblPrEx>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Style w:val="18"/>
                <w:rFonts w:hint="default" w:ascii="Times New Roman" w:hAnsi="Times New Roman" w:eastAsia="仿宋_GB2312" w:cs="Times New Roman"/>
                <w:b/>
                <w:bCs/>
                <w:lang w:bidi="ar"/>
              </w:rPr>
              <w:t xml:space="preserve">   </w:t>
            </w:r>
            <w:r>
              <w:rPr>
                <w:rStyle w:val="19"/>
                <w:rFonts w:hint="default" w:ascii="Times New Roman" w:hAnsi="Times New Roman" w:eastAsia="仿宋_GB2312" w:cs="Times New Roman"/>
                <w:b/>
                <w:bCs/>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年末结转和结余</w:t>
            </w:r>
          </w:p>
        </w:tc>
      </w:tr>
      <w:tr>
        <w:tblPrEx>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6</w:t>
            </w: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注：本表反映部门本年度政府性基金预算财政拨款收入、支出及结转和结余情况。</w:t>
      </w:r>
    </w:p>
    <w:p>
      <w:pPr>
        <w:widowControl/>
        <w:jc w:val="left"/>
        <w:textAlignment w:val="center"/>
        <w:rPr>
          <w:rFonts w:ascii="Times New Roman" w:hAnsi="Times New Roman" w:eastAsia="仿宋_GB2312" w:cs="Times New Roman"/>
          <w:color w:val="000000"/>
          <w:kern w:val="0"/>
          <w:sz w:val="24"/>
          <w:szCs w:val="24"/>
          <w:lang w:bidi="ar"/>
        </w:rPr>
      </w:pPr>
    </w:p>
    <w:p>
      <w:pPr>
        <w:widowControl/>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b/>
          <w:bCs/>
          <w:kern w:val="0"/>
          <w:sz w:val="24"/>
          <w:szCs w:val="24"/>
          <w:lang w:bidi="ar"/>
        </w:rPr>
        <w:t>说明：我单位没有政府性基金收入，也没有使用政府性基金安排的支出，故本表无数据。</w:t>
      </w:r>
    </w:p>
    <w:p>
      <w:pPr>
        <w:widowControl/>
        <w:jc w:val="center"/>
        <w:rPr>
          <w:rFonts w:ascii="Times New Roman" w:hAnsi="Times New Roman" w:eastAsia="方正小标宋_GBK" w:cs="Times New Roman"/>
          <w:color w:val="000000"/>
          <w:kern w:val="0"/>
          <w:sz w:val="36"/>
          <w:szCs w:val="36"/>
        </w:rPr>
      </w:pPr>
    </w:p>
    <w:p>
      <w:pPr>
        <w:widowControl/>
        <w:spacing w:line="400" w:lineRule="exact"/>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国有资本经营预算财政拨款支出决算表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w:t>
      </w:r>
      <w:r>
        <w:rPr>
          <w:rFonts w:hint="eastAsia" w:ascii="Times New Roman" w:hAnsi="Times New Roman" w:eastAsia="仿宋_GB2312" w:cs="Times New Roman"/>
          <w:color w:val="000000"/>
          <w:kern w:val="0"/>
          <w:sz w:val="20"/>
          <w:szCs w:val="20"/>
          <w:lang w:val="en-US" w:eastAsia="zh-CN" w:bidi="ar"/>
        </w:rPr>
        <w:t xml:space="preserve">        </w:t>
      </w:r>
      <w:r>
        <w:rPr>
          <w:rFonts w:ascii="Times New Roman" w:hAnsi="Times New Roman" w:eastAsia="仿宋_GB2312" w:cs="Times New Roman"/>
          <w:color w:val="000000"/>
          <w:kern w:val="0"/>
          <w:sz w:val="20"/>
          <w:szCs w:val="20"/>
          <w:lang w:bidi="ar"/>
        </w:rPr>
        <w:t>公开08表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湖南省畜牧兽医研究所</w:t>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sz w:val="20"/>
          <w:szCs w:val="20"/>
          <w:lang w:val="en-US" w:eastAsia="zh-CN"/>
        </w:rPr>
        <w:t xml:space="preserve">  </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0"/>
        <w:tblW w:w="4999" w:type="pct"/>
        <w:tblInd w:w="0" w:type="dxa"/>
        <w:tblLayout w:type="autofit"/>
        <w:tblCellMar>
          <w:top w:w="0" w:type="dxa"/>
          <w:left w:w="108" w:type="dxa"/>
          <w:bottom w:w="0" w:type="dxa"/>
          <w:right w:w="108" w:type="dxa"/>
        </w:tblCellMar>
      </w:tblPr>
      <w:tblGrid>
        <w:gridCol w:w="3094"/>
        <w:gridCol w:w="3097"/>
        <w:gridCol w:w="1832"/>
        <w:gridCol w:w="3097"/>
        <w:gridCol w:w="3097"/>
      </w:tblGrid>
      <w:tr>
        <w:tblPrEx>
          <w:tblCellMar>
            <w:top w:w="0" w:type="dxa"/>
            <w:left w:w="108" w:type="dxa"/>
            <w:bottom w:w="0" w:type="dxa"/>
            <w:right w:w="108" w:type="dxa"/>
          </w:tblCellMar>
        </w:tblPrEx>
        <w:trPr>
          <w:trHeight w:val="548" w:hRule="atLeast"/>
        </w:trPr>
        <w:tc>
          <w:tcPr>
            <w:tcW w:w="21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Fonts w:ascii="Times New Roman" w:hAnsi="Times New Roman" w:eastAsia="仿宋_GB2312" w:cs="Times New Roman"/>
                <w:b/>
                <w:bCs/>
                <w:color w:val="000000"/>
                <w:kern w:val="0"/>
                <w:sz w:val="22"/>
                <w:lang w:bidi="ar"/>
              </w:rPr>
              <w:t xml:space="preserve">   </w:t>
            </w:r>
            <w:r>
              <w:rPr>
                <w:rStyle w:val="20"/>
                <w:rFonts w:hint="default" w:ascii="Times New Roman" w:hAnsi="Times New Roman" w:eastAsia="仿宋_GB2312" w:cs="Times New Roman"/>
                <w:b/>
                <w:bCs/>
                <w:lang w:bidi="ar"/>
              </w:rPr>
              <w:t>目</w:t>
            </w:r>
          </w:p>
        </w:tc>
        <w:tc>
          <w:tcPr>
            <w:tcW w:w="28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r>
      <w:tr>
        <w:tblPrEx>
          <w:tblCellMar>
            <w:top w:w="0" w:type="dxa"/>
            <w:left w:w="108" w:type="dxa"/>
            <w:bottom w:w="0" w:type="dxa"/>
            <w:right w:w="108" w:type="dxa"/>
          </w:tblCellMar>
        </w:tblPrEx>
        <w:trPr>
          <w:trHeight w:val="312" w:hRule="exact"/>
        </w:trPr>
        <w:tc>
          <w:tcPr>
            <w:tcW w:w="10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10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6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合计</w:t>
            </w:r>
          </w:p>
        </w:tc>
        <w:tc>
          <w:tcPr>
            <w:tcW w:w="10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10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r>
      <w:tr>
        <w:tblPrEx>
          <w:tblCellMar>
            <w:top w:w="0" w:type="dxa"/>
            <w:left w:w="108" w:type="dxa"/>
            <w:bottom w:w="0" w:type="dxa"/>
            <w:right w:w="108" w:type="dxa"/>
          </w:tblCellMar>
        </w:tblPrEx>
        <w:trPr>
          <w:trHeight w:val="312" w:hRule="exact"/>
        </w:trPr>
        <w:tc>
          <w:tcPr>
            <w:tcW w:w="10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0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6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0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0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312" w:hRule="atLeast"/>
        </w:trPr>
        <w:tc>
          <w:tcPr>
            <w:tcW w:w="10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0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6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0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0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21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r>
      <w:tr>
        <w:tblPrEx>
          <w:tblCellMar>
            <w:top w:w="0" w:type="dxa"/>
            <w:left w:w="108" w:type="dxa"/>
            <w:bottom w:w="0" w:type="dxa"/>
            <w:right w:w="108" w:type="dxa"/>
          </w:tblCellMar>
        </w:tblPrEx>
        <w:trPr>
          <w:trHeight w:val="548" w:hRule="atLeast"/>
        </w:trPr>
        <w:tc>
          <w:tcPr>
            <w:tcW w:w="21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10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10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10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0"/>
                <w:szCs w:val="20"/>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10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10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10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注：本表反映部门本年度国有资本经营预算财政拨款支出情况。</w:t>
      </w:r>
    </w:p>
    <w:p>
      <w:pPr>
        <w:widowControl/>
        <w:jc w:val="left"/>
        <w:textAlignment w:val="center"/>
        <w:rPr>
          <w:rFonts w:ascii="Times New Roman" w:hAnsi="Times New Roman" w:eastAsia="宋体" w:cs="Times New Roman"/>
          <w:color w:val="000000"/>
          <w:kern w:val="0"/>
          <w:sz w:val="24"/>
          <w:szCs w:val="24"/>
          <w:lang w:bidi="ar"/>
        </w:rPr>
      </w:pPr>
    </w:p>
    <w:p>
      <w:pPr>
        <w:widowControl/>
        <w:jc w:val="left"/>
        <w:textAlignment w:val="center"/>
        <w:rPr>
          <w:rFonts w:ascii="Times New Roman" w:hAnsi="Times New Roman" w:eastAsia="楷体_GB2312" w:cs="Times New Roman"/>
          <w:color w:val="000000"/>
          <w:kern w:val="0"/>
          <w:sz w:val="24"/>
          <w:szCs w:val="24"/>
          <w:lang w:bidi="ar"/>
        </w:rPr>
      </w:pPr>
      <w:r>
        <w:rPr>
          <w:rFonts w:ascii="Times New Roman" w:hAnsi="Times New Roman" w:eastAsia="楷体_GB2312" w:cs="Times New Roman"/>
          <w:b/>
          <w:bCs/>
          <w:kern w:val="0"/>
          <w:sz w:val="24"/>
          <w:szCs w:val="24"/>
          <w:lang w:bidi="ar"/>
        </w:rPr>
        <w:t>说明：我单位没有使用国有资本经营预算安排的支出，故本表无数据。</w:t>
      </w:r>
    </w:p>
    <w:p>
      <w:pPr>
        <w:widowControl/>
        <w:jc w:val="center"/>
        <w:rPr>
          <w:rFonts w:ascii="Times New Roman" w:hAnsi="Times New Roman" w:eastAsia="方正小标宋_GBK" w:cs="Times New Roman"/>
          <w:color w:val="000000"/>
          <w:kern w:val="0"/>
          <w:sz w:val="36"/>
          <w:szCs w:val="36"/>
        </w:rPr>
      </w:pPr>
    </w:p>
    <w:p>
      <w:pPr>
        <w:pStyle w:val="9"/>
        <w:spacing w:line="400" w:lineRule="exact"/>
        <w:rPr>
          <w:rFonts w:ascii="Times New Roman" w:hAnsi="Times New Roman" w:eastAsia="华文中宋"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财政拨款“三公”经费支出决算表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公开09表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楷体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湖南省畜牧兽医研究所</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单位：万元</w:t>
      </w:r>
    </w:p>
    <w:tbl>
      <w:tblPr>
        <w:tblStyle w:val="10"/>
        <w:tblW w:w="5114" w:type="pct"/>
        <w:jc w:val="center"/>
        <w:tblLayout w:type="autofit"/>
        <w:tblCellMar>
          <w:top w:w="0" w:type="dxa"/>
          <w:left w:w="108" w:type="dxa"/>
          <w:bottom w:w="0" w:type="dxa"/>
          <w:right w:w="108" w:type="dxa"/>
        </w:tblCellMar>
      </w:tblPr>
      <w:tblGrid>
        <w:gridCol w:w="934"/>
        <w:gridCol w:w="1228"/>
        <w:gridCol w:w="1085"/>
        <w:gridCol w:w="1187"/>
        <w:gridCol w:w="1425"/>
        <w:gridCol w:w="1379"/>
        <w:gridCol w:w="1050"/>
        <w:gridCol w:w="1166"/>
        <w:gridCol w:w="1166"/>
        <w:gridCol w:w="1166"/>
        <w:gridCol w:w="1358"/>
        <w:gridCol w:w="1400"/>
      </w:tblGrid>
      <w:tr>
        <w:tblPrEx>
          <w:tblCellMar>
            <w:top w:w="0" w:type="dxa"/>
            <w:left w:w="108" w:type="dxa"/>
            <w:bottom w:w="0" w:type="dxa"/>
            <w:right w:w="108" w:type="dxa"/>
          </w:tblCellMar>
        </w:tblPrEx>
        <w:trPr>
          <w:trHeight w:val="606" w:hRule="atLeast"/>
          <w:jc w:val="center"/>
        </w:trPr>
        <w:tc>
          <w:tcPr>
            <w:tcW w:w="248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预算数</w:t>
            </w:r>
          </w:p>
        </w:tc>
        <w:tc>
          <w:tcPr>
            <w:tcW w:w="251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决算数</w:t>
            </w:r>
          </w:p>
        </w:tc>
      </w:tr>
      <w:tr>
        <w:tblPrEx>
          <w:tblCellMar>
            <w:top w:w="0" w:type="dxa"/>
            <w:left w:w="108" w:type="dxa"/>
            <w:bottom w:w="0" w:type="dxa"/>
            <w:right w:w="108" w:type="dxa"/>
          </w:tblCellMar>
        </w:tblPrEx>
        <w:trPr>
          <w:trHeight w:val="495" w:hRule="atLeast"/>
          <w:jc w:val="center"/>
        </w:trPr>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4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127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4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c>
          <w:tcPr>
            <w:tcW w:w="3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4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126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4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r>
      <w:tr>
        <w:tblPrEx>
          <w:tblCellMar>
            <w:top w:w="0" w:type="dxa"/>
            <w:left w:w="108" w:type="dxa"/>
            <w:bottom w:w="0" w:type="dxa"/>
            <w:right w:w="108" w:type="dxa"/>
          </w:tblCellMar>
        </w:tblPrEx>
        <w:trPr>
          <w:trHeight w:val="864" w:hRule="atLeast"/>
          <w:jc w:val="center"/>
        </w:trPr>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4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4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3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4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614" w:hRule="atLeast"/>
          <w:jc w:val="center"/>
        </w:trPr>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3</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4</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5</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6</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7</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8</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9</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10</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11</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12</w:t>
            </w:r>
          </w:p>
        </w:tc>
      </w:tr>
      <w:tr>
        <w:tblPrEx>
          <w:tblCellMar>
            <w:top w:w="0" w:type="dxa"/>
            <w:left w:w="108" w:type="dxa"/>
            <w:bottom w:w="0" w:type="dxa"/>
            <w:right w:w="108" w:type="dxa"/>
          </w:tblCellMar>
        </w:tblPrEx>
        <w:trPr>
          <w:trHeight w:val="579" w:hRule="atLeast"/>
          <w:jc w:val="center"/>
        </w:trPr>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r>
    </w:tbl>
    <w:p>
      <w:pPr>
        <w:widowControl/>
        <w:spacing w:before="120"/>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注：本表反映部门本年度财政拨款“三公”经费支出预决算情况。其中，预算数为“三公”经费全年预算数，反映按规定程序调整后的预算数；决算数是包括当年财政拨款和以前年度结转资金安排的实际支出。</w:t>
      </w: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widowControl/>
        <w:jc w:val="left"/>
        <w:textAlignment w:val="center"/>
        <w:rPr>
          <w:rFonts w:ascii="Times New Roman" w:hAnsi="Times New Roman" w:eastAsia="楷体_GB2312" w:cs="Times New Roman"/>
          <w:color w:val="000000"/>
          <w:kern w:val="0"/>
          <w:sz w:val="24"/>
          <w:szCs w:val="24"/>
          <w:lang w:bidi="ar"/>
        </w:rPr>
      </w:pPr>
      <w:r>
        <w:rPr>
          <w:rFonts w:ascii="Times New Roman" w:hAnsi="Times New Roman" w:eastAsia="楷体_GB2312" w:cs="Times New Roman"/>
          <w:b/>
          <w:bCs/>
          <w:kern w:val="0"/>
          <w:sz w:val="24"/>
          <w:szCs w:val="24"/>
          <w:lang w:bidi="ar"/>
        </w:rPr>
        <w:t>说明：我单位没有使用</w:t>
      </w:r>
      <w:r>
        <w:rPr>
          <w:rFonts w:hint="eastAsia" w:ascii="Times New Roman" w:hAnsi="Times New Roman" w:eastAsia="楷体_GB2312" w:cs="Times New Roman"/>
          <w:b/>
          <w:bCs/>
          <w:kern w:val="0"/>
          <w:sz w:val="24"/>
          <w:szCs w:val="24"/>
          <w:lang w:eastAsia="zh-CN" w:bidi="ar"/>
        </w:rPr>
        <w:t>财政拨款“三公经费”</w:t>
      </w:r>
      <w:r>
        <w:rPr>
          <w:rFonts w:ascii="Times New Roman" w:hAnsi="Times New Roman" w:eastAsia="楷体_GB2312" w:cs="Times New Roman"/>
          <w:b/>
          <w:bCs/>
          <w:kern w:val="0"/>
          <w:sz w:val="24"/>
          <w:szCs w:val="24"/>
          <w:lang w:bidi="ar"/>
        </w:rPr>
        <w:t>的支出，故本表无数据。</w:t>
      </w: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widowControl/>
        <w:rPr>
          <w:rFonts w:ascii="Times New Roman" w:hAnsi="Times New Roman" w:cs="Times New Roman"/>
          <w:sz w:val="72"/>
          <w:szCs w:val="72"/>
        </w:rPr>
        <w:sectPr>
          <w:pgSz w:w="16838" w:h="11906" w:orient="landscape"/>
          <w:pgMar w:top="1134" w:right="1417" w:bottom="1134" w:left="1417" w:header="851" w:footer="992" w:gutter="0"/>
          <w:cols w:space="425" w:num="1"/>
          <w:docGrid w:type="lines" w:linePitch="312" w:charSpace="0"/>
        </w:sectPr>
      </w:pPr>
      <w:r>
        <w:rPr>
          <w:rFonts w:ascii="Times New Roman" w:hAnsi="Times New Roman" w:eastAsia="黑体" w:cs="Times New Roman"/>
          <w:szCs w:val="21"/>
        </w:rPr>
        <w:br w:type="page"/>
      </w:r>
    </w:p>
    <w:p>
      <w:pPr>
        <w:pStyle w:val="15"/>
        <w:rPr>
          <w:rFonts w:ascii="Times New Roman" w:hAnsi="Times New Roman" w:cs="Times New Roman"/>
          <w:sz w:val="72"/>
          <w:szCs w:val="72"/>
        </w:rPr>
      </w:pPr>
    </w:p>
    <w:p>
      <w:pPr>
        <w:pStyle w:val="15"/>
        <w:rPr>
          <w:rFonts w:ascii="Times New Roman" w:hAnsi="Times New Roman" w:cs="Times New Roman"/>
          <w:sz w:val="72"/>
          <w:szCs w:val="72"/>
        </w:rPr>
      </w:pPr>
    </w:p>
    <w:p>
      <w:pPr>
        <w:pStyle w:val="15"/>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eastAsia="方正小标宋_GBK" w:cs="Times New Roman"/>
          <w:sz w:val="72"/>
          <w:szCs w:val="72"/>
        </w:rPr>
      </w:pPr>
    </w:p>
    <w:p>
      <w:pPr>
        <w:pStyle w:val="15"/>
        <w:spacing w:line="360" w:lineRule="auto"/>
        <w:jc w:val="center"/>
        <w:rPr>
          <w:rFonts w:hint="eastAsia" w:ascii="华文仿宋" w:hAnsi="华文仿宋" w:eastAsia="华文仿宋" w:cs="华文仿宋"/>
          <w:sz w:val="52"/>
          <w:szCs w:val="52"/>
        </w:rPr>
      </w:pPr>
      <w:r>
        <w:rPr>
          <w:rFonts w:hint="eastAsia" w:ascii="华文仿宋" w:hAnsi="华文仿宋" w:eastAsia="华文仿宋" w:cs="华文仿宋"/>
          <w:sz w:val="52"/>
          <w:szCs w:val="52"/>
        </w:rPr>
        <w:t>第三部分</w:t>
      </w:r>
    </w:p>
    <w:p>
      <w:pPr>
        <w:pStyle w:val="15"/>
        <w:spacing w:line="360" w:lineRule="auto"/>
        <w:jc w:val="center"/>
        <w:rPr>
          <w:rFonts w:hint="eastAsia" w:ascii="华文仿宋" w:hAnsi="华文仿宋" w:eastAsia="华文仿宋" w:cs="华文仿宋"/>
          <w:sz w:val="52"/>
          <w:szCs w:val="52"/>
        </w:rPr>
      </w:pPr>
      <w:r>
        <w:rPr>
          <w:rFonts w:hint="eastAsia" w:ascii="华文仿宋" w:hAnsi="华文仿宋" w:eastAsia="华文仿宋" w:cs="华文仿宋"/>
          <w:sz w:val="52"/>
          <w:szCs w:val="52"/>
        </w:rPr>
        <w:t>2024年度部门决算情况说明</w:t>
      </w:r>
    </w:p>
    <w:p>
      <w:pPr>
        <w:widowControl/>
        <w:jc w:val="left"/>
        <w:rPr>
          <w:rFonts w:ascii="Times New Roman" w:hAnsi="Times New Roman" w:cs="Times New Roman"/>
          <w:sz w:val="32"/>
          <w:szCs w:val="32"/>
        </w:rPr>
      </w:pPr>
      <w:r>
        <w:rPr>
          <w:rFonts w:ascii="Times New Roman" w:hAnsi="Times New Roman" w:eastAsia="方正小标宋_GBK" w:cs="Times New Roman"/>
          <w:sz w:val="70"/>
          <w:szCs w:val="70"/>
        </w:rPr>
        <w:br w:type="page"/>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2024年度收、支总计</w:t>
      </w:r>
      <w:r>
        <w:rPr>
          <w:rFonts w:hint="eastAsia" w:ascii="Times New Roman" w:hAnsi="Times New Roman" w:eastAsia="仿宋_GB2312" w:cs="Times New Roman"/>
          <w:sz w:val="32"/>
          <w:szCs w:val="32"/>
          <w:lang w:val="en-US" w:eastAsia="zh-CN"/>
        </w:rPr>
        <w:t>5934.23</w:t>
      </w:r>
      <w:r>
        <w:rPr>
          <w:rFonts w:ascii="Times New Roman" w:hAnsi="Times New Roman" w:eastAsia="仿宋_GB2312" w:cs="Times New Roman"/>
          <w:sz w:val="32"/>
          <w:szCs w:val="32"/>
        </w:rPr>
        <w:t>万元。与上年相比，增加</w:t>
      </w:r>
      <w:r>
        <w:rPr>
          <w:rFonts w:hint="eastAsia" w:ascii="Times New Roman" w:hAnsi="Times New Roman" w:eastAsia="仿宋_GB2312" w:cs="Times New Roman"/>
          <w:sz w:val="32"/>
          <w:szCs w:val="32"/>
          <w:lang w:val="en-US" w:eastAsia="zh-CN"/>
        </w:rPr>
        <w:t>550.39</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10</w:t>
      </w:r>
      <w:r>
        <w:rPr>
          <w:rFonts w:ascii="Times New Roman" w:hAnsi="Times New Roman" w:eastAsia="仿宋_GB2312" w:cs="Times New Roman"/>
          <w:sz w:val="32"/>
          <w:szCs w:val="32"/>
        </w:rPr>
        <w:t>%，主要是</w:t>
      </w:r>
      <w:r>
        <w:rPr>
          <w:rFonts w:hint="eastAsia" w:ascii="Times New Roman" w:hAnsi="Times New Roman" w:eastAsia="仿宋_GB2312" w:cs="Times New Roman"/>
          <w:sz w:val="32"/>
          <w:szCs w:val="32"/>
          <w:lang w:eastAsia="zh-CN"/>
        </w:rPr>
        <w:t>因为科研专项和横向科研合作课题增加。</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2024年度收入合计</w:t>
      </w:r>
      <w:r>
        <w:rPr>
          <w:rFonts w:hint="eastAsia" w:ascii="Times New Roman" w:hAnsi="Times New Roman" w:eastAsia="仿宋_GB2312" w:cs="Times New Roman"/>
          <w:sz w:val="32"/>
          <w:szCs w:val="32"/>
          <w:lang w:val="en-US" w:eastAsia="zh-CN"/>
        </w:rPr>
        <w:t>4699.76</w:t>
      </w:r>
      <w:r>
        <w:rPr>
          <w:rFonts w:ascii="Times New Roman" w:hAnsi="Times New Roman" w:eastAsia="仿宋_GB2312" w:cs="Times New Roman"/>
          <w:sz w:val="32"/>
          <w:szCs w:val="32"/>
        </w:rPr>
        <w:t>万元，其中：财政拨款收入</w:t>
      </w:r>
      <w:r>
        <w:rPr>
          <w:rFonts w:hint="eastAsia" w:ascii="Times New Roman" w:hAnsi="Times New Roman" w:eastAsia="仿宋_GB2312" w:cs="Times New Roman"/>
          <w:sz w:val="32"/>
          <w:szCs w:val="32"/>
          <w:lang w:val="en-US" w:eastAsia="zh-CN"/>
        </w:rPr>
        <w:t>3332.46</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70.91</w:t>
      </w:r>
      <w:r>
        <w:rPr>
          <w:rFonts w:ascii="Times New Roman" w:hAnsi="Times New Roman" w:eastAsia="仿宋_GB2312" w:cs="Times New Roman"/>
          <w:sz w:val="32"/>
          <w:szCs w:val="32"/>
        </w:rPr>
        <w:t>%；上级补助收入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%；事业收入</w:t>
      </w:r>
      <w:r>
        <w:rPr>
          <w:rFonts w:hint="eastAsia" w:ascii="Times New Roman" w:hAnsi="Times New Roman" w:eastAsia="仿宋_GB2312" w:cs="Times New Roman"/>
          <w:sz w:val="32"/>
          <w:szCs w:val="32"/>
          <w:lang w:val="en-US" w:eastAsia="zh-CN"/>
        </w:rPr>
        <w:t>587.16</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12.49</w:t>
      </w:r>
      <w:r>
        <w:rPr>
          <w:rFonts w:ascii="Times New Roman" w:hAnsi="Times New Roman" w:eastAsia="仿宋_GB2312" w:cs="Times New Roman"/>
          <w:sz w:val="32"/>
          <w:szCs w:val="32"/>
        </w:rPr>
        <w:t>%；经营收入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%；附属单位上缴收入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%；其他收入</w:t>
      </w:r>
      <w:r>
        <w:rPr>
          <w:rFonts w:hint="eastAsia" w:ascii="Times New Roman" w:hAnsi="Times New Roman" w:eastAsia="仿宋_GB2312" w:cs="Times New Roman"/>
          <w:sz w:val="32"/>
          <w:szCs w:val="32"/>
          <w:lang w:val="en-US" w:eastAsia="zh-CN"/>
        </w:rPr>
        <w:t>780.14</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16.6</w:t>
      </w:r>
      <w:r>
        <w:rPr>
          <w:rFonts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w:t>
      </w:r>
      <w:r>
        <w:rPr>
          <w:rFonts w:hint="eastAsia" w:ascii="Times New Roman" w:hAnsi="Times New Roman" w:eastAsia="仿宋_GB2312" w:cs="Times New Roman"/>
          <w:sz w:val="32"/>
          <w:szCs w:val="32"/>
          <w:lang w:val="en-US" w:eastAsia="zh-CN"/>
        </w:rPr>
        <w:t>3768.68</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2859.03</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75.86</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lang w:val="en-US" w:eastAsia="zh-CN"/>
        </w:rPr>
        <w:t>909.66</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24.14</w:t>
      </w:r>
      <w:r>
        <w:rPr>
          <w:rFonts w:ascii="Times New Roman" w:hAnsi="Times New Roman" w:eastAsia="仿宋_GB2312" w:cs="Times New Roman"/>
          <w:sz w:val="32"/>
          <w:szCs w:val="32"/>
        </w:rPr>
        <w:t>%；上缴上级支出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%；对附属单位补助支出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2024年度财政拨款收、支总计</w:t>
      </w:r>
      <w:r>
        <w:rPr>
          <w:rFonts w:hint="eastAsia" w:ascii="Times New Roman" w:hAnsi="Times New Roman" w:eastAsia="仿宋_GB2312" w:cs="Times New Roman"/>
          <w:sz w:val="32"/>
          <w:szCs w:val="32"/>
          <w:lang w:val="en-US" w:eastAsia="zh-CN"/>
        </w:rPr>
        <w:t>3511.08</w:t>
      </w:r>
      <w:r>
        <w:rPr>
          <w:rFonts w:ascii="Times New Roman" w:hAnsi="Times New Roman" w:eastAsia="仿宋_GB2312" w:cs="Times New Roman"/>
          <w:sz w:val="32"/>
          <w:szCs w:val="32"/>
        </w:rPr>
        <w:t>万元，与上年相比，增加</w:t>
      </w:r>
      <w:r>
        <w:rPr>
          <w:rFonts w:hint="eastAsia" w:ascii="Times New Roman" w:hAnsi="Times New Roman" w:eastAsia="仿宋_GB2312" w:cs="Times New Roman"/>
          <w:sz w:val="32"/>
          <w:szCs w:val="32"/>
          <w:lang w:val="en-US" w:eastAsia="zh-CN"/>
        </w:rPr>
        <w:t>78.3</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2.23</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eastAsia="zh-CN"/>
        </w:rPr>
        <w:t>专项收入增加。</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五、一般公共预算财政拨款支出决算情况说明</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（一）一般公共预算财政拨款支出决算总体情况</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3152.77</w:t>
      </w:r>
      <w:r>
        <w:rPr>
          <w:rFonts w:ascii="Times New Roman" w:hAnsi="Times New Roman" w:eastAsia="仿宋_GB2312" w:cs="Times New Roman"/>
          <w:sz w:val="32"/>
          <w:szCs w:val="32"/>
        </w:rPr>
        <w:t>万元，占本年支出合计的</w:t>
      </w:r>
      <w:r>
        <w:rPr>
          <w:rFonts w:hint="eastAsia" w:ascii="Times New Roman" w:hAnsi="Times New Roman" w:eastAsia="仿宋_GB2312" w:cs="Times New Roman"/>
          <w:sz w:val="32"/>
          <w:szCs w:val="32"/>
          <w:lang w:val="en-US" w:eastAsia="zh-CN"/>
        </w:rPr>
        <w:t>83.64</w:t>
      </w:r>
      <w:r>
        <w:rPr>
          <w:rFonts w:ascii="Times New Roman" w:hAnsi="Times New Roman" w:eastAsia="仿宋_GB2312" w:cs="Times New Roman"/>
          <w:sz w:val="32"/>
          <w:szCs w:val="32"/>
        </w:rPr>
        <w:t>%，与上年相比，财政拨款支出减少</w:t>
      </w:r>
      <w:r>
        <w:rPr>
          <w:rFonts w:hint="eastAsia" w:ascii="Times New Roman" w:hAnsi="Times New Roman" w:eastAsia="仿宋_GB2312" w:cs="Times New Roman"/>
          <w:sz w:val="32"/>
          <w:szCs w:val="32"/>
          <w:lang w:val="en-US" w:eastAsia="zh-CN"/>
        </w:rPr>
        <w:t>101.39</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0.32</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val="en-US" w:eastAsia="zh-CN"/>
        </w:rPr>
        <w:t>减少了一化四体系与三产融合等专项支出</w:t>
      </w:r>
      <w:r>
        <w:rPr>
          <w:rFonts w:hint="eastAsia" w:ascii="Times New Roman" w:hAnsi="Times New Roman" w:eastAsia="仿宋_GB2312" w:cs="Times New Roman"/>
          <w:sz w:val="32"/>
          <w:szCs w:val="32"/>
          <w:lang w:eastAsia="zh-CN"/>
        </w:rPr>
        <w:t>。</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pPr>
        <w:pStyle w:val="15"/>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3152.77</w:t>
      </w:r>
      <w:r>
        <w:rPr>
          <w:rFonts w:ascii="Times New Roman" w:hAnsi="Times New Roman" w:eastAsia="仿宋_GB2312" w:cs="Times New Roman"/>
          <w:sz w:val="32"/>
          <w:szCs w:val="32"/>
        </w:rPr>
        <w:t>万元，主要用于以下方面：一般公共服务（类）支出</w:t>
      </w:r>
      <w:r>
        <w:rPr>
          <w:rFonts w:hint="eastAsia" w:ascii="Times New Roman" w:hAnsi="Times New Roman" w:eastAsia="仿宋_GB2312" w:cs="Times New Roman"/>
          <w:sz w:val="32"/>
          <w:szCs w:val="32"/>
          <w:lang w:val="en-US" w:eastAsia="zh-CN"/>
        </w:rPr>
        <w:t>7.17</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0.23</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科学技术（</w:t>
      </w:r>
      <w:r>
        <w:rPr>
          <w:rFonts w:ascii="Times New Roman" w:hAnsi="Times New Roman" w:eastAsia="仿宋_GB2312" w:cs="Times New Roman"/>
          <w:sz w:val="32"/>
          <w:szCs w:val="32"/>
        </w:rPr>
        <w:t>类）支出</w:t>
      </w:r>
      <w:r>
        <w:rPr>
          <w:rFonts w:hint="eastAsia" w:ascii="Times New Roman" w:hAnsi="Times New Roman" w:eastAsia="仿宋_GB2312" w:cs="Times New Roman"/>
          <w:sz w:val="32"/>
          <w:szCs w:val="32"/>
          <w:lang w:val="en-US" w:eastAsia="zh-CN"/>
        </w:rPr>
        <w:t>28</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0.89</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；社会保障和就业支出（类）</w:t>
      </w:r>
      <w:r>
        <w:rPr>
          <w:rFonts w:hint="eastAsia" w:ascii="Times New Roman" w:hAnsi="Times New Roman" w:eastAsia="仿宋_GB2312" w:cs="Times New Roman"/>
          <w:sz w:val="32"/>
          <w:szCs w:val="32"/>
          <w:lang w:val="en-US" w:eastAsia="zh-CN"/>
        </w:rPr>
        <w:t>534.15万元</w:t>
      </w:r>
      <w:r>
        <w:rPr>
          <w:rFonts w:hint="eastAsia" w:ascii="Times New Roman" w:hAnsi="Times New Roman" w:eastAsia="仿宋_GB2312" w:cs="Times New Roman"/>
          <w:sz w:val="32"/>
          <w:szCs w:val="32"/>
          <w:lang w:eastAsia="zh-CN"/>
        </w:rPr>
        <w:t>，占比</w:t>
      </w:r>
      <w:r>
        <w:rPr>
          <w:rFonts w:hint="eastAsia" w:ascii="Times New Roman" w:hAnsi="Times New Roman" w:eastAsia="仿宋_GB2312" w:cs="Times New Roman"/>
          <w:sz w:val="32"/>
          <w:szCs w:val="32"/>
          <w:lang w:val="en-US" w:eastAsia="zh-CN"/>
        </w:rPr>
        <w:t>16.94%；农林水（类）支出2412.56万元，占比76.52%；住房保障（类）支出170.9万元，占比5.42%。</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（三）一般公共预算财政拨款支出决算具体情况</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2024年度财政拨款支出年初预算数为</w:t>
      </w:r>
      <w:r>
        <w:rPr>
          <w:rFonts w:hint="eastAsia" w:ascii="Times New Roman" w:hAnsi="Times New Roman" w:eastAsia="仿宋_GB2312" w:cs="Times New Roman"/>
          <w:sz w:val="32"/>
          <w:szCs w:val="32"/>
          <w:lang w:val="en-US" w:eastAsia="zh-CN"/>
        </w:rPr>
        <w:t>2861.08</w:t>
      </w:r>
      <w:r>
        <w:rPr>
          <w:rFonts w:ascii="Times New Roman" w:hAnsi="Times New Roman" w:eastAsia="仿宋_GB2312" w:cs="Times New Roman"/>
          <w:sz w:val="32"/>
          <w:szCs w:val="32"/>
        </w:rPr>
        <w:t>万元，支出决算数为</w:t>
      </w:r>
      <w:r>
        <w:rPr>
          <w:rFonts w:hint="eastAsia" w:ascii="Times New Roman" w:hAnsi="Times New Roman" w:eastAsia="仿宋_GB2312" w:cs="Times New Roman"/>
          <w:sz w:val="32"/>
          <w:szCs w:val="32"/>
          <w:lang w:val="en-US" w:eastAsia="zh-CN"/>
        </w:rPr>
        <w:t>3152.77</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111</w:t>
      </w:r>
      <w:r>
        <w:rPr>
          <w:rFonts w:ascii="Times New Roman" w:hAnsi="Times New Roman" w:eastAsia="仿宋_GB2312" w:cs="Times New Roman"/>
          <w:sz w:val="32"/>
          <w:szCs w:val="32"/>
        </w:rPr>
        <w:t>%，其中：</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1、一般公共服务（类）</w:t>
      </w:r>
      <w:r>
        <w:rPr>
          <w:rFonts w:hint="eastAsia" w:ascii="Times New Roman" w:hAnsi="Times New Roman" w:eastAsia="仿宋_GB2312" w:cs="Times New Roman"/>
          <w:sz w:val="32"/>
          <w:szCs w:val="32"/>
          <w:lang w:eastAsia="zh-CN"/>
        </w:rPr>
        <w:t>市场监督管理事务</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lang w:eastAsia="zh-CN"/>
        </w:rPr>
        <w:t>质量基础</w:t>
      </w:r>
      <w:r>
        <w:rPr>
          <w:rFonts w:ascii="Times New Roman" w:hAnsi="Times New Roman" w:eastAsia="仿宋_GB2312" w:cs="Times New Roman"/>
          <w:sz w:val="32"/>
          <w:szCs w:val="32"/>
        </w:rPr>
        <w:t>（项）。</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4.17</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7.17</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172</w:t>
      </w:r>
      <w:r>
        <w:rPr>
          <w:rFonts w:ascii="Times New Roman" w:hAnsi="Times New Roman" w:eastAsia="仿宋_GB2312" w:cs="Times New Roman"/>
          <w:sz w:val="32"/>
          <w:szCs w:val="32"/>
        </w:rPr>
        <w:t>%，决算数大于年初预算数的主要原因是：</w:t>
      </w:r>
      <w:r>
        <w:rPr>
          <w:rFonts w:hint="eastAsia" w:ascii="Times New Roman" w:hAnsi="Times New Roman" w:eastAsia="仿宋_GB2312" w:cs="Times New Roman"/>
          <w:sz w:val="32"/>
          <w:szCs w:val="32"/>
          <w:lang w:eastAsia="zh-CN"/>
        </w:rPr>
        <w:t>年中追加标准化专项</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lang w:eastAsia="zh-CN"/>
        </w:rPr>
        <w:t>科学技术支出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lang w:eastAsia="zh-CN"/>
        </w:rPr>
        <w:t>科技重大项目</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lang w:eastAsia="zh-CN"/>
        </w:rPr>
        <w:t>重点研发计划</w:t>
      </w:r>
      <w:r>
        <w:rPr>
          <w:rFonts w:ascii="Times New Roman" w:hAnsi="Times New Roman" w:eastAsia="仿宋_GB2312" w:cs="Times New Roman"/>
          <w:sz w:val="32"/>
          <w:szCs w:val="32"/>
        </w:rPr>
        <w:t>（项）。</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28</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28</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w:t>
      </w:r>
    </w:p>
    <w:p>
      <w:pPr>
        <w:pStyle w:val="15"/>
        <w:numPr>
          <w:ilvl w:val="0"/>
          <w:numId w:val="1"/>
        </w:numPr>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社会保障和就业支出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lang w:eastAsia="zh-CN"/>
        </w:rPr>
        <w:t>行政事业单位养老支出</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lang w:eastAsia="zh-CN"/>
        </w:rPr>
        <w:t>事业单位离退休</w:t>
      </w:r>
      <w:r>
        <w:rPr>
          <w:rFonts w:ascii="Times New Roman" w:hAnsi="Times New Roman" w:eastAsia="仿宋_GB2312" w:cs="Times New Roman"/>
          <w:sz w:val="32"/>
          <w:szCs w:val="32"/>
        </w:rPr>
        <w:t>（项）。</w:t>
      </w:r>
    </w:p>
    <w:p>
      <w:pPr>
        <w:pStyle w:val="15"/>
        <w:numPr>
          <w:ilvl w:val="0"/>
          <w:numId w:val="0"/>
        </w:numPr>
        <w:overflowPunct w:val="0"/>
        <w:autoSpaceDE/>
        <w:autoSpaceDN/>
        <w:spacing w:line="600" w:lineRule="exact"/>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年初预算数为333.78万元，支出决算数为333.78万元，完成预算的100%。</w:t>
      </w:r>
    </w:p>
    <w:p>
      <w:pPr>
        <w:pStyle w:val="15"/>
        <w:numPr>
          <w:ilvl w:val="0"/>
          <w:numId w:val="1"/>
        </w:numPr>
        <w:overflowPunct w:val="0"/>
        <w:autoSpaceDE/>
        <w:autoSpaceDN/>
        <w:spacing w:line="600" w:lineRule="exact"/>
        <w:ind w:left="0" w:leftChars="0"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社会保障和就业支出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lang w:eastAsia="zh-CN"/>
        </w:rPr>
        <w:t>行政事业单位养老支出</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lang w:eastAsia="zh-CN"/>
        </w:rPr>
        <w:t>机关事业单位基本养老保险缴费支出</w:t>
      </w:r>
      <w:r>
        <w:rPr>
          <w:rFonts w:ascii="Times New Roman" w:hAnsi="Times New Roman" w:eastAsia="仿宋_GB2312" w:cs="Times New Roman"/>
          <w:sz w:val="32"/>
          <w:szCs w:val="32"/>
        </w:rPr>
        <w:t>（项）。</w:t>
      </w:r>
    </w:p>
    <w:p>
      <w:pPr>
        <w:pStyle w:val="15"/>
        <w:numPr>
          <w:ilvl w:val="0"/>
          <w:numId w:val="0"/>
        </w:numPr>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年初预算数为200.37万元，支出决算数为200.37万元，完成预算的100%。</w:t>
      </w:r>
    </w:p>
    <w:p>
      <w:pPr>
        <w:pStyle w:val="15"/>
        <w:numPr>
          <w:ilvl w:val="0"/>
          <w:numId w:val="1"/>
        </w:numPr>
        <w:overflowPunct w:val="0"/>
        <w:autoSpaceDE/>
        <w:autoSpaceDN/>
        <w:spacing w:line="600" w:lineRule="exact"/>
        <w:ind w:left="0" w:leftChars="0"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农林水支出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lang w:eastAsia="zh-CN"/>
        </w:rPr>
        <w:t>农业农村</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lang w:eastAsia="zh-CN"/>
        </w:rPr>
        <w:t>事业运行</w:t>
      </w:r>
      <w:r>
        <w:rPr>
          <w:rFonts w:ascii="Times New Roman" w:hAnsi="Times New Roman" w:eastAsia="仿宋_GB2312" w:cs="Times New Roman"/>
          <w:sz w:val="32"/>
          <w:szCs w:val="32"/>
        </w:rPr>
        <w:t>（项）。</w:t>
      </w:r>
    </w:p>
    <w:p>
      <w:pPr>
        <w:pStyle w:val="15"/>
        <w:numPr>
          <w:ilvl w:val="0"/>
          <w:numId w:val="0"/>
        </w:numPr>
        <w:overflowPunct w:val="0"/>
        <w:autoSpaceDE/>
        <w:autoSpaceDN/>
        <w:spacing w:line="600" w:lineRule="exact"/>
        <w:ind w:left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年初预算数为1576.41万元，支出决算数1576.41万元，完成预算100%。</w:t>
      </w:r>
    </w:p>
    <w:p>
      <w:pPr>
        <w:pStyle w:val="15"/>
        <w:numPr>
          <w:ilvl w:val="0"/>
          <w:numId w:val="1"/>
        </w:numPr>
        <w:overflowPunct w:val="0"/>
        <w:autoSpaceDE/>
        <w:autoSpaceDN/>
        <w:spacing w:line="600" w:lineRule="exact"/>
        <w:ind w:left="0" w:leftChars="0"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农林水支出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lang w:eastAsia="zh-CN"/>
        </w:rPr>
        <w:t>农业农村</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lang w:eastAsia="zh-CN"/>
        </w:rPr>
        <w:t>科技转化与推广服务</w:t>
      </w:r>
      <w:r>
        <w:rPr>
          <w:rFonts w:ascii="Times New Roman" w:hAnsi="Times New Roman" w:eastAsia="仿宋_GB2312" w:cs="Times New Roman"/>
          <w:sz w:val="32"/>
          <w:szCs w:val="32"/>
        </w:rPr>
        <w:t>（项）。</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 xml:space="preserve"> 年初预算数为17.63万元，支出决算数204.9万元，完成预算1163%。</w:t>
      </w:r>
      <w:r>
        <w:rPr>
          <w:rFonts w:ascii="Times New Roman" w:hAnsi="Times New Roman" w:eastAsia="仿宋_GB2312" w:cs="Times New Roman"/>
          <w:sz w:val="32"/>
          <w:szCs w:val="32"/>
        </w:rPr>
        <w:t>决算数大于年初预算数的主要原因是：</w:t>
      </w:r>
      <w:r>
        <w:rPr>
          <w:rFonts w:hint="eastAsia" w:ascii="Times New Roman" w:hAnsi="Times New Roman" w:eastAsia="仿宋_GB2312" w:cs="Times New Roman"/>
          <w:sz w:val="32"/>
          <w:szCs w:val="32"/>
          <w:lang w:eastAsia="zh-CN"/>
        </w:rPr>
        <w:t>年中追加省级现代农业产业技术体系建设资金。</w:t>
      </w:r>
    </w:p>
    <w:p>
      <w:pPr>
        <w:pStyle w:val="15"/>
        <w:numPr>
          <w:ilvl w:val="0"/>
          <w:numId w:val="1"/>
        </w:numPr>
        <w:overflowPunct w:val="0"/>
        <w:autoSpaceDE/>
        <w:autoSpaceDN/>
        <w:spacing w:line="600" w:lineRule="exact"/>
        <w:ind w:left="0" w:leftChars="0"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农林水支出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lang w:eastAsia="zh-CN"/>
        </w:rPr>
        <w:t>农业农村</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lang w:eastAsia="zh-CN"/>
        </w:rPr>
        <w:t>农业生产发展</w:t>
      </w:r>
      <w:r>
        <w:rPr>
          <w:rFonts w:ascii="Times New Roman" w:hAnsi="Times New Roman" w:eastAsia="仿宋_GB2312" w:cs="Times New Roman"/>
          <w:sz w:val="32"/>
          <w:szCs w:val="32"/>
        </w:rPr>
        <w:t>（项）。</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 xml:space="preserve"> 年初预算数为400万元，支出决算数472.43万元，完成预算119%。</w:t>
      </w:r>
      <w:r>
        <w:rPr>
          <w:rFonts w:ascii="Times New Roman" w:hAnsi="Times New Roman" w:eastAsia="仿宋_GB2312" w:cs="Times New Roman"/>
          <w:sz w:val="32"/>
          <w:szCs w:val="32"/>
        </w:rPr>
        <w:t>决算数大于年初预算数的主要原因是：</w:t>
      </w:r>
      <w:r>
        <w:rPr>
          <w:rFonts w:hint="eastAsia" w:ascii="Times New Roman" w:hAnsi="Times New Roman" w:eastAsia="仿宋_GB2312" w:cs="Times New Roman"/>
          <w:sz w:val="32"/>
          <w:szCs w:val="32"/>
          <w:lang w:eastAsia="zh-CN"/>
        </w:rPr>
        <w:t>年中追加生产性能测定及湘猪产业集群专项资金。</w:t>
      </w:r>
    </w:p>
    <w:p>
      <w:pPr>
        <w:pStyle w:val="15"/>
        <w:numPr>
          <w:ilvl w:val="0"/>
          <w:numId w:val="1"/>
        </w:numPr>
        <w:overflowPunct w:val="0"/>
        <w:autoSpaceDE/>
        <w:autoSpaceDN/>
        <w:spacing w:line="600" w:lineRule="exact"/>
        <w:ind w:left="0" w:leftChars="0"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农林水支出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lang w:eastAsia="zh-CN"/>
        </w:rPr>
        <w:t>农业农村</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lang w:eastAsia="zh-CN"/>
        </w:rPr>
        <w:t>农业生态资源保护</w:t>
      </w:r>
      <w:r>
        <w:rPr>
          <w:rFonts w:ascii="Times New Roman" w:hAnsi="Times New Roman" w:eastAsia="仿宋_GB2312" w:cs="Times New Roman"/>
          <w:sz w:val="32"/>
          <w:szCs w:val="32"/>
        </w:rPr>
        <w:t>（项）。</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 xml:space="preserve"> 年初预算数为128.82万元，支出决算数158.82万元，完成预算124%。</w:t>
      </w:r>
      <w:r>
        <w:rPr>
          <w:rFonts w:ascii="Times New Roman" w:hAnsi="Times New Roman" w:eastAsia="仿宋_GB2312" w:cs="Times New Roman"/>
          <w:sz w:val="32"/>
          <w:szCs w:val="32"/>
        </w:rPr>
        <w:t>决算数大于年初预算数的主要原因是：</w:t>
      </w:r>
      <w:r>
        <w:rPr>
          <w:rFonts w:hint="eastAsia" w:ascii="Times New Roman" w:hAnsi="Times New Roman" w:eastAsia="仿宋_GB2312" w:cs="Times New Roman"/>
          <w:sz w:val="32"/>
          <w:szCs w:val="32"/>
          <w:lang w:eastAsia="zh-CN"/>
        </w:rPr>
        <w:t>年中追加省级农业种质资源保护与利用资金。</w:t>
      </w:r>
    </w:p>
    <w:p>
      <w:pPr>
        <w:pStyle w:val="15"/>
        <w:numPr>
          <w:ilvl w:val="0"/>
          <w:numId w:val="1"/>
        </w:numPr>
        <w:overflowPunct w:val="0"/>
        <w:autoSpaceDE/>
        <w:autoSpaceDN/>
        <w:spacing w:line="600" w:lineRule="exact"/>
        <w:ind w:left="0" w:leftChars="0"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住房保障支出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lang w:eastAsia="zh-CN"/>
        </w:rPr>
        <w:t>住房改革支出</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lang w:eastAsia="zh-CN"/>
        </w:rPr>
        <w:t>住房公积金</w:t>
      </w:r>
      <w:r>
        <w:rPr>
          <w:rFonts w:ascii="Times New Roman" w:hAnsi="Times New Roman" w:eastAsia="仿宋_GB2312" w:cs="Times New Roman"/>
          <w:sz w:val="32"/>
          <w:szCs w:val="32"/>
        </w:rPr>
        <w:t>（项）。</w:t>
      </w:r>
    </w:p>
    <w:p>
      <w:pPr>
        <w:pStyle w:val="15"/>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年初预算数为170.9万元，支出决算数170.9万元，完成预算100%。</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六、一般公共预算财政拨款基本支出决算情况说明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2024年度一般公共预算财政拨款基本支出</w:t>
      </w:r>
      <w:r>
        <w:rPr>
          <w:rFonts w:hint="eastAsia" w:ascii="Times New Roman" w:hAnsi="Times New Roman" w:eastAsia="仿宋_GB2312" w:cs="Times New Roman"/>
          <w:sz w:val="32"/>
          <w:szCs w:val="32"/>
          <w:lang w:val="en-US" w:eastAsia="zh-CN"/>
        </w:rPr>
        <w:t>2281.46</w:t>
      </w:r>
      <w:r>
        <w:rPr>
          <w:rFonts w:ascii="Times New Roman" w:hAnsi="Times New Roman" w:eastAsia="仿宋_GB2312" w:cs="Times New Roman"/>
          <w:sz w:val="32"/>
          <w:szCs w:val="32"/>
        </w:rPr>
        <w:t>万元，其中：</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人员经费</w:t>
      </w:r>
      <w:r>
        <w:rPr>
          <w:rFonts w:hint="eastAsia" w:ascii="Times New Roman" w:hAnsi="Times New Roman" w:eastAsia="仿宋_GB2312" w:cs="Times New Roman"/>
          <w:sz w:val="32"/>
          <w:szCs w:val="32"/>
          <w:lang w:val="en-US" w:eastAsia="zh-CN"/>
        </w:rPr>
        <w:t>2249.39</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98.59</w:t>
      </w:r>
      <w:r>
        <w:rPr>
          <w:rFonts w:ascii="Times New Roman" w:hAnsi="Times New Roman" w:eastAsia="仿宋_GB2312" w:cs="Times New Roman"/>
          <w:sz w:val="32"/>
          <w:szCs w:val="32"/>
        </w:rPr>
        <w:t>%,主要包括基本工资、津贴补贴、伙食补助</w:t>
      </w:r>
      <w:r>
        <w:rPr>
          <w:rFonts w:hint="eastAsia" w:ascii="Times New Roman" w:hAnsi="Times New Roman" w:eastAsia="仿宋_GB2312" w:cs="Times New Roman"/>
          <w:sz w:val="32"/>
          <w:szCs w:val="32"/>
          <w:lang w:eastAsia="zh-CN"/>
        </w:rPr>
        <w:t>费、绩效工资、机关事业单位基本养老保险缴费、职工基本医疗保险缴费、住房公积金、离休费、退休费、抚恤金、生活补助、医疗费补助、其它对个人和家庭的补助等。</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公用经费</w:t>
      </w:r>
      <w:r>
        <w:rPr>
          <w:rFonts w:hint="eastAsia" w:ascii="Times New Roman" w:hAnsi="Times New Roman" w:eastAsia="仿宋_GB2312" w:cs="Times New Roman"/>
          <w:sz w:val="32"/>
          <w:szCs w:val="32"/>
          <w:lang w:val="en-US" w:eastAsia="zh-CN"/>
        </w:rPr>
        <w:t>32.07</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1.41</w:t>
      </w:r>
      <w:r>
        <w:rPr>
          <w:rFonts w:ascii="Times New Roman" w:hAnsi="Times New Roman" w:eastAsia="仿宋_GB2312" w:cs="Times New Roman"/>
          <w:sz w:val="32"/>
          <w:szCs w:val="32"/>
        </w:rPr>
        <w:t>%，主要包括</w:t>
      </w:r>
      <w:r>
        <w:rPr>
          <w:rFonts w:hint="eastAsia" w:ascii="Times New Roman" w:hAnsi="Times New Roman" w:eastAsia="仿宋_GB2312" w:cs="Times New Roman"/>
          <w:sz w:val="32"/>
          <w:szCs w:val="32"/>
          <w:lang w:eastAsia="zh-CN"/>
        </w:rPr>
        <w:t>工会经费、福利费。</w:t>
      </w:r>
    </w:p>
    <w:p>
      <w:pPr>
        <w:pStyle w:val="15"/>
        <w:numPr>
          <w:ilvl w:val="0"/>
          <w:numId w:val="2"/>
        </w:numPr>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财政拨款“三公”经费支出决算情况说明</w:t>
      </w:r>
    </w:p>
    <w:p>
      <w:pPr>
        <w:pStyle w:val="15"/>
        <w:numPr>
          <w:ilvl w:val="0"/>
          <w:numId w:val="0"/>
        </w:numPr>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（一）“三公”经费财政拨款支出决算总体情况说明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万元，与上年相比</w:t>
      </w:r>
      <w:r>
        <w:rPr>
          <w:rFonts w:hint="eastAsia" w:ascii="Times New Roman" w:hAnsi="Times New Roman" w:eastAsia="仿宋_GB2312" w:cs="Times New Roman"/>
          <w:sz w:val="32"/>
          <w:szCs w:val="32"/>
          <w:lang w:eastAsia="zh-CN"/>
        </w:rPr>
        <w:t>持平</w:t>
      </w:r>
      <w:r>
        <w:rPr>
          <w:rFonts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（二）“三公”经费财政拨款支出决算具体情况说明</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万元。与上年相比</w:t>
      </w:r>
      <w:r>
        <w:rPr>
          <w:rFonts w:hint="eastAsia" w:ascii="Times New Roman" w:hAnsi="Times New Roman" w:eastAsia="仿宋_GB2312" w:cs="Times New Roman"/>
          <w:sz w:val="32"/>
          <w:szCs w:val="32"/>
          <w:lang w:eastAsia="zh-CN"/>
        </w:rPr>
        <w:t>持平。</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eastAsia="zh-CN"/>
        </w:rPr>
        <w:t>，</w:t>
      </w:r>
      <w:r>
        <w:rPr>
          <w:rFonts w:ascii="Times New Roman" w:hAnsi="Times New Roman" w:eastAsia="仿宋_GB2312" w:cs="Times New Roman"/>
          <w:sz w:val="32"/>
          <w:szCs w:val="32"/>
          <w:highlight w:val="none"/>
        </w:rPr>
        <w:t>与上年相比</w:t>
      </w:r>
      <w:r>
        <w:rPr>
          <w:rFonts w:hint="eastAsia" w:ascii="Times New Roman" w:hAnsi="Times New Roman" w:eastAsia="仿宋_GB2312" w:cs="Times New Roman"/>
          <w:sz w:val="32"/>
          <w:szCs w:val="32"/>
          <w:highlight w:val="none"/>
          <w:lang w:eastAsia="zh-CN"/>
        </w:rPr>
        <w:t>持平</w:t>
      </w:r>
      <w:r>
        <w:rPr>
          <w:rFonts w:ascii="Times New Roman" w:hAnsi="Times New Roman" w:eastAsia="仿宋_GB2312" w:cs="Times New Roman"/>
          <w:sz w:val="32"/>
          <w:szCs w:val="32"/>
          <w:highlight w:val="none"/>
        </w:rPr>
        <w:t>。</w:t>
      </w:r>
      <w:r>
        <w:rPr>
          <w:rFonts w:ascii="Times New Roman" w:hAnsi="Times New Roman" w:eastAsia="仿宋_GB2312" w:cs="Times New Roman"/>
          <w:sz w:val="32"/>
          <w:szCs w:val="32"/>
        </w:rPr>
        <w:t>其中：</w:t>
      </w:r>
    </w:p>
    <w:p>
      <w:pPr>
        <w:pStyle w:val="15"/>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万元，与上年相比</w:t>
      </w:r>
      <w:r>
        <w:rPr>
          <w:rFonts w:hint="eastAsia" w:ascii="Times New Roman" w:hAnsi="Times New Roman" w:eastAsia="仿宋_GB2312" w:cs="Times New Roman"/>
          <w:sz w:val="32"/>
          <w:szCs w:val="32"/>
          <w:lang w:eastAsia="zh-CN"/>
        </w:rPr>
        <w:t>持平。单位本级更新公务用车</w:t>
      </w:r>
      <w:r>
        <w:rPr>
          <w:rFonts w:hint="eastAsia" w:ascii="Times New Roman" w:hAnsi="Times New Roman" w:eastAsia="仿宋_GB2312" w:cs="Times New Roman"/>
          <w:sz w:val="32"/>
          <w:szCs w:val="32"/>
          <w:lang w:val="en-US" w:eastAsia="zh-CN"/>
        </w:rPr>
        <w:t>0辆。</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万元，与上年相比</w:t>
      </w:r>
      <w:r>
        <w:rPr>
          <w:rFonts w:hint="eastAsia" w:ascii="Times New Roman" w:hAnsi="Times New Roman" w:eastAsia="仿宋_GB2312" w:cs="Times New Roman"/>
          <w:sz w:val="32"/>
          <w:szCs w:val="32"/>
          <w:lang w:eastAsia="zh-CN"/>
        </w:rPr>
        <w:t>持平</w:t>
      </w:r>
      <w:r>
        <w:rPr>
          <w:rFonts w:ascii="Times New Roman" w:hAnsi="Times New Roman" w:eastAsia="仿宋_GB2312" w:cs="Times New Roman"/>
          <w:sz w:val="32"/>
          <w:szCs w:val="32"/>
        </w:rPr>
        <w:t>。截止2024年12月31日，我单位开支财政拨款的公务用车保有量为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3.公务接待费支出预算为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与上年相比</w:t>
      </w:r>
      <w:r>
        <w:rPr>
          <w:rFonts w:hint="eastAsia" w:ascii="Times New Roman" w:hAnsi="Times New Roman" w:eastAsia="仿宋_GB2312" w:cs="Times New Roman"/>
          <w:sz w:val="32"/>
          <w:szCs w:val="32"/>
          <w:lang w:eastAsia="zh-CN"/>
        </w:rPr>
        <w:t>持平</w:t>
      </w:r>
      <w:r>
        <w:rPr>
          <w:rFonts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八、政府性基金预算收入支出决算情况</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本单位无政府性基金收支</w:t>
      </w:r>
      <w:r>
        <w:rPr>
          <w:rFonts w:hint="eastAsia" w:ascii="Times New Roman" w:hAnsi="Times New Roman" w:eastAsia="仿宋_GB2312" w:cs="Times New Roman"/>
          <w:sz w:val="32"/>
          <w:szCs w:val="32"/>
          <w:lang w:eastAsia="zh-CN"/>
        </w:rPr>
        <w:t>。</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九、关于机关运行经费支出说明</w:t>
      </w:r>
    </w:p>
    <w:p>
      <w:pPr>
        <w:pStyle w:val="15"/>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本单位202</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lang w:eastAsia="zh-CN"/>
        </w:rPr>
        <w:t>年度无机关运行经费支出，与上年决算数持平。</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十、一般性支出情况说明</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2024年本部门开支会议费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开支培训费</w:t>
      </w:r>
      <w:r>
        <w:rPr>
          <w:rFonts w:hint="eastAsia" w:ascii="Times New Roman" w:hAnsi="Times New Roman" w:eastAsia="仿宋_GB2312" w:cs="Times New Roman"/>
          <w:sz w:val="32"/>
          <w:szCs w:val="32"/>
          <w:lang w:val="en-US" w:eastAsia="zh-CN"/>
        </w:rPr>
        <w:t>0.82</w:t>
      </w:r>
      <w:r>
        <w:rPr>
          <w:rFonts w:ascii="Times New Roman" w:hAnsi="Times New Roman" w:eastAsia="仿宋_GB2312" w:cs="Times New Roman"/>
          <w:sz w:val="32"/>
          <w:szCs w:val="32"/>
        </w:rPr>
        <w:t>万元，用于开展</w:t>
      </w:r>
      <w:r>
        <w:rPr>
          <w:rFonts w:hint="eastAsia" w:ascii="Times New Roman" w:hAnsi="Times New Roman" w:eastAsia="仿宋_GB2312" w:cs="Times New Roman"/>
          <w:sz w:val="32"/>
          <w:szCs w:val="32"/>
          <w:lang w:eastAsia="zh-CN"/>
        </w:rPr>
        <w:t>期刊管理质量培训</w:t>
      </w:r>
      <w:r>
        <w:rPr>
          <w:rFonts w:ascii="Times New Roman" w:hAnsi="Times New Roman" w:eastAsia="仿宋_GB2312" w:cs="Times New Roman"/>
          <w:sz w:val="32"/>
          <w:szCs w:val="32"/>
        </w:rPr>
        <w:t>培训，人数</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人，内容为</w:t>
      </w:r>
      <w:r>
        <w:rPr>
          <w:rFonts w:hint="eastAsia" w:ascii="Times New Roman" w:hAnsi="Times New Roman" w:eastAsia="仿宋_GB2312" w:cs="Times New Roman"/>
          <w:sz w:val="32"/>
          <w:szCs w:val="32"/>
          <w:lang w:eastAsia="zh-CN"/>
        </w:rPr>
        <w:t>出版技术人员继续教育培训。未举办节</w:t>
      </w:r>
      <w:bookmarkStart w:id="3" w:name="_GoBack"/>
      <w:bookmarkEnd w:id="3"/>
      <w:r>
        <w:rPr>
          <w:rFonts w:hint="eastAsia" w:ascii="Times New Roman" w:hAnsi="Times New Roman" w:eastAsia="仿宋_GB2312" w:cs="Times New Roman"/>
          <w:sz w:val="32"/>
          <w:szCs w:val="32"/>
          <w:lang w:eastAsia="zh-CN"/>
        </w:rPr>
        <w:t>庆、晚会、论坛、赛事活动。</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十一、关于政府采购支出说明</w:t>
      </w:r>
    </w:p>
    <w:p>
      <w:pPr>
        <w:pStyle w:val="15"/>
        <w:overflowPunct w:val="0"/>
        <w:autoSpaceDE/>
        <w:autoSpaceDN/>
        <w:spacing w:line="600" w:lineRule="exact"/>
        <w:ind w:firstLine="640" w:firstLineChars="200"/>
        <w:jc w:val="both"/>
        <w:rPr>
          <w:rFonts w:ascii="Times New Roman" w:hAnsi="Times New Roman" w:eastAsia="楷体" w:cs="Times New Roman"/>
          <w:b/>
          <w:bCs/>
          <w:i/>
          <w:color w:val="auto"/>
          <w:sz w:val="32"/>
          <w:szCs w:val="32"/>
        </w:rPr>
      </w:pPr>
      <w:r>
        <w:rPr>
          <w:rFonts w:ascii="Times New Roman" w:hAnsi="Times New Roman" w:eastAsia="仿宋_GB2312" w:cs="Times New Roman"/>
          <w:sz w:val="32"/>
          <w:szCs w:val="32"/>
        </w:rPr>
        <w:t>本部门2024年度政府采购支出总额</w:t>
      </w:r>
      <w:r>
        <w:rPr>
          <w:rFonts w:hint="eastAsia" w:ascii="Times New Roman" w:hAnsi="Times New Roman" w:eastAsia="仿宋_GB2312" w:cs="Times New Roman"/>
          <w:sz w:val="32"/>
          <w:szCs w:val="32"/>
          <w:lang w:val="en-US" w:eastAsia="zh-CN"/>
        </w:rPr>
        <w:t>561.66</w:t>
      </w:r>
      <w:r>
        <w:rPr>
          <w:rFonts w:ascii="Times New Roman" w:hAnsi="Times New Roman" w:eastAsia="仿宋_GB2312" w:cs="Times New Roman"/>
          <w:sz w:val="32"/>
          <w:szCs w:val="32"/>
        </w:rPr>
        <w:t>万元，其中：政府采购货物支出</w:t>
      </w:r>
      <w:r>
        <w:rPr>
          <w:rFonts w:hint="eastAsia" w:ascii="Times New Roman" w:hAnsi="Times New Roman" w:eastAsia="仿宋_GB2312" w:cs="Times New Roman"/>
          <w:sz w:val="32"/>
          <w:szCs w:val="32"/>
          <w:lang w:val="en-US" w:eastAsia="zh-CN"/>
        </w:rPr>
        <w:t>309.71</w:t>
      </w:r>
      <w:r>
        <w:rPr>
          <w:rFonts w:ascii="Times New Roman" w:hAnsi="Times New Roman" w:eastAsia="仿宋_GB2312" w:cs="Times New Roman"/>
          <w:sz w:val="32"/>
          <w:szCs w:val="32"/>
        </w:rPr>
        <w:t xml:space="preserve"> 万元、政府采购工程支出</w:t>
      </w:r>
      <w:r>
        <w:rPr>
          <w:rFonts w:hint="eastAsia" w:ascii="Times New Roman" w:hAnsi="Times New Roman" w:eastAsia="仿宋_GB2312" w:cs="Times New Roman"/>
          <w:sz w:val="32"/>
          <w:szCs w:val="32"/>
          <w:lang w:val="en-US" w:eastAsia="zh-CN"/>
        </w:rPr>
        <w:t>53.01</w:t>
      </w:r>
      <w:r>
        <w:rPr>
          <w:rFonts w:ascii="Times New Roman" w:hAnsi="Times New Roman" w:eastAsia="仿宋_GB2312" w:cs="Times New Roman"/>
          <w:sz w:val="32"/>
          <w:szCs w:val="32"/>
        </w:rPr>
        <w:t>万元、政府采购服务支出</w:t>
      </w:r>
      <w:r>
        <w:rPr>
          <w:rFonts w:hint="eastAsia" w:ascii="Times New Roman" w:hAnsi="Times New Roman" w:eastAsia="仿宋_GB2312" w:cs="Times New Roman"/>
          <w:sz w:val="32"/>
          <w:szCs w:val="32"/>
          <w:lang w:val="en-US" w:eastAsia="zh-CN"/>
        </w:rPr>
        <w:t>198.94</w:t>
      </w:r>
      <w:r>
        <w:rPr>
          <w:rFonts w:ascii="Times New Roman" w:hAnsi="Times New Roman" w:eastAsia="仿宋_GB2312" w:cs="Times New Roman"/>
          <w:sz w:val="32"/>
          <w:szCs w:val="32"/>
        </w:rPr>
        <w:t>万元。授予中小企业合同金额</w:t>
      </w:r>
      <w:r>
        <w:rPr>
          <w:rFonts w:hint="eastAsia" w:ascii="Times New Roman" w:hAnsi="Times New Roman" w:eastAsia="仿宋_GB2312" w:cs="Times New Roman"/>
          <w:sz w:val="32"/>
          <w:szCs w:val="32"/>
          <w:lang w:val="en-US" w:eastAsia="zh-CN"/>
        </w:rPr>
        <w:t>561.66</w:t>
      </w:r>
      <w:r>
        <w:rPr>
          <w:rFonts w:ascii="Times New Roman" w:hAnsi="Times New Roman" w:eastAsia="仿宋_GB2312" w:cs="Times New Roman"/>
          <w:sz w:val="32"/>
          <w:szCs w:val="32"/>
        </w:rPr>
        <w:t>万元，占政府采购支出总额的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%，其中：授予小微企业合同金额</w:t>
      </w:r>
      <w:r>
        <w:rPr>
          <w:rFonts w:hint="eastAsia" w:ascii="Times New Roman" w:hAnsi="Times New Roman" w:eastAsia="仿宋_GB2312" w:cs="Times New Roman"/>
          <w:sz w:val="32"/>
          <w:szCs w:val="32"/>
          <w:lang w:val="en-US" w:eastAsia="zh-CN"/>
        </w:rPr>
        <w:t>561.66</w:t>
      </w:r>
      <w:r>
        <w:rPr>
          <w:rFonts w:ascii="Times New Roman" w:hAnsi="Times New Roman" w:eastAsia="仿宋_GB2312" w:cs="Times New Roman"/>
          <w:sz w:val="32"/>
          <w:szCs w:val="32"/>
        </w:rPr>
        <w:t>万元，</w:t>
      </w:r>
      <w:r>
        <w:rPr>
          <w:rFonts w:ascii="Times New Roman" w:hAnsi="Times New Roman" w:eastAsia="仿宋_GB2312" w:cs="Times New Roman"/>
          <w:color w:val="auto"/>
          <w:sz w:val="32"/>
          <w:szCs w:val="32"/>
        </w:rPr>
        <w:t>占授予中小企业合同金额的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%。货物采购授予中小企业合同金额占货物支出金额的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%，工程采购授予中小企业合同金额占工程支出金额的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%，服务采购授予中小企业合同金额占服务支出金额的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w:t>
      </w:r>
    </w:p>
    <w:p>
      <w:pPr>
        <w:pStyle w:val="15"/>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pPr>
        <w:pStyle w:val="15"/>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截至2024年12月31日，部门（单位）共有车辆</w:t>
      </w:r>
      <w:r>
        <w:rPr>
          <w:rFonts w:hint="eastAsia" w:ascii="Times New Roman" w:hAnsi="Times New Roman" w:eastAsia="仿宋_GB2312" w:cs="Times New Roman"/>
          <w:color w:val="auto"/>
          <w:sz w:val="32"/>
          <w:szCs w:val="32"/>
          <w:lang w:val="en-US" w:eastAsia="zh-CN"/>
        </w:rPr>
        <w:t>2</w:t>
      </w:r>
      <w:r>
        <w:rPr>
          <w:rFonts w:ascii="Times New Roman" w:hAnsi="Times New Roman" w:eastAsia="仿宋_GB2312" w:cs="Times New Roman"/>
          <w:color w:val="auto"/>
          <w:sz w:val="32"/>
          <w:szCs w:val="32"/>
        </w:rPr>
        <w:t>辆，其中，副部（省）级及以上领导用车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辆、主要负责人用车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辆、机要通信用车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辆、应急保障用车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辆、执法执勤用车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辆、特种专业技术用车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辆、离退休干部服务用车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辆、其他用车</w:t>
      </w:r>
      <w:r>
        <w:rPr>
          <w:rFonts w:hint="eastAsia" w:ascii="Times New Roman" w:hAnsi="Times New Roman" w:eastAsia="仿宋_GB2312" w:cs="Times New Roman"/>
          <w:color w:val="auto"/>
          <w:sz w:val="32"/>
          <w:szCs w:val="32"/>
          <w:lang w:val="en-US" w:eastAsia="zh-CN"/>
        </w:rPr>
        <w:t>2</w:t>
      </w:r>
      <w:r>
        <w:rPr>
          <w:rFonts w:ascii="Times New Roman" w:hAnsi="Times New Roman" w:eastAsia="仿宋_GB2312" w:cs="Times New Roman"/>
          <w:color w:val="auto"/>
          <w:sz w:val="32"/>
          <w:szCs w:val="32"/>
        </w:rPr>
        <w:t>辆，其他用车主要是</w:t>
      </w:r>
      <w:r>
        <w:rPr>
          <w:rFonts w:hint="eastAsia" w:ascii="Times New Roman" w:hAnsi="Times New Roman" w:eastAsia="仿宋_GB2312" w:cs="Times New Roman"/>
          <w:color w:val="auto"/>
          <w:sz w:val="32"/>
          <w:szCs w:val="32"/>
          <w:lang w:eastAsia="zh-CN"/>
        </w:rPr>
        <w:t>业务用车</w:t>
      </w:r>
      <w:r>
        <w:rPr>
          <w:rFonts w:ascii="Times New Roman" w:hAnsi="Times New Roman" w:eastAsia="仿宋_GB2312" w:cs="Times New Roman"/>
          <w:color w:val="auto"/>
          <w:sz w:val="32"/>
          <w:szCs w:val="32"/>
        </w:rPr>
        <w:t>；单位价值100万元以上设备（不含车辆）</w:t>
      </w:r>
      <w:r>
        <w:rPr>
          <w:rFonts w:hint="eastAsia" w:ascii="Times New Roman" w:hAnsi="Times New Roman" w:eastAsia="仿宋_GB2312" w:cs="Times New Roman"/>
          <w:color w:val="auto"/>
          <w:sz w:val="32"/>
          <w:szCs w:val="32"/>
          <w:lang w:val="en-US" w:eastAsia="zh-CN"/>
        </w:rPr>
        <w:t>1</w:t>
      </w:r>
      <w:r>
        <w:rPr>
          <w:rFonts w:ascii="Times New Roman" w:hAnsi="Times New Roman" w:eastAsia="仿宋_GB2312" w:cs="Times New Roman"/>
          <w:color w:val="auto"/>
          <w:sz w:val="32"/>
          <w:szCs w:val="32"/>
        </w:rPr>
        <w:t>台（套）。</w:t>
      </w:r>
    </w:p>
    <w:p>
      <w:pPr>
        <w:pStyle w:val="15"/>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年度预算绩效情况的说明</w:t>
      </w:r>
    </w:p>
    <w:p>
      <w:pPr>
        <w:overflowPunct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楷体_GB2312" w:cs="Times New Roman"/>
          <w:b/>
          <w:bCs/>
          <w:sz w:val="32"/>
          <w:szCs w:val="32"/>
        </w:rPr>
        <w:t>（一）绩效评价工作开展情况。</w:t>
      </w:r>
      <w:r>
        <w:rPr>
          <w:rFonts w:ascii="Times New Roman" w:hAnsi="Times New Roman" w:eastAsia="仿宋_GB2312" w:cs="Times New Roman"/>
          <w:b/>
          <w:bCs/>
          <w:kern w:val="0"/>
          <w:sz w:val="32"/>
          <w:szCs w:val="32"/>
        </w:rPr>
        <w:t>一是绩效自评开展情况。</w:t>
      </w:r>
      <w:r>
        <w:rPr>
          <w:rFonts w:ascii="Times New Roman" w:hAnsi="Times New Roman" w:eastAsia="仿宋_GB2312" w:cs="Times New Roman"/>
          <w:kern w:val="0"/>
          <w:sz w:val="32"/>
          <w:szCs w:val="32"/>
        </w:rPr>
        <w:t>组织对2024年度本单位整体支出开展绩效自评，涉及项目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 xml:space="preserve"> 个，共涉及资金</w:t>
      </w:r>
      <w:r>
        <w:rPr>
          <w:rFonts w:hint="eastAsia" w:ascii="Times New Roman" w:hAnsi="Times New Roman" w:eastAsia="仿宋_GB2312" w:cs="Times New Roman"/>
          <w:kern w:val="0"/>
          <w:sz w:val="32"/>
          <w:szCs w:val="32"/>
          <w:lang w:val="en-US" w:eastAsia="zh-CN"/>
        </w:rPr>
        <w:t>871.31</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871.31</w:t>
      </w:r>
      <w:r>
        <w:rPr>
          <w:rFonts w:ascii="Times New Roman" w:hAnsi="Times New Roman" w:eastAsia="仿宋_GB2312" w:cs="Times New Roman"/>
          <w:kern w:val="0"/>
          <w:sz w:val="32"/>
          <w:szCs w:val="32"/>
        </w:rPr>
        <w:t xml:space="preserve"> 万元，占一般公共预算支出总额</w:t>
      </w:r>
      <w:r>
        <w:rPr>
          <w:rFonts w:ascii="Times New Roman" w:hAnsi="Times New Roman" w:eastAsia="仿宋_GB2312" w:cs="Times New Roman"/>
          <w:kern w:val="0"/>
          <w:sz w:val="32"/>
          <w:szCs w:val="32"/>
          <w:highlight w:val="none"/>
        </w:rPr>
        <w:t>的</w:t>
      </w:r>
      <w:r>
        <w:rPr>
          <w:rFonts w:hint="eastAsia" w:ascii="Times New Roman" w:hAnsi="Times New Roman" w:eastAsia="仿宋_GB2312" w:cs="Times New Roman"/>
          <w:kern w:val="0"/>
          <w:sz w:val="32"/>
          <w:szCs w:val="32"/>
          <w:highlight w:val="none"/>
          <w:lang w:val="en-US" w:eastAsia="zh-CN"/>
        </w:rPr>
        <w:t>28</w:t>
      </w:r>
      <w:r>
        <w:rPr>
          <w:rFonts w:ascii="Times New Roman" w:hAnsi="Times New Roman" w:eastAsia="仿宋_GB2312" w:cs="Times New Roman"/>
          <w:kern w:val="0"/>
          <w:sz w:val="32"/>
          <w:szCs w:val="32"/>
          <w:highlight w:val="none"/>
        </w:rPr>
        <w:t>%</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万元；社会保险基金预算项目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w:t>
      </w:r>
    </w:p>
    <w:p>
      <w:pPr>
        <w:keepNext w:val="0"/>
        <w:keepLines w:val="0"/>
        <w:widowControl/>
        <w:suppressLineNumbers w:val="0"/>
        <w:ind w:firstLine="640" w:firstLineChars="200"/>
        <w:jc w:val="left"/>
        <w:rPr>
          <w:rFonts w:hint="eastAsia" w:ascii="Times New Roman" w:hAnsi="Times New Roman" w:eastAsia="仿宋_GB2312" w:cs="Times New Roman"/>
          <w:sz w:val="32"/>
          <w:szCs w:val="32"/>
        </w:rPr>
      </w:pPr>
      <w:r>
        <w:rPr>
          <w:rFonts w:ascii="Times New Roman" w:hAnsi="Times New Roman" w:eastAsia="楷体_GB2312" w:cs="Times New Roman"/>
          <w:b/>
          <w:bCs/>
          <w:sz w:val="32"/>
          <w:szCs w:val="32"/>
        </w:rPr>
        <w:t>（二）绩效评价结果。</w:t>
      </w:r>
      <w:r>
        <w:rPr>
          <w:rFonts w:ascii="Times New Roman" w:hAnsi="Times New Roman" w:eastAsia="仿宋_GB2312" w:cs="Times New Roman"/>
          <w:b/>
          <w:bCs/>
          <w:kern w:val="0"/>
          <w:sz w:val="32"/>
          <w:szCs w:val="32"/>
        </w:rPr>
        <w:t>一是绩效自评结果。</w:t>
      </w:r>
      <w:r>
        <w:rPr>
          <w:rFonts w:ascii="Times New Roman" w:hAnsi="Times New Roman" w:eastAsia="仿宋_GB2312" w:cs="Times New Roman"/>
          <w:kern w:val="0"/>
          <w:sz w:val="32"/>
          <w:szCs w:val="32"/>
        </w:rPr>
        <w:t>2024年度本单位整体支出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3511.08</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3152.77</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90</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highlight w:val="none"/>
          <w:lang w:val="en-US" w:eastAsia="zh-CN"/>
        </w:rPr>
        <w:t>90</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优</w:t>
      </w:r>
      <w:r>
        <w:rPr>
          <w:rFonts w:ascii="Times New Roman" w:hAnsi="Times New Roman" w:eastAsia="仿宋_GB2312" w:cs="Times New Roman"/>
          <w:sz w:val="32"/>
          <w:szCs w:val="32"/>
        </w:rPr>
        <w:t>”。绩效目标完成情况：一是</w:t>
      </w:r>
      <w:r>
        <w:rPr>
          <w:rFonts w:hint="eastAsia" w:ascii="Times New Roman" w:hAnsi="Times New Roman" w:eastAsia="仿宋_GB2312" w:cs="Times New Roman"/>
          <w:sz w:val="32"/>
          <w:szCs w:val="32"/>
        </w:rPr>
        <w:t>申报专项49项，发表论文58篇，完成立项22项，sci论文11篇，编制标准大于6项，到位科研经费1220万</w:t>
      </w:r>
      <w:r>
        <w:rPr>
          <w:rFonts w:hint="eastAsia" w:ascii="Times New Roman" w:hAnsi="Times New Roman" w:eastAsia="仿宋_GB2312" w:cs="Times New Roman"/>
          <w:sz w:val="32"/>
          <w:szCs w:val="32"/>
          <w:lang w:eastAsia="zh-CN"/>
        </w:rPr>
        <w:t>；二是</w:t>
      </w:r>
      <w:r>
        <w:rPr>
          <w:rFonts w:hint="eastAsia" w:ascii="Times New Roman" w:hAnsi="Times New Roman" w:eastAsia="仿宋_GB2312" w:cs="Times New Roman"/>
          <w:sz w:val="32"/>
          <w:szCs w:val="32"/>
        </w:rPr>
        <w:t>多项畜牧兽医领域技术研究取得阶段性突破，在畜禽遗传资源挖掘、品种选育、饲料资源评价、动物疫病综合防控、养殖粪污资源化利用等方面为产业发展提供的技术支撑，促进了我省养殖业高质量发展</w:t>
      </w:r>
      <w:r>
        <w:rPr>
          <w:rFonts w:hint="eastAsia" w:ascii="Times New Roman" w:hAnsi="Times New Roman" w:eastAsia="仿宋_GB2312" w:cs="Times New Roman"/>
          <w:sz w:val="32"/>
          <w:szCs w:val="32"/>
          <w:lang w:eastAsia="zh-CN"/>
        </w:rPr>
        <w:t>；三是</w:t>
      </w:r>
      <w:r>
        <w:rPr>
          <w:rFonts w:hint="eastAsia" w:ascii="Times New Roman" w:hAnsi="Times New Roman" w:eastAsia="仿宋_GB2312" w:cs="Times New Roman"/>
          <w:sz w:val="32"/>
          <w:szCs w:val="32"/>
        </w:rPr>
        <w:t>绿色科研减少污染，明确镉污染饲料对山羊健康影响的安全临界值，为污染秸秆资源化利用提供科学指导，服务对象满意度达到90%。</w:t>
      </w:r>
      <w:r>
        <w:rPr>
          <w:rFonts w:ascii="Times New Roman" w:hAnsi="Times New Roman" w:eastAsia="仿宋_GB2312" w:cs="Times New Roman"/>
          <w:sz w:val="32"/>
          <w:szCs w:val="32"/>
        </w:rPr>
        <w:t>发现的主要问题及原</w:t>
      </w:r>
      <w:r>
        <w:rPr>
          <w:rFonts w:hint="eastAsia" w:ascii="Times New Roman" w:hAnsi="Times New Roman" w:eastAsia="仿宋_GB2312" w:cs="Times New Roman"/>
          <w:sz w:val="32"/>
          <w:szCs w:val="32"/>
        </w:rPr>
        <w:t>因：</w:t>
      </w:r>
      <w:r>
        <w:rPr>
          <w:rFonts w:hint="eastAsia" w:ascii="Times New Roman" w:hAnsi="Times New Roman" w:eastAsia="仿宋_GB2312" w:cs="Times New Roman"/>
          <w:sz w:val="32"/>
          <w:szCs w:val="32"/>
          <w:lang w:val="en-US" w:eastAsia="zh-CN"/>
        </w:rPr>
        <w:t xml:space="preserve">项目预算执行率较低，项目支出预算执行率有待提高，原因一是项目资金拨付时间较晚，二是部分科研专项项目是跨年度实施，未到结题时间。 </w:t>
      </w:r>
    </w:p>
    <w:p>
      <w:pPr>
        <w:keepNext w:val="0"/>
        <w:keepLines w:val="0"/>
        <w:widowControl/>
        <w:suppressLineNumbers w:val="0"/>
        <w:ind w:firstLine="640" w:firstLineChars="200"/>
        <w:jc w:val="left"/>
        <w:rPr>
          <w:rFonts w:ascii="Times New Roman" w:hAnsi="Times New Roman" w:eastAsia="仿宋_GB2312" w:cs="Times New Roman"/>
          <w:bCs/>
          <w:sz w:val="32"/>
          <w:szCs w:val="32"/>
        </w:rPr>
      </w:pPr>
      <w:r>
        <w:rPr>
          <w:rFonts w:ascii="Times New Roman" w:hAnsi="Times New Roman" w:eastAsia="仿宋_GB2312" w:cs="Times New Roman"/>
          <w:sz w:val="32"/>
          <w:szCs w:val="32"/>
        </w:rPr>
        <w:t>下一步改进措施：</w:t>
      </w:r>
      <w:r>
        <w:rPr>
          <w:rFonts w:ascii="仿宋_GB2312" w:hAnsi="仿宋_GB2312" w:eastAsia="仿宋_GB2312" w:cs="仿宋_GB2312"/>
          <w:color w:val="000000"/>
          <w:kern w:val="0"/>
          <w:sz w:val="31"/>
          <w:szCs w:val="31"/>
          <w:lang w:val="en-US" w:eastAsia="zh-CN" w:bidi="ar"/>
        </w:rPr>
        <w:t>一是提高预算编制水平，合理地、精准地、科学地编制预算； 二是通过定期对项目资金的执行情况进行分析，及时发现项目执行过程中的问题，督促项目早规划、早启动、早实施，项目完成后及时进行结算，以提高单位项目资金的执行效率。</w:t>
      </w:r>
    </w:p>
    <w:p>
      <w:pPr>
        <w:pStyle w:val="15"/>
        <w:overflowPunct w:val="0"/>
        <w:autoSpaceDE/>
        <w:autoSpaceDN/>
        <w:spacing w:line="600" w:lineRule="exact"/>
        <w:ind w:firstLine="640" w:firstLineChars="200"/>
        <w:jc w:val="both"/>
        <w:rPr>
          <w:rFonts w:hint="default" w:ascii="Times New Roman" w:hAnsi="Times New Roman" w:eastAsia="仿宋_GB2312" w:cs="Times New Roman"/>
          <w:color w:val="auto"/>
          <w:sz w:val="72"/>
          <w:szCs w:val="72"/>
          <w:highlight w:val="none"/>
          <w:lang w:val="en-US" w:eastAsia="zh-CN"/>
        </w:rPr>
      </w:pPr>
      <w:r>
        <w:rPr>
          <w:rFonts w:ascii="Times New Roman" w:hAnsi="Times New Roman" w:eastAsia="楷体_GB2312" w:cs="Times New Roman"/>
          <w:b/>
          <w:bCs/>
          <w:color w:val="auto"/>
          <w:kern w:val="2"/>
          <w:sz w:val="32"/>
          <w:szCs w:val="32"/>
        </w:rPr>
        <w:t>（三）评价结果应用情况。</w:t>
      </w:r>
      <w:r>
        <w:rPr>
          <w:rFonts w:hint="eastAsia" w:ascii="Times New Roman" w:hAnsi="Times New Roman" w:eastAsia="仿宋_GB2312" w:cs="Times New Roman"/>
          <w:color w:val="auto"/>
          <w:sz w:val="32"/>
          <w:szCs w:val="32"/>
          <w:highlight w:val="none"/>
          <w:lang w:eastAsia="zh-CN"/>
        </w:rPr>
        <w:t>一是</w:t>
      </w:r>
      <w:r>
        <w:rPr>
          <w:rFonts w:ascii="Times New Roman" w:hAnsi="Times New Roman" w:eastAsia="仿宋_GB2312" w:cs="Times New Roman"/>
          <w:color w:val="auto"/>
          <w:sz w:val="32"/>
          <w:szCs w:val="32"/>
          <w:highlight w:val="none"/>
        </w:rPr>
        <w:t>根据2024年度绩效自评结果、</w:t>
      </w:r>
      <w:r>
        <w:rPr>
          <w:rFonts w:hint="eastAsia" w:ascii="Times New Roman" w:hAnsi="Times New Roman" w:eastAsia="仿宋_GB2312" w:cs="Times New Roman"/>
          <w:color w:val="auto"/>
          <w:sz w:val="32"/>
          <w:szCs w:val="32"/>
          <w:highlight w:val="none"/>
          <w:lang w:eastAsia="zh-CN"/>
        </w:rPr>
        <w:t>加强了</w:t>
      </w:r>
      <w:r>
        <w:rPr>
          <w:rFonts w:hint="eastAsia" w:ascii="Times New Roman" w:hAnsi="Times New Roman" w:eastAsia="仿宋_GB2312" w:cs="Times New Roman"/>
          <w:color w:val="auto"/>
          <w:sz w:val="32"/>
          <w:szCs w:val="32"/>
          <w:highlight w:val="none"/>
          <w:lang w:val="en-US" w:eastAsia="zh-CN"/>
        </w:rPr>
        <w:t>2025年预算编制。二是将此次绩效自评结果作为科室绩效考核和下年度资金安排参考依据。三是根据要求将本报告进行公示。</w:t>
      </w: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spacing w:line="360" w:lineRule="auto"/>
        <w:ind w:firstLine="2080" w:firstLineChars="400"/>
        <w:jc w:val="both"/>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第四部分    名词解释</w:t>
      </w:r>
    </w:p>
    <w:p>
      <w:pPr>
        <w:widowControl/>
        <w:jc w:val="left"/>
        <w:rPr>
          <w:rFonts w:ascii="Times New Roman" w:hAnsi="Times New Roman" w:cs="Times New Roman"/>
          <w:color w:val="000000"/>
          <w:kern w:val="0"/>
          <w:sz w:val="32"/>
          <w:szCs w:val="32"/>
        </w:rPr>
      </w:pPr>
    </w:p>
    <w:p>
      <w:pPr>
        <w:pStyle w:val="15"/>
        <w:numPr>
          <w:ilvl w:val="0"/>
          <w:numId w:val="3"/>
        </w:numPr>
        <w:spacing w:line="600" w:lineRule="exact"/>
        <w:ind w:firstLine="640"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基本支出：指为保障机构正常运转、完成日常工作任务而发生的各项支出，包括人员支出和公用支出。</w:t>
      </w:r>
    </w:p>
    <w:p>
      <w:pPr>
        <w:pStyle w:val="15"/>
        <w:numPr>
          <w:ilvl w:val="0"/>
          <w:numId w:val="3"/>
        </w:numPr>
        <w:spacing w:line="600" w:lineRule="exact"/>
        <w:ind w:firstLine="640"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项目支出：指在基本支出以外为完成相关行政任务和事业发展目标所发生的各项支出。</w:t>
      </w:r>
    </w:p>
    <w:p>
      <w:pPr>
        <w:pStyle w:val="15"/>
        <w:numPr>
          <w:ilvl w:val="0"/>
          <w:numId w:val="3"/>
        </w:numPr>
        <w:spacing w:line="600" w:lineRule="exact"/>
        <w:ind w:firstLine="640"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 xml:space="preserve"> “三公”经费：指通过财政拨款资金安排的因公出国（境）费、公务用车购置及运行费和公务接待费支出。</w:t>
      </w:r>
    </w:p>
    <w:p>
      <w:pPr>
        <w:pStyle w:val="15"/>
        <w:numPr>
          <w:ilvl w:val="0"/>
          <w:numId w:val="3"/>
        </w:numPr>
        <w:spacing w:line="600" w:lineRule="exact"/>
        <w:ind w:firstLine="640"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机关运行经费：是指各部门的公用经费，包括办公及印刷费、邮电费、差旅费、会议费、福利费、日常维修费、专用材料及一般设备购置费、办公用房水电费、办公用房取暖费、办公用房物业管理费、公务用车运行维护费以及其他费用。</w:t>
      </w: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both"/>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both"/>
        <w:rPr>
          <w:rFonts w:ascii="Times New Roman" w:hAnsi="Times New Roman" w:cs="Times New Roman"/>
          <w:sz w:val="72"/>
          <w:szCs w:val="72"/>
        </w:rPr>
      </w:pPr>
    </w:p>
    <w:p>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第五部分   附 件</w:t>
      </w:r>
    </w:p>
    <w:p>
      <w:pPr>
        <w:rPr>
          <w:rFonts w:ascii="Times New Roman" w:hAnsi="Times New Roman" w:cs="Times New Roman"/>
          <w:sz w:val="72"/>
          <w:szCs w:val="72"/>
        </w:rPr>
      </w:pPr>
    </w:p>
    <w:p>
      <w:pPr>
        <w:pStyle w:val="15"/>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一、</w:t>
      </w:r>
      <w:r>
        <w:rPr>
          <w:rFonts w:ascii="Times New Roman" w:hAnsi="Times New Roman" w:eastAsia="仿宋_GB2312" w:cs="Times New Roman"/>
          <w:sz w:val="32"/>
          <w:szCs w:val="32"/>
        </w:rPr>
        <w:t>2024年度部门(单位)整体支出绩效自评报告。</w:t>
      </w:r>
    </w:p>
    <w:p>
      <w:pPr>
        <w:pStyle w:val="15"/>
        <w:spacing w:line="600" w:lineRule="exact"/>
        <w:ind w:firstLine="640" w:firstLineChars="200"/>
        <w:rPr>
          <w:rFonts w:ascii="Times New Roman" w:hAnsi="Times New Roman" w:eastAsia="仿宋_GB2312" w:cs="Times New Roman"/>
          <w:sz w:val="32"/>
          <w:szCs w:val="3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jc w:val="left"/>
        <w:rPr>
          <w:rFonts w:ascii="Times New Roman" w:hAnsi="Times New Roman" w:cs="Times New Roman"/>
          <w:color w:val="000000"/>
          <w:kern w:val="0"/>
          <w:sz w:val="32"/>
          <w:szCs w:val="32"/>
        </w:rPr>
      </w:pPr>
    </w:p>
    <w:p>
      <w:pPr>
        <w:jc w:val="left"/>
        <w:rPr>
          <w:rFonts w:ascii="Times New Roman" w:hAnsi="Times New Roman" w:cs="Times New Roman"/>
          <w:color w:val="000000"/>
          <w:kern w:val="0"/>
          <w:sz w:val="32"/>
          <w:szCs w:val="32"/>
        </w:rPr>
      </w:pPr>
    </w:p>
    <w:p>
      <w:pPr>
        <w:jc w:val="left"/>
        <w:rPr>
          <w:rFonts w:ascii="Times New Roman" w:hAnsi="Times New Roman" w:cs="Times New Roman"/>
          <w:color w:val="000000"/>
          <w:kern w:val="0"/>
          <w:sz w:val="32"/>
          <w:szCs w:val="32"/>
        </w:rPr>
      </w:pPr>
    </w:p>
    <w:p>
      <w:pPr>
        <w:jc w:val="left"/>
        <w:rPr>
          <w:rFonts w:ascii="Times New Roman" w:hAnsi="Times New Roman" w:cs="Times New Roman"/>
          <w:color w:val="000000"/>
          <w:kern w:val="0"/>
          <w:sz w:val="32"/>
          <w:szCs w:val="32"/>
        </w:rPr>
      </w:pPr>
    </w:p>
    <w:p>
      <w:pPr>
        <w:jc w:val="left"/>
        <w:rPr>
          <w:rFonts w:ascii="Times New Roman" w:hAnsi="Times New Roman" w:cs="Times New Roman"/>
          <w:color w:val="000000"/>
          <w:kern w:val="0"/>
          <w:sz w:val="32"/>
          <w:szCs w:val="32"/>
        </w:rPr>
      </w:pPr>
    </w:p>
    <w:p>
      <w:pPr>
        <w:jc w:val="left"/>
        <w:rPr>
          <w:rFonts w:ascii="Times New Roman" w:hAnsi="Times New Roman" w:cs="Times New Roman"/>
          <w:color w:val="000000"/>
          <w:kern w:val="0"/>
          <w:sz w:val="32"/>
          <w:szCs w:val="32"/>
        </w:rPr>
      </w:pPr>
    </w:p>
    <w:p>
      <w:pPr>
        <w:jc w:val="left"/>
        <w:rPr>
          <w:rFonts w:ascii="Times New Roman" w:hAnsi="Times New Roman" w:cs="Times New Roman"/>
          <w:color w:val="000000"/>
          <w:kern w:val="0"/>
          <w:sz w:val="32"/>
          <w:szCs w:val="32"/>
        </w:rPr>
      </w:pPr>
    </w:p>
    <w:p>
      <w:pPr>
        <w:jc w:val="left"/>
        <w:rPr>
          <w:rFonts w:ascii="Times New Roman" w:hAnsi="Times New Roman" w:cs="Times New Roman"/>
          <w:color w:val="000000"/>
          <w:kern w:val="0"/>
          <w:sz w:val="32"/>
          <w:szCs w:val="32"/>
        </w:rPr>
      </w:pPr>
    </w:p>
    <w:p>
      <w:pPr>
        <w:ind w:firstLine="0" w:firstLineChars="0"/>
        <w:jc w:val="center"/>
        <w:rPr>
          <w:rFonts w:hint="eastAsia" w:eastAsia="方正小标宋_GBK"/>
          <w:sz w:val="48"/>
          <w:szCs w:val="48"/>
          <w:lang w:val="en-US" w:eastAsia="zh-CN"/>
        </w:rPr>
      </w:pPr>
    </w:p>
    <w:p>
      <w:pPr>
        <w:ind w:firstLine="0" w:firstLineChars="0"/>
        <w:jc w:val="center"/>
        <w:rPr>
          <w:rFonts w:hint="eastAsia" w:eastAsia="方正小标宋_GBK"/>
          <w:sz w:val="48"/>
          <w:szCs w:val="48"/>
          <w:lang w:val="en-US" w:eastAsia="zh-CN"/>
        </w:rPr>
      </w:pPr>
    </w:p>
    <w:p>
      <w:pPr>
        <w:ind w:firstLine="0" w:firstLineChars="0"/>
        <w:jc w:val="center"/>
        <w:rPr>
          <w:rFonts w:hint="eastAsia" w:eastAsia="方正小标宋_GBK"/>
          <w:sz w:val="48"/>
          <w:szCs w:val="48"/>
          <w:lang w:val="en-US" w:eastAsia="zh-CN"/>
        </w:rPr>
      </w:pPr>
    </w:p>
    <w:p>
      <w:pPr>
        <w:ind w:firstLine="0" w:firstLineChars="0"/>
        <w:jc w:val="center"/>
        <w:rPr>
          <w:rFonts w:hint="eastAsia" w:eastAsia="方正小标宋_GBK"/>
          <w:sz w:val="48"/>
          <w:szCs w:val="48"/>
          <w:lang w:val="en-US" w:eastAsia="zh-CN"/>
        </w:rPr>
      </w:pPr>
    </w:p>
    <w:p>
      <w:pPr>
        <w:ind w:firstLine="0" w:firstLineChars="0"/>
        <w:jc w:val="center"/>
        <w:rPr>
          <w:rFonts w:hint="eastAsia" w:eastAsia="方正小标宋_GBK"/>
          <w:sz w:val="48"/>
          <w:szCs w:val="48"/>
          <w:lang w:val="en-US" w:eastAsia="zh-CN"/>
        </w:rPr>
      </w:pPr>
    </w:p>
    <w:p>
      <w:pPr>
        <w:ind w:firstLine="0" w:firstLineChars="0"/>
        <w:jc w:val="both"/>
        <w:rPr>
          <w:rFonts w:hint="eastAsia" w:eastAsia="方正小标宋_GBK"/>
          <w:sz w:val="48"/>
          <w:szCs w:val="48"/>
          <w:lang w:val="en-US" w:eastAsia="zh-CN"/>
        </w:rPr>
      </w:pPr>
    </w:p>
    <w:p>
      <w:pPr>
        <w:ind w:firstLine="0" w:firstLineChars="0"/>
        <w:jc w:val="both"/>
        <w:rPr>
          <w:rFonts w:hint="eastAsia" w:eastAsia="方正小标宋_GBK"/>
          <w:sz w:val="48"/>
          <w:szCs w:val="48"/>
          <w:lang w:val="en-US" w:eastAsia="zh-CN"/>
        </w:rPr>
      </w:pPr>
    </w:p>
    <w:p>
      <w:pPr>
        <w:ind w:firstLine="0" w:firstLineChars="0"/>
        <w:jc w:val="both"/>
        <w:rPr>
          <w:rFonts w:hint="eastAsia" w:eastAsia="方正小标宋_GBK"/>
          <w:sz w:val="48"/>
          <w:szCs w:val="48"/>
          <w:lang w:val="en-US" w:eastAsia="zh-CN"/>
        </w:rPr>
      </w:pPr>
    </w:p>
    <w:p>
      <w:pPr>
        <w:ind w:firstLine="0" w:firstLineChars="0"/>
        <w:jc w:val="both"/>
        <w:rPr>
          <w:rFonts w:hint="eastAsia" w:eastAsia="方正小标宋_GBK"/>
          <w:sz w:val="48"/>
          <w:szCs w:val="48"/>
          <w:lang w:val="en-US" w:eastAsia="zh-CN"/>
        </w:rPr>
      </w:pPr>
    </w:p>
    <w:p>
      <w:pPr>
        <w:ind w:firstLine="0" w:firstLineChars="0"/>
        <w:jc w:val="center"/>
        <w:rPr>
          <w:rFonts w:hint="eastAsia" w:eastAsia="方正小标宋_GBK"/>
          <w:sz w:val="48"/>
          <w:szCs w:val="48"/>
          <w:lang w:val="en-US" w:eastAsia="zh-CN"/>
        </w:rPr>
      </w:pPr>
    </w:p>
    <w:p>
      <w:pPr>
        <w:ind w:firstLine="0" w:firstLineChars="0"/>
        <w:jc w:val="center"/>
        <w:rPr>
          <w:rFonts w:hint="eastAsia" w:eastAsia="方正小标宋_GBK"/>
          <w:sz w:val="48"/>
          <w:szCs w:val="48"/>
          <w:lang w:val="en-US" w:eastAsia="zh-CN"/>
        </w:rPr>
      </w:pPr>
    </w:p>
    <w:p>
      <w:pPr>
        <w:ind w:firstLine="0" w:firstLineChars="0"/>
        <w:jc w:val="center"/>
        <w:rPr>
          <w:rFonts w:hint="eastAsia" w:eastAsia="方正小标宋_GBK"/>
          <w:sz w:val="48"/>
          <w:szCs w:val="48"/>
          <w:lang w:eastAsia="zh-CN"/>
        </w:rPr>
      </w:pPr>
      <w:r>
        <w:rPr>
          <w:rFonts w:hint="eastAsia" w:eastAsia="方正小标宋_GBK"/>
          <w:sz w:val="48"/>
          <w:szCs w:val="48"/>
          <w:lang w:val="en-US" w:eastAsia="zh-CN"/>
        </w:rPr>
        <w:t>2024</w:t>
      </w:r>
      <w:r>
        <w:rPr>
          <w:rFonts w:eastAsia="方正小标宋_GBK"/>
          <w:sz w:val="48"/>
          <w:szCs w:val="48"/>
        </w:rPr>
        <w:t>年度</w:t>
      </w:r>
      <w:r>
        <w:rPr>
          <w:rFonts w:hint="eastAsia" w:eastAsia="方正小标宋_GBK"/>
          <w:sz w:val="48"/>
          <w:szCs w:val="48"/>
          <w:lang w:eastAsia="zh-CN"/>
        </w:rPr>
        <w:t>湖南省畜牧兽医研究所</w:t>
      </w:r>
    </w:p>
    <w:p>
      <w:pPr>
        <w:ind w:firstLine="0" w:firstLineChars="0"/>
        <w:jc w:val="center"/>
        <w:rPr>
          <w:rFonts w:eastAsia="方正小标宋_GBK"/>
          <w:sz w:val="48"/>
          <w:szCs w:val="48"/>
        </w:rPr>
      </w:pPr>
      <w:r>
        <w:rPr>
          <w:rFonts w:eastAsia="方正小标宋_GBK"/>
          <w:sz w:val="48"/>
          <w:szCs w:val="48"/>
        </w:rPr>
        <w:t>整体支出</w:t>
      </w:r>
    </w:p>
    <w:p>
      <w:pPr>
        <w:ind w:firstLine="0" w:firstLineChars="0"/>
        <w:jc w:val="center"/>
        <w:rPr>
          <w:rFonts w:eastAsia="方正小标宋_GBK"/>
          <w:sz w:val="48"/>
          <w:szCs w:val="48"/>
        </w:rPr>
      </w:pPr>
      <w:r>
        <w:rPr>
          <w:rFonts w:eastAsia="方正小标宋_GBK"/>
          <w:sz w:val="48"/>
          <w:szCs w:val="48"/>
        </w:rPr>
        <w:t>绩效自评报告</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 w:val="44"/>
          <w:szCs w:val="44"/>
        </w:rPr>
      </w:pPr>
      <w:r>
        <w:rPr>
          <w:rFonts w:eastAsia="黑体"/>
          <w:sz w:val="44"/>
          <w:szCs w:val="44"/>
        </w:rPr>
        <w:t xml:space="preserve"> </w:t>
      </w:r>
    </w:p>
    <w:p>
      <w:pPr>
        <w:ind w:firstLine="0" w:firstLineChars="0"/>
        <w:jc w:val="center"/>
        <w:rPr>
          <w:rFonts w:eastAsia="黑体"/>
          <w:sz w:val="44"/>
          <w:szCs w:val="44"/>
        </w:rPr>
      </w:pPr>
      <w:r>
        <w:rPr>
          <w:rFonts w:eastAsia="黑体"/>
          <w:sz w:val="44"/>
          <w:szCs w:val="44"/>
        </w:rPr>
        <w:t xml:space="preserve"> </w:t>
      </w:r>
    </w:p>
    <w:p>
      <w:pPr>
        <w:ind w:firstLine="0" w:firstLineChars="0"/>
        <w:jc w:val="center"/>
        <w:rPr>
          <w:rFonts w:eastAsia="黑体"/>
          <w:sz w:val="44"/>
          <w:szCs w:val="44"/>
        </w:rPr>
      </w:pPr>
      <w:r>
        <w:rPr>
          <w:rFonts w:eastAsia="黑体"/>
          <w:sz w:val="44"/>
          <w:szCs w:val="44"/>
        </w:rPr>
        <w:t xml:space="preserve"> </w:t>
      </w:r>
    </w:p>
    <w:p>
      <w:pPr>
        <w:ind w:firstLine="0" w:firstLineChars="0"/>
        <w:jc w:val="center"/>
        <w:rPr>
          <w:rFonts w:eastAsia="黑体"/>
          <w:sz w:val="36"/>
          <w:szCs w:val="36"/>
        </w:rPr>
      </w:pPr>
      <w:r>
        <w:rPr>
          <w:rFonts w:eastAsia="黑体"/>
          <w:sz w:val="36"/>
          <w:szCs w:val="36"/>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仿宋_GB2312"/>
        </w:rPr>
      </w:pPr>
      <w:r>
        <w:rPr>
          <w:rFonts w:eastAsia="黑体"/>
          <w:szCs w:val="32"/>
        </w:rPr>
        <w:t xml:space="preserve"> </w:t>
      </w:r>
    </w:p>
    <w:p>
      <w:pPr>
        <w:spacing w:line="570" w:lineRule="atLeast"/>
        <w:ind w:left="0" w:leftChars="0" w:firstLine="640" w:firstLineChars="200"/>
        <w:rPr>
          <w:rFonts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为加强财政支出管理，提高财政资金使用效益，根据《中共中央 国务院关于全面实施预算绩效管理的意见》（中发〔2018〕34号）、财政部《财政支出绩效评价管理暂行办法》（财预〔2020〕10号）、《湖南省人民政府关于深化预算管理制度改革的实施意见》（湘政发〔2015〕8号）、《中共湖南省委办公厅 湖南省人民政府办公厅关于全面实施预算绩效管理的实施意见》（湘办发〔2019〕10号）和《</w:t>
      </w:r>
      <w:r>
        <w:rPr>
          <w:rFonts w:ascii="Times New Roman" w:hAnsi="Times New Roman" w:eastAsia="仿宋_GB2312" w:cs="Times New Roman"/>
          <w:color w:val="000000"/>
          <w:kern w:val="0"/>
          <w:sz w:val="32"/>
          <w:szCs w:val="32"/>
          <w:lang w:val="en-US" w:eastAsia="zh-CN" w:bidi="ar-SA"/>
        </w:rPr>
        <w:t>湖南省财政厅关于开展2024年度省级预算部门绩效自评和部门评价的通知》（湘财绩〔2025〕2号）</w:t>
      </w:r>
      <w:r>
        <w:rPr>
          <w:rFonts w:hint="eastAsia" w:ascii="Times New Roman" w:hAnsi="Times New Roman" w:eastAsia="仿宋_GB2312" w:cs="Times New Roman"/>
          <w:color w:val="000000"/>
          <w:kern w:val="0"/>
          <w:sz w:val="32"/>
          <w:szCs w:val="32"/>
          <w:lang w:val="en-US" w:eastAsia="zh-CN" w:bidi="ar-SA"/>
        </w:rPr>
        <w:t>等文件，湖南省畜牧兽医研究所于2025年3月至4月对2024年部门整体支出进行了绩效自评，现将自评情况报告如下：</w:t>
      </w:r>
    </w:p>
    <w:p>
      <w:pPr>
        <w:spacing w:line="570" w:lineRule="atLeast"/>
        <w:ind w:left="0" w:leftChars="0" w:firstLine="640" w:firstLineChars="200"/>
      </w:pPr>
      <w:r>
        <w:rPr>
          <w:rFonts w:ascii="Times New Roman" w:hAnsi="Times New Roman" w:eastAsia="黑体" w:cs="Times New Roman"/>
          <w:kern w:val="2"/>
          <w:sz w:val="32"/>
          <w:szCs w:val="32"/>
          <w:lang w:val="en-US" w:eastAsia="zh-CN" w:bidi="ar-SA"/>
        </w:rPr>
        <w:t>一、基本情况</w:t>
      </w:r>
    </w:p>
    <w:p>
      <w:pPr>
        <w:spacing w:line="570" w:lineRule="atLeast"/>
        <w:ind w:firstLine="643"/>
        <w:rPr>
          <w:rFonts w:ascii="Times New Roman" w:hAnsi="Times New Roman" w:eastAsia="楷体_GB2312" w:cs="Times New Roman"/>
          <w:b/>
          <w:kern w:val="2"/>
          <w:sz w:val="32"/>
          <w:szCs w:val="32"/>
          <w:lang w:val="en-US" w:eastAsia="zh-CN" w:bidi="ar-SA"/>
        </w:rPr>
      </w:pPr>
      <w:r>
        <w:rPr>
          <w:rFonts w:ascii="Times New Roman" w:hAnsi="Times New Roman" w:eastAsia="楷体_GB2312" w:cs="Times New Roman"/>
          <w:b/>
          <w:kern w:val="2"/>
          <w:sz w:val="32"/>
          <w:szCs w:val="32"/>
          <w:lang w:val="en-US" w:eastAsia="zh-CN" w:bidi="ar-SA"/>
        </w:rPr>
        <w:t xml:space="preserve">（一）单位基本情况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湖南省畜牧兽医研究所位于长沙市芙蓉区远大二路，系湖南省农业农村厅下属公益</w:t>
      </w:r>
      <w:r>
        <w:rPr>
          <w:rFonts w:hint="eastAsia" w:ascii="仿宋_GB2312" w:hAnsi="仿宋_GB2312" w:eastAsia="仿宋_GB2312" w:cs="仿宋_GB2312"/>
          <w:color w:val="000000"/>
          <w:kern w:val="0"/>
          <w:sz w:val="31"/>
          <w:szCs w:val="31"/>
          <w:lang w:val="en-US" w:eastAsia="zh-CN" w:bidi="ar"/>
        </w:rPr>
        <w:t>一类</w:t>
      </w:r>
      <w:r>
        <w:rPr>
          <w:rFonts w:ascii="仿宋_GB2312" w:hAnsi="仿宋_GB2312" w:eastAsia="仿宋_GB2312" w:cs="仿宋_GB2312"/>
          <w:color w:val="000000"/>
          <w:kern w:val="0"/>
          <w:sz w:val="31"/>
          <w:szCs w:val="31"/>
          <w:lang w:val="en-US" w:eastAsia="zh-CN" w:bidi="ar"/>
        </w:rPr>
        <w:t xml:space="preserve">事业单位，主要承担全省畜禽遗传育种、动物营养、兽医兽药、畜禽新品种、养殖新技术、畜禽产品加工等方面的工作。 </w:t>
      </w:r>
    </w:p>
    <w:p>
      <w:pPr>
        <w:keepNext w:val="0"/>
        <w:keepLines w:val="0"/>
        <w:widowControl/>
        <w:suppressLineNumbers w:val="0"/>
        <w:ind w:left="0" w:leftChars="0" w:firstLine="620" w:firstLineChars="200"/>
        <w:jc w:val="left"/>
        <w:rPr>
          <w:rFonts w:ascii="仿宋_GB2312" w:hAnsi="仿宋_GB2312" w:eastAsia="仿宋_GB2312" w:cs="仿宋_GB2312"/>
          <w:color w:val="000000"/>
          <w:kern w:val="0"/>
          <w:sz w:val="31"/>
          <w:szCs w:val="31"/>
          <w:lang w:val="en-US" w:eastAsia="zh-CN" w:bidi="ar"/>
        </w:rPr>
      </w:pPr>
      <w:r>
        <w:rPr>
          <w:rFonts w:ascii="仿宋_GB2312" w:hAnsi="仿宋_GB2312" w:eastAsia="仿宋_GB2312" w:cs="仿宋_GB2312"/>
          <w:color w:val="000000"/>
          <w:kern w:val="0"/>
          <w:sz w:val="31"/>
          <w:szCs w:val="31"/>
          <w:lang w:val="en-US" w:eastAsia="zh-CN" w:bidi="ar"/>
        </w:rPr>
        <w:t xml:space="preserve">所内设机构包括：办公室、人事科、计财科、后勤中心、养猪研究室、 动物营养研究室、兽医兽药研究室、资源化利用研究室、草业与草食动物研究室、信息资料研究室、良种牛繁育中心、奶牛原种场、科技开发服务中心等 </w:t>
      </w:r>
      <w:r>
        <w:rPr>
          <w:rFonts w:hint="default" w:ascii="Times New Roman" w:hAnsi="Times New Roman" w:eastAsia="宋体" w:cs="Times New Roman"/>
          <w:color w:val="000000"/>
          <w:kern w:val="0"/>
          <w:sz w:val="31"/>
          <w:szCs w:val="31"/>
          <w:lang w:val="en-US" w:eastAsia="zh-CN" w:bidi="ar"/>
        </w:rPr>
        <w:t xml:space="preserve">13 </w:t>
      </w:r>
      <w:r>
        <w:rPr>
          <w:rFonts w:ascii="仿宋_GB2312" w:hAnsi="仿宋_GB2312" w:eastAsia="仿宋_GB2312" w:cs="仿宋_GB2312"/>
          <w:color w:val="000000"/>
          <w:kern w:val="0"/>
          <w:sz w:val="31"/>
          <w:szCs w:val="31"/>
          <w:lang w:val="en-US" w:eastAsia="zh-CN" w:bidi="ar"/>
        </w:rPr>
        <w:t xml:space="preserve">个科室、部门。 </w:t>
      </w:r>
    </w:p>
    <w:p>
      <w:pPr>
        <w:keepNext w:val="0"/>
        <w:keepLines w:val="0"/>
        <w:widowControl/>
        <w:suppressLineNumbers w:val="0"/>
        <w:jc w:val="left"/>
        <w:rPr>
          <w:rFonts w:ascii="仿宋_GB2312" w:hAnsi="仿宋_GB2312" w:eastAsia="仿宋_GB2312" w:cs="仿宋_GB2312"/>
          <w:color w:val="000000"/>
          <w:kern w:val="0"/>
          <w:sz w:val="31"/>
          <w:szCs w:val="31"/>
          <w:lang w:val="en-US" w:eastAsia="zh-CN" w:bidi="ar"/>
        </w:rPr>
      </w:pPr>
      <w:r>
        <w:rPr>
          <w:rFonts w:hint="default" w:ascii="Times New Roman" w:hAnsi="Times New Roman" w:eastAsia="宋体" w:cs="Times New Roman"/>
          <w:color w:val="000000"/>
          <w:kern w:val="0"/>
          <w:sz w:val="31"/>
          <w:szCs w:val="31"/>
          <w:lang w:val="en-US" w:eastAsia="zh-CN" w:bidi="ar"/>
        </w:rPr>
        <w:t>202</w:t>
      </w:r>
      <w:r>
        <w:rPr>
          <w:rFonts w:hint="eastAsia" w:ascii="Calibri" w:hAnsi="Calibri" w:eastAsia="宋体" w:cs="Calibri"/>
          <w:color w:val="000000"/>
          <w:kern w:val="0"/>
          <w:sz w:val="31"/>
          <w:szCs w:val="31"/>
          <w:lang w:val="en-US" w:eastAsia="zh-CN" w:bidi="ar"/>
        </w:rPr>
        <w:t>4</w:t>
      </w:r>
      <w:r>
        <w:rPr>
          <w:rFonts w:ascii="仿宋_GB2312" w:hAnsi="仿宋_GB2312" w:eastAsia="仿宋_GB2312" w:cs="仿宋_GB2312"/>
          <w:color w:val="000000"/>
          <w:kern w:val="0"/>
          <w:sz w:val="31"/>
          <w:szCs w:val="31"/>
          <w:lang w:val="en-US" w:eastAsia="zh-CN" w:bidi="ar"/>
        </w:rPr>
        <w:t xml:space="preserve">年末湖南省畜牧兽医研究所实有编制人员 </w:t>
      </w:r>
      <w:r>
        <w:rPr>
          <w:rFonts w:hint="default" w:ascii="Times New Roman" w:hAnsi="Times New Roman" w:eastAsia="宋体" w:cs="Times New Roman"/>
          <w:color w:val="000000"/>
          <w:kern w:val="0"/>
          <w:sz w:val="31"/>
          <w:szCs w:val="31"/>
          <w:lang w:val="en-US" w:eastAsia="zh-CN" w:bidi="ar"/>
        </w:rPr>
        <w:t xml:space="preserve">105 </w:t>
      </w:r>
      <w:r>
        <w:rPr>
          <w:rFonts w:ascii="仿宋_GB2312" w:hAnsi="仿宋_GB2312" w:eastAsia="仿宋_GB2312" w:cs="仿宋_GB2312"/>
          <w:color w:val="000000"/>
          <w:kern w:val="0"/>
          <w:sz w:val="31"/>
          <w:szCs w:val="31"/>
          <w:lang w:val="en-US" w:eastAsia="zh-CN" w:bidi="ar"/>
        </w:rPr>
        <w:t xml:space="preserve">人，其中在职 </w:t>
      </w:r>
      <w:r>
        <w:rPr>
          <w:rFonts w:hint="default" w:ascii="Times New Roman" w:hAnsi="Times New Roman" w:eastAsia="宋体" w:cs="Times New Roman"/>
          <w:color w:val="000000"/>
          <w:kern w:val="0"/>
          <w:sz w:val="31"/>
          <w:szCs w:val="31"/>
          <w:lang w:val="en-US" w:eastAsia="zh-CN" w:bidi="ar"/>
        </w:rPr>
        <w:t>8</w:t>
      </w:r>
      <w:r>
        <w:rPr>
          <w:rFonts w:hint="eastAsia" w:ascii="Times New Roman" w:hAnsi="Times New Roman" w:eastAsia="宋体" w:cs="Times New Roman"/>
          <w:color w:val="000000"/>
          <w:kern w:val="0"/>
          <w:sz w:val="31"/>
          <w:szCs w:val="31"/>
          <w:lang w:val="en-US" w:eastAsia="zh-CN" w:bidi="ar"/>
        </w:rPr>
        <w:t>2</w:t>
      </w:r>
      <w:r>
        <w:rPr>
          <w:rFonts w:ascii="仿宋_GB2312" w:hAnsi="仿宋_GB2312" w:eastAsia="仿宋_GB2312" w:cs="仿宋_GB2312"/>
          <w:color w:val="000000"/>
          <w:kern w:val="0"/>
          <w:sz w:val="31"/>
          <w:szCs w:val="31"/>
          <w:lang w:val="en-US" w:eastAsia="zh-CN" w:bidi="ar"/>
        </w:rPr>
        <w:t xml:space="preserve">人， 离休 </w:t>
      </w:r>
      <w:r>
        <w:rPr>
          <w:rFonts w:hint="default" w:ascii="Times New Roman" w:hAnsi="Times New Roman" w:eastAsia="宋体" w:cs="Times New Roman"/>
          <w:color w:val="000000"/>
          <w:kern w:val="0"/>
          <w:sz w:val="31"/>
          <w:szCs w:val="31"/>
          <w:lang w:val="en-US" w:eastAsia="zh-CN" w:bidi="ar"/>
        </w:rPr>
        <w:t xml:space="preserve">1 </w:t>
      </w:r>
      <w:r>
        <w:rPr>
          <w:rFonts w:ascii="仿宋_GB2312" w:hAnsi="仿宋_GB2312" w:eastAsia="仿宋_GB2312" w:cs="仿宋_GB2312"/>
          <w:color w:val="000000"/>
          <w:kern w:val="0"/>
          <w:sz w:val="31"/>
          <w:szCs w:val="31"/>
          <w:lang w:val="en-US" w:eastAsia="zh-CN" w:bidi="ar"/>
        </w:rPr>
        <w:t xml:space="preserve">人，退休 </w:t>
      </w:r>
      <w:r>
        <w:rPr>
          <w:rFonts w:hint="default" w:ascii="Times New Roman" w:hAnsi="Times New Roman" w:eastAsia="宋体" w:cs="Times New Roman"/>
          <w:color w:val="000000"/>
          <w:kern w:val="0"/>
          <w:sz w:val="31"/>
          <w:szCs w:val="31"/>
          <w:lang w:val="en-US" w:eastAsia="zh-CN" w:bidi="ar"/>
        </w:rPr>
        <w:t>9</w:t>
      </w:r>
      <w:r>
        <w:rPr>
          <w:rFonts w:hint="eastAsia" w:ascii="Times New Roman" w:hAnsi="Times New Roman" w:eastAsia="宋体" w:cs="Times New Roman"/>
          <w:color w:val="000000"/>
          <w:kern w:val="0"/>
          <w:sz w:val="31"/>
          <w:szCs w:val="31"/>
          <w:lang w:val="en-US" w:eastAsia="zh-CN" w:bidi="ar"/>
        </w:rPr>
        <w:t>9</w:t>
      </w:r>
      <w:r>
        <w:rPr>
          <w:rFonts w:hint="default" w:ascii="Times New Roman" w:hAnsi="Times New Roman" w:eastAsia="宋体" w:cs="Times New Roman"/>
          <w:color w:val="000000"/>
          <w:kern w:val="0"/>
          <w:sz w:val="31"/>
          <w:szCs w:val="31"/>
          <w:lang w:val="en-US" w:eastAsia="zh-CN" w:bidi="ar"/>
        </w:rPr>
        <w:t xml:space="preserve"> </w:t>
      </w:r>
      <w:r>
        <w:rPr>
          <w:rFonts w:ascii="仿宋_GB2312" w:hAnsi="仿宋_GB2312" w:eastAsia="仿宋_GB2312" w:cs="仿宋_GB2312"/>
          <w:color w:val="000000"/>
          <w:kern w:val="0"/>
          <w:sz w:val="31"/>
          <w:szCs w:val="31"/>
          <w:lang w:val="en-US" w:eastAsia="zh-CN" w:bidi="ar"/>
        </w:rPr>
        <w:t>人。</w:t>
      </w:r>
    </w:p>
    <w:p>
      <w:pPr>
        <w:keepNext w:val="0"/>
        <w:keepLines w:val="0"/>
        <w:pageBreakBefore w:val="0"/>
        <w:widowControl w:val="0"/>
        <w:numPr>
          <w:ilvl w:val="0"/>
          <w:numId w:val="4"/>
        </w:numPr>
        <w:kinsoku/>
        <w:wordWrap/>
        <w:overflowPunct/>
        <w:topLinePunct w:val="0"/>
        <w:autoSpaceDE/>
        <w:autoSpaceDN/>
        <w:bidi w:val="0"/>
        <w:adjustRightInd/>
        <w:snapToGrid/>
        <w:spacing w:line="570" w:lineRule="atLeast"/>
        <w:ind w:firstLine="640" w:firstLineChars="200"/>
        <w:textAlignment w:val="auto"/>
        <w:rPr>
          <w:rFonts w:ascii="Times New Roman" w:hAnsi="Times New Roman" w:eastAsia="楷体_GB2312" w:cs="Times New Roman"/>
          <w:b/>
          <w:kern w:val="2"/>
          <w:sz w:val="32"/>
          <w:szCs w:val="32"/>
          <w:lang w:val="en-US" w:eastAsia="zh-CN" w:bidi="ar-SA"/>
        </w:rPr>
      </w:pPr>
      <w:r>
        <w:rPr>
          <w:rFonts w:ascii="Times New Roman" w:hAnsi="Times New Roman" w:eastAsia="楷体_GB2312" w:cs="Times New Roman"/>
          <w:b/>
          <w:kern w:val="2"/>
          <w:sz w:val="32"/>
          <w:szCs w:val="32"/>
          <w:lang w:val="en-US" w:eastAsia="zh-CN" w:bidi="ar-SA"/>
        </w:rPr>
        <w:t>单位年度整体支出绩效目标，省级专项资金绩效目标、其他项目支出（除省级专项资金以外）绩效目标</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本单位2024年整体绩效目标为申报专项大于40项，发表论文大于40篇，完成立项大于15项，sci论文大于5篇，编制标准大于3项，本年预算内完成，到位科研经费大于1000万，多项畜牧兽医领域技术研究取得阶段性突破，在畜禽遗传资源挖掘、品种选育、饲料资源评价、动物疫病综合防控、养殖粪污资源化利用等方面为产业发展提供的技术支撑，促进我省养殖业高质量发展，绿色科研减少污染，明确镉污染饲料对山羊健康影响的安全临界值，为污染秸秆资源化利用提供科学指导，服务对象满意度大于90%。</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实际完成情况申报专项49项，发表论文58篇，完成立项22项，sci论文11篇，编制标准大于6项，本年预算内完成，到位科研经费1220万，多项畜牧兽医领域技术研究取得阶段性突破，在畜禽遗传资源挖掘、品种选育、饲料资源评价、动物疫病综合防控、养殖粪污资源化利用等方面为产业发展提供的技术支撑，促进了我省养殖业高质量发展，绿色科研减少污染，明确镉污染饲料对山羊健康影响的安全临界值，为污染秸秆资源化利用提供科学指导，服务对象满意度达到90%。</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省级专项资金绩效目标为采购湘猪育种芯片1套，推广液态发酵饲料200吨，完成发酵液体饲料和苜蓿草粉在地方猪降本提质养殖中的应用，本年完成，使用苜蓿草颗粒、虫草菌渣、白酒糟配制鸭、鹅饲料，使饲料成本降低3%，提高动物成活率提高1%，减少每只动物药物使用成本0.5元/只，完成广益黑猪新品种现场审查，乡草花猪、完成湘岭猪新品种屠宰测定，完成种养结合，粪污就地消纳，减少环保压力，打造循环农业，采购种猪性能综合评价体系1套，企业满意度95%以上。</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实际完成情况为采购湘猪育种芯片1套，推广液态发酵饲料200吨，完成发酵液体饲料和苜蓿草粉在地方猪降本提质养殖中的应用，本年完成，使用苜蓿草颗粒、虫草菌渣、白酒糟配制鸭、鹅饲料，使饲料成本降低4.8%，提高动物成活率提高1%，减少每只动物药物使用成本0.5元/只，完成广益黑猪新品种现场审查，乡草花猪、完成湘岭猪新品种屠宰测定，完成种养结合，粪污就地消纳，减少环保压力，打造循环农业，采购种猪性能综合评价体系1套，企业满意度达到99%。</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其它事业内发展资金绩效目标为保存沙子岭猪冻精20000支，湘猪遗传材料10万份，草食动物首席试验完成率100%，完成测定站改造，本年完成，不超过预算范围，完成性控冻精生产和推广任务，湘西黑猪，完成藏香猪杂交组合实验，在全省进行示范，对周边生态环境不产生影响，开展地方猪或培育新品种性能测定，性控冻精项目实施后在定时期内持续有效，受益人企业满意度调查大于90分。</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default"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实际完成情况为保存沙子岭猪冻精21000支，湘猪遗传材料15.5万份，草食动物首席试验完成率100%，完成测定站改造，本年完成，不超过预算范围，完成性控冻精生产和推广任务，湘西黑猪，完成藏香猪杂交组合实验，在全省进行示范，对周边生态环境不产生影响，开展地方猪或培育新品种性能测定，性控冻精项目实施后在定时期内持续有效，受益人企业满意度调查100分。</w:t>
      </w:r>
    </w:p>
    <w:p>
      <w:pPr>
        <w:pStyle w:val="21"/>
        <w:numPr>
          <w:ilvl w:val="0"/>
          <w:numId w:val="5"/>
        </w:numPr>
        <w:snapToGrid w:val="0"/>
        <w:spacing w:line="570" w:lineRule="atLeast"/>
        <w:ind w:firstLine="640"/>
        <w:rPr>
          <w:rFonts w:ascii="Times New Roman" w:hAnsi="Times New Roman" w:eastAsia="黑体"/>
          <w:sz w:val="32"/>
          <w:szCs w:val="32"/>
        </w:rPr>
      </w:pPr>
      <w:r>
        <w:rPr>
          <w:rFonts w:ascii="Times New Roman" w:hAnsi="Times New Roman" w:eastAsia="黑体"/>
          <w:sz w:val="32"/>
          <w:szCs w:val="32"/>
        </w:rPr>
        <w:t>一般公共预算支出情况</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Times New Roman" w:hAnsi="Times New Roman" w:eastAsia="宋体" w:cs="Times New Roman"/>
          <w:color w:val="000000"/>
          <w:kern w:val="0"/>
          <w:sz w:val="31"/>
          <w:szCs w:val="31"/>
          <w:lang w:val="en-US" w:eastAsia="zh-CN" w:bidi="ar"/>
        </w:rPr>
        <w:t>2</w:t>
      </w:r>
      <w:r>
        <w:rPr>
          <w:rFonts w:hint="eastAsia" w:ascii="仿宋_GB2312" w:hAnsi="仿宋_GB2312" w:eastAsia="仿宋_GB2312" w:cs="仿宋_GB2312"/>
          <w:color w:val="000000"/>
          <w:kern w:val="0"/>
          <w:sz w:val="31"/>
          <w:szCs w:val="31"/>
          <w:lang w:val="en-US" w:eastAsia="zh-CN" w:bidi="ar"/>
        </w:rPr>
        <w:t xml:space="preserve">024年部门预算批复本年预算财政拨款收入共2860.08万元，本年收入2681.46万元，年初结转和结余178.62万元。全年财政拨款支出2860.08万元，其中基本支出2281.46万元，项目支出578.62万元。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default" w:ascii="仿宋_GB2312" w:hAnsi="仿宋_GB2312" w:eastAsia="仿宋_GB2312" w:cs="仿宋_GB2312"/>
          <w:color w:val="000000"/>
          <w:kern w:val="0"/>
          <w:sz w:val="31"/>
          <w:szCs w:val="31"/>
          <w:lang w:val="en-US" w:eastAsia="zh-CN" w:bidi="ar"/>
        </w:rPr>
        <w:t>202</w:t>
      </w:r>
      <w:r>
        <w:rPr>
          <w:rFonts w:hint="eastAsia" w:ascii="仿宋_GB2312" w:hAnsi="仿宋_GB2312" w:eastAsia="仿宋_GB2312" w:cs="仿宋_GB2312"/>
          <w:color w:val="000000"/>
          <w:kern w:val="0"/>
          <w:sz w:val="31"/>
          <w:szCs w:val="31"/>
          <w:lang w:val="en-US" w:eastAsia="zh-CN" w:bidi="ar"/>
        </w:rPr>
        <w:t>4年度决算财政拨款总收入3511.08万元，决算总支出为3152.77万元，其中基本支出2281.46元，项目支出871.31万元。按经济分类支出，工资福利支出1897.91万元，商品和服务支出903.38万元，对个人和家庭补助支出351.48万元。</w:t>
      </w:r>
    </w:p>
    <w:p>
      <w:pPr>
        <w:pStyle w:val="21"/>
        <w:keepNext w:val="0"/>
        <w:keepLines w:val="0"/>
        <w:pageBreakBefore w:val="0"/>
        <w:numPr>
          <w:ilvl w:val="0"/>
          <w:numId w:val="6"/>
        </w:numPr>
        <w:kinsoku/>
        <w:wordWrap/>
        <w:overflowPunct/>
        <w:topLinePunct w:val="0"/>
        <w:autoSpaceDE/>
        <w:autoSpaceDN/>
        <w:bidi w:val="0"/>
        <w:adjustRightInd/>
        <w:snapToGrid w:val="0"/>
        <w:spacing w:line="570" w:lineRule="atLeast"/>
        <w:ind w:firstLine="640" w:firstLineChars="200"/>
        <w:textAlignment w:val="auto"/>
        <w:rPr>
          <w:rFonts w:ascii="Times New Roman" w:hAnsi="Times New Roman" w:eastAsia="楷体_GB2312"/>
          <w:b/>
          <w:sz w:val="32"/>
          <w:szCs w:val="32"/>
        </w:rPr>
      </w:pPr>
      <w:r>
        <w:rPr>
          <w:rFonts w:ascii="Times New Roman" w:hAnsi="Times New Roman" w:eastAsia="楷体_GB2312"/>
          <w:b/>
          <w:sz w:val="32"/>
          <w:szCs w:val="32"/>
        </w:rPr>
        <w:t>基本支出情况</w:t>
      </w:r>
    </w:p>
    <w:p>
      <w:pPr>
        <w:pStyle w:val="21"/>
        <w:keepNext w:val="0"/>
        <w:keepLines w:val="0"/>
        <w:pageBreakBefore w:val="0"/>
        <w:numPr>
          <w:ilvl w:val="0"/>
          <w:numId w:val="0"/>
        </w:numPr>
        <w:kinsoku/>
        <w:wordWrap/>
        <w:overflowPunct/>
        <w:topLinePunct w:val="0"/>
        <w:autoSpaceDE/>
        <w:autoSpaceDN/>
        <w:bidi w:val="0"/>
        <w:adjustRightInd/>
        <w:snapToGrid w:val="0"/>
        <w:spacing w:line="570" w:lineRule="atLeast"/>
        <w:ind w:firstLine="640" w:firstLineChars="200"/>
        <w:textAlignment w:val="auto"/>
        <w:rPr>
          <w:rFonts w:hint="eastAsia" w:ascii="仿宋_GB2312" w:hAnsi="仿宋_GB2312" w:eastAsia="仿宋_GB2312" w:cs="仿宋_GB2312"/>
          <w:color w:val="000000"/>
          <w:kern w:val="0"/>
          <w:sz w:val="31"/>
          <w:szCs w:val="31"/>
          <w:lang w:val="en-US" w:eastAsia="zh-CN" w:bidi="ar"/>
        </w:rPr>
      </w:pPr>
      <w:r>
        <w:rPr>
          <w:rFonts w:hint="eastAsia" w:ascii="Times New Roman" w:hAnsi="Times New Roman" w:eastAsia="楷体_GB2312"/>
          <w:b/>
          <w:sz w:val="32"/>
          <w:szCs w:val="32"/>
          <w:lang w:val="en-US" w:eastAsia="zh-CN"/>
        </w:rPr>
        <w:t xml:space="preserve"> </w:t>
      </w:r>
      <w:r>
        <w:rPr>
          <w:rFonts w:hint="eastAsia" w:ascii="仿宋_GB2312" w:hAnsi="仿宋_GB2312" w:eastAsia="仿宋_GB2312" w:cs="仿宋_GB2312"/>
          <w:color w:val="000000"/>
          <w:kern w:val="0"/>
          <w:sz w:val="31"/>
          <w:szCs w:val="31"/>
          <w:lang w:val="en-US" w:eastAsia="zh-CN" w:bidi="ar"/>
        </w:rPr>
        <w:t>2024年度，财政拨款基本支出年初预算数2281.46万元，全年预算数为2281.46万元，决算数为2281.46万元，执行率100%，其中人员经费年初预算数2249.39万元，全年预算数为2249.39万元，决算数为2249.39万元，执行率100%。公用经费年初预算数32.07万元，全年预算数为32.07万元，决算数为32.07万元，执行率100%。</w:t>
      </w:r>
    </w:p>
    <w:p>
      <w:pPr>
        <w:pStyle w:val="21"/>
        <w:keepNext w:val="0"/>
        <w:keepLines w:val="0"/>
        <w:pageBreakBefore w:val="0"/>
        <w:numPr>
          <w:ilvl w:val="0"/>
          <w:numId w:val="6"/>
        </w:numPr>
        <w:kinsoku/>
        <w:wordWrap/>
        <w:overflowPunct/>
        <w:topLinePunct w:val="0"/>
        <w:autoSpaceDE/>
        <w:autoSpaceDN/>
        <w:bidi w:val="0"/>
        <w:adjustRightInd/>
        <w:snapToGrid w:val="0"/>
        <w:spacing w:line="570" w:lineRule="atLeast"/>
        <w:ind w:left="0" w:leftChars="0" w:firstLine="640" w:firstLineChars="200"/>
        <w:textAlignment w:val="auto"/>
        <w:rPr>
          <w:rFonts w:ascii="Times New Roman" w:hAnsi="Times New Roman" w:eastAsia="楷体_GB2312"/>
          <w:b/>
          <w:sz w:val="32"/>
          <w:szCs w:val="32"/>
        </w:rPr>
      </w:pPr>
      <w:r>
        <w:rPr>
          <w:rFonts w:ascii="Times New Roman" w:hAnsi="Times New Roman" w:eastAsia="楷体_GB2312"/>
          <w:b/>
          <w:sz w:val="32"/>
          <w:szCs w:val="32"/>
        </w:rPr>
        <w:t>项目支出情况</w:t>
      </w:r>
    </w:p>
    <w:p>
      <w:pPr>
        <w:pStyle w:val="21"/>
        <w:keepNext w:val="0"/>
        <w:keepLines w:val="0"/>
        <w:pageBreakBefore w:val="0"/>
        <w:widowControl w:val="0"/>
        <w:numPr>
          <w:ilvl w:val="0"/>
          <w:numId w:val="0"/>
        </w:numPr>
        <w:kinsoku/>
        <w:wordWrap/>
        <w:overflowPunct/>
        <w:topLinePunct w:val="0"/>
        <w:autoSpaceDE/>
        <w:autoSpaceDN/>
        <w:bidi w:val="0"/>
        <w:adjustRightInd/>
        <w:snapToGrid w:val="0"/>
        <w:spacing w:line="570" w:lineRule="atLeast"/>
        <w:ind w:firstLine="620" w:firstLineChars="200"/>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2024年财政拨款项目支出年初预算578.62万元，全年预算数1229.62万元，决算数871.32万元，执行率71%。</w:t>
      </w:r>
    </w:p>
    <w:p>
      <w:pPr>
        <w:pStyle w:val="21"/>
        <w:keepNext w:val="0"/>
        <w:keepLines w:val="0"/>
        <w:pageBreakBefore w:val="0"/>
        <w:widowControl w:val="0"/>
        <w:numPr>
          <w:ilvl w:val="0"/>
          <w:numId w:val="0"/>
        </w:numPr>
        <w:kinsoku/>
        <w:wordWrap/>
        <w:overflowPunct/>
        <w:topLinePunct w:val="0"/>
        <w:autoSpaceDE/>
        <w:autoSpaceDN/>
        <w:bidi w:val="0"/>
        <w:adjustRightInd/>
        <w:snapToGrid w:val="0"/>
        <w:spacing w:line="570" w:lineRule="atLeast"/>
        <w:ind w:firstLine="620" w:firstLineChars="200"/>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省级专项资金年初预算数523.29万元，全年预算数539.29万元，全执行数526.29万元，执行率98%。</w:t>
      </w:r>
    </w:p>
    <w:p>
      <w:pPr>
        <w:pStyle w:val="21"/>
        <w:keepNext w:val="0"/>
        <w:keepLines w:val="0"/>
        <w:pageBreakBefore w:val="0"/>
        <w:widowControl w:val="0"/>
        <w:numPr>
          <w:ilvl w:val="0"/>
          <w:numId w:val="0"/>
        </w:numPr>
        <w:kinsoku/>
        <w:wordWrap/>
        <w:overflowPunct/>
        <w:topLinePunct w:val="0"/>
        <w:autoSpaceDE/>
        <w:autoSpaceDN/>
        <w:bidi w:val="0"/>
        <w:adjustRightInd/>
        <w:snapToGrid w:val="0"/>
        <w:spacing w:line="570" w:lineRule="atLeast"/>
        <w:ind w:firstLine="620" w:firstLineChars="200"/>
        <w:textAlignment w:val="auto"/>
        <w:rPr>
          <w:rFonts w:hint="default"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其它事业类发展资金年初预算数55.33万元，全年预算数690.33万元，全年执行数345.02万元，执行率50%。</w:t>
      </w:r>
    </w:p>
    <w:p>
      <w:pPr>
        <w:pStyle w:val="21"/>
        <w:keepNext w:val="0"/>
        <w:keepLines w:val="0"/>
        <w:pageBreakBefore w:val="0"/>
        <w:numPr>
          <w:ilvl w:val="0"/>
          <w:numId w:val="5"/>
        </w:numPr>
        <w:kinsoku/>
        <w:wordWrap/>
        <w:overflowPunct/>
        <w:topLinePunct w:val="0"/>
        <w:autoSpaceDE/>
        <w:autoSpaceDN/>
        <w:bidi w:val="0"/>
        <w:adjustRightInd/>
        <w:snapToGrid w:val="0"/>
        <w:spacing w:line="570" w:lineRule="atLeast"/>
        <w:ind w:left="0" w:leftChars="0" w:firstLine="640" w:firstLineChars="200"/>
        <w:textAlignment w:val="auto"/>
        <w:rPr>
          <w:rFonts w:ascii="Times New Roman" w:hAnsi="Times New Roman" w:eastAsia="黑体"/>
          <w:sz w:val="32"/>
          <w:szCs w:val="32"/>
        </w:rPr>
      </w:pPr>
      <w:r>
        <w:rPr>
          <w:rFonts w:ascii="Times New Roman" w:hAnsi="Times New Roman" w:eastAsia="黑体"/>
          <w:sz w:val="32"/>
          <w:szCs w:val="32"/>
        </w:rPr>
        <w:t>政府性基金预算支出情况</w:t>
      </w:r>
    </w:p>
    <w:p>
      <w:pPr>
        <w:pStyle w:val="21"/>
        <w:keepNext w:val="0"/>
        <w:keepLines w:val="0"/>
        <w:pageBreakBefore w:val="0"/>
        <w:numPr>
          <w:ilvl w:val="0"/>
          <w:numId w:val="0"/>
        </w:numPr>
        <w:kinsoku/>
        <w:wordWrap/>
        <w:overflowPunct/>
        <w:topLinePunct w:val="0"/>
        <w:autoSpaceDE/>
        <w:autoSpaceDN/>
        <w:bidi w:val="0"/>
        <w:adjustRightInd/>
        <w:snapToGrid w:val="0"/>
        <w:spacing w:line="570" w:lineRule="atLeast"/>
        <w:ind w:firstLine="620" w:firstLineChars="200"/>
        <w:textAlignment w:val="auto"/>
        <w:rPr>
          <w:rFonts w:hint="default"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湖南省畜牧兽医研究所2024年无政府性基金预算支出。</w:t>
      </w:r>
    </w:p>
    <w:p>
      <w:pPr>
        <w:pStyle w:val="21"/>
        <w:keepNext w:val="0"/>
        <w:keepLines w:val="0"/>
        <w:pageBreakBefore w:val="0"/>
        <w:numPr>
          <w:ilvl w:val="0"/>
          <w:numId w:val="5"/>
        </w:numPr>
        <w:kinsoku/>
        <w:wordWrap/>
        <w:overflowPunct/>
        <w:topLinePunct w:val="0"/>
        <w:autoSpaceDE/>
        <w:autoSpaceDN/>
        <w:bidi w:val="0"/>
        <w:adjustRightInd/>
        <w:snapToGrid w:val="0"/>
        <w:spacing w:line="570" w:lineRule="atLeast"/>
        <w:ind w:left="0" w:leftChars="0" w:firstLine="640" w:firstLineChars="200"/>
        <w:textAlignment w:val="auto"/>
        <w:rPr>
          <w:rFonts w:ascii="Times New Roman" w:hAnsi="Times New Roman" w:eastAsia="黑体"/>
          <w:sz w:val="32"/>
          <w:szCs w:val="32"/>
        </w:rPr>
      </w:pPr>
      <w:r>
        <w:rPr>
          <w:rFonts w:ascii="Times New Roman" w:hAnsi="Times New Roman" w:eastAsia="黑体"/>
          <w:sz w:val="32"/>
          <w:szCs w:val="32"/>
        </w:rPr>
        <w:t>国有资本经营预算支出情况</w:t>
      </w:r>
    </w:p>
    <w:p>
      <w:pPr>
        <w:pStyle w:val="21"/>
        <w:keepNext w:val="0"/>
        <w:keepLines w:val="0"/>
        <w:pageBreakBefore w:val="0"/>
        <w:numPr>
          <w:ilvl w:val="0"/>
          <w:numId w:val="0"/>
        </w:numPr>
        <w:kinsoku/>
        <w:wordWrap/>
        <w:overflowPunct/>
        <w:topLinePunct w:val="0"/>
        <w:autoSpaceDE/>
        <w:autoSpaceDN/>
        <w:bidi w:val="0"/>
        <w:adjustRightInd/>
        <w:snapToGrid w:val="0"/>
        <w:spacing w:line="570" w:lineRule="atLeast"/>
        <w:ind w:firstLine="620" w:firstLineChars="200"/>
        <w:textAlignment w:val="auto"/>
        <w:rPr>
          <w:rFonts w:hint="default"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湖南省畜牧兽医研究所2024年无国有资本经营预算支出。</w:t>
      </w:r>
    </w:p>
    <w:p>
      <w:pPr>
        <w:pStyle w:val="21"/>
        <w:keepNext w:val="0"/>
        <w:keepLines w:val="0"/>
        <w:pageBreakBefore w:val="0"/>
        <w:numPr>
          <w:ilvl w:val="0"/>
          <w:numId w:val="5"/>
        </w:numPr>
        <w:kinsoku/>
        <w:wordWrap/>
        <w:overflowPunct/>
        <w:topLinePunct w:val="0"/>
        <w:autoSpaceDE/>
        <w:autoSpaceDN/>
        <w:bidi w:val="0"/>
        <w:adjustRightInd/>
        <w:snapToGrid w:val="0"/>
        <w:spacing w:line="570" w:lineRule="atLeast"/>
        <w:ind w:left="0" w:leftChars="0" w:firstLine="640" w:firstLineChars="200"/>
        <w:textAlignment w:val="auto"/>
        <w:rPr>
          <w:rFonts w:ascii="Times New Roman" w:hAnsi="Times New Roman" w:eastAsia="黑体"/>
          <w:sz w:val="32"/>
          <w:szCs w:val="32"/>
        </w:rPr>
      </w:pPr>
      <w:r>
        <w:rPr>
          <w:rFonts w:ascii="Times New Roman" w:hAnsi="Times New Roman" w:eastAsia="黑体"/>
          <w:sz w:val="32"/>
          <w:szCs w:val="32"/>
        </w:rPr>
        <w:t>社会保险基金预算支出情况</w:t>
      </w:r>
    </w:p>
    <w:p>
      <w:pPr>
        <w:pStyle w:val="21"/>
        <w:keepNext w:val="0"/>
        <w:keepLines w:val="0"/>
        <w:pageBreakBefore w:val="0"/>
        <w:numPr>
          <w:ilvl w:val="0"/>
          <w:numId w:val="0"/>
        </w:numPr>
        <w:kinsoku/>
        <w:wordWrap/>
        <w:overflowPunct/>
        <w:topLinePunct w:val="0"/>
        <w:autoSpaceDE/>
        <w:autoSpaceDN/>
        <w:bidi w:val="0"/>
        <w:adjustRightInd/>
        <w:snapToGrid w:val="0"/>
        <w:spacing w:line="570" w:lineRule="atLeast"/>
        <w:ind w:firstLine="620" w:firstLineChars="200"/>
        <w:textAlignment w:val="auto"/>
        <w:rPr>
          <w:rFonts w:hint="default"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湖南省畜牧兽医研究所2025年无社会保险基金预算支出。</w:t>
      </w:r>
    </w:p>
    <w:p>
      <w:pPr>
        <w:keepNext w:val="0"/>
        <w:keepLines w:val="0"/>
        <w:pageBreakBefore w:val="0"/>
        <w:kinsoku/>
        <w:wordWrap/>
        <w:overflowPunct/>
        <w:topLinePunct w:val="0"/>
        <w:autoSpaceDE/>
        <w:autoSpaceDN/>
        <w:bidi w:val="0"/>
        <w:adjustRightInd/>
        <w:spacing w:line="570" w:lineRule="atLeast"/>
        <w:ind w:firstLine="640" w:firstLineChars="200"/>
        <w:textAlignment w:val="auto"/>
        <w:rPr>
          <w:rFonts w:ascii="Times New Roman" w:hAnsi="Times New Roman" w:eastAsia="黑体" w:cstheme="minorBidi"/>
          <w:kern w:val="2"/>
          <w:sz w:val="32"/>
          <w:szCs w:val="32"/>
          <w:lang w:val="en-US" w:eastAsia="zh-CN" w:bidi="ar-SA"/>
        </w:rPr>
      </w:pPr>
      <w:r>
        <w:rPr>
          <w:rFonts w:ascii="Times New Roman" w:hAnsi="Times New Roman" w:eastAsia="黑体" w:cstheme="minorBidi"/>
          <w:kern w:val="2"/>
          <w:sz w:val="32"/>
          <w:szCs w:val="32"/>
          <w:lang w:val="en-US" w:eastAsia="zh-CN" w:bidi="ar-SA"/>
        </w:rPr>
        <w:t>六、部门整体支出绩效情况</w:t>
      </w:r>
    </w:p>
    <w:p>
      <w:pPr>
        <w:pStyle w:val="21"/>
        <w:keepNext w:val="0"/>
        <w:keepLines w:val="0"/>
        <w:pageBreakBefore w:val="0"/>
        <w:kinsoku/>
        <w:wordWrap/>
        <w:overflowPunct/>
        <w:topLinePunct w:val="0"/>
        <w:autoSpaceDE/>
        <w:autoSpaceDN/>
        <w:bidi w:val="0"/>
        <w:adjustRightInd/>
        <w:snapToGrid w:val="0"/>
        <w:spacing w:line="570" w:lineRule="atLeast"/>
        <w:ind w:firstLine="640" w:firstLineChars="200"/>
        <w:textAlignment w:val="auto"/>
        <w:rPr>
          <w:rFonts w:hint="eastAsia" w:ascii="仿宋_GB2312" w:eastAsia="仿宋_GB2312"/>
          <w:color w:val="000000"/>
          <w:sz w:val="32"/>
          <w:szCs w:val="32"/>
        </w:rPr>
      </w:pPr>
      <w:r>
        <w:rPr>
          <w:rFonts w:hint="eastAsia" w:ascii="仿宋_GB2312" w:hAnsi="仿宋" w:eastAsia="仿宋_GB2312" w:cs="仿宋"/>
          <w:bCs/>
          <w:color w:val="000000"/>
          <w:sz w:val="32"/>
          <w:szCs w:val="32"/>
        </w:rPr>
        <w:t>我所</w:t>
      </w:r>
      <w:r>
        <w:rPr>
          <w:rFonts w:hint="eastAsia" w:ascii="仿宋_GB2312" w:hAnsi="仿宋" w:eastAsia="仿宋_GB2312" w:cs="仿宋"/>
          <w:sz w:val="32"/>
          <w:szCs w:val="32"/>
        </w:rPr>
        <w:t>坚持</w:t>
      </w:r>
      <w:r>
        <w:rPr>
          <w:rFonts w:hint="eastAsia" w:ascii="仿宋_GB2312" w:hAnsi="仿宋_GB2312" w:eastAsia="仿宋_GB2312" w:cs="仿宋_GB2312"/>
          <w:sz w:val="32"/>
          <w:szCs w:val="32"/>
        </w:rPr>
        <w:t>以</w:t>
      </w:r>
      <w:r>
        <w:rPr>
          <w:rFonts w:hint="eastAsia" w:ascii="仿宋_GB2312" w:eastAsia="仿宋_GB2312"/>
          <w:sz w:val="32"/>
          <w:szCs w:val="32"/>
        </w:rPr>
        <w:t>习近平新时代中国特色社会主义思想为指导，</w:t>
      </w:r>
      <w:r>
        <w:rPr>
          <w:rFonts w:hint="eastAsia" w:ascii="仿宋_GB2312" w:hAnsi="仿宋_GB2312" w:eastAsia="仿宋_GB2312" w:cs="仿宋_GB2312"/>
          <w:color w:val="000000"/>
          <w:sz w:val="32"/>
          <w:szCs w:val="32"/>
        </w:rPr>
        <w:t>以党建工作为统领，以推动畜牧科技创新为己任，以服务全省畜牧业高质量发展为宗旨，</w:t>
      </w:r>
      <w:r>
        <w:rPr>
          <w:rFonts w:hint="eastAsia" w:ascii="仿宋_GB2312" w:eastAsia="仿宋_GB2312"/>
          <w:sz w:val="32"/>
          <w:szCs w:val="32"/>
        </w:rPr>
        <w:t>开拓创新，锐意进取，</w:t>
      </w:r>
      <w:r>
        <w:rPr>
          <w:rFonts w:hint="eastAsia" w:ascii="仿宋_GB2312" w:hAnsi="黑体" w:eastAsia="仿宋_GB2312"/>
          <w:bCs/>
          <w:sz w:val="32"/>
          <w:szCs w:val="32"/>
        </w:rPr>
        <w:t>党建引领日益强化，科研工作不断突破，技术服务成效显著，文明创建再创佳绩，</w:t>
      </w:r>
      <w:r>
        <w:rPr>
          <w:rFonts w:hint="eastAsia" w:ascii="仿宋_GB2312" w:eastAsia="仿宋_GB2312"/>
          <w:color w:val="000000"/>
          <w:sz w:val="32"/>
          <w:szCs w:val="32"/>
        </w:rPr>
        <w:t>较好地完成了各项工作任务。</w:t>
      </w:r>
    </w:p>
    <w:p>
      <w:pPr>
        <w:pStyle w:val="21"/>
        <w:keepNext w:val="0"/>
        <w:keepLines w:val="0"/>
        <w:pageBreakBefore w:val="0"/>
        <w:kinsoku/>
        <w:wordWrap/>
        <w:overflowPunct/>
        <w:topLinePunct w:val="0"/>
        <w:autoSpaceDE/>
        <w:autoSpaceDN/>
        <w:bidi w:val="0"/>
        <w:adjustRightInd/>
        <w:snapToGrid w:val="0"/>
        <w:spacing w:line="570" w:lineRule="atLeast"/>
        <w:ind w:firstLine="640" w:firstLineChars="200"/>
        <w:textAlignment w:val="auto"/>
        <w:rPr>
          <w:rFonts w:hint="default" w:ascii="仿宋_GB2312" w:hAnsi="仿宋" w:eastAsia="仿宋_GB2312" w:cs="仿宋"/>
          <w:bCs/>
          <w:color w:val="000000"/>
          <w:sz w:val="32"/>
          <w:szCs w:val="32"/>
          <w:lang w:val="en-US" w:eastAsia="zh-CN"/>
        </w:rPr>
      </w:pPr>
      <w:r>
        <w:rPr>
          <w:rFonts w:hint="default" w:ascii="Times New Roman" w:hAnsi="Times New Roman" w:eastAsia="仿宋_GB2312" w:cs="Times New Roman"/>
          <w:color w:val="auto"/>
          <w:sz w:val="32"/>
          <w:szCs w:val="32"/>
        </w:rPr>
        <w:t>全年共申报项目</w:t>
      </w:r>
      <w:r>
        <w:rPr>
          <w:rFonts w:hint="default" w:ascii="Times New Roman" w:hAnsi="Times New Roman" w:eastAsia="仿宋_GB2312" w:cs="Times New Roman"/>
          <w:color w:val="auto"/>
          <w:sz w:val="32"/>
          <w:szCs w:val="32"/>
          <w:lang w:val="en-US" w:eastAsia="zh-CN"/>
        </w:rPr>
        <w:t>49</w:t>
      </w:r>
      <w:r>
        <w:rPr>
          <w:rFonts w:hint="default" w:ascii="Times New Roman" w:hAnsi="Times New Roman" w:eastAsia="仿宋_GB2312" w:cs="Times New Roman"/>
          <w:color w:val="auto"/>
          <w:sz w:val="32"/>
          <w:szCs w:val="32"/>
        </w:rPr>
        <w:t>项，立项22项，获科研经费1</w:t>
      </w:r>
      <w:r>
        <w:rPr>
          <w:rFonts w:hint="default" w:ascii="Times New Roman" w:hAnsi="Times New Roman" w:eastAsia="仿宋_GB2312" w:cs="Times New Roman"/>
          <w:color w:val="auto"/>
          <w:sz w:val="32"/>
          <w:szCs w:val="32"/>
          <w:lang w:val="en-US" w:eastAsia="zh-CN"/>
        </w:rPr>
        <w:t>220</w:t>
      </w:r>
      <w:r>
        <w:rPr>
          <w:rFonts w:hint="default" w:ascii="Times New Roman" w:hAnsi="Times New Roman" w:eastAsia="仿宋_GB2312" w:cs="Times New Roman"/>
          <w:color w:val="auto"/>
          <w:sz w:val="32"/>
          <w:szCs w:val="32"/>
        </w:rPr>
        <w:t>万元。主持获湖南省科技进步二等奖1项，参与申报第十三届大北农科技一等奖1项；申报专利</w:t>
      </w:r>
      <w:r>
        <w:rPr>
          <w:rFonts w:hint="default" w:ascii="Times New Roman" w:hAnsi="Times New Roman" w:eastAsia="仿宋_GB2312" w:cs="Times New Roman"/>
          <w:color w:val="auto"/>
          <w:sz w:val="32"/>
          <w:szCs w:val="32"/>
          <w:lang w:val="en-US" w:eastAsia="zh-CN"/>
        </w:rPr>
        <w:t>16</w:t>
      </w:r>
      <w:r>
        <w:rPr>
          <w:rFonts w:hint="default" w:ascii="Times New Roman" w:hAnsi="Times New Roman" w:eastAsia="仿宋_GB2312" w:cs="Times New Roman"/>
          <w:color w:val="auto"/>
          <w:sz w:val="32"/>
          <w:szCs w:val="32"/>
        </w:rPr>
        <w:t>项，获授权发明专利4项，</w:t>
      </w:r>
      <w:r>
        <w:rPr>
          <w:rFonts w:hint="default" w:ascii="仿宋_GB2312" w:hAnsi="仿宋" w:eastAsia="仿宋_GB2312" w:cs="仿宋"/>
          <w:bCs/>
          <w:color w:val="000000"/>
          <w:sz w:val="32"/>
          <w:szCs w:val="32"/>
        </w:rPr>
        <w:t>实用新型专利</w:t>
      </w:r>
      <w:r>
        <w:rPr>
          <w:rFonts w:hint="default" w:ascii="仿宋_GB2312" w:hAnsi="仿宋" w:eastAsia="仿宋_GB2312" w:cs="仿宋"/>
          <w:bCs/>
          <w:color w:val="000000"/>
          <w:sz w:val="32"/>
          <w:szCs w:val="32"/>
          <w:lang w:val="en-US" w:eastAsia="zh-CN"/>
        </w:rPr>
        <w:t>10</w:t>
      </w:r>
      <w:r>
        <w:rPr>
          <w:rFonts w:hint="default" w:ascii="仿宋_GB2312" w:hAnsi="仿宋" w:eastAsia="仿宋_GB2312" w:cs="仿宋"/>
          <w:bCs/>
          <w:color w:val="000000"/>
          <w:sz w:val="32"/>
          <w:szCs w:val="32"/>
        </w:rPr>
        <w:t>项；编制省地方标准</w:t>
      </w:r>
      <w:r>
        <w:rPr>
          <w:rFonts w:hint="default" w:ascii="仿宋_GB2312" w:hAnsi="仿宋" w:eastAsia="仿宋_GB2312" w:cs="仿宋"/>
          <w:bCs/>
          <w:color w:val="000000"/>
          <w:sz w:val="32"/>
          <w:szCs w:val="32"/>
          <w:lang w:val="en-US" w:eastAsia="zh-CN"/>
        </w:rPr>
        <w:t>6</w:t>
      </w:r>
      <w:r>
        <w:rPr>
          <w:rFonts w:hint="default" w:ascii="仿宋_GB2312" w:hAnsi="仿宋" w:eastAsia="仿宋_GB2312" w:cs="仿宋"/>
          <w:bCs/>
          <w:color w:val="000000"/>
          <w:sz w:val="32"/>
          <w:szCs w:val="32"/>
        </w:rPr>
        <w:t>项</w:t>
      </w:r>
      <w:r>
        <w:rPr>
          <w:rFonts w:hint="default" w:ascii="仿宋_GB2312" w:hAnsi="仿宋" w:eastAsia="仿宋_GB2312" w:cs="仿宋"/>
          <w:bCs/>
          <w:color w:val="000000"/>
          <w:sz w:val="32"/>
          <w:szCs w:val="32"/>
          <w:lang w:eastAsia="zh-CN"/>
        </w:rPr>
        <w:t>，</w:t>
      </w:r>
      <w:r>
        <w:rPr>
          <w:rFonts w:hint="default" w:ascii="仿宋_GB2312" w:hAnsi="仿宋" w:eastAsia="仿宋_GB2312" w:cs="仿宋"/>
          <w:bCs/>
          <w:color w:val="000000"/>
          <w:sz w:val="32"/>
          <w:szCs w:val="32"/>
          <w:lang w:val="en-US" w:eastAsia="zh-CN"/>
        </w:rPr>
        <w:t>修订省地方标准3项</w:t>
      </w:r>
      <w:r>
        <w:rPr>
          <w:rFonts w:hint="default" w:ascii="仿宋_GB2312" w:hAnsi="仿宋" w:eastAsia="仿宋_GB2312" w:cs="仿宋"/>
          <w:bCs/>
          <w:color w:val="000000"/>
          <w:sz w:val="32"/>
          <w:szCs w:val="32"/>
        </w:rPr>
        <w:t>；</w:t>
      </w:r>
      <w:r>
        <w:rPr>
          <w:rFonts w:hint="default" w:ascii="仿宋_GB2312" w:hAnsi="仿宋" w:eastAsia="仿宋_GB2312" w:cs="仿宋"/>
          <w:bCs/>
          <w:color w:val="000000"/>
          <w:sz w:val="32"/>
          <w:szCs w:val="32"/>
          <w:lang w:val="en-US" w:eastAsia="zh-CN"/>
        </w:rPr>
        <w:t>获得计算机软著权2项，</w:t>
      </w:r>
      <w:r>
        <w:rPr>
          <w:rFonts w:hint="default" w:ascii="仿宋_GB2312" w:hAnsi="仿宋" w:eastAsia="仿宋_GB2312" w:cs="仿宋"/>
          <w:bCs/>
          <w:color w:val="000000"/>
          <w:sz w:val="32"/>
          <w:szCs w:val="32"/>
        </w:rPr>
        <w:t>发表论文58篇（其中SCI11篇、CSCD1</w:t>
      </w:r>
      <w:r>
        <w:rPr>
          <w:rFonts w:hint="default" w:ascii="仿宋_GB2312" w:hAnsi="仿宋" w:eastAsia="仿宋_GB2312" w:cs="仿宋"/>
          <w:bCs/>
          <w:color w:val="000000"/>
          <w:sz w:val="32"/>
          <w:szCs w:val="32"/>
          <w:lang w:val="en-US" w:eastAsia="zh-CN"/>
        </w:rPr>
        <w:t>3</w:t>
      </w:r>
      <w:r>
        <w:rPr>
          <w:rFonts w:hint="default" w:ascii="仿宋_GB2312" w:hAnsi="仿宋" w:eastAsia="仿宋_GB2312" w:cs="仿宋"/>
          <w:bCs/>
          <w:color w:val="000000"/>
          <w:sz w:val="32"/>
          <w:szCs w:val="32"/>
        </w:rPr>
        <w:t>篇），</w:t>
      </w:r>
      <w:r>
        <w:rPr>
          <w:rFonts w:hint="default" w:ascii="仿宋_GB2312" w:hAnsi="仿宋" w:eastAsia="仿宋_GB2312" w:cs="仿宋"/>
          <w:bCs/>
          <w:color w:val="000000"/>
          <w:sz w:val="32"/>
          <w:szCs w:val="32"/>
          <w:lang w:val="en-US" w:eastAsia="zh-CN"/>
        </w:rPr>
        <w:t>编写专著1部</w:t>
      </w:r>
      <w:r>
        <w:rPr>
          <w:rFonts w:hint="eastAsia" w:ascii="仿宋_GB2312" w:hAnsi="仿宋" w:eastAsia="仿宋_GB2312" w:cs="仿宋"/>
          <w:bCs/>
          <w:color w:val="000000"/>
          <w:sz w:val="32"/>
          <w:szCs w:val="32"/>
          <w:lang w:val="en-US" w:eastAsia="zh-CN"/>
        </w:rPr>
        <w:t>，多项畜牧兽医领域技术研究</w:t>
      </w:r>
      <w:r>
        <w:rPr>
          <w:rFonts w:hint="eastAsia" w:ascii="仿宋_GB2312" w:hAnsi="仿宋" w:eastAsia="仿宋_GB2312" w:cs="仿宋"/>
          <w:bCs/>
          <w:color w:val="000000"/>
          <w:sz w:val="32"/>
          <w:szCs w:val="32"/>
          <w:lang w:eastAsia="zh-CN"/>
        </w:rPr>
        <w:t>取得</w:t>
      </w:r>
      <w:r>
        <w:rPr>
          <w:rFonts w:hint="eastAsia" w:ascii="仿宋_GB2312" w:hAnsi="仿宋" w:eastAsia="仿宋_GB2312" w:cs="仿宋"/>
          <w:bCs/>
          <w:color w:val="000000"/>
          <w:sz w:val="32"/>
          <w:szCs w:val="32"/>
          <w:lang w:val="en-US" w:eastAsia="zh-CN"/>
        </w:rPr>
        <w:t>阶段性</w:t>
      </w:r>
      <w:r>
        <w:rPr>
          <w:rFonts w:hint="eastAsia" w:ascii="仿宋_GB2312" w:hAnsi="仿宋" w:eastAsia="仿宋_GB2312" w:cs="仿宋"/>
          <w:bCs/>
          <w:color w:val="000000"/>
          <w:sz w:val="32"/>
          <w:szCs w:val="32"/>
          <w:lang w:eastAsia="zh-CN"/>
        </w:rPr>
        <w:t>突破，</w:t>
      </w:r>
      <w:r>
        <w:rPr>
          <w:rFonts w:hint="eastAsia" w:ascii="仿宋_GB2312" w:hAnsi="仿宋" w:eastAsia="仿宋_GB2312" w:cs="仿宋"/>
          <w:bCs/>
          <w:color w:val="000000"/>
          <w:sz w:val="32"/>
          <w:szCs w:val="32"/>
          <w:lang w:val="en-US" w:eastAsia="zh-CN"/>
        </w:rPr>
        <w:t>在畜禽遗传资源挖掘、品种选育、饲料资源评价、动物疫病综合防控、养殖粪污资源化利用等方面为产业发展提供的技术支撑，促进了我省养殖业高质量发展</w:t>
      </w:r>
      <w:r>
        <w:rPr>
          <w:rFonts w:hint="eastAsia" w:ascii="仿宋_GB2312" w:hAnsi="仿宋" w:eastAsia="仿宋_GB2312" w:cs="仿宋"/>
          <w:bCs/>
          <w:color w:val="000000"/>
          <w:sz w:val="32"/>
          <w:szCs w:val="32"/>
          <w:lang w:eastAsia="zh-CN"/>
        </w:rPr>
        <w:t>，服务对象满意度大于</w:t>
      </w:r>
      <w:r>
        <w:rPr>
          <w:rFonts w:hint="eastAsia" w:ascii="仿宋_GB2312" w:hAnsi="仿宋" w:eastAsia="仿宋_GB2312" w:cs="仿宋"/>
          <w:bCs/>
          <w:color w:val="000000"/>
          <w:sz w:val="32"/>
          <w:szCs w:val="32"/>
          <w:lang w:val="en-US" w:eastAsia="zh-CN"/>
        </w:rPr>
        <w:t>90%。</w:t>
      </w:r>
    </w:p>
    <w:p>
      <w:pPr>
        <w:pStyle w:val="21"/>
        <w:keepNext w:val="0"/>
        <w:keepLines w:val="0"/>
        <w:pageBreakBefore w:val="0"/>
        <w:kinsoku/>
        <w:wordWrap/>
        <w:overflowPunct/>
        <w:topLinePunct w:val="0"/>
        <w:autoSpaceDE/>
        <w:autoSpaceDN/>
        <w:bidi w:val="0"/>
        <w:adjustRightInd/>
        <w:snapToGrid w:val="0"/>
        <w:spacing w:line="570" w:lineRule="atLeast"/>
        <w:ind w:firstLine="640" w:firstLineChars="200"/>
        <w:textAlignment w:val="auto"/>
        <w:rPr>
          <w:rFonts w:hint="eastAsia" w:ascii="仿宋_GB2312" w:hAnsi="仿宋" w:eastAsia="仿宋_GB2312" w:cs="仿宋"/>
          <w:bCs/>
          <w:color w:val="000000"/>
          <w:sz w:val="32"/>
          <w:szCs w:val="32"/>
          <w:lang w:val="en-US" w:eastAsia="zh-CN"/>
        </w:rPr>
      </w:pPr>
      <w:r>
        <w:rPr>
          <w:rFonts w:hint="eastAsia" w:ascii="仿宋_GB2312" w:hAnsi="仿宋" w:eastAsia="仿宋_GB2312" w:cs="仿宋"/>
          <w:bCs/>
          <w:color w:val="000000"/>
          <w:sz w:val="32"/>
          <w:szCs w:val="32"/>
          <w:lang w:val="en-US" w:eastAsia="zh-CN"/>
        </w:rPr>
        <w:t>养猪研究在地方猪种质资源保护技术集成与产业化开发取得重大突破。广益黑猪新品种完成十二个世代的选育，已向国家畜禽遗传资源委员会申请新品种审定。湘村黑猪壹号、乡草花猪、湘岭猪新品种培育正在进展中。依托我所的省种猪性能测定站，联合佳和农牧开展了高繁节粮配套系生长发育和屠宰性能测定，获得了大量翔实试验数据。目前，正在开展我省地方猪种、培育新品种的种猪性能测定工作。相关研究水平持续领跑全省。动物营养与家禽研究在营养调控、饲料资源开发利用卓有成效，冷冻精液保存技术世界领先。围绕水禽产业技术体系重点任务开展20项试验研究。通过回肠瘘管术建立小体型鸭营养评定方法，明确攸县麻鸭精氨酸、色氨酸及蛋能比参数，评价多种非常规饲料养分；构建鸭蛋图像识别与表型估测模型（精度95%），并改进禽类精液冷冻与采精技术，显著提升繁育效率。完成地方水禽全基因组重测序和保种评估，永顺凤头鸭成功列入国家品种名录，为产业提质增效与种质资源保护提供有力技术支撑。兽医兽药研究在病原学研究及重大动物疫病防控方面有新进展。家禽疫病防控岗位紧扣产业需求，聚焦禽病流行病学、种鸡场净化与免疫提升技术，取得重要突破。构建禽白血病P27抗原ELISA检测方法，优化了净化技术流程，示范场病原阳性率显著下降。实验室通过省级实验室备案及非洲猪瘟检测能力比对，技术创新能力与服务成效显著提升。草业与草食动物研究在资源挖掘、新品种培育、关键技术突破和健康养殖研究方面取得显著成效。深入挖掘湘南黄牛、武雪山羊等地方资源，构建草食动物遗传图谱，为新品</w:t>
      </w:r>
      <w:r>
        <w:rPr>
          <w:rFonts w:hint="eastAsia" w:ascii="Times New Roman" w:hAnsi="Times New Roman" w:eastAsia="仿宋_GB2312" w:cs="Times New Roman"/>
          <w:color w:val="auto"/>
          <w:sz w:val="32"/>
          <w:szCs w:val="28"/>
          <w:lang w:val="en-US" w:eastAsia="zh-CN"/>
        </w:rPr>
        <w:t>种开发提供科学依据；揭示热应激影响湘西黄牛繁殖机制，优化青贮饲料提高肉牛品质并降低成本。“湘中黑牛”选育取得进展，已选育横交1世代牛1600余头。推广新型性控技术，牛羊受胎率达87.9%，肉兔性控示范受胎率达81.15%。明确镉污染饲料对山羊健康影响的安全临界值，为污染秸秆资源化利用提供科学指导。通过Akk菌防控乳房炎，并发现采样时间对乳成分差异的影响，为提升奶牛健康管理和DHI检测精度提供新思路</w:t>
      </w:r>
      <w:r>
        <w:rPr>
          <w:rFonts w:hint="eastAsia" w:ascii="仿宋_GB2312" w:hAnsi="仿宋" w:eastAsia="仿宋_GB2312" w:cs="仿宋"/>
          <w:bCs/>
          <w:color w:val="000000"/>
          <w:sz w:val="32"/>
          <w:szCs w:val="32"/>
          <w:lang w:val="en-US" w:eastAsia="zh-CN"/>
        </w:rPr>
        <w:t>。资源化利用研究围绕养殖污染减排与资源化利用，在减臭技术和粪污肥料化利用方面取得重要进展。通过植物提取物、生物炭结合除臭菌剂，显著降低养殖场氨氮、硫化氢等有害物质排放，氨气排放减少40%以上，二氧化氮减少35%以上，为多地养殖企业优化减臭方案提供技术支撑。在粪污肥料化利用方面，开展粪肥还田安全性评价与应用研究，初步建立粪肥还田安全性评价方法，明确无害化指标和土地承载力估算，为绿色种养循环农业技术集成提供科学依据，并计划建设示范基地进行推广。</w:t>
      </w:r>
    </w:p>
    <w:p>
      <w:pPr>
        <w:pStyle w:val="21"/>
        <w:keepNext w:val="0"/>
        <w:keepLines w:val="0"/>
        <w:pageBreakBefore w:val="0"/>
        <w:kinsoku/>
        <w:wordWrap/>
        <w:overflowPunct/>
        <w:topLinePunct w:val="0"/>
        <w:autoSpaceDE/>
        <w:autoSpaceDN/>
        <w:bidi w:val="0"/>
        <w:adjustRightInd/>
        <w:snapToGrid w:val="0"/>
        <w:spacing w:line="570" w:lineRule="atLeast"/>
        <w:ind w:firstLine="640" w:firstLineChars="200"/>
        <w:textAlignment w:val="auto"/>
        <w:rPr>
          <w:rFonts w:hint="eastAsia" w:ascii="仿宋_GB2312" w:hAnsi="仿宋" w:eastAsia="仿宋_GB2312" w:cs="仿宋"/>
          <w:bCs/>
          <w:color w:val="000000"/>
          <w:sz w:val="32"/>
          <w:szCs w:val="32"/>
          <w:lang w:val="en-US" w:eastAsia="zh-CN"/>
        </w:rPr>
      </w:pPr>
      <w:r>
        <w:rPr>
          <w:rFonts w:hint="default" w:ascii="仿宋_GB2312" w:hAnsi="仿宋" w:eastAsia="仿宋_GB2312" w:cs="仿宋"/>
          <w:bCs/>
          <w:color w:val="000000"/>
          <w:sz w:val="32"/>
          <w:szCs w:val="32"/>
          <w:lang w:val="en-US" w:eastAsia="zh-CN"/>
        </w:rPr>
        <w:t>推广优质肉牛品改冻精60余万剂，供应品改液氮10万升。组织肉牛品改技术培训班4期，全省家畜繁殖员领军人才培训班3期，培训300余人次，参与全省畜禽养殖技术培训班30多期，培训5000多人次。奶牛DHI参测牛只头数11010头，参测46466头次，上报农业农村部测定数据合格率达88.3%。《湖南畜牧兽医》杂志刊发科技论文90多篇、发行4500余册。</w:t>
      </w:r>
    </w:p>
    <w:p>
      <w:pPr>
        <w:pStyle w:val="21"/>
        <w:keepNext w:val="0"/>
        <w:keepLines w:val="0"/>
        <w:pageBreakBefore w:val="0"/>
        <w:kinsoku/>
        <w:wordWrap/>
        <w:overflowPunct/>
        <w:topLinePunct w:val="0"/>
        <w:autoSpaceDE/>
        <w:autoSpaceDN/>
        <w:bidi w:val="0"/>
        <w:adjustRightInd/>
        <w:snapToGrid w:val="0"/>
        <w:spacing w:line="570" w:lineRule="atLeast"/>
        <w:ind w:firstLine="640" w:firstLineChars="200"/>
        <w:textAlignment w:val="auto"/>
        <w:rPr>
          <w:rFonts w:ascii="Times New Roman" w:hAnsi="Times New Roman" w:eastAsia="黑体"/>
          <w:sz w:val="32"/>
          <w:szCs w:val="32"/>
        </w:rPr>
      </w:pPr>
      <w:r>
        <w:rPr>
          <w:rFonts w:ascii="Times New Roman" w:hAnsi="Times New Roman" w:eastAsia="黑体"/>
          <w:sz w:val="32"/>
          <w:szCs w:val="32"/>
        </w:rPr>
        <w:t>七、存在的问题及原因分析</w:t>
      </w:r>
    </w:p>
    <w:p>
      <w:pPr>
        <w:keepNext w:val="0"/>
        <w:keepLines w:val="0"/>
        <w:pageBreakBefore w:val="0"/>
        <w:widowControl/>
        <w:suppressLineNumbers w:val="0"/>
        <w:kinsoku/>
        <w:wordWrap/>
        <w:overflowPunct/>
        <w:topLinePunct w:val="0"/>
        <w:autoSpaceDE/>
        <w:autoSpaceDN/>
        <w:bidi w:val="0"/>
        <w:adjustRightInd/>
        <w:ind w:firstLine="640" w:firstLineChars="200"/>
        <w:jc w:val="left"/>
        <w:textAlignment w:val="auto"/>
        <w:rPr>
          <w:rFonts w:hint="default" w:ascii="仿宋_GB2312" w:hAnsi="仿宋" w:eastAsia="仿宋_GB2312" w:cs="仿宋"/>
          <w:bCs/>
          <w:color w:val="000000"/>
          <w:kern w:val="2"/>
          <w:sz w:val="32"/>
          <w:szCs w:val="32"/>
          <w:lang w:val="en-US" w:eastAsia="zh-CN" w:bidi="ar-SA"/>
        </w:rPr>
      </w:pPr>
      <w:r>
        <w:rPr>
          <w:rFonts w:hint="default" w:ascii="仿宋_GB2312" w:hAnsi="仿宋" w:eastAsia="仿宋_GB2312" w:cs="仿宋"/>
          <w:bCs/>
          <w:color w:val="000000"/>
          <w:kern w:val="2"/>
          <w:sz w:val="32"/>
          <w:szCs w:val="32"/>
          <w:lang w:val="en-US" w:eastAsia="zh-CN" w:bidi="ar-SA"/>
        </w:rPr>
        <w:t>我单位</w:t>
      </w:r>
      <w:r>
        <w:rPr>
          <w:rFonts w:hint="eastAsia" w:ascii="仿宋_GB2312" w:hAnsi="仿宋" w:eastAsia="仿宋_GB2312" w:cs="仿宋"/>
          <w:bCs/>
          <w:color w:val="000000"/>
          <w:kern w:val="2"/>
          <w:sz w:val="32"/>
          <w:szCs w:val="32"/>
          <w:lang w:val="en-US" w:eastAsia="zh-CN" w:bidi="ar-SA"/>
        </w:rPr>
        <w:t>项目预算执行率较低</w:t>
      </w:r>
      <w:r>
        <w:rPr>
          <w:rFonts w:hint="default" w:ascii="仿宋_GB2312" w:hAnsi="仿宋" w:eastAsia="仿宋_GB2312" w:cs="仿宋"/>
          <w:bCs/>
          <w:color w:val="000000"/>
          <w:kern w:val="2"/>
          <w:sz w:val="32"/>
          <w:szCs w:val="32"/>
          <w:lang w:val="en-US" w:eastAsia="zh-CN" w:bidi="ar-SA"/>
        </w:rPr>
        <w:t>，项目支出预算执行率有待提高，一是项目资金拨付时间较晚，</w:t>
      </w:r>
      <w:r>
        <w:rPr>
          <w:rFonts w:hint="eastAsia" w:ascii="仿宋_GB2312" w:hAnsi="仿宋" w:eastAsia="仿宋_GB2312" w:cs="仿宋"/>
          <w:bCs/>
          <w:color w:val="000000"/>
          <w:kern w:val="2"/>
          <w:sz w:val="32"/>
          <w:szCs w:val="32"/>
          <w:lang w:val="en-US" w:eastAsia="zh-CN" w:bidi="ar-SA"/>
        </w:rPr>
        <w:t>二是部分科研专项项目是跨年度实施，</w:t>
      </w:r>
      <w:r>
        <w:rPr>
          <w:rFonts w:hint="default" w:ascii="仿宋_GB2312" w:hAnsi="仿宋" w:eastAsia="仿宋_GB2312" w:cs="仿宋"/>
          <w:bCs/>
          <w:color w:val="000000"/>
          <w:kern w:val="2"/>
          <w:sz w:val="32"/>
          <w:szCs w:val="32"/>
          <w:lang w:val="en-US" w:eastAsia="zh-CN" w:bidi="ar-SA"/>
        </w:rPr>
        <w:t xml:space="preserve">未到结题时间。 </w:t>
      </w:r>
    </w:p>
    <w:p>
      <w:pPr>
        <w:keepNext w:val="0"/>
        <w:keepLines w:val="0"/>
        <w:pageBreakBefore w:val="0"/>
        <w:numPr>
          <w:ilvl w:val="0"/>
          <w:numId w:val="7"/>
        </w:numPr>
        <w:kinsoku/>
        <w:wordWrap/>
        <w:overflowPunct/>
        <w:topLinePunct w:val="0"/>
        <w:autoSpaceDE/>
        <w:autoSpaceDN/>
        <w:bidi w:val="0"/>
        <w:adjustRightInd/>
        <w:spacing w:line="600" w:lineRule="exact"/>
        <w:ind w:firstLine="640" w:firstLineChars="200"/>
        <w:textAlignment w:val="auto"/>
        <w:rPr>
          <w:rFonts w:ascii="Times New Roman" w:hAnsi="Times New Roman" w:eastAsia="黑体" w:cstheme="minorBidi"/>
          <w:kern w:val="2"/>
          <w:sz w:val="32"/>
          <w:szCs w:val="32"/>
          <w:lang w:val="en-US" w:eastAsia="zh-CN" w:bidi="ar-SA"/>
        </w:rPr>
      </w:pPr>
      <w:r>
        <w:rPr>
          <w:rFonts w:ascii="Times New Roman" w:hAnsi="Times New Roman" w:eastAsia="黑体" w:cstheme="minorBidi"/>
          <w:kern w:val="2"/>
          <w:sz w:val="32"/>
          <w:szCs w:val="32"/>
          <w:lang w:val="en-US" w:eastAsia="zh-CN" w:bidi="ar-SA"/>
        </w:rPr>
        <w:t>下一步改进措施</w:t>
      </w:r>
    </w:p>
    <w:p>
      <w:pPr>
        <w:keepNext w:val="0"/>
        <w:keepLines w:val="0"/>
        <w:pageBreakBefore w:val="0"/>
        <w:widowControl/>
        <w:suppressLineNumbers w:val="0"/>
        <w:kinsoku/>
        <w:wordWrap/>
        <w:overflowPunct/>
        <w:topLinePunct w:val="0"/>
        <w:autoSpaceDE/>
        <w:autoSpaceDN/>
        <w:bidi w:val="0"/>
        <w:adjustRightInd/>
        <w:ind w:firstLine="640" w:firstLineChars="200"/>
        <w:jc w:val="left"/>
        <w:textAlignment w:val="auto"/>
        <w:rPr>
          <w:rFonts w:hint="default" w:ascii="仿宋_GB2312" w:hAnsi="仿宋" w:eastAsia="仿宋_GB2312" w:cs="仿宋"/>
          <w:bCs/>
          <w:color w:val="000000"/>
          <w:kern w:val="2"/>
          <w:sz w:val="32"/>
          <w:szCs w:val="32"/>
          <w:lang w:val="en-US" w:eastAsia="zh-CN" w:bidi="ar-SA"/>
        </w:rPr>
      </w:pPr>
      <w:r>
        <w:rPr>
          <w:rFonts w:hint="default" w:ascii="仿宋_GB2312" w:hAnsi="仿宋" w:eastAsia="仿宋_GB2312" w:cs="仿宋"/>
          <w:bCs/>
          <w:color w:val="000000"/>
          <w:kern w:val="2"/>
          <w:sz w:val="32"/>
          <w:szCs w:val="32"/>
          <w:lang w:val="en-US" w:eastAsia="zh-CN" w:bidi="ar-SA"/>
        </w:rPr>
        <w:t xml:space="preserve">改进措施：一是提高预算编制水平，合理地、精准地、科学地编制预算； </w:t>
      </w:r>
    </w:p>
    <w:p>
      <w:pPr>
        <w:keepNext w:val="0"/>
        <w:keepLines w:val="0"/>
        <w:pageBreakBefore w:val="0"/>
        <w:widowControl/>
        <w:suppressLineNumbers w:val="0"/>
        <w:kinsoku/>
        <w:wordWrap/>
        <w:overflowPunct/>
        <w:topLinePunct w:val="0"/>
        <w:autoSpaceDE/>
        <w:autoSpaceDN/>
        <w:bidi w:val="0"/>
        <w:adjustRightInd/>
        <w:ind w:firstLine="620" w:firstLineChars="200"/>
        <w:jc w:val="left"/>
        <w:textAlignment w:val="auto"/>
        <w:rPr>
          <w:rFonts w:hint="default" w:eastAsia="黑体"/>
          <w:szCs w:val="32"/>
          <w:lang w:val="en-US" w:eastAsia="zh-CN"/>
        </w:rPr>
      </w:pPr>
      <w:r>
        <w:rPr>
          <w:rFonts w:ascii="仿宋_GB2312" w:hAnsi="仿宋_GB2312" w:eastAsia="仿宋_GB2312" w:cs="仿宋_GB2312"/>
          <w:color w:val="000000"/>
          <w:kern w:val="0"/>
          <w:sz w:val="31"/>
          <w:szCs w:val="31"/>
          <w:lang w:val="en-US" w:eastAsia="zh-CN" w:bidi="ar"/>
        </w:rPr>
        <w:t>二是通过定期对项目资金的执行情况进行分析，及时发现项目执行过程中的问题，督促项目早规划、早启动、早实施，项目完成后及时进行结算，以提高单位项目资金的执行效率。</w:t>
      </w:r>
    </w:p>
    <w:p>
      <w:pPr>
        <w:keepNext w:val="0"/>
        <w:keepLines w:val="0"/>
        <w:pageBreakBefore w:val="0"/>
        <w:numPr>
          <w:ilvl w:val="0"/>
          <w:numId w:val="7"/>
        </w:numPr>
        <w:kinsoku/>
        <w:wordWrap/>
        <w:overflowPunct/>
        <w:topLinePunct w:val="0"/>
        <w:autoSpaceDE/>
        <w:autoSpaceDN/>
        <w:bidi w:val="0"/>
        <w:adjustRightInd/>
        <w:spacing w:line="600" w:lineRule="exact"/>
        <w:ind w:firstLine="640" w:firstLineChars="200"/>
        <w:textAlignment w:val="auto"/>
        <w:rPr>
          <w:rFonts w:ascii="Times New Roman" w:hAnsi="Times New Roman" w:eastAsia="黑体" w:cstheme="minorBidi"/>
          <w:kern w:val="2"/>
          <w:sz w:val="32"/>
          <w:szCs w:val="32"/>
          <w:lang w:val="en-US" w:eastAsia="zh-CN" w:bidi="ar-SA"/>
        </w:rPr>
      </w:pPr>
      <w:r>
        <w:rPr>
          <w:rFonts w:ascii="Times New Roman" w:hAnsi="Times New Roman" w:eastAsia="黑体" w:cstheme="minorBidi"/>
          <w:kern w:val="2"/>
          <w:sz w:val="32"/>
          <w:szCs w:val="32"/>
          <w:lang w:val="en-US" w:eastAsia="zh-CN" w:bidi="ar-SA"/>
        </w:rPr>
        <w:t>绩效自评结果拟应用和公开情况</w:t>
      </w:r>
    </w:p>
    <w:p>
      <w:pPr>
        <w:keepNext w:val="0"/>
        <w:keepLines w:val="0"/>
        <w:pageBreakBefore w:val="0"/>
        <w:widowControl/>
        <w:suppressLineNumbers w:val="0"/>
        <w:kinsoku/>
        <w:wordWrap/>
        <w:overflowPunct/>
        <w:topLinePunct w:val="0"/>
        <w:autoSpaceDE/>
        <w:autoSpaceDN/>
        <w:bidi w:val="0"/>
        <w:adjustRightInd/>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计划应用于本单位的预算管理和各项管理工作之中。</w:t>
      </w:r>
    </w:p>
    <w:p>
      <w:pPr>
        <w:keepNext w:val="0"/>
        <w:keepLines w:val="0"/>
        <w:pageBreakBefore w:val="0"/>
        <w:widowControl/>
        <w:suppressLineNumbers w:val="0"/>
        <w:kinsoku/>
        <w:wordWrap/>
        <w:overflowPunct/>
        <w:topLinePunct w:val="0"/>
        <w:autoSpaceDE/>
        <w:autoSpaceDN/>
        <w:bidi w:val="0"/>
        <w:adjustRightInd/>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计划在本单位网站上及时公开，接受各上级部门和社会公众及服务对象的监督。</w:t>
      </w:r>
    </w:p>
    <w:p>
      <w:pPr>
        <w:keepNext w:val="0"/>
        <w:keepLines w:val="0"/>
        <w:pageBreakBefore w:val="0"/>
        <w:widowControl/>
        <w:suppressLineNumbers w:val="0"/>
        <w:kinsoku/>
        <w:wordWrap/>
        <w:overflowPunct/>
        <w:topLinePunct w:val="0"/>
        <w:autoSpaceDE/>
        <w:autoSpaceDN/>
        <w:bidi w:val="0"/>
        <w:adjustRightInd/>
        <w:ind w:firstLine="420" w:firstLineChars="200"/>
        <w:jc w:val="left"/>
        <w:textAlignment w:val="auto"/>
        <w:rPr>
          <w:szCs w:val="32"/>
        </w:rPr>
      </w:pPr>
      <w:r>
        <w:rPr>
          <w:szCs w:val="32"/>
        </w:rPr>
        <w:t xml:space="preserve"> </w:t>
      </w:r>
    </w:p>
    <w:p>
      <w:pPr>
        <w:keepNext w:val="0"/>
        <w:keepLines w:val="0"/>
        <w:pageBreakBefore w:val="0"/>
        <w:widowControl/>
        <w:suppressLineNumbers w:val="0"/>
        <w:kinsoku/>
        <w:wordWrap/>
        <w:overflowPunct/>
        <w:topLinePunct w:val="0"/>
        <w:autoSpaceDE/>
        <w:autoSpaceDN/>
        <w:bidi w:val="0"/>
        <w:adjustRightInd/>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附件：</w:t>
      </w:r>
    </w:p>
    <w:p>
      <w:pPr>
        <w:keepNext w:val="0"/>
        <w:keepLines w:val="0"/>
        <w:pageBreakBefore w:val="0"/>
        <w:widowControl/>
        <w:suppressLineNumbers w:val="0"/>
        <w:kinsoku/>
        <w:wordWrap/>
        <w:overflowPunct/>
        <w:topLinePunct w:val="0"/>
        <w:autoSpaceDE/>
        <w:autoSpaceDN/>
        <w:bidi w:val="0"/>
        <w:adjustRightInd/>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1、部门整体支出绩效评价基础数据表</w:t>
      </w:r>
    </w:p>
    <w:p>
      <w:pPr>
        <w:keepNext w:val="0"/>
        <w:keepLines w:val="0"/>
        <w:pageBreakBefore w:val="0"/>
        <w:widowControl/>
        <w:suppressLineNumbers w:val="0"/>
        <w:kinsoku/>
        <w:wordWrap/>
        <w:overflowPunct/>
        <w:topLinePunct w:val="0"/>
        <w:autoSpaceDE/>
        <w:autoSpaceDN/>
        <w:bidi w:val="0"/>
        <w:adjustRightInd/>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2、部门整体支出绩效自评表</w:t>
      </w:r>
    </w:p>
    <w:p>
      <w:pPr>
        <w:keepNext w:val="0"/>
        <w:keepLines w:val="0"/>
        <w:pageBreakBefore w:val="0"/>
        <w:widowControl/>
        <w:suppressLineNumbers w:val="0"/>
        <w:kinsoku/>
        <w:wordWrap/>
        <w:overflowPunct/>
        <w:topLinePunct w:val="0"/>
        <w:autoSpaceDE/>
        <w:autoSpaceDN/>
        <w:bidi w:val="0"/>
        <w:adjustRightInd/>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3、项目支出绩效自评表（省级专项资金）</w:t>
      </w:r>
    </w:p>
    <w:p>
      <w:pPr>
        <w:keepNext w:val="0"/>
        <w:keepLines w:val="0"/>
        <w:pageBreakBefore w:val="0"/>
        <w:widowControl/>
        <w:suppressLineNumbers w:val="0"/>
        <w:kinsoku/>
        <w:wordWrap/>
        <w:overflowPunct/>
        <w:topLinePunct w:val="0"/>
        <w:autoSpaceDE/>
        <w:autoSpaceDN/>
        <w:bidi w:val="0"/>
        <w:adjustRightInd/>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4、项目支出绩效自评表（其他事业发展资金）</w:t>
      </w:r>
    </w:p>
    <w:p>
      <w:pPr>
        <w:keepNext w:val="0"/>
        <w:keepLines w:val="0"/>
        <w:widowControl/>
        <w:suppressLineNumbers w:val="0"/>
        <w:jc w:val="left"/>
        <w:rPr>
          <w:rFonts w:hint="eastAsia" w:ascii="仿宋_GB2312" w:hAnsi="仿宋_GB2312" w:eastAsia="仿宋_GB2312" w:cs="仿宋_GB2312"/>
          <w:color w:val="000000"/>
          <w:kern w:val="0"/>
          <w:sz w:val="31"/>
          <w:szCs w:val="31"/>
          <w:lang w:val="en-US" w:eastAsia="zh-CN" w:bidi="ar"/>
        </w:rPr>
      </w:pPr>
    </w:p>
    <w:p>
      <w:pPr>
        <w:pStyle w:val="2"/>
        <w:spacing w:before="144" w:beforeLines="25" w:after="144" w:afterLines="25" w:line="500" w:lineRule="exact"/>
        <w:rPr>
          <w:sz w:val="36"/>
          <w:szCs w:val="36"/>
        </w:rPr>
      </w:pPr>
    </w:p>
    <w:p>
      <w:pPr>
        <w:pStyle w:val="2"/>
        <w:spacing w:before="144" w:beforeLines="25" w:after="144" w:afterLines="25" w:line="500" w:lineRule="exact"/>
        <w:rPr>
          <w:sz w:val="36"/>
          <w:szCs w:val="36"/>
        </w:rPr>
      </w:pPr>
    </w:p>
    <w:p>
      <w:pPr>
        <w:pStyle w:val="2"/>
        <w:spacing w:before="144" w:beforeLines="25" w:after="144" w:afterLines="25" w:line="500" w:lineRule="exact"/>
        <w:rPr>
          <w:sz w:val="36"/>
          <w:szCs w:val="36"/>
        </w:rPr>
      </w:pPr>
    </w:p>
    <w:p>
      <w:pPr>
        <w:pStyle w:val="2"/>
        <w:spacing w:before="144" w:beforeLines="25" w:after="144" w:afterLines="25" w:line="500" w:lineRule="exact"/>
        <w:rPr>
          <w:sz w:val="36"/>
          <w:szCs w:val="36"/>
        </w:rPr>
      </w:pPr>
    </w:p>
    <w:p>
      <w:pPr>
        <w:pStyle w:val="2"/>
        <w:spacing w:before="144" w:beforeLines="25" w:after="144" w:afterLines="25" w:line="500" w:lineRule="exact"/>
        <w:rPr>
          <w:sz w:val="36"/>
          <w:szCs w:val="36"/>
        </w:rPr>
      </w:pPr>
    </w:p>
    <w:p>
      <w:pPr>
        <w:pStyle w:val="2"/>
        <w:spacing w:before="144" w:beforeLines="25" w:after="144" w:afterLines="25" w:line="500" w:lineRule="exact"/>
        <w:rPr>
          <w:sz w:val="36"/>
          <w:szCs w:val="36"/>
        </w:rPr>
      </w:pPr>
    </w:p>
    <w:p>
      <w:pPr>
        <w:rPr>
          <w:sz w:val="36"/>
          <w:szCs w:val="36"/>
        </w:rPr>
      </w:pPr>
    </w:p>
    <w:p>
      <w:pPr>
        <w:rPr>
          <w:sz w:val="36"/>
          <w:szCs w:val="36"/>
        </w:rPr>
      </w:pPr>
    </w:p>
    <w:p>
      <w:pPr>
        <w:pStyle w:val="2"/>
        <w:spacing w:before="144" w:beforeLines="25" w:after="144" w:afterLines="25" w:line="500" w:lineRule="exact"/>
        <w:rPr>
          <w:sz w:val="36"/>
          <w:szCs w:val="36"/>
        </w:rPr>
      </w:pPr>
    </w:p>
    <w:p>
      <w:pPr>
        <w:pStyle w:val="2"/>
        <w:spacing w:before="144" w:beforeLines="25" w:after="144" w:afterLines="25" w:line="500" w:lineRule="exact"/>
        <w:rPr>
          <w:sz w:val="36"/>
          <w:szCs w:val="36"/>
        </w:rPr>
      </w:pPr>
    </w:p>
    <w:p>
      <w:pPr>
        <w:rPr>
          <w:sz w:val="36"/>
          <w:szCs w:val="36"/>
        </w:rPr>
      </w:pPr>
    </w:p>
    <w:p>
      <w:pPr>
        <w:rPr>
          <w:sz w:val="36"/>
          <w:szCs w:val="36"/>
        </w:rPr>
      </w:pPr>
    </w:p>
    <w:p>
      <w:pPr>
        <w:ind w:left="0" w:leftChars="0" w:firstLine="0" w:firstLineChars="0"/>
        <w:rPr>
          <w:sz w:val="36"/>
          <w:szCs w:val="36"/>
        </w:rPr>
      </w:pPr>
    </w:p>
    <w:p>
      <w:pPr>
        <w:ind w:left="0" w:leftChars="0" w:firstLine="0" w:firstLineChars="0"/>
        <w:rPr>
          <w:sz w:val="36"/>
          <w:szCs w:val="36"/>
        </w:rPr>
      </w:pPr>
    </w:p>
    <w:p>
      <w:pPr>
        <w:ind w:left="0" w:leftChars="0" w:firstLine="0" w:firstLineChars="0"/>
        <w:rPr>
          <w:sz w:val="36"/>
          <w:szCs w:val="36"/>
        </w:rPr>
      </w:pPr>
    </w:p>
    <w:p>
      <w:pPr>
        <w:ind w:left="0" w:leftChars="0" w:firstLine="0" w:firstLineChars="0"/>
        <w:rPr>
          <w:sz w:val="36"/>
          <w:szCs w:val="36"/>
        </w:rPr>
      </w:pPr>
    </w:p>
    <w:p>
      <w:pPr>
        <w:ind w:left="0" w:leftChars="0" w:firstLine="0" w:firstLineChars="0"/>
        <w:rPr>
          <w:sz w:val="36"/>
          <w:szCs w:val="36"/>
        </w:rPr>
      </w:pPr>
    </w:p>
    <w:p>
      <w:pPr>
        <w:pStyle w:val="2"/>
        <w:spacing w:before="144" w:beforeLines="25" w:after="144" w:afterLines="25" w:line="500" w:lineRule="exact"/>
        <w:rPr>
          <w:sz w:val="36"/>
          <w:szCs w:val="36"/>
        </w:rPr>
      </w:pPr>
    </w:p>
    <w:p>
      <w:pPr>
        <w:pStyle w:val="2"/>
        <w:spacing w:before="144" w:beforeLines="25" w:after="144" w:afterLines="25" w:line="500" w:lineRule="exact"/>
        <w:rPr>
          <w:sz w:val="36"/>
          <w:szCs w:val="36"/>
        </w:rPr>
      </w:pPr>
    </w:p>
    <w:p>
      <w:pPr>
        <w:pStyle w:val="2"/>
        <w:spacing w:before="144" w:beforeLines="25" w:after="144" w:afterLines="25" w:line="500" w:lineRule="exact"/>
        <w:jc w:val="left"/>
        <w:rPr>
          <w:sz w:val="36"/>
          <w:szCs w:val="36"/>
        </w:rPr>
      </w:pPr>
      <w:r>
        <w:rPr>
          <w:rFonts w:eastAsia="黑体"/>
          <w:sz w:val="32"/>
          <w:szCs w:val="32"/>
        </w:rPr>
        <w:t>附件</w:t>
      </w:r>
      <w:r>
        <w:rPr>
          <w:rFonts w:hint="eastAsia" w:eastAsia="黑体"/>
          <w:sz w:val="32"/>
          <w:szCs w:val="32"/>
          <w:lang w:val="en-US" w:eastAsia="zh-CN"/>
        </w:rPr>
        <w:t>1：</w:t>
      </w:r>
    </w:p>
    <w:p>
      <w:pPr>
        <w:pStyle w:val="2"/>
        <w:spacing w:before="144" w:beforeLines="25" w:after="144" w:afterLines="25" w:line="500" w:lineRule="exact"/>
        <w:rPr>
          <w:sz w:val="36"/>
          <w:szCs w:val="36"/>
        </w:rPr>
      </w:pPr>
      <w:r>
        <w:rPr>
          <w:sz w:val="36"/>
          <w:szCs w:val="36"/>
        </w:rPr>
        <w:t>部门整体支出绩效评价基础数据表</w:t>
      </w:r>
    </w:p>
    <w:tbl>
      <w:tblPr>
        <w:tblStyle w:val="10"/>
        <w:tblW w:w="96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5"/>
        <w:gridCol w:w="1276"/>
        <w:gridCol w:w="992"/>
        <w:gridCol w:w="1108"/>
        <w:gridCol w:w="1111"/>
        <w:gridCol w:w="969"/>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财政供养人员情况</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
                <w:bCs/>
                <w:kern w:val="0"/>
                <w:sz w:val="21"/>
                <w:szCs w:val="21"/>
              </w:rPr>
            </w:pPr>
            <w:r>
              <w:rPr>
                <w:b/>
                <w:bCs/>
                <w:kern w:val="0"/>
                <w:sz w:val="21"/>
                <w:szCs w:val="21"/>
              </w:rPr>
              <w:t>编制数</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
                <w:bCs/>
                <w:kern w:val="0"/>
                <w:sz w:val="21"/>
                <w:szCs w:val="21"/>
              </w:rPr>
            </w:pPr>
            <w:r>
              <w:rPr>
                <w:b/>
                <w:bCs/>
                <w:kern w:val="0"/>
                <w:sz w:val="21"/>
                <w:szCs w:val="21"/>
              </w:rPr>
              <w:t>2024年实际在职人数</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
                <w:bCs/>
                <w:kern w:val="0"/>
                <w:sz w:val="21"/>
                <w:szCs w:val="21"/>
              </w:rPr>
            </w:pPr>
            <w:r>
              <w:rPr>
                <w:b/>
                <w:bCs/>
                <w:kern w:val="0"/>
                <w:sz w:val="21"/>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105</w:t>
            </w:r>
            <w:r>
              <w:rPr>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82</w:t>
            </w:r>
            <w:r>
              <w:rPr>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78%</w:t>
            </w:r>
            <w:r>
              <w:rPr>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经费控制情况</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
                <w:bCs/>
                <w:kern w:val="0"/>
                <w:sz w:val="21"/>
                <w:szCs w:val="21"/>
              </w:rPr>
            </w:pPr>
            <w:r>
              <w:rPr>
                <w:b/>
                <w:bCs/>
                <w:kern w:val="0"/>
                <w:sz w:val="21"/>
                <w:szCs w:val="21"/>
              </w:rPr>
              <w:t>2023年决算数</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
                <w:bCs/>
                <w:kern w:val="0"/>
                <w:sz w:val="21"/>
                <w:szCs w:val="21"/>
              </w:rPr>
            </w:pPr>
            <w:r>
              <w:rPr>
                <w:b/>
                <w:bCs/>
                <w:kern w:val="0"/>
                <w:sz w:val="21"/>
                <w:szCs w:val="21"/>
              </w:rPr>
              <w:t>2024年预算数</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
                <w:bCs/>
                <w:kern w:val="0"/>
                <w:sz w:val="21"/>
                <w:szCs w:val="21"/>
              </w:rPr>
            </w:pPr>
            <w:r>
              <w:rPr>
                <w:b/>
                <w:bCs/>
                <w:kern w:val="0"/>
                <w:sz w:val="21"/>
                <w:szCs w:val="21"/>
              </w:rPr>
              <w:t>2024年决算数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三公经费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0</w:t>
            </w:r>
            <w:r>
              <w:rPr>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0</w:t>
            </w:r>
            <w:r>
              <w:rPr>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0</w:t>
            </w:r>
            <w:r>
              <w:rPr>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   1、公务用车购置和维护经费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eastAsia="仿宋_GB2312"/>
                <w:kern w:val="0"/>
                <w:sz w:val="21"/>
                <w:szCs w:val="21"/>
                <w:lang w:val="en-US" w:eastAsia="zh-CN"/>
              </w:rPr>
            </w:pPr>
            <w:r>
              <w:rPr>
                <w:rFonts w:hint="eastAsia"/>
                <w:kern w:val="0"/>
                <w:sz w:val="21"/>
                <w:szCs w:val="21"/>
                <w:lang w:val="en-US" w:eastAsia="zh-CN"/>
              </w:rPr>
              <w:t>0</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0</w:t>
            </w:r>
            <w:r>
              <w:rPr>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0</w:t>
            </w:r>
            <w:r>
              <w:rPr>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       其中：公车购置</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0</w:t>
            </w:r>
            <w:r>
              <w:rPr>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0</w:t>
            </w:r>
            <w:r>
              <w:rPr>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0</w:t>
            </w:r>
            <w:r>
              <w:rPr>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             公车运行维护</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0</w:t>
            </w:r>
            <w:r>
              <w:rPr>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0</w:t>
            </w:r>
            <w:r>
              <w:rPr>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0</w:t>
            </w:r>
            <w:r>
              <w:rPr>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   2、出国经费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0</w:t>
            </w:r>
            <w:r>
              <w:rPr>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0</w:t>
            </w:r>
            <w:r>
              <w:rPr>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   3、公务接待</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0</w:t>
            </w:r>
            <w:r>
              <w:rPr>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0</w:t>
            </w:r>
            <w:r>
              <w:rPr>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0</w:t>
            </w:r>
            <w:r>
              <w:rPr>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项目支出：</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1003.82</w:t>
            </w:r>
            <w:r>
              <w:rPr>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kern w:val="0"/>
                <w:sz w:val="21"/>
                <w:szCs w:val="21"/>
                <w:lang w:val="en-US"/>
              </w:rPr>
            </w:pPr>
            <w:r>
              <w:rPr>
                <w:rFonts w:hint="eastAsia"/>
                <w:kern w:val="0"/>
                <w:sz w:val="21"/>
                <w:szCs w:val="21"/>
                <w:lang w:val="en-US" w:eastAsia="zh-CN"/>
              </w:rPr>
              <w:t>578.62</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871.31</w:t>
            </w:r>
            <w:r>
              <w:rPr>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    1、业务工作经费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    2、运行维护经费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420"/>
              <w:jc w:val="left"/>
              <w:rPr>
                <w:kern w:val="0"/>
                <w:sz w:val="21"/>
                <w:szCs w:val="21"/>
              </w:rPr>
            </w:pPr>
            <w:r>
              <w:rPr>
                <w:kern w:val="0"/>
                <w:sz w:val="21"/>
                <w:szCs w:val="21"/>
              </w:rPr>
              <w:t>3、省级专项资金</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146.67</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kern w:val="0"/>
                <w:sz w:val="21"/>
                <w:szCs w:val="21"/>
                <w:lang w:val="en-US" w:eastAsia="zh-CN"/>
              </w:rPr>
            </w:pPr>
            <w:r>
              <w:rPr>
                <w:rFonts w:hint="eastAsia"/>
                <w:kern w:val="0"/>
                <w:sz w:val="21"/>
                <w:szCs w:val="21"/>
                <w:lang w:val="en-US" w:eastAsia="zh-CN"/>
              </w:rPr>
              <w:t>523.29</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kern w:val="0"/>
                <w:sz w:val="21"/>
                <w:szCs w:val="21"/>
                <w:lang w:val="en-US" w:eastAsia="zh-CN"/>
              </w:rPr>
            </w:pPr>
            <w:r>
              <w:rPr>
                <w:rFonts w:hint="eastAsia"/>
                <w:kern w:val="0"/>
                <w:sz w:val="21"/>
                <w:szCs w:val="21"/>
                <w:lang w:val="en-US" w:eastAsia="zh-CN"/>
              </w:rPr>
              <w:t>526.29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420"/>
              <w:jc w:val="left"/>
              <w:rPr>
                <w:kern w:val="0"/>
                <w:sz w:val="21"/>
                <w:szCs w:val="21"/>
              </w:rPr>
            </w:pPr>
            <w:r>
              <w:rPr>
                <w:kern w:val="0"/>
                <w:sz w:val="21"/>
                <w:szCs w:val="21"/>
              </w:rPr>
              <w:t>4、其他事业类发展资金</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857.15</w:t>
            </w:r>
            <w:r>
              <w:rPr>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55.33</w:t>
            </w:r>
            <w:r>
              <w:rPr>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kern w:val="0"/>
                <w:sz w:val="21"/>
                <w:szCs w:val="21"/>
                <w:lang w:val="en-US"/>
              </w:rPr>
            </w:pPr>
            <w:r>
              <w:rPr>
                <w:rFonts w:hint="eastAsia"/>
                <w:kern w:val="0"/>
                <w:sz w:val="21"/>
                <w:szCs w:val="21"/>
                <w:lang w:val="en-US" w:eastAsia="zh-CN"/>
              </w:rPr>
              <w:t>345.02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公用经费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32.07</w:t>
            </w:r>
            <w:r>
              <w:rPr>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32.07</w:t>
            </w:r>
            <w:r>
              <w:rPr>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32.07</w:t>
            </w:r>
            <w:r>
              <w:rPr>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    其中：办公费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color w:val="FF0000"/>
                <w:kern w:val="0"/>
                <w:sz w:val="21"/>
                <w:szCs w:val="21"/>
              </w:rPr>
            </w:pPr>
            <w:r>
              <w:rPr>
                <w:color w:val="FF0000"/>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color w:val="FF0000"/>
                <w:kern w:val="0"/>
                <w:sz w:val="21"/>
                <w:szCs w:val="21"/>
              </w:rPr>
            </w:pPr>
            <w:r>
              <w:rPr>
                <w:color w:val="FF0000"/>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color w:val="FF0000"/>
                <w:kern w:val="0"/>
                <w:sz w:val="21"/>
                <w:szCs w:val="21"/>
              </w:rPr>
            </w:pPr>
            <w:r>
              <w:rPr>
                <w:color w:val="FF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          水费、电费、差旅费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color w:val="FF0000"/>
                <w:kern w:val="0"/>
                <w:sz w:val="21"/>
                <w:szCs w:val="21"/>
              </w:rPr>
            </w:pPr>
            <w:r>
              <w:rPr>
                <w:color w:val="FF0000"/>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color w:val="FF0000"/>
                <w:kern w:val="0"/>
                <w:sz w:val="21"/>
                <w:szCs w:val="21"/>
              </w:rPr>
            </w:pPr>
            <w:r>
              <w:rPr>
                <w:color w:val="FF0000"/>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color w:val="FF0000"/>
                <w:kern w:val="0"/>
                <w:sz w:val="21"/>
                <w:szCs w:val="21"/>
              </w:rPr>
            </w:pPr>
            <w:r>
              <w:rPr>
                <w:color w:val="FF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          会议费、培训费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color w:val="FF0000"/>
                <w:kern w:val="0"/>
                <w:sz w:val="21"/>
                <w:szCs w:val="21"/>
              </w:rPr>
            </w:pPr>
            <w:r>
              <w:rPr>
                <w:color w:val="FF0000"/>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color w:val="FF0000"/>
                <w:kern w:val="0"/>
                <w:sz w:val="21"/>
                <w:szCs w:val="21"/>
              </w:rPr>
            </w:pPr>
            <w:r>
              <w:rPr>
                <w:color w:val="FF0000"/>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color w:val="FF0000"/>
                <w:kern w:val="0"/>
                <w:sz w:val="21"/>
                <w:szCs w:val="21"/>
              </w:rPr>
            </w:pPr>
            <w:r>
              <w:rPr>
                <w:color w:val="FF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政府采购金额</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561.66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部门基本支出预算调整 </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楼堂馆所控制情况</w:t>
            </w:r>
            <w:r>
              <w:rPr>
                <w:kern w:val="0"/>
                <w:sz w:val="21"/>
                <w:szCs w:val="21"/>
              </w:rPr>
              <w:br w:type="textWrapping"/>
            </w:r>
            <w:r>
              <w:rPr>
                <w:kern w:val="0"/>
                <w:sz w:val="21"/>
                <w:szCs w:val="21"/>
              </w:rPr>
              <w:t>（2024年完工项目）</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Cs/>
                <w:kern w:val="0"/>
                <w:sz w:val="21"/>
                <w:szCs w:val="21"/>
              </w:rPr>
            </w:pPr>
            <w:r>
              <w:rPr>
                <w:bCs/>
                <w:kern w:val="0"/>
                <w:sz w:val="21"/>
                <w:szCs w:val="21"/>
              </w:rPr>
              <w:t>批复规模</w:t>
            </w:r>
            <w:r>
              <w:rPr>
                <w:bCs/>
                <w:kern w:val="0"/>
                <w:sz w:val="21"/>
                <w:szCs w:val="21"/>
              </w:rPr>
              <w:br w:type="textWrapping"/>
            </w:r>
            <w:r>
              <w:rPr>
                <w:bCs/>
                <w:kern w:val="0"/>
                <w:sz w:val="21"/>
                <w:szCs w:val="21"/>
              </w:rPr>
              <w:t>（</w:t>
            </w:r>
            <w:r>
              <w:rPr>
                <w:rFonts w:eastAsia="Batang"/>
                <w:bCs/>
                <w:kern w:val="0"/>
                <w:sz w:val="21"/>
                <w:szCs w:val="21"/>
              </w:rPr>
              <w:t>㎡</w:t>
            </w:r>
            <w:r>
              <w:rPr>
                <w:bCs/>
                <w:kern w:val="0"/>
                <w:sz w:val="21"/>
                <w:szCs w:val="21"/>
              </w:rPr>
              <w:t>）</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Cs/>
                <w:kern w:val="0"/>
                <w:sz w:val="21"/>
                <w:szCs w:val="21"/>
              </w:rPr>
            </w:pPr>
            <w:r>
              <w:rPr>
                <w:bCs/>
                <w:kern w:val="0"/>
                <w:sz w:val="21"/>
                <w:szCs w:val="21"/>
              </w:rPr>
              <w:t>实际</w:t>
            </w:r>
          </w:p>
          <w:p>
            <w:pPr>
              <w:widowControl/>
              <w:adjustRightInd/>
              <w:snapToGrid/>
              <w:spacing w:line="280" w:lineRule="exact"/>
              <w:ind w:firstLine="0" w:firstLineChars="0"/>
              <w:jc w:val="center"/>
              <w:rPr>
                <w:bCs/>
                <w:kern w:val="0"/>
                <w:sz w:val="21"/>
                <w:szCs w:val="21"/>
              </w:rPr>
            </w:pPr>
            <w:r>
              <w:rPr>
                <w:bCs/>
                <w:kern w:val="0"/>
                <w:sz w:val="21"/>
                <w:szCs w:val="21"/>
              </w:rPr>
              <w:t>规模</w:t>
            </w:r>
          </w:p>
          <w:p>
            <w:pPr>
              <w:widowControl/>
              <w:adjustRightInd/>
              <w:snapToGrid/>
              <w:spacing w:line="280" w:lineRule="exact"/>
              <w:ind w:firstLine="0" w:firstLineChars="0"/>
              <w:jc w:val="center"/>
              <w:rPr>
                <w:bCs/>
                <w:kern w:val="0"/>
                <w:sz w:val="21"/>
                <w:szCs w:val="21"/>
              </w:rPr>
            </w:pPr>
            <w:r>
              <w:rPr>
                <w:bCs/>
                <w:kern w:val="0"/>
                <w:sz w:val="21"/>
                <w:szCs w:val="21"/>
              </w:rPr>
              <w:t>（</w:t>
            </w:r>
            <w:r>
              <w:rPr>
                <w:rFonts w:eastAsia="Batang"/>
                <w:bCs/>
                <w:kern w:val="0"/>
                <w:sz w:val="21"/>
                <w:szCs w:val="21"/>
              </w:rPr>
              <w:t>㎡</w:t>
            </w:r>
            <w:r>
              <w:rPr>
                <w:bCs/>
                <w:kern w:val="0"/>
                <w:sz w:val="21"/>
                <w:szCs w:val="21"/>
              </w:rPr>
              <w:t>）</w:t>
            </w:r>
          </w:p>
        </w:tc>
        <w:tc>
          <w:tcPr>
            <w:tcW w:w="110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Cs/>
                <w:kern w:val="0"/>
                <w:sz w:val="21"/>
                <w:szCs w:val="21"/>
              </w:rPr>
            </w:pPr>
            <w:r>
              <w:rPr>
                <w:bCs/>
                <w:kern w:val="0"/>
                <w:sz w:val="21"/>
                <w:szCs w:val="21"/>
              </w:rPr>
              <w:t>规模</w:t>
            </w:r>
          </w:p>
          <w:p>
            <w:pPr>
              <w:widowControl/>
              <w:adjustRightInd/>
              <w:snapToGrid/>
              <w:spacing w:line="280" w:lineRule="exact"/>
              <w:ind w:firstLine="0" w:firstLineChars="0"/>
              <w:jc w:val="center"/>
              <w:rPr>
                <w:bCs/>
                <w:kern w:val="0"/>
                <w:sz w:val="21"/>
                <w:szCs w:val="21"/>
              </w:rPr>
            </w:pPr>
            <w:r>
              <w:rPr>
                <w:bCs/>
                <w:kern w:val="0"/>
                <w:sz w:val="21"/>
                <w:szCs w:val="21"/>
              </w:rPr>
              <w:t>控制率</w:t>
            </w:r>
          </w:p>
        </w:tc>
        <w:tc>
          <w:tcPr>
            <w:tcW w:w="111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Cs/>
                <w:kern w:val="0"/>
                <w:sz w:val="21"/>
                <w:szCs w:val="21"/>
              </w:rPr>
            </w:pPr>
            <w:r>
              <w:rPr>
                <w:bCs/>
                <w:kern w:val="0"/>
                <w:sz w:val="21"/>
                <w:szCs w:val="21"/>
              </w:rPr>
              <w:t>预算投资（万元）</w:t>
            </w:r>
          </w:p>
        </w:tc>
        <w:tc>
          <w:tcPr>
            <w:tcW w:w="96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Cs/>
                <w:kern w:val="0"/>
                <w:sz w:val="21"/>
                <w:szCs w:val="21"/>
              </w:rPr>
            </w:pPr>
            <w:r>
              <w:rPr>
                <w:bCs/>
                <w:kern w:val="0"/>
                <w:sz w:val="21"/>
                <w:szCs w:val="21"/>
              </w:rPr>
              <w:t>实际</w:t>
            </w:r>
          </w:p>
          <w:p>
            <w:pPr>
              <w:widowControl/>
              <w:adjustRightInd/>
              <w:snapToGrid/>
              <w:spacing w:line="280" w:lineRule="exact"/>
              <w:ind w:firstLine="0" w:firstLineChars="0"/>
              <w:jc w:val="center"/>
              <w:rPr>
                <w:bCs/>
                <w:kern w:val="0"/>
                <w:sz w:val="21"/>
                <w:szCs w:val="21"/>
              </w:rPr>
            </w:pPr>
            <w:r>
              <w:rPr>
                <w:bCs/>
                <w:kern w:val="0"/>
                <w:sz w:val="21"/>
                <w:szCs w:val="21"/>
              </w:rPr>
              <w:t>投资</w:t>
            </w:r>
          </w:p>
          <w:p>
            <w:pPr>
              <w:widowControl/>
              <w:adjustRightInd/>
              <w:snapToGrid/>
              <w:spacing w:line="280" w:lineRule="exact"/>
              <w:ind w:firstLine="0" w:firstLineChars="0"/>
              <w:jc w:val="center"/>
              <w:rPr>
                <w:bCs/>
                <w:kern w:val="0"/>
                <w:sz w:val="21"/>
                <w:szCs w:val="21"/>
              </w:rPr>
            </w:pPr>
            <w:r>
              <w:rPr>
                <w:bCs/>
                <w:kern w:val="0"/>
                <w:sz w:val="21"/>
                <w:szCs w:val="21"/>
              </w:rPr>
              <w:t>（万元）</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Cs/>
                <w:kern w:val="0"/>
                <w:sz w:val="21"/>
                <w:szCs w:val="21"/>
              </w:rPr>
            </w:pPr>
            <w:r>
              <w:rPr>
                <w:bCs/>
                <w:kern w:val="0"/>
                <w:sz w:val="21"/>
                <w:szCs w:val="21"/>
              </w:rPr>
              <w:t>投资</w:t>
            </w:r>
          </w:p>
          <w:p>
            <w:pPr>
              <w:widowControl/>
              <w:adjustRightInd/>
              <w:snapToGrid/>
              <w:spacing w:line="280" w:lineRule="exact"/>
              <w:ind w:firstLine="0" w:firstLineChars="0"/>
              <w:jc w:val="center"/>
              <w:rPr>
                <w:bCs/>
                <w:kern w:val="0"/>
                <w:sz w:val="21"/>
                <w:szCs w:val="21"/>
              </w:rPr>
            </w:pPr>
            <w:r>
              <w:rPr>
                <w:bCs/>
                <w:kern w:val="0"/>
                <w:sz w:val="21"/>
                <w:szCs w:val="21"/>
              </w:rPr>
              <w:t>概算</w:t>
            </w:r>
          </w:p>
          <w:p>
            <w:pPr>
              <w:widowControl/>
              <w:adjustRightInd/>
              <w:snapToGrid/>
              <w:spacing w:line="280" w:lineRule="exact"/>
              <w:ind w:firstLine="0" w:firstLineChars="0"/>
              <w:jc w:val="center"/>
              <w:rPr>
                <w:bCs/>
                <w:kern w:val="0"/>
                <w:sz w:val="21"/>
                <w:szCs w:val="21"/>
              </w:rPr>
            </w:pPr>
            <w:r>
              <w:rPr>
                <w:bCs/>
                <w:kern w:val="0"/>
                <w:sz w:val="21"/>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　</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w:t>
            </w:r>
          </w:p>
        </w:tc>
        <w:tc>
          <w:tcPr>
            <w:tcW w:w="110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w:t>
            </w:r>
          </w:p>
        </w:tc>
        <w:tc>
          <w:tcPr>
            <w:tcW w:w="111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w:t>
            </w:r>
          </w:p>
        </w:tc>
        <w:tc>
          <w:tcPr>
            <w:tcW w:w="96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厉行节约保障措施</w:t>
            </w:r>
          </w:p>
        </w:tc>
        <w:tc>
          <w:tcPr>
            <w:tcW w:w="6521"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　</w:t>
            </w:r>
          </w:p>
        </w:tc>
      </w:tr>
    </w:tbl>
    <w:p>
      <w:pPr>
        <w:adjustRightInd/>
        <w:snapToGrid/>
        <w:spacing w:line="360" w:lineRule="exact"/>
        <w:ind w:firstLine="0" w:firstLineChars="0"/>
        <w:rPr>
          <w:kern w:val="0"/>
          <w:sz w:val="22"/>
          <w:szCs w:val="22"/>
        </w:rPr>
      </w:pPr>
      <w:r>
        <w:rPr>
          <w:kern w:val="0"/>
          <w:sz w:val="22"/>
          <w:szCs w:val="22"/>
        </w:rPr>
        <w:t>说明：“项目支出”需要填报基本支出以外的所有项目支出情况，“公用经费”填报基本支出中的一般商品和服务支出。</w:t>
      </w:r>
    </w:p>
    <w:p>
      <w:pPr>
        <w:pStyle w:val="3"/>
        <w:ind w:firstLine="0" w:firstLineChars="0"/>
      </w:pPr>
    </w:p>
    <w:p>
      <w:pPr>
        <w:pStyle w:val="2"/>
        <w:spacing w:before="144" w:beforeLines="25" w:after="144" w:afterLines="25" w:line="500" w:lineRule="exact"/>
        <w:jc w:val="left"/>
        <w:rPr>
          <w:rFonts w:eastAsia="黑体"/>
          <w:sz w:val="32"/>
          <w:szCs w:val="32"/>
        </w:rPr>
      </w:pPr>
    </w:p>
    <w:p>
      <w:pPr>
        <w:pStyle w:val="2"/>
        <w:spacing w:before="144" w:beforeLines="25" w:after="144" w:afterLines="25" w:line="500" w:lineRule="exact"/>
        <w:jc w:val="left"/>
        <w:rPr>
          <w:sz w:val="36"/>
          <w:szCs w:val="36"/>
        </w:rPr>
      </w:pPr>
      <w:r>
        <w:rPr>
          <w:rFonts w:eastAsia="黑体"/>
          <w:sz w:val="32"/>
          <w:szCs w:val="32"/>
        </w:rPr>
        <w:t>附件</w:t>
      </w:r>
      <w:r>
        <w:rPr>
          <w:rFonts w:hint="eastAsia" w:eastAsia="黑体"/>
          <w:sz w:val="32"/>
          <w:szCs w:val="32"/>
          <w:lang w:val="en-US" w:eastAsia="zh-CN"/>
        </w:rPr>
        <w:t>2：</w:t>
      </w:r>
    </w:p>
    <w:p>
      <w:pPr>
        <w:pStyle w:val="2"/>
        <w:spacing w:before="144" w:beforeLines="25" w:line="500" w:lineRule="exact"/>
        <w:rPr>
          <w:rFonts w:hint="default" w:eastAsia="微软雅黑"/>
          <w:sz w:val="36"/>
          <w:szCs w:val="36"/>
          <w:lang w:val="en-US" w:eastAsia="zh-CN"/>
        </w:rPr>
      </w:pPr>
      <w:r>
        <w:rPr>
          <w:sz w:val="36"/>
          <w:szCs w:val="36"/>
        </w:rPr>
        <w:t>部门整体支出绩效自评表</w:t>
      </w:r>
    </w:p>
    <w:p>
      <w:pPr>
        <w:widowControl/>
        <w:adjustRightInd/>
        <w:snapToGrid/>
        <w:spacing w:line="240" w:lineRule="auto"/>
        <w:ind w:firstLine="0" w:firstLineChars="0"/>
        <w:jc w:val="center"/>
        <w:rPr>
          <w:color w:val="000000"/>
          <w:kern w:val="0"/>
          <w:sz w:val="21"/>
          <w:szCs w:val="21"/>
        </w:rPr>
      </w:pPr>
      <w:r>
        <w:rPr>
          <w:color w:val="000000"/>
          <w:kern w:val="0"/>
          <w:sz w:val="21"/>
          <w:szCs w:val="21"/>
        </w:rPr>
        <w:t>（</w:t>
      </w:r>
      <w:r>
        <w:rPr>
          <w:rFonts w:hint="eastAsia"/>
          <w:color w:val="000000"/>
          <w:kern w:val="0"/>
          <w:sz w:val="21"/>
          <w:szCs w:val="21"/>
          <w:lang w:val="en-US" w:eastAsia="zh-CN"/>
        </w:rPr>
        <w:t>2024</w:t>
      </w:r>
      <w:r>
        <w:rPr>
          <w:color w:val="000000"/>
          <w:kern w:val="0"/>
          <w:sz w:val="21"/>
          <w:szCs w:val="21"/>
        </w:rPr>
        <w:t>年度）</w:t>
      </w:r>
    </w:p>
    <w:tbl>
      <w:tblPr>
        <w:tblStyle w:val="10"/>
        <w:tblW w:w="10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5"/>
        <w:gridCol w:w="520"/>
        <w:gridCol w:w="1252"/>
        <w:gridCol w:w="1114"/>
        <w:gridCol w:w="95"/>
        <w:gridCol w:w="1200"/>
        <w:gridCol w:w="1134"/>
        <w:gridCol w:w="709"/>
        <w:gridCol w:w="898"/>
        <w:gridCol w:w="1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省级预算部门名称</w:t>
            </w:r>
          </w:p>
        </w:tc>
        <w:tc>
          <w:tcPr>
            <w:tcW w:w="8368" w:type="dxa"/>
            <w:gridSpan w:val="9"/>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rFonts w:hint="eastAsia"/>
                <w:color w:val="000000"/>
                <w:kern w:val="0"/>
                <w:sz w:val="21"/>
                <w:szCs w:val="21"/>
                <w:lang w:eastAsia="zh-CN"/>
              </w:rPr>
              <w:t>湖南省畜牧兽医研究所</w:t>
            </w: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955"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年度预</w:t>
            </w:r>
          </w:p>
          <w:p>
            <w:pPr>
              <w:widowControl/>
              <w:adjustRightInd/>
              <w:spacing w:line="280" w:lineRule="exact"/>
              <w:ind w:firstLine="0" w:firstLineChars="0"/>
              <w:jc w:val="center"/>
              <w:rPr>
                <w:color w:val="000000"/>
                <w:kern w:val="0"/>
                <w:sz w:val="21"/>
                <w:szCs w:val="21"/>
              </w:rPr>
            </w:pPr>
            <w:r>
              <w:rPr>
                <w:color w:val="000000"/>
                <w:kern w:val="0"/>
                <w:sz w:val="21"/>
                <w:szCs w:val="21"/>
              </w:rPr>
              <w:t>算申请</w:t>
            </w:r>
            <w:r>
              <w:rPr>
                <w:color w:val="000000"/>
                <w:kern w:val="0"/>
                <w:sz w:val="21"/>
                <w:szCs w:val="21"/>
              </w:rPr>
              <w:br w:type="textWrapping"/>
            </w:r>
            <w:r>
              <w:rPr>
                <w:color w:val="000000"/>
                <w:kern w:val="0"/>
                <w:sz w:val="21"/>
                <w:szCs w:val="21"/>
              </w:rPr>
              <w:t>（万元）</w:t>
            </w:r>
          </w:p>
        </w:tc>
        <w:tc>
          <w:tcPr>
            <w:tcW w:w="1772" w:type="dxa"/>
            <w:gridSpan w:val="2"/>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p>
        </w:tc>
        <w:tc>
          <w:tcPr>
            <w:tcW w:w="1114"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sz w:val="21"/>
                <w:szCs w:val="21"/>
              </w:rPr>
              <w:t>年初</w:t>
            </w:r>
          </w:p>
          <w:p>
            <w:pPr>
              <w:adjustRightInd/>
              <w:spacing w:line="280" w:lineRule="exact"/>
              <w:ind w:firstLine="0" w:firstLineChars="0"/>
              <w:jc w:val="center"/>
              <w:rPr>
                <w:sz w:val="21"/>
                <w:szCs w:val="21"/>
              </w:rPr>
            </w:pPr>
            <w:r>
              <w:rPr>
                <w:sz w:val="21"/>
                <w:szCs w:val="21"/>
              </w:rPr>
              <w:t>预算数</w:t>
            </w:r>
          </w:p>
        </w:tc>
        <w:tc>
          <w:tcPr>
            <w:tcW w:w="1295" w:type="dxa"/>
            <w:gridSpan w:val="2"/>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sz w:val="21"/>
                <w:szCs w:val="21"/>
              </w:rPr>
              <w:t>全年预算数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sz w:val="21"/>
                <w:szCs w:val="21"/>
              </w:rPr>
              <w:t>全年</w:t>
            </w:r>
          </w:p>
          <w:p>
            <w:pPr>
              <w:adjustRightInd/>
              <w:spacing w:line="280" w:lineRule="exact"/>
              <w:ind w:firstLine="0" w:firstLineChars="0"/>
              <w:jc w:val="center"/>
              <w:rPr>
                <w:sz w:val="21"/>
                <w:szCs w:val="21"/>
              </w:rPr>
            </w:pPr>
            <w:r>
              <w:rPr>
                <w:sz w:val="21"/>
                <w:szCs w:val="21"/>
              </w:rPr>
              <w:t>执行数</w:t>
            </w:r>
          </w:p>
        </w:tc>
        <w:tc>
          <w:tcPr>
            <w:tcW w:w="709"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sz w:val="21"/>
                <w:szCs w:val="21"/>
              </w:rPr>
              <w:t>分值</w:t>
            </w:r>
          </w:p>
        </w:tc>
        <w:tc>
          <w:tcPr>
            <w:tcW w:w="898"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sz w:val="21"/>
                <w:szCs w:val="21"/>
              </w:rPr>
              <w:t>执行率</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95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772" w:type="dxa"/>
            <w:gridSpan w:val="2"/>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color w:val="000000"/>
                <w:kern w:val="0"/>
                <w:sz w:val="21"/>
                <w:szCs w:val="21"/>
              </w:rPr>
              <w:t>年度资金总额</w:t>
            </w:r>
          </w:p>
        </w:tc>
        <w:tc>
          <w:tcPr>
            <w:tcW w:w="1114"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eastAsia="仿宋_GB2312"/>
                <w:sz w:val="21"/>
                <w:szCs w:val="21"/>
                <w:lang w:val="en-US" w:eastAsia="zh-CN"/>
              </w:rPr>
            </w:pPr>
            <w:r>
              <w:rPr>
                <w:rFonts w:hint="default" w:eastAsia="仿宋_GB2312"/>
                <w:sz w:val="21"/>
                <w:szCs w:val="21"/>
                <w:lang w:val="en-US" w:eastAsia="zh-CN"/>
              </w:rPr>
              <w:t>2860.08</w:t>
            </w:r>
          </w:p>
        </w:tc>
        <w:tc>
          <w:tcPr>
            <w:tcW w:w="1295" w:type="dxa"/>
            <w:gridSpan w:val="2"/>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eastAsia="仿宋_GB2312"/>
                <w:sz w:val="21"/>
                <w:szCs w:val="21"/>
                <w:lang w:val="en-US" w:eastAsia="zh-CN"/>
              </w:rPr>
            </w:pPr>
            <w:r>
              <w:rPr>
                <w:rFonts w:hint="eastAsia"/>
                <w:sz w:val="21"/>
                <w:szCs w:val="21"/>
                <w:lang w:val="en-US" w:eastAsia="zh-CN"/>
              </w:rPr>
              <w:t>3511.08</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eastAsia="仿宋_GB2312"/>
                <w:sz w:val="21"/>
                <w:szCs w:val="21"/>
                <w:lang w:val="en-US" w:eastAsia="zh-CN"/>
              </w:rPr>
            </w:pPr>
            <w:r>
              <w:rPr>
                <w:rFonts w:hint="eastAsia"/>
                <w:sz w:val="21"/>
                <w:szCs w:val="21"/>
                <w:lang w:val="en-US" w:eastAsia="zh-CN"/>
              </w:rPr>
              <w:t>3152.77</w:t>
            </w:r>
          </w:p>
        </w:tc>
        <w:tc>
          <w:tcPr>
            <w:tcW w:w="709"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sz w:val="21"/>
                <w:szCs w:val="21"/>
              </w:rPr>
              <w:t>10</w:t>
            </w:r>
          </w:p>
        </w:tc>
        <w:tc>
          <w:tcPr>
            <w:tcW w:w="898"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eastAsia="仿宋_GB2312"/>
                <w:sz w:val="21"/>
                <w:szCs w:val="21"/>
                <w:lang w:val="en-US" w:eastAsia="zh-CN"/>
              </w:rPr>
            </w:pPr>
            <w:r>
              <w:rPr>
                <w:rFonts w:hint="eastAsia"/>
                <w:sz w:val="21"/>
                <w:szCs w:val="21"/>
                <w:lang w:val="en-US" w:eastAsia="zh-CN"/>
              </w:rPr>
              <w:t>90%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eastAsia="仿宋_GB2312"/>
                <w:sz w:val="21"/>
                <w:szCs w:val="21"/>
                <w:lang w:val="en-US" w:eastAsia="zh-CN"/>
              </w:rPr>
            </w:pPr>
            <w:r>
              <w:rPr>
                <w:rFonts w:hint="eastAsia"/>
                <w:sz w:val="21"/>
                <w:szCs w:val="21"/>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95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4181"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按收入性质分：</w:t>
            </w:r>
          </w:p>
        </w:tc>
        <w:tc>
          <w:tcPr>
            <w:tcW w:w="4187"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95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4181"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xml:space="preserve">  其中：  一般公共预算：</w:t>
            </w:r>
            <w:r>
              <w:rPr>
                <w:rFonts w:hint="eastAsia"/>
                <w:color w:val="000000"/>
                <w:kern w:val="0"/>
                <w:sz w:val="21"/>
                <w:szCs w:val="21"/>
                <w:lang w:val="en-US" w:eastAsia="zh-CN"/>
              </w:rPr>
              <w:t>3511.08</w:t>
            </w:r>
          </w:p>
        </w:tc>
        <w:tc>
          <w:tcPr>
            <w:tcW w:w="4187"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其中：基本支出：</w:t>
            </w:r>
            <w:r>
              <w:rPr>
                <w:rFonts w:hint="eastAsia"/>
                <w:color w:val="000000"/>
                <w:kern w:val="0"/>
                <w:sz w:val="21"/>
                <w:szCs w:val="21"/>
                <w:lang w:val="en-US" w:eastAsia="zh-CN"/>
              </w:rPr>
              <w:t>2281.46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95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4181"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840" w:firstLineChars="400"/>
              <w:jc w:val="left"/>
              <w:rPr>
                <w:color w:val="000000"/>
                <w:kern w:val="0"/>
                <w:sz w:val="21"/>
                <w:szCs w:val="21"/>
              </w:rPr>
            </w:pPr>
            <w:r>
              <w:rPr>
                <w:color w:val="000000"/>
                <w:kern w:val="0"/>
                <w:sz w:val="21"/>
                <w:szCs w:val="21"/>
              </w:rPr>
              <w:t>政府性基金拨款：</w:t>
            </w:r>
          </w:p>
        </w:tc>
        <w:tc>
          <w:tcPr>
            <w:tcW w:w="4187"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rPr>
                <w:rFonts w:hint="default" w:eastAsia="仿宋_GB2312"/>
                <w:color w:val="000000"/>
                <w:kern w:val="0"/>
                <w:sz w:val="21"/>
                <w:szCs w:val="21"/>
                <w:lang w:val="en-US" w:eastAsia="zh-CN"/>
              </w:rPr>
            </w:pPr>
            <w:r>
              <w:rPr>
                <w:color w:val="000000"/>
                <w:kern w:val="0"/>
                <w:sz w:val="21"/>
                <w:szCs w:val="21"/>
              </w:rPr>
              <w:t>项目支出：</w:t>
            </w:r>
            <w:r>
              <w:rPr>
                <w:rFonts w:hint="eastAsia"/>
                <w:color w:val="000000"/>
                <w:kern w:val="0"/>
                <w:sz w:val="21"/>
                <w:szCs w:val="21"/>
                <w:lang w:val="en-US" w:eastAsia="zh-CN"/>
              </w:rPr>
              <w:t>871.31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95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4181"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纳入专户管理的非税收入拨款：</w:t>
            </w:r>
          </w:p>
        </w:tc>
        <w:tc>
          <w:tcPr>
            <w:tcW w:w="4187"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95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4181"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1470" w:firstLineChars="700"/>
              <w:jc w:val="left"/>
              <w:rPr>
                <w:color w:val="000000"/>
                <w:kern w:val="0"/>
                <w:sz w:val="21"/>
                <w:szCs w:val="21"/>
              </w:rPr>
            </w:pPr>
            <w:r>
              <w:rPr>
                <w:color w:val="000000"/>
                <w:kern w:val="0"/>
                <w:sz w:val="21"/>
                <w:szCs w:val="21"/>
              </w:rPr>
              <w:t>其他资金：</w:t>
            </w:r>
          </w:p>
        </w:tc>
        <w:tc>
          <w:tcPr>
            <w:tcW w:w="4187"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955"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年度总体目标</w:t>
            </w:r>
          </w:p>
        </w:tc>
        <w:tc>
          <w:tcPr>
            <w:tcW w:w="4181"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预期目标</w:t>
            </w:r>
          </w:p>
        </w:tc>
        <w:tc>
          <w:tcPr>
            <w:tcW w:w="4187"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95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4181"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rFonts w:hint="eastAsia"/>
                <w:color w:val="000000"/>
                <w:kern w:val="0"/>
                <w:sz w:val="21"/>
                <w:szCs w:val="21"/>
                <w:lang w:eastAsia="zh-CN"/>
              </w:rPr>
              <w:t>申报专项大于</w:t>
            </w:r>
            <w:r>
              <w:rPr>
                <w:rFonts w:hint="eastAsia"/>
                <w:color w:val="000000"/>
                <w:kern w:val="0"/>
                <w:sz w:val="21"/>
                <w:szCs w:val="21"/>
                <w:lang w:val="en-US" w:eastAsia="zh-CN"/>
              </w:rPr>
              <w:t>40项，发表论文大于40篇，完成立项大于15项，sci论文大于5篇，编制标准大于3项，本年预算内完成，到位科研经费大于1000万，多项畜牧兽医领域技术研究取得阶段性突破，在畜禽遗传资源挖掘、品种选育、饲料资源评价、动物疫病综合防控、养殖粪污资源化利用等方面为产业发展提供的技术支撑，促进了我省养殖业高质量发展</w:t>
            </w:r>
            <w:r>
              <w:rPr>
                <w:rFonts w:hint="eastAsia"/>
                <w:color w:val="000000"/>
                <w:kern w:val="0"/>
                <w:sz w:val="21"/>
                <w:szCs w:val="21"/>
                <w:lang w:eastAsia="zh-CN"/>
              </w:rPr>
              <w:t>，绿色科研减少污染，</w:t>
            </w:r>
            <w:r>
              <w:rPr>
                <w:rFonts w:hint="eastAsia"/>
                <w:color w:val="000000"/>
                <w:kern w:val="0"/>
                <w:sz w:val="21"/>
                <w:szCs w:val="21"/>
              </w:rPr>
              <w:t>明确镉污染饲料对山羊健康影响的安全临界值，为污染秸秆资源化利用提供科学指导</w:t>
            </w:r>
            <w:r>
              <w:rPr>
                <w:rFonts w:hint="eastAsia"/>
                <w:color w:val="000000"/>
                <w:kern w:val="0"/>
                <w:sz w:val="21"/>
                <w:szCs w:val="21"/>
                <w:lang w:eastAsia="zh-CN"/>
              </w:rPr>
              <w:t>，服务对象满意度大于</w:t>
            </w:r>
            <w:r>
              <w:rPr>
                <w:rFonts w:hint="eastAsia"/>
                <w:color w:val="000000"/>
                <w:kern w:val="0"/>
                <w:sz w:val="21"/>
                <w:szCs w:val="21"/>
                <w:lang w:val="en-US" w:eastAsia="zh-CN"/>
              </w:rPr>
              <w:t>90%。</w:t>
            </w:r>
            <w:r>
              <w:rPr>
                <w:color w:val="000000"/>
                <w:kern w:val="0"/>
                <w:sz w:val="21"/>
                <w:szCs w:val="21"/>
              </w:rPr>
              <w:t>　　</w:t>
            </w:r>
          </w:p>
        </w:tc>
        <w:tc>
          <w:tcPr>
            <w:tcW w:w="4187"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r>
              <w:rPr>
                <w:rFonts w:hint="eastAsia"/>
                <w:color w:val="000000"/>
                <w:kern w:val="0"/>
                <w:sz w:val="21"/>
                <w:szCs w:val="21"/>
                <w:lang w:eastAsia="zh-CN"/>
              </w:rPr>
              <w:t>申报专项</w:t>
            </w:r>
            <w:r>
              <w:rPr>
                <w:rFonts w:hint="eastAsia"/>
                <w:color w:val="000000"/>
                <w:kern w:val="0"/>
                <w:sz w:val="21"/>
                <w:szCs w:val="21"/>
                <w:lang w:val="en-US" w:eastAsia="zh-CN"/>
              </w:rPr>
              <w:t>49项，发表论文58篇，完成立项22项，sci论文11篇，编制标准大于6项，本年预算内完成，到位科研经费1220万，多项畜牧兽医领域技术研究取得阶段性突破，在畜禽遗传资源挖掘、品种选育、饲料资源评价、动物疫病综合防控、养殖粪污资源化利用等方面为产业发展提供的技术支撑，促进了我省养殖业高质量发展</w:t>
            </w:r>
            <w:r>
              <w:rPr>
                <w:rFonts w:hint="eastAsia"/>
                <w:color w:val="000000"/>
                <w:kern w:val="0"/>
                <w:sz w:val="21"/>
                <w:szCs w:val="21"/>
                <w:lang w:eastAsia="zh-CN"/>
              </w:rPr>
              <w:t>，绿色科研减少污染，</w:t>
            </w:r>
            <w:r>
              <w:rPr>
                <w:rFonts w:hint="eastAsia"/>
                <w:color w:val="000000"/>
                <w:kern w:val="0"/>
                <w:sz w:val="21"/>
                <w:szCs w:val="21"/>
              </w:rPr>
              <w:t>明确镉污染饲料对山羊健康影响的安全临界值，为污染秸秆资源化利用提供科学指导</w:t>
            </w:r>
            <w:r>
              <w:rPr>
                <w:rFonts w:hint="eastAsia"/>
                <w:color w:val="000000"/>
                <w:kern w:val="0"/>
                <w:sz w:val="21"/>
                <w:szCs w:val="21"/>
                <w:lang w:eastAsia="zh-CN"/>
              </w:rPr>
              <w:t>，服务对象满意度达到</w:t>
            </w:r>
            <w:r>
              <w:rPr>
                <w:rFonts w:hint="eastAsia"/>
                <w:color w:val="000000"/>
                <w:kern w:val="0"/>
                <w:sz w:val="21"/>
                <w:szCs w:val="21"/>
                <w:lang w:val="en-US" w:eastAsia="zh-CN"/>
              </w:rPr>
              <w:t>90%。</w:t>
            </w: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955"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绩</w:t>
            </w:r>
          </w:p>
          <w:p>
            <w:pPr>
              <w:widowControl/>
              <w:adjustRightInd/>
              <w:spacing w:line="280" w:lineRule="exact"/>
              <w:ind w:firstLine="0" w:firstLineChars="0"/>
              <w:jc w:val="center"/>
              <w:rPr>
                <w:color w:val="000000"/>
                <w:kern w:val="0"/>
                <w:sz w:val="21"/>
                <w:szCs w:val="21"/>
              </w:rPr>
            </w:pPr>
            <w:r>
              <w:rPr>
                <w:color w:val="000000"/>
                <w:kern w:val="0"/>
                <w:sz w:val="21"/>
                <w:szCs w:val="21"/>
              </w:rPr>
              <w:t>效</w:t>
            </w:r>
          </w:p>
          <w:p>
            <w:pPr>
              <w:widowControl/>
              <w:adjustRightInd/>
              <w:spacing w:line="280" w:lineRule="exact"/>
              <w:ind w:firstLine="0" w:firstLineChars="0"/>
              <w:jc w:val="center"/>
              <w:rPr>
                <w:color w:val="000000"/>
                <w:kern w:val="0"/>
                <w:sz w:val="21"/>
                <w:szCs w:val="21"/>
              </w:rPr>
            </w:pPr>
            <w:r>
              <w:rPr>
                <w:color w:val="000000"/>
                <w:kern w:val="0"/>
                <w:sz w:val="21"/>
                <w:szCs w:val="21"/>
              </w:rPr>
              <w:t>指</w:t>
            </w:r>
          </w:p>
          <w:p>
            <w:pPr>
              <w:widowControl/>
              <w:adjustRightInd/>
              <w:spacing w:line="280" w:lineRule="exact"/>
              <w:ind w:firstLine="0" w:firstLineChars="0"/>
              <w:jc w:val="center"/>
              <w:rPr>
                <w:color w:val="000000"/>
                <w:kern w:val="0"/>
                <w:sz w:val="21"/>
                <w:szCs w:val="21"/>
              </w:rPr>
            </w:pPr>
            <w:r>
              <w:rPr>
                <w:color w:val="000000"/>
                <w:kern w:val="0"/>
                <w:sz w:val="21"/>
                <w:szCs w:val="21"/>
              </w:rPr>
              <w:t>标</w:t>
            </w:r>
          </w:p>
        </w:tc>
        <w:tc>
          <w:tcPr>
            <w:tcW w:w="52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一级指标</w:t>
            </w:r>
          </w:p>
        </w:tc>
        <w:tc>
          <w:tcPr>
            <w:tcW w:w="125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二级指标</w:t>
            </w: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三级指标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年度</w:t>
            </w:r>
          </w:p>
          <w:p>
            <w:pPr>
              <w:widowControl/>
              <w:adjustRightInd/>
              <w:spacing w:line="280" w:lineRule="exact"/>
              <w:ind w:firstLine="0" w:firstLineChars="0"/>
              <w:jc w:val="center"/>
              <w:rPr>
                <w:color w:val="000000"/>
                <w:kern w:val="0"/>
                <w:sz w:val="21"/>
                <w:szCs w:val="21"/>
              </w:rPr>
            </w:pPr>
            <w:r>
              <w:rPr>
                <w:color w:val="000000"/>
                <w:kern w:val="0"/>
                <w:sz w:val="21"/>
                <w:szCs w:val="21"/>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实际</w:t>
            </w:r>
          </w:p>
          <w:p>
            <w:pPr>
              <w:widowControl/>
              <w:adjustRightInd/>
              <w:spacing w:line="280" w:lineRule="exact"/>
              <w:ind w:firstLine="0" w:firstLineChars="0"/>
              <w:jc w:val="center"/>
              <w:rPr>
                <w:color w:val="000000"/>
                <w:kern w:val="0"/>
                <w:sz w:val="21"/>
                <w:szCs w:val="21"/>
              </w:rPr>
            </w:pPr>
            <w:r>
              <w:rPr>
                <w:color w:val="000000"/>
                <w:kern w:val="0"/>
                <w:sz w:val="21"/>
                <w:szCs w:val="21"/>
              </w:rPr>
              <w:t>完成值</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分值</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得分</w:t>
            </w:r>
          </w:p>
        </w:tc>
        <w:tc>
          <w:tcPr>
            <w:tcW w:w="1446" w:type="dxa"/>
            <w:tcBorders>
              <w:top w:val="single" w:color="auto" w:sz="4" w:space="0"/>
              <w:left w:val="single" w:color="auto" w:sz="4" w:space="0"/>
              <w:bottom w:val="single" w:color="auto" w:sz="4" w:space="0"/>
              <w:right w:val="single" w:color="auto" w:sz="4" w:space="0"/>
            </w:tcBorders>
            <w:noWrap w:val="0"/>
            <w:vAlign w:val="top"/>
          </w:tcPr>
          <w:p>
            <w:pPr>
              <w:widowControl/>
              <w:adjustRightInd/>
              <w:spacing w:line="280" w:lineRule="exact"/>
              <w:ind w:firstLine="0" w:firstLineChars="0"/>
              <w:jc w:val="center"/>
              <w:rPr>
                <w:color w:val="000000"/>
                <w:kern w:val="0"/>
                <w:sz w:val="21"/>
                <w:szCs w:val="21"/>
              </w:rPr>
            </w:pPr>
            <w:r>
              <w:rPr>
                <w:color w:val="000000"/>
                <w:kern w:val="0"/>
                <w:sz w:val="21"/>
                <w:szCs w:val="21"/>
              </w:rPr>
              <w:t>偏差原因</w:t>
            </w:r>
          </w:p>
          <w:p>
            <w:pPr>
              <w:widowControl/>
              <w:adjustRightInd/>
              <w:spacing w:line="280" w:lineRule="exact"/>
              <w:ind w:firstLine="0" w:firstLineChars="0"/>
              <w:jc w:val="center"/>
              <w:rPr>
                <w:color w:val="000000"/>
                <w:kern w:val="0"/>
                <w:sz w:val="21"/>
                <w:szCs w:val="21"/>
              </w:rPr>
            </w:pPr>
            <w:r>
              <w:rPr>
                <w:color w:val="000000"/>
                <w:kern w:val="0"/>
                <w:sz w:val="21"/>
                <w:szCs w:val="21"/>
              </w:rPr>
              <w:t>分析及</w:t>
            </w:r>
          </w:p>
          <w:p>
            <w:pPr>
              <w:widowControl/>
              <w:adjustRightInd/>
              <w:spacing w:line="280" w:lineRule="exact"/>
              <w:ind w:firstLine="0" w:firstLineChars="0"/>
              <w:jc w:val="center"/>
              <w:rPr>
                <w:color w:val="000000"/>
                <w:kern w:val="0"/>
                <w:sz w:val="21"/>
                <w:szCs w:val="21"/>
              </w:rPr>
            </w:pPr>
            <w:r>
              <w:rPr>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95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52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产出指标</w:t>
            </w:r>
          </w:p>
          <w:p>
            <w:pPr>
              <w:widowControl/>
              <w:adjustRightInd/>
              <w:spacing w:line="280" w:lineRule="exact"/>
              <w:ind w:firstLine="0" w:firstLineChars="0"/>
              <w:jc w:val="center"/>
              <w:rPr>
                <w:color w:val="000000"/>
                <w:kern w:val="0"/>
                <w:sz w:val="21"/>
                <w:szCs w:val="21"/>
              </w:rPr>
            </w:pPr>
            <w:r>
              <w:rPr>
                <w:color w:val="000000"/>
                <w:kern w:val="0"/>
                <w:sz w:val="21"/>
                <w:szCs w:val="21"/>
              </w:rPr>
              <w:t>(50分)</w:t>
            </w:r>
          </w:p>
        </w:tc>
        <w:tc>
          <w:tcPr>
            <w:tcW w:w="1252"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数量</w:t>
            </w:r>
          </w:p>
          <w:p>
            <w:pPr>
              <w:widowControl/>
              <w:adjustRightInd/>
              <w:spacing w:line="280" w:lineRule="exact"/>
              <w:ind w:firstLine="0" w:firstLineChars="0"/>
              <w:jc w:val="center"/>
              <w:rPr>
                <w:color w:val="000000"/>
                <w:kern w:val="0"/>
                <w:sz w:val="21"/>
                <w:szCs w:val="21"/>
              </w:rPr>
            </w:pPr>
            <w:r>
              <w:rPr>
                <w:color w:val="000000"/>
                <w:kern w:val="0"/>
                <w:sz w:val="21"/>
                <w:szCs w:val="21"/>
              </w:rPr>
              <w:t>指标</w:t>
            </w: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eastAsia"/>
                <w:color w:val="000000"/>
                <w:kern w:val="0"/>
                <w:sz w:val="21"/>
                <w:szCs w:val="21"/>
                <w:lang w:eastAsia="zh-CN"/>
              </w:rPr>
            </w:pPr>
            <w:r>
              <w:rPr>
                <w:rFonts w:hint="eastAsia"/>
                <w:color w:val="000000"/>
                <w:kern w:val="0"/>
                <w:sz w:val="21"/>
                <w:szCs w:val="21"/>
                <w:lang w:eastAsia="zh-CN"/>
              </w:rPr>
              <w:t>申报省级国家专项</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eastAsia="zh-CN"/>
              </w:rPr>
              <w:t>≥</w:t>
            </w:r>
            <w:r>
              <w:rPr>
                <w:rFonts w:hint="eastAsia"/>
                <w:color w:val="000000"/>
                <w:kern w:val="0"/>
                <w:sz w:val="21"/>
                <w:szCs w:val="21"/>
                <w:lang w:val="en-US" w:eastAsia="zh-CN"/>
              </w:rPr>
              <w:t>40项</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49项</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210" w:firstLineChars="100"/>
              <w:jc w:val="left"/>
              <w:rPr>
                <w:rFonts w:hint="default" w:eastAsia="仿宋_GB2312"/>
                <w:color w:val="000000"/>
                <w:kern w:val="0"/>
                <w:sz w:val="21"/>
                <w:szCs w:val="21"/>
                <w:lang w:val="en-US" w:eastAsia="zh-CN"/>
              </w:rPr>
            </w:pPr>
            <w:r>
              <w:rPr>
                <w:rFonts w:hint="eastAsia"/>
                <w:color w:val="000000"/>
                <w:kern w:val="0"/>
                <w:sz w:val="21"/>
                <w:szCs w:val="21"/>
                <w:lang w:val="en-US" w:eastAsia="zh-CN"/>
              </w:rPr>
              <w:t>5</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eastAsia"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95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52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252"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eastAsia" w:eastAsia="仿宋_GB2312"/>
                <w:color w:val="000000"/>
                <w:kern w:val="0"/>
                <w:sz w:val="21"/>
                <w:szCs w:val="21"/>
                <w:lang w:eastAsia="zh-CN"/>
              </w:rPr>
            </w:pPr>
            <w:r>
              <w:rPr>
                <w:rFonts w:hint="eastAsia"/>
                <w:color w:val="000000"/>
                <w:kern w:val="0"/>
                <w:sz w:val="21"/>
                <w:szCs w:val="21"/>
                <w:lang w:eastAsia="zh-CN"/>
              </w:rPr>
              <w:t>发表论文</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color w:val="000000"/>
                <w:kern w:val="0"/>
                <w:sz w:val="21"/>
                <w:szCs w:val="21"/>
                <w:lang w:val="en-US"/>
              </w:rPr>
            </w:pPr>
            <w:r>
              <w:rPr>
                <w:color w:val="000000"/>
                <w:kern w:val="0"/>
                <w:sz w:val="21"/>
                <w:szCs w:val="21"/>
              </w:rPr>
              <w:t>　</w:t>
            </w:r>
            <w:r>
              <w:rPr>
                <w:rFonts w:hint="eastAsia"/>
                <w:color w:val="000000"/>
                <w:kern w:val="0"/>
                <w:sz w:val="21"/>
                <w:szCs w:val="21"/>
                <w:lang w:eastAsia="zh-CN"/>
              </w:rPr>
              <w:t>≥</w:t>
            </w:r>
            <w:r>
              <w:rPr>
                <w:rFonts w:hint="eastAsia"/>
                <w:color w:val="000000"/>
                <w:kern w:val="0"/>
                <w:sz w:val="21"/>
                <w:szCs w:val="21"/>
                <w:lang w:val="en-US" w:eastAsia="zh-CN"/>
              </w:rPr>
              <w:t>40篇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58篇</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210" w:firstLineChars="100"/>
              <w:jc w:val="left"/>
              <w:rPr>
                <w:rFonts w:hint="eastAsia" w:eastAsia="仿宋_GB2312"/>
                <w:color w:val="000000"/>
                <w:kern w:val="0"/>
                <w:sz w:val="21"/>
                <w:szCs w:val="21"/>
                <w:lang w:val="en-US" w:eastAsia="zh-CN" w:bidi="ar-SA"/>
              </w:rPr>
            </w:pPr>
            <w:r>
              <w:rPr>
                <w:rFonts w:hint="eastAsia"/>
                <w:color w:val="000000"/>
                <w:kern w:val="0"/>
                <w:sz w:val="21"/>
                <w:szCs w:val="21"/>
                <w:lang w:val="en-US" w:eastAsia="zh-CN"/>
              </w:rPr>
              <w:t>5</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eastAsia" w:eastAsia="仿宋_GB2312"/>
                <w:color w:val="000000"/>
                <w:kern w:val="0"/>
                <w:sz w:val="21"/>
                <w:szCs w:val="21"/>
                <w:lang w:val="en-US" w:eastAsia="zh-CN" w:bidi="ar-SA"/>
              </w:rPr>
            </w:pPr>
            <w:r>
              <w:rPr>
                <w:color w:val="000000"/>
                <w:kern w:val="0"/>
                <w:sz w:val="21"/>
                <w:szCs w:val="21"/>
              </w:rPr>
              <w:t>　</w:t>
            </w:r>
            <w:r>
              <w:rPr>
                <w:rFonts w:hint="eastAsia"/>
                <w:color w:val="000000"/>
                <w:kern w:val="0"/>
                <w:sz w:val="21"/>
                <w:szCs w:val="21"/>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95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52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252" w:type="dxa"/>
            <w:vMerge w:val="restart"/>
            <w:tcBorders>
              <w:top w:val="nil"/>
              <w:left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质量</w:t>
            </w:r>
          </w:p>
          <w:p>
            <w:pPr>
              <w:widowControl/>
              <w:adjustRightInd/>
              <w:spacing w:line="280" w:lineRule="exact"/>
              <w:ind w:firstLine="0" w:firstLineChars="0"/>
              <w:jc w:val="center"/>
              <w:rPr>
                <w:color w:val="000000"/>
                <w:kern w:val="0"/>
                <w:sz w:val="21"/>
                <w:szCs w:val="21"/>
              </w:rPr>
            </w:pPr>
            <w:r>
              <w:rPr>
                <w:color w:val="000000"/>
                <w:kern w:val="0"/>
                <w:sz w:val="21"/>
                <w:szCs w:val="21"/>
              </w:rPr>
              <w:t>指标</w:t>
            </w: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eastAsia"/>
                <w:color w:val="000000"/>
                <w:kern w:val="0"/>
                <w:sz w:val="21"/>
                <w:szCs w:val="21"/>
                <w:lang w:eastAsia="zh-CN"/>
              </w:rPr>
            </w:pPr>
            <w:r>
              <w:rPr>
                <w:rFonts w:hint="eastAsia"/>
                <w:color w:val="000000"/>
                <w:kern w:val="0"/>
                <w:sz w:val="21"/>
                <w:szCs w:val="21"/>
                <w:lang w:eastAsia="zh-CN"/>
              </w:rPr>
              <w:t>完成立项</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color w:val="000000"/>
                <w:kern w:val="0"/>
                <w:sz w:val="21"/>
                <w:szCs w:val="21"/>
                <w:lang w:val="en-US"/>
              </w:rPr>
            </w:pPr>
            <w:r>
              <w:rPr>
                <w:color w:val="000000"/>
                <w:kern w:val="0"/>
                <w:sz w:val="21"/>
                <w:szCs w:val="21"/>
              </w:rPr>
              <w:t>　</w:t>
            </w:r>
            <w:r>
              <w:rPr>
                <w:rFonts w:hint="eastAsia"/>
                <w:color w:val="000000"/>
                <w:kern w:val="0"/>
                <w:sz w:val="21"/>
                <w:szCs w:val="21"/>
                <w:lang w:eastAsia="zh-CN"/>
              </w:rPr>
              <w:t>≥</w:t>
            </w:r>
            <w:r>
              <w:rPr>
                <w:rFonts w:hint="eastAsia"/>
                <w:color w:val="000000"/>
                <w:kern w:val="0"/>
                <w:sz w:val="21"/>
                <w:szCs w:val="21"/>
                <w:lang w:val="en-US" w:eastAsia="zh-CN"/>
              </w:rPr>
              <w:t>15项</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22项</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210" w:firstLineChars="100"/>
              <w:jc w:val="left"/>
              <w:rPr>
                <w:rFonts w:hint="eastAsia" w:eastAsia="仿宋_GB2312"/>
                <w:color w:val="000000"/>
                <w:kern w:val="0"/>
                <w:sz w:val="21"/>
                <w:szCs w:val="21"/>
                <w:lang w:val="en-US" w:eastAsia="zh-CN" w:bidi="ar-SA"/>
              </w:rPr>
            </w:pPr>
            <w:r>
              <w:rPr>
                <w:rFonts w:hint="eastAsia"/>
                <w:color w:val="000000"/>
                <w:kern w:val="0"/>
                <w:sz w:val="21"/>
                <w:szCs w:val="21"/>
                <w:lang w:val="en-US" w:eastAsia="zh-CN"/>
              </w:rPr>
              <w:t>10</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eastAsia" w:eastAsia="仿宋_GB2312"/>
                <w:color w:val="000000"/>
                <w:kern w:val="0"/>
                <w:sz w:val="21"/>
                <w:szCs w:val="21"/>
                <w:lang w:val="en-US" w:eastAsia="zh-CN" w:bidi="ar-SA"/>
              </w:rPr>
            </w:pPr>
            <w:r>
              <w:rPr>
                <w:color w:val="000000"/>
                <w:kern w:val="0"/>
                <w:sz w:val="21"/>
                <w:szCs w:val="21"/>
              </w:rPr>
              <w:t>　</w:t>
            </w:r>
            <w:r>
              <w:rPr>
                <w:rFonts w:hint="eastAsia"/>
                <w:color w:val="000000"/>
                <w:kern w:val="0"/>
                <w:sz w:val="21"/>
                <w:szCs w:val="21"/>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95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52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252" w:type="dxa"/>
            <w:vMerge w:val="continue"/>
            <w:tcBorders>
              <w:left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rFonts w:hint="eastAsia"/>
                <w:color w:val="000000"/>
                <w:kern w:val="0"/>
                <w:sz w:val="21"/>
                <w:szCs w:val="21"/>
                <w:lang w:val="en-US" w:eastAsia="zh-CN"/>
              </w:rPr>
              <w:t>sci</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color w:val="000000"/>
                <w:kern w:val="0"/>
                <w:sz w:val="21"/>
                <w:szCs w:val="21"/>
                <w:lang w:val="en-US"/>
              </w:rPr>
            </w:pPr>
            <w:r>
              <w:rPr>
                <w:color w:val="000000"/>
                <w:kern w:val="0"/>
                <w:sz w:val="21"/>
                <w:szCs w:val="21"/>
              </w:rPr>
              <w:t>　</w:t>
            </w:r>
            <w:r>
              <w:rPr>
                <w:rFonts w:hint="eastAsia"/>
                <w:color w:val="000000"/>
                <w:kern w:val="0"/>
                <w:sz w:val="21"/>
                <w:szCs w:val="21"/>
                <w:lang w:eastAsia="zh-CN"/>
              </w:rPr>
              <w:t>≥</w:t>
            </w:r>
            <w:r>
              <w:rPr>
                <w:rFonts w:hint="eastAsia"/>
                <w:color w:val="000000"/>
                <w:kern w:val="0"/>
                <w:sz w:val="21"/>
                <w:szCs w:val="21"/>
                <w:lang w:val="en-US" w:eastAsia="zh-CN"/>
              </w:rPr>
              <w:t>5篇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11篇</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210" w:firstLineChars="100"/>
              <w:jc w:val="left"/>
              <w:rPr>
                <w:rFonts w:hint="eastAsia" w:eastAsia="仿宋_GB2312"/>
                <w:color w:val="000000"/>
                <w:kern w:val="0"/>
                <w:sz w:val="21"/>
                <w:szCs w:val="21"/>
                <w:lang w:val="en-US" w:eastAsia="zh-CN" w:bidi="ar-SA"/>
              </w:rPr>
            </w:pPr>
            <w:r>
              <w:rPr>
                <w:rFonts w:hint="eastAsia"/>
                <w:color w:val="000000"/>
                <w:kern w:val="0"/>
                <w:sz w:val="21"/>
                <w:szCs w:val="21"/>
                <w:lang w:val="en-US" w:eastAsia="zh-CN"/>
              </w:rPr>
              <w:t>10</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eastAsia" w:eastAsia="仿宋_GB2312"/>
                <w:color w:val="000000"/>
                <w:kern w:val="0"/>
                <w:sz w:val="21"/>
                <w:szCs w:val="21"/>
                <w:lang w:val="en-US" w:eastAsia="zh-CN" w:bidi="ar-SA"/>
              </w:rPr>
            </w:pPr>
            <w:r>
              <w:rPr>
                <w:color w:val="000000"/>
                <w:kern w:val="0"/>
                <w:sz w:val="21"/>
                <w:szCs w:val="21"/>
              </w:rPr>
              <w:t>　</w:t>
            </w:r>
            <w:r>
              <w:rPr>
                <w:rFonts w:hint="eastAsia"/>
                <w:color w:val="000000"/>
                <w:kern w:val="0"/>
                <w:sz w:val="21"/>
                <w:szCs w:val="21"/>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95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52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252" w:type="dxa"/>
            <w:vMerge w:val="continue"/>
            <w:tcBorders>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eastAsia"/>
                <w:color w:val="000000"/>
                <w:kern w:val="0"/>
                <w:sz w:val="21"/>
                <w:szCs w:val="21"/>
                <w:lang w:val="en-US" w:eastAsia="zh-CN"/>
              </w:rPr>
            </w:pPr>
            <w:r>
              <w:rPr>
                <w:rFonts w:hint="eastAsia"/>
                <w:color w:val="000000"/>
                <w:kern w:val="0"/>
                <w:sz w:val="21"/>
                <w:szCs w:val="21"/>
                <w:lang w:val="en-US" w:eastAsia="zh-CN"/>
              </w:rPr>
              <w:t>编制标准</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rFonts w:hint="eastAsia"/>
                <w:color w:val="000000"/>
                <w:kern w:val="0"/>
                <w:sz w:val="21"/>
                <w:szCs w:val="21"/>
                <w:lang w:val="en-US" w:eastAsia="zh-CN"/>
              </w:rPr>
              <w:t xml:space="preserve">  </w:t>
            </w:r>
            <w:r>
              <w:rPr>
                <w:rFonts w:hint="eastAsia"/>
                <w:color w:val="000000"/>
                <w:kern w:val="0"/>
                <w:sz w:val="21"/>
                <w:szCs w:val="21"/>
                <w:lang w:eastAsia="zh-CN"/>
              </w:rPr>
              <w:t>≥</w:t>
            </w:r>
            <w:r>
              <w:rPr>
                <w:rFonts w:hint="eastAsia"/>
                <w:color w:val="000000"/>
                <w:kern w:val="0"/>
                <w:sz w:val="21"/>
                <w:szCs w:val="21"/>
                <w:lang w:val="en-US" w:eastAsia="zh-CN"/>
              </w:rPr>
              <w:t>3项</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rFonts w:hint="eastAsia"/>
                <w:color w:val="000000"/>
                <w:kern w:val="0"/>
                <w:sz w:val="21"/>
                <w:szCs w:val="21"/>
                <w:lang w:val="en-US" w:eastAsia="zh-CN"/>
              </w:rPr>
              <w:t xml:space="preserve">  6项</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210" w:firstLineChars="100"/>
              <w:jc w:val="left"/>
              <w:rPr>
                <w:rFonts w:hint="default" w:eastAsia="仿宋_GB2312"/>
                <w:color w:val="000000"/>
                <w:kern w:val="0"/>
                <w:sz w:val="21"/>
                <w:szCs w:val="21"/>
                <w:lang w:val="en-US" w:eastAsia="zh-CN" w:bidi="ar-SA"/>
              </w:rPr>
            </w:pPr>
            <w:r>
              <w:rPr>
                <w:rFonts w:hint="eastAsia"/>
                <w:color w:val="000000"/>
                <w:kern w:val="0"/>
                <w:sz w:val="21"/>
                <w:szCs w:val="21"/>
                <w:lang w:val="en-US" w:eastAsia="zh-CN"/>
              </w:rPr>
              <w:t>10</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eastAsia" w:eastAsia="仿宋_GB2312"/>
                <w:color w:val="000000"/>
                <w:kern w:val="0"/>
                <w:sz w:val="21"/>
                <w:szCs w:val="21"/>
                <w:lang w:val="en-US" w:eastAsia="zh-CN" w:bidi="ar-SA"/>
              </w:rPr>
            </w:pPr>
            <w:r>
              <w:rPr>
                <w:color w:val="000000"/>
                <w:kern w:val="0"/>
                <w:sz w:val="21"/>
                <w:szCs w:val="21"/>
              </w:rPr>
              <w:t>　</w:t>
            </w:r>
            <w:r>
              <w:rPr>
                <w:rFonts w:hint="eastAsia"/>
                <w:color w:val="000000"/>
                <w:kern w:val="0"/>
                <w:sz w:val="21"/>
                <w:szCs w:val="21"/>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95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52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252"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时效</w:t>
            </w:r>
          </w:p>
          <w:p>
            <w:pPr>
              <w:widowControl/>
              <w:adjustRightInd/>
              <w:spacing w:line="280" w:lineRule="exact"/>
              <w:ind w:firstLine="0" w:firstLineChars="0"/>
              <w:jc w:val="center"/>
              <w:rPr>
                <w:color w:val="000000"/>
                <w:kern w:val="0"/>
                <w:sz w:val="21"/>
                <w:szCs w:val="21"/>
              </w:rPr>
            </w:pPr>
            <w:r>
              <w:rPr>
                <w:color w:val="000000"/>
                <w:kern w:val="0"/>
                <w:sz w:val="21"/>
                <w:szCs w:val="21"/>
              </w:rPr>
              <w:t>指标</w:t>
            </w: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eastAsia" w:eastAsia="仿宋_GB2312"/>
                <w:color w:val="000000"/>
                <w:kern w:val="0"/>
                <w:sz w:val="21"/>
                <w:szCs w:val="21"/>
                <w:lang w:eastAsia="zh-CN"/>
              </w:rPr>
            </w:pPr>
            <w:r>
              <w:rPr>
                <w:rFonts w:hint="eastAsia"/>
                <w:color w:val="000000"/>
                <w:kern w:val="0"/>
                <w:sz w:val="21"/>
                <w:szCs w:val="21"/>
                <w:lang w:eastAsia="zh-CN"/>
              </w:rPr>
              <w:t>完成时间</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eastAsia" w:eastAsia="仿宋_GB2312"/>
                <w:color w:val="000000"/>
                <w:kern w:val="0"/>
                <w:sz w:val="21"/>
                <w:szCs w:val="21"/>
                <w:lang w:eastAsia="zh-CN"/>
              </w:rPr>
            </w:pPr>
            <w:r>
              <w:rPr>
                <w:color w:val="000000"/>
                <w:kern w:val="0"/>
                <w:sz w:val="21"/>
                <w:szCs w:val="21"/>
              </w:rPr>
              <w:t>　</w:t>
            </w:r>
            <w:r>
              <w:rPr>
                <w:rFonts w:hint="eastAsia"/>
                <w:color w:val="000000"/>
                <w:kern w:val="0"/>
                <w:sz w:val="21"/>
                <w:szCs w:val="21"/>
                <w:lang w:eastAsia="zh-CN"/>
              </w:rPr>
              <w:t>本年</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eastAsia" w:eastAsia="仿宋_GB2312"/>
                <w:color w:val="000000"/>
                <w:kern w:val="0"/>
                <w:sz w:val="21"/>
                <w:szCs w:val="21"/>
                <w:lang w:eastAsia="zh-CN"/>
              </w:rPr>
            </w:pPr>
            <w:r>
              <w:rPr>
                <w:color w:val="000000"/>
                <w:kern w:val="0"/>
                <w:sz w:val="21"/>
                <w:szCs w:val="21"/>
              </w:rPr>
              <w:t>　</w:t>
            </w:r>
            <w:r>
              <w:rPr>
                <w:rFonts w:hint="eastAsia"/>
                <w:color w:val="000000"/>
                <w:kern w:val="0"/>
                <w:sz w:val="21"/>
                <w:szCs w:val="21"/>
                <w:lang w:eastAsia="zh-CN"/>
              </w:rPr>
              <w:t>本年</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eastAsia"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5</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eastAsia"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95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52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252"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成本</w:t>
            </w:r>
          </w:p>
          <w:p>
            <w:pPr>
              <w:widowControl/>
              <w:adjustRightInd/>
              <w:spacing w:line="280" w:lineRule="exact"/>
              <w:ind w:firstLine="0" w:firstLineChars="0"/>
              <w:jc w:val="center"/>
              <w:rPr>
                <w:color w:val="000000"/>
                <w:kern w:val="0"/>
                <w:sz w:val="21"/>
                <w:szCs w:val="21"/>
              </w:rPr>
            </w:pPr>
            <w:r>
              <w:rPr>
                <w:color w:val="000000"/>
                <w:kern w:val="0"/>
                <w:sz w:val="21"/>
                <w:szCs w:val="21"/>
              </w:rPr>
              <w:t>指标</w:t>
            </w: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eastAsia" w:eastAsia="仿宋_GB2312"/>
                <w:color w:val="000000"/>
                <w:kern w:val="0"/>
                <w:sz w:val="21"/>
                <w:szCs w:val="21"/>
                <w:lang w:eastAsia="zh-CN"/>
              </w:rPr>
            </w:pPr>
            <w:r>
              <w:rPr>
                <w:rFonts w:hint="eastAsia"/>
                <w:color w:val="000000"/>
                <w:kern w:val="0"/>
                <w:sz w:val="21"/>
                <w:szCs w:val="21"/>
                <w:lang w:eastAsia="zh-CN"/>
              </w:rPr>
              <w:t>预算内完成</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eastAsia" w:eastAsia="仿宋_GB2312"/>
                <w:color w:val="000000"/>
                <w:kern w:val="0"/>
                <w:sz w:val="21"/>
                <w:szCs w:val="21"/>
                <w:lang w:eastAsia="zh-CN"/>
              </w:rPr>
            </w:pPr>
            <w:r>
              <w:rPr>
                <w:color w:val="000000"/>
                <w:kern w:val="0"/>
                <w:sz w:val="21"/>
                <w:szCs w:val="21"/>
              </w:rPr>
              <w:t>　</w:t>
            </w:r>
            <w:r>
              <w:rPr>
                <w:rFonts w:hint="eastAsia"/>
                <w:color w:val="000000"/>
                <w:kern w:val="0"/>
                <w:sz w:val="21"/>
                <w:szCs w:val="21"/>
                <w:lang w:eastAsia="zh-CN"/>
              </w:rPr>
              <w:t>预算内完成</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eastAsia" w:eastAsia="仿宋_GB2312"/>
                <w:color w:val="000000"/>
                <w:kern w:val="0"/>
                <w:sz w:val="21"/>
                <w:szCs w:val="21"/>
                <w:lang w:eastAsia="zh-CN"/>
              </w:rPr>
            </w:pPr>
            <w:r>
              <w:rPr>
                <w:color w:val="000000"/>
                <w:kern w:val="0"/>
                <w:sz w:val="21"/>
                <w:szCs w:val="21"/>
              </w:rPr>
              <w:t>　</w:t>
            </w:r>
            <w:r>
              <w:rPr>
                <w:rFonts w:hint="eastAsia"/>
                <w:color w:val="000000"/>
                <w:kern w:val="0"/>
                <w:sz w:val="21"/>
                <w:szCs w:val="21"/>
                <w:lang w:eastAsia="zh-CN"/>
              </w:rPr>
              <w:t>预算内完成</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eastAsia"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5</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eastAsia"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95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52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效益指标</w:t>
            </w:r>
          </w:p>
          <w:p>
            <w:pPr>
              <w:widowControl/>
              <w:adjustRightInd/>
              <w:spacing w:line="280" w:lineRule="exact"/>
              <w:ind w:firstLine="210" w:firstLineChars="100"/>
              <w:jc w:val="left"/>
              <w:rPr>
                <w:color w:val="000000"/>
                <w:kern w:val="0"/>
                <w:sz w:val="21"/>
                <w:szCs w:val="21"/>
              </w:rPr>
            </w:pPr>
            <w:r>
              <w:rPr>
                <w:color w:val="000000"/>
                <w:kern w:val="0"/>
                <w:sz w:val="21"/>
                <w:szCs w:val="21"/>
              </w:rPr>
              <w:t>（30分）　</w:t>
            </w:r>
          </w:p>
        </w:tc>
        <w:tc>
          <w:tcPr>
            <w:tcW w:w="1252"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经济效</w:t>
            </w:r>
          </w:p>
          <w:p>
            <w:pPr>
              <w:widowControl/>
              <w:adjustRightInd/>
              <w:spacing w:line="280" w:lineRule="exact"/>
              <w:ind w:firstLine="0" w:firstLineChars="0"/>
              <w:jc w:val="center"/>
              <w:rPr>
                <w:color w:val="000000"/>
                <w:kern w:val="0"/>
                <w:sz w:val="21"/>
                <w:szCs w:val="21"/>
              </w:rPr>
            </w:pPr>
            <w:r>
              <w:rPr>
                <w:color w:val="000000"/>
                <w:kern w:val="0"/>
                <w:sz w:val="21"/>
                <w:szCs w:val="21"/>
              </w:rPr>
              <w:t>益指标</w:t>
            </w: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eastAsia" w:eastAsia="仿宋_GB2312"/>
                <w:color w:val="000000"/>
                <w:kern w:val="0"/>
                <w:sz w:val="21"/>
                <w:szCs w:val="21"/>
                <w:lang w:eastAsia="zh-CN"/>
              </w:rPr>
            </w:pPr>
            <w:r>
              <w:rPr>
                <w:rFonts w:hint="eastAsia"/>
                <w:color w:val="000000"/>
                <w:kern w:val="0"/>
                <w:sz w:val="21"/>
                <w:szCs w:val="21"/>
                <w:lang w:eastAsia="zh-CN"/>
              </w:rPr>
              <w:t>到位科研经费</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210" w:firstLineChars="100"/>
              <w:jc w:val="left"/>
              <w:rPr>
                <w:color w:val="000000"/>
                <w:kern w:val="0"/>
                <w:sz w:val="21"/>
                <w:szCs w:val="21"/>
              </w:rPr>
            </w:pPr>
            <w:r>
              <w:rPr>
                <w:rFonts w:hint="eastAsia"/>
                <w:color w:val="000000"/>
                <w:kern w:val="0"/>
                <w:sz w:val="21"/>
                <w:szCs w:val="21"/>
                <w:lang w:eastAsia="zh-CN"/>
              </w:rPr>
              <w:t>≥</w:t>
            </w:r>
            <w:r>
              <w:rPr>
                <w:rFonts w:hint="eastAsia"/>
                <w:color w:val="000000"/>
                <w:kern w:val="0"/>
                <w:sz w:val="21"/>
                <w:szCs w:val="21"/>
                <w:lang w:val="en-US" w:eastAsia="zh-CN"/>
              </w:rPr>
              <w:t>1000万元</w:t>
            </w: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1220万元</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10</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95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52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252"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社会效</w:t>
            </w:r>
          </w:p>
          <w:p>
            <w:pPr>
              <w:widowControl/>
              <w:adjustRightInd/>
              <w:spacing w:line="280" w:lineRule="exact"/>
              <w:ind w:firstLine="0" w:firstLineChars="0"/>
              <w:jc w:val="center"/>
              <w:rPr>
                <w:color w:val="000000"/>
                <w:kern w:val="0"/>
                <w:sz w:val="21"/>
                <w:szCs w:val="21"/>
              </w:rPr>
            </w:pPr>
            <w:r>
              <w:rPr>
                <w:color w:val="000000"/>
                <w:kern w:val="0"/>
                <w:sz w:val="21"/>
                <w:szCs w:val="21"/>
              </w:rPr>
              <w:t>益指标</w:t>
            </w: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rFonts w:hint="eastAsia" w:ascii="Times New Roman" w:hAnsi="Times New Roman" w:cs="Times New Roman"/>
                <w:color w:val="000000"/>
                <w:kern w:val="0"/>
                <w:sz w:val="21"/>
                <w:szCs w:val="21"/>
              </w:rPr>
              <w:t>多项畜牧兽医领域技术研究取得阶段性突破，在畜禽遗传资源挖掘、品种选育、饲料资源评价、动物疫病综合防控、养殖粪污资源化利用等方面为产业发展提供的技术支撑，促进我省养殖业高质量发展</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eastAsia" w:eastAsia="仿宋_GB2312"/>
                <w:color w:val="000000"/>
                <w:kern w:val="0"/>
                <w:sz w:val="21"/>
                <w:szCs w:val="21"/>
                <w:lang w:eastAsia="zh-CN"/>
              </w:rPr>
            </w:pPr>
            <w:r>
              <w:rPr>
                <w:rFonts w:hint="eastAsia"/>
                <w:color w:val="000000"/>
                <w:kern w:val="0"/>
                <w:sz w:val="21"/>
                <w:szCs w:val="21"/>
                <w:lang w:eastAsia="zh-CN"/>
              </w:rPr>
              <w:t>取得突破</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eastAsia" w:eastAsia="仿宋_GB2312"/>
                <w:color w:val="000000"/>
                <w:kern w:val="0"/>
                <w:sz w:val="21"/>
                <w:szCs w:val="21"/>
                <w:lang w:eastAsia="zh-CN"/>
              </w:rPr>
            </w:pPr>
            <w:r>
              <w:rPr>
                <w:color w:val="000000"/>
                <w:kern w:val="0"/>
                <w:sz w:val="21"/>
                <w:szCs w:val="21"/>
              </w:rPr>
              <w:t>　</w:t>
            </w:r>
            <w:r>
              <w:rPr>
                <w:rFonts w:hint="eastAsia"/>
                <w:color w:val="000000"/>
                <w:kern w:val="0"/>
                <w:sz w:val="21"/>
                <w:szCs w:val="21"/>
                <w:lang w:eastAsia="zh-CN"/>
              </w:rPr>
              <w:t>取得突破</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10</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95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52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252"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生态效</w:t>
            </w:r>
          </w:p>
          <w:p>
            <w:pPr>
              <w:widowControl/>
              <w:adjustRightInd/>
              <w:spacing w:line="280" w:lineRule="exact"/>
              <w:ind w:firstLine="0" w:firstLineChars="0"/>
              <w:jc w:val="center"/>
              <w:rPr>
                <w:color w:val="000000"/>
                <w:kern w:val="0"/>
                <w:sz w:val="21"/>
                <w:szCs w:val="21"/>
              </w:rPr>
            </w:pPr>
            <w:r>
              <w:rPr>
                <w:color w:val="000000"/>
                <w:kern w:val="0"/>
                <w:sz w:val="21"/>
                <w:szCs w:val="21"/>
              </w:rPr>
              <w:t>益指标</w:t>
            </w: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eastAsia" w:eastAsia="仿宋_GB2312"/>
                <w:color w:val="000000"/>
                <w:kern w:val="0"/>
                <w:sz w:val="21"/>
                <w:szCs w:val="21"/>
                <w:lang w:eastAsia="zh-CN"/>
              </w:rPr>
            </w:pPr>
            <w:r>
              <w:rPr>
                <w:rFonts w:hint="eastAsia"/>
                <w:color w:val="000000"/>
                <w:kern w:val="0"/>
                <w:sz w:val="21"/>
                <w:szCs w:val="21"/>
                <w:lang w:eastAsia="zh-CN"/>
              </w:rPr>
              <w:t>绿色科研</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rFonts w:hint="eastAsia"/>
                <w:color w:val="000000"/>
                <w:kern w:val="0"/>
                <w:sz w:val="21"/>
                <w:szCs w:val="21"/>
                <w:lang w:eastAsia="zh-CN"/>
              </w:rPr>
              <w:t>减少污染</w:t>
            </w: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eastAsia" w:eastAsia="仿宋_GB2312"/>
                <w:color w:val="000000"/>
                <w:kern w:val="0"/>
                <w:sz w:val="21"/>
                <w:szCs w:val="21"/>
                <w:lang w:eastAsia="zh-CN"/>
              </w:rPr>
            </w:pPr>
            <w:r>
              <w:rPr>
                <w:rFonts w:hint="eastAsia"/>
                <w:color w:val="000000"/>
                <w:kern w:val="0"/>
                <w:sz w:val="21"/>
                <w:szCs w:val="21"/>
                <w:lang w:eastAsia="zh-CN"/>
              </w:rPr>
              <w:t>污染减少</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5</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95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52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252"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可持续影响指标</w:t>
            </w: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rFonts w:hint="eastAsia"/>
                <w:color w:val="000000"/>
                <w:kern w:val="0"/>
                <w:sz w:val="21"/>
                <w:szCs w:val="21"/>
              </w:rPr>
              <w:t>明确镉污染饲料对山羊健康影响的安全临界值，为污染秸秆资源化利用提供科学指导</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eastAsia" w:eastAsia="仿宋_GB2312"/>
                <w:color w:val="000000"/>
                <w:kern w:val="0"/>
                <w:sz w:val="21"/>
                <w:szCs w:val="21"/>
                <w:lang w:eastAsia="zh-CN"/>
              </w:rPr>
            </w:pPr>
            <w:r>
              <w:rPr>
                <w:color w:val="000000"/>
                <w:kern w:val="0"/>
                <w:sz w:val="21"/>
                <w:szCs w:val="21"/>
              </w:rPr>
              <w:t>　</w:t>
            </w:r>
            <w:r>
              <w:rPr>
                <w:rFonts w:hint="eastAsia"/>
                <w:color w:val="000000"/>
                <w:kern w:val="0"/>
                <w:sz w:val="21"/>
                <w:szCs w:val="21"/>
                <w:lang w:eastAsia="zh-CN"/>
              </w:rPr>
              <w:t>完成</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eastAsia" w:eastAsia="仿宋_GB2312"/>
                <w:color w:val="000000"/>
                <w:kern w:val="0"/>
                <w:sz w:val="21"/>
                <w:szCs w:val="21"/>
                <w:lang w:eastAsia="zh-CN"/>
              </w:rPr>
            </w:pPr>
            <w:r>
              <w:rPr>
                <w:color w:val="000000"/>
                <w:kern w:val="0"/>
                <w:sz w:val="21"/>
                <w:szCs w:val="21"/>
              </w:rPr>
              <w:t>　</w:t>
            </w:r>
            <w:r>
              <w:rPr>
                <w:rFonts w:hint="eastAsia"/>
                <w:color w:val="000000"/>
                <w:kern w:val="0"/>
                <w:sz w:val="21"/>
                <w:szCs w:val="21"/>
                <w:lang w:eastAsia="zh-CN"/>
              </w:rPr>
              <w:t>完成</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210" w:firstLineChars="100"/>
              <w:jc w:val="left"/>
              <w:rPr>
                <w:rFonts w:hint="default" w:eastAsia="仿宋_GB2312"/>
                <w:color w:val="000000"/>
                <w:kern w:val="0"/>
                <w:sz w:val="21"/>
                <w:szCs w:val="21"/>
                <w:lang w:val="en-US" w:eastAsia="zh-CN" w:bidi="ar-SA"/>
              </w:rPr>
            </w:pPr>
            <w:r>
              <w:rPr>
                <w:rFonts w:hint="eastAsia"/>
                <w:color w:val="000000"/>
                <w:kern w:val="0"/>
                <w:sz w:val="21"/>
                <w:szCs w:val="21"/>
                <w:lang w:val="en-US" w:eastAsia="zh-CN"/>
              </w:rPr>
              <w:t>5</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bidi="ar-SA"/>
              </w:rPr>
            </w:pPr>
            <w:r>
              <w:rPr>
                <w:color w:val="000000"/>
                <w:kern w:val="0"/>
                <w:sz w:val="21"/>
                <w:szCs w:val="21"/>
              </w:rPr>
              <w:t>　</w:t>
            </w:r>
            <w:r>
              <w:rPr>
                <w:rFonts w:hint="eastAsia"/>
                <w:color w:val="000000"/>
                <w:kern w:val="0"/>
                <w:sz w:val="21"/>
                <w:szCs w:val="21"/>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955"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52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满意度</w:t>
            </w:r>
          </w:p>
          <w:p>
            <w:pPr>
              <w:widowControl/>
              <w:adjustRightInd/>
              <w:spacing w:line="280" w:lineRule="exact"/>
              <w:ind w:firstLine="0" w:firstLineChars="0"/>
              <w:jc w:val="center"/>
              <w:rPr>
                <w:color w:val="000000"/>
                <w:kern w:val="0"/>
                <w:sz w:val="21"/>
                <w:szCs w:val="21"/>
              </w:rPr>
            </w:pPr>
            <w:r>
              <w:rPr>
                <w:color w:val="000000"/>
                <w:kern w:val="0"/>
                <w:sz w:val="21"/>
                <w:szCs w:val="21"/>
              </w:rPr>
              <w:t>指标</w:t>
            </w:r>
          </w:p>
          <w:p>
            <w:pPr>
              <w:widowControl/>
              <w:adjustRightInd/>
              <w:spacing w:line="280" w:lineRule="exact"/>
              <w:ind w:firstLine="0" w:firstLineChars="0"/>
              <w:jc w:val="center"/>
              <w:rPr>
                <w:color w:val="000000"/>
                <w:kern w:val="0"/>
                <w:sz w:val="21"/>
                <w:szCs w:val="21"/>
              </w:rPr>
            </w:pPr>
            <w:r>
              <w:rPr>
                <w:color w:val="000000"/>
                <w:kern w:val="0"/>
                <w:sz w:val="21"/>
                <w:szCs w:val="21"/>
              </w:rPr>
              <w:t>（10分）</w:t>
            </w:r>
          </w:p>
        </w:tc>
        <w:tc>
          <w:tcPr>
            <w:tcW w:w="1252"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服务对象满意度指标</w:t>
            </w: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eastAsia" w:eastAsia="仿宋_GB2312"/>
                <w:color w:val="000000"/>
                <w:kern w:val="0"/>
                <w:sz w:val="21"/>
                <w:szCs w:val="21"/>
                <w:lang w:eastAsia="zh-CN"/>
              </w:rPr>
            </w:pPr>
            <w:r>
              <w:rPr>
                <w:rFonts w:hint="eastAsia"/>
                <w:color w:val="000000"/>
                <w:kern w:val="0"/>
                <w:sz w:val="21"/>
                <w:szCs w:val="21"/>
                <w:lang w:eastAsia="zh-CN"/>
              </w:rPr>
              <w:t>服务对象满意度</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color w:val="000000"/>
                <w:kern w:val="0"/>
                <w:sz w:val="21"/>
                <w:szCs w:val="21"/>
                <w:lang w:val="en-US"/>
              </w:rPr>
            </w:pPr>
            <w:r>
              <w:rPr>
                <w:color w:val="000000"/>
                <w:kern w:val="0"/>
                <w:sz w:val="21"/>
                <w:szCs w:val="21"/>
              </w:rPr>
              <w:t>　</w:t>
            </w:r>
            <w:r>
              <w:rPr>
                <w:rFonts w:hint="eastAsia"/>
                <w:color w:val="000000"/>
                <w:kern w:val="0"/>
                <w:sz w:val="21"/>
                <w:szCs w:val="21"/>
                <w:lang w:eastAsia="zh-CN"/>
              </w:rPr>
              <w:t>≥</w:t>
            </w:r>
            <w:r>
              <w:rPr>
                <w:rFonts w:hint="eastAsia"/>
                <w:color w:val="000000"/>
                <w:kern w:val="0"/>
                <w:sz w:val="21"/>
                <w:szCs w:val="21"/>
                <w:lang w:val="en-US" w:eastAsia="zh-CN"/>
              </w:rPr>
              <w:t>90%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90%</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210" w:firstLineChars="100"/>
              <w:jc w:val="left"/>
              <w:rPr>
                <w:rFonts w:hint="default" w:eastAsia="仿宋_GB2312"/>
                <w:color w:val="000000"/>
                <w:kern w:val="0"/>
                <w:sz w:val="21"/>
                <w:szCs w:val="21"/>
                <w:lang w:val="en-US" w:eastAsia="zh-CN" w:bidi="ar-SA"/>
              </w:rPr>
            </w:pPr>
            <w:r>
              <w:rPr>
                <w:rFonts w:hint="eastAsia"/>
                <w:color w:val="000000"/>
                <w:kern w:val="0"/>
                <w:sz w:val="21"/>
                <w:szCs w:val="21"/>
                <w:lang w:val="en-US" w:eastAsia="zh-CN"/>
              </w:rPr>
              <w:t>10</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bidi="ar-SA"/>
              </w:rPr>
            </w:pPr>
            <w:r>
              <w:rPr>
                <w:color w:val="000000"/>
                <w:kern w:val="0"/>
                <w:sz w:val="21"/>
                <w:szCs w:val="21"/>
              </w:rPr>
              <w:t>　</w:t>
            </w:r>
            <w:r>
              <w:rPr>
                <w:rFonts w:hint="eastAsia"/>
                <w:color w:val="000000"/>
                <w:kern w:val="0"/>
                <w:sz w:val="21"/>
                <w:szCs w:val="21"/>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270" w:type="dxa"/>
            <w:gridSpan w:val="7"/>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总分</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100</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90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bl>
    <w:p>
      <w:pPr>
        <w:widowControl/>
        <w:adjustRightInd/>
        <w:snapToGrid/>
        <w:spacing w:line="240" w:lineRule="auto"/>
        <w:ind w:firstLine="0" w:firstLineChars="0"/>
        <w:jc w:val="left"/>
        <w:rPr>
          <w:rFonts w:eastAsia="黑体"/>
          <w:szCs w:val="32"/>
        </w:rPr>
      </w:pPr>
      <w:r>
        <w:rPr>
          <w:rFonts w:eastAsia="黑体"/>
          <w:szCs w:val="32"/>
        </w:rPr>
        <w:t xml:space="preserve"> </w:t>
      </w:r>
    </w:p>
    <w:p>
      <w:pPr>
        <w:pStyle w:val="2"/>
        <w:spacing w:before="144" w:beforeLines="25" w:after="144" w:afterLines="25" w:line="500" w:lineRule="exact"/>
        <w:jc w:val="left"/>
        <w:rPr>
          <w:rFonts w:eastAsia="黑体"/>
          <w:sz w:val="32"/>
          <w:szCs w:val="32"/>
        </w:rPr>
      </w:pPr>
    </w:p>
    <w:p>
      <w:pPr>
        <w:pStyle w:val="2"/>
        <w:spacing w:before="144" w:beforeLines="25" w:after="144" w:afterLines="25" w:line="500" w:lineRule="exact"/>
        <w:jc w:val="left"/>
        <w:rPr>
          <w:rFonts w:eastAsia="黑体"/>
          <w:sz w:val="32"/>
          <w:szCs w:val="32"/>
        </w:rPr>
      </w:pPr>
    </w:p>
    <w:p>
      <w:pPr>
        <w:pStyle w:val="2"/>
        <w:spacing w:before="144" w:beforeLines="25" w:after="144" w:afterLines="25" w:line="500" w:lineRule="exact"/>
        <w:jc w:val="left"/>
        <w:rPr>
          <w:rFonts w:eastAsia="黑体"/>
          <w:sz w:val="32"/>
          <w:szCs w:val="32"/>
        </w:rPr>
      </w:pPr>
    </w:p>
    <w:p>
      <w:pPr>
        <w:pStyle w:val="2"/>
        <w:spacing w:before="144" w:beforeLines="25" w:after="144" w:afterLines="25" w:line="500" w:lineRule="exact"/>
        <w:jc w:val="left"/>
        <w:rPr>
          <w:rFonts w:eastAsia="黑体"/>
          <w:sz w:val="32"/>
          <w:szCs w:val="32"/>
        </w:rPr>
      </w:pPr>
    </w:p>
    <w:p>
      <w:pPr>
        <w:pStyle w:val="2"/>
        <w:spacing w:before="144" w:beforeLines="25" w:after="144" w:afterLines="25" w:line="500" w:lineRule="exact"/>
        <w:jc w:val="left"/>
        <w:rPr>
          <w:rFonts w:eastAsia="黑体"/>
          <w:sz w:val="32"/>
          <w:szCs w:val="32"/>
        </w:rPr>
      </w:pPr>
    </w:p>
    <w:p>
      <w:pPr>
        <w:pStyle w:val="2"/>
        <w:spacing w:before="144" w:beforeLines="25" w:after="144" w:afterLines="25" w:line="500" w:lineRule="exact"/>
        <w:jc w:val="left"/>
        <w:rPr>
          <w:rFonts w:eastAsia="黑体"/>
          <w:sz w:val="32"/>
          <w:szCs w:val="32"/>
        </w:rPr>
      </w:pPr>
    </w:p>
    <w:p>
      <w:pPr>
        <w:pStyle w:val="2"/>
        <w:spacing w:before="144" w:beforeLines="25" w:after="144" w:afterLines="25" w:line="500" w:lineRule="exact"/>
        <w:jc w:val="left"/>
        <w:rPr>
          <w:sz w:val="36"/>
          <w:szCs w:val="36"/>
        </w:rPr>
      </w:pPr>
      <w:r>
        <w:rPr>
          <w:rFonts w:eastAsia="黑体"/>
          <w:sz w:val="32"/>
          <w:szCs w:val="32"/>
        </w:rPr>
        <w:t>附件</w:t>
      </w:r>
      <w:r>
        <w:rPr>
          <w:rFonts w:hint="eastAsia" w:eastAsia="黑体"/>
          <w:sz w:val="32"/>
          <w:szCs w:val="32"/>
          <w:lang w:val="en-US" w:eastAsia="zh-CN"/>
        </w:rPr>
        <w:t>3：</w:t>
      </w:r>
    </w:p>
    <w:p>
      <w:pPr>
        <w:pStyle w:val="2"/>
        <w:spacing w:before="144" w:beforeLines="25" w:line="500" w:lineRule="exact"/>
        <w:rPr>
          <w:sz w:val="36"/>
          <w:szCs w:val="36"/>
        </w:rPr>
      </w:pPr>
      <w:r>
        <w:rPr>
          <w:sz w:val="36"/>
          <w:szCs w:val="36"/>
        </w:rPr>
        <w:t>项目支出绩效自评表</w:t>
      </w:r>
    </w:p>
    <w:p>
      <w:pPr>
        <w:widowControl/>
        <w:adjustRightInd/>
        <w:snapToGrid/>
        <w:spacing w:line="240" w:lineRule="auto"/>
        <w:ind w:firstLine="0" w:firstLineChars="0"/>
        <w:jc w:val="center"/>
        <w:rPr>
          <w:color w:val="000000"/>
          <w:kern w:val="0"/>
          <w:sz w:val="21"/>
          <w:szCs w:val="21"/>
        </w:rPr>
      </w:pPr>
      <w:r>
        <w:rPr>
          <w:color w:val="000000"/>
          <w:kern w:val="0"/>
          <w:sz w:val="21"/>
          <w:szCs w:val="21"/>
        </w:rPr>
        <w:t>（</w:t>
      </w:r>
      <w:r>
        <w:rPr>
          <w:rFonts w:hint="eastAsia"/>
          <w:color w:val="000000"/>
          <w:kern w:val="0"/>
          <w:sz w:val="21"/>
          <w:szCs w:val="21"/>
          <w:lang w:val="en-US" w:eastAsia="zh-CN"/>
        </w:rPr>
        <w:t>2024</w:t>
      </w:r>
      <w:r>
        <w:rPr>
          <w:color w:val="000000"/>
          <w:kern w:val="0"/>
          <w:sz w:val="21"/>
          <w:szCs w:val="21"/>
        </w:rPr>
        <w:t>年度）</w:t>
      </w:r>
    </w:p>
    <w:tbl>
      <w:tblPr>
        <w:tblStyle w:val="10"/>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80"/>
        <w:gridCol w:w="1080"/>
        <w:gridCol w:w="1149"/>
        <w:gridCol w:w="1290"/>
        <w:gridCol w:w="1053"/>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项目支</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eastAsia="zh-CN"/>
              </w:rPr>
              <w:t>省级专项资金</w:t>
            </w: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主管部门</w:t>
            </w:r>
          </w:p>
        </w:tc>
        <w:tc>
          <w:tcPr>
            <w:tcW w:w="4599"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eastAsia="zh-CN"/>
              </w:rPr>
            </w:pPr>
            <w:r>
              <w:rPr>
                <w:color w:val="000000"/>
                <w:kern w:val="0"/>
                <w:sz w:val="21"/>
                <w:szCs w:val="21"/>
              </w:rPr>
              <w:t>　</w:t>
            </w:r>
            <w:r>
              <w:rPr>
                <w:rFonts w:hint="eastAsia"/>
                <w:color w:val="000000"/>
                <w:kern w:val="0"/>
                <w:sz w:val="21"/>
                <w:szCs w:val="21"/>
                <w:lang w:eastAsia="zh-CN"/>
              </w:rPr>
              <w:t>湖南省农业农村厅</w:t>
            </w:r>
          </w:p>
        </w:tc>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实施单位</w:t>
            </w:r>
          </w:p>
        </w:tc>
        <w:tc>
          <w:tcPr>
            <w:tcW w:w="3119" w:type="dxa"/>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eastAsia="zh-CN"/>
              </w:rPr>
            </w:pPr>
            <w:r>
              <w:rPr>
                <w:color w:val="000000"/>
                <w:kern w:val="0"/>
                <w:sz w:val="21"/>
                <w:szCs w:val="21"/>
              </w:rPr>
              <w:t>　</w:t>
            </w:r>
            <w:r>
              <w:rPr>
                <w:rFonts w:hint="eastAsia"/>
                <w:color w:val="000000"/>
                <w:kern w:val="0"/>
                <w:sz w:val="21"/>
                <w:szCs w:val="21"/>
                <w:lang w:eastAsia="zh-CN"/>
              </w:rPr>
              <w:t>湖南省畜牧兽医研究所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项目资金</w:t>
            </w:r>
            <w:r>
              <w:rPr>
                <w:color w:val="000000"/>
                <w:kern w:val="0"/>
                <w:sz w:val="21"/>
                <w:szCs w:val="21"/>
              </w:rPr>
              <w:br w:type="textWrapping"/>
            </w:r>
            <w:r>
              <w:rPr>
                <w:color w:val="000000"/>
                <w:kern w:val="0"/>
                <w:sz w:val="21"/>
                <w:szCs w:val="21"/>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年初</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预算数</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全年</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预算数</w:t>
            </w:r>
          </w:p>
        </w:tc>
        <w:tc>
          <w:tcPr>
            <w:tcW w:w="1053"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全年</w:t>
            </w:r>
          </w:p>
          <w:p>
            <w:pPr>
              <w:adjustRightInd/>
              <w:spacing w:line="280" w:lineRule="exact"/>
              <w:ind w:firstLine="0" w:firstLineChars="0"/>
              <w:jc w:val="center"/>
              <w:textAlignment w:val="center"/>
              <w:rPr>
                <w:sz w:val="21"/>
                <w:szCs w:val="21"/>
              </w:rPr>
            </w:pPr>
            <w:r>
              <w:rPr>
                <w:sz w:val="21"/>
                <w:szCs w:val="21"/>
              </w:rPr>
              <w:t>执行数</w:t>
            </w:r>
          </w:p>
        </w:tc>
        <w:tc>
          <w:tcPr>
            <w:tcW w:w="828"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执行率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年度资金总额　</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523.29</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539.29</w:t>
            </w:r>
          </w:p>
        </w:tc>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526.29</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98%</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 xml:space="preserve">  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auto"/>
                <w:kern w:val="0"/>
                <w:sz w:val="21"/>
                <w:szCs w:val="21"/>
              </w:rPr>
            </w:pPr>
            <w:r>
              <w:rPr>
                <w:color w:val="auto"/>
                <w:kern w:val="0"/>
                <w:sz w:val="21"/>
                <w:szCs w:val="21"/>
              </w:rPr>
              <w:t>其中：当年财政拨款　</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auto"/>
                <w:kern w:val="0"/>
                <w:sz w:val="21"/>
                <w:szCs w:val="21"/>
                <w:highlight w:val="none"/>
                <w:lang w:val="en-US" w:eastAsia="zh-CN"/>
              </w:rPr>
            </w:pPr>
            <w:r>
              <w:rPr>
                <w:color w:val="auto"/>
                <w:kern w:val="0"/>
                <w:sz w:val="21"/>
                <w:szCs w:val="21"/>
                <w:highlight w:val="none"/>
              </w:rPr>
              <w:t>　</w:t>
            </w:r>
            <w:r>
              <w:rPr>
                <w:rFonts w:hint="eastAsia"/>
                <w:color w:val="auto"/>
                <w:kern w:val="0"/>
                <w:sz w:val="21"/>
                <w:szCs w:val="21"/>
                <w:highlight w:val="none"/>
                <w:lang w:val="en-US" w:eastAsia="zh-CN"/>
              </w:rPr>
              <w:t>400</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auto"/>
                <w:kern w:val="0"/>
                <w:sz w:val="21"/>
                <w:szCs w:val="21"/>
                <w:highlight w:val="none"/>
                <w:lang w:val="en-US" w:eastAsia="zh-CN"/>
              </w:rPr>
            </w:pPr>
            <w:r>
              <w:rPr>
                <w:color w:val="auto"/>
                <w:kern w:val="0"/>
                <w:sz w:val="21"/>
                <w:szCs w:val="21"/>
                <w:highlight w:val="none"/>
              </w:rPr>
              <w:t>　</w:t>
            </w:r>
            <w:r>
              <w:rPr>
                <w:rFonts w:hint="eastAsia"/>
                <w:color w:val="auto"/>
                <w:kern w:val="0"/>
                <w:sz w:val="21"/>
                <w:szCs w:val="21"/>
                <w:highlight w:val="none"/>
                <w:lang w:val="en-US" w:eastAsia="zh-CN"/>
              </w:rPr>
              <w:t>416</w:t>
            </w:r>
          </w:p>
        </w:tc>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auto"/>
                <w:kern w:val="0"/>
                <w:sz w:val="21"/>
                <w:szCs w:val="21"/>
                <w:highlight w:val="none"/>
                <w:lang w:val="en-US" w:eastAsia="zh-CN"/>
              </w:rPr>
            </w:pPr>
            <w:r>
              <w:rPr>
                <w:color w:val="auto"/>
                <w:kern w:val="0"/>
                <w:sz w:val="21"/>
                <w:szCs w:val="21"/>
                <w:highlight w:val="none"/>
              </w:rPr>
              <w:t>　</w:t>
            </w:r>
            <w:r>
              <w:rPr>
                <w:rFonts w:hint="eastAsia"/>
                <w:color w:val="auto"/>
                <w:kern w:val="0"/>
                <w:sz w:val="21"/>
                <w:szCs w:val="21"/>
                <w:highlight w:val="none"/>
                <w:lang w:val="en-US" w:eastAsia="zh-CN"/>
              </w:rPr>
              <w:t>403</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textAlignment w:val="center"/>
              <w:rPr>
                <w:color w:val="auto"/>
                <w:kern w:val="0"/>
                <w:sz w:val="21"/>
                <w:szCs w:val="21"/>
              </w:rPr>
            </w:pPr>
            <w:r>
              <w:rPr>
                <w:color w:val="auto"/>
                <w:kern w:val="0"/>
                <w:sz w:val="21"/>
                <w:szCs w:val="21"/>
              </w:rPr>
              <w:t>上年结转资金　</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auto"/>
                <w:kern w:val="0"/>
                <w:sz w:val="21"/>
                <w:szCs w:val="21"/>
                <w:highlight w:val="none"/>
                <w:lang w:val="en-US" w:eastAsia="zh-CN"/>
              </w:rPr>
            </w:pPr>
            <w:r>
              <w:rPr>
                <w:rFonts w:hint="eastAsia"/>
                <w:color w:val="auto"/>
                <w:kern w:val="0"/>
                <w:sz w:val="21"/>
                <w:szCs w:val="21"/>
                <w:highlight w:val="none"/>
                <w:lang w:val="en-US" w:eastAsia="zh-CN"/>
              </w:rPr>
              <w:t xml:space="preserve">  123.29</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auto"/>
                <w:kern w:val="0"/>
                <w:sz w:val="21"/>
                <w:szCs w:val="21"/>
                <w:highlight w:val="none"/>
                <w:lang w:val="en-US" w:eastAsia="zh-CN"/>
              </w:rPr>
            </w:pPr>
            <w:r>
              <w:rPr>
                <w:color w:val="auto"/>
                <w:kern w:val="0"/>
                <w:sz w:val="21"/>
                <w:szCs w:val="21"/>
                <w:highlight w:val="none"/>
              </w:rPr>
              <w:t>　</w:t>
            </w:r>
            <w:r>
              <w:rPr>
                <w:rFonts w:hint="eastAsia"/>
                <w:color w:val="auto"/>
                <w:kern w:val="0"/>
                <w:sz w:val="21"/>
                <w:szCs w:val="21"/>
                <w:highlight w:val="none"/>
                <w:lang w:val="en-US" w:eastAsia="zh-CN"/>
              </w:rPr>
              <w:t>123.29</w:t>
            </w:r>
          </w:p>
        </w:tc>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auto"/>
                <w:kern w:val="0"/>
                <w:sz w:val="21"/>
                <w:szCs w:val="21"/>
                <w:highlight w:val="none"/>
                <w:lang w:val="en-US" w:eastAsia="zh-CN"/>
              </w:rPr>
            </w:pPr>
            <w:r>
              <w:rPr>
                <w:color w:val="auto"/>
                <w:kern w:val="0"/>
                <w:sz w:val="21"/>
                <w:szCs w:val="21"/>
                <w:highlight w:val="none"/>
              </w:rPr>
              <w:t>　</w:t>
            </w:r>
            <w:r>
              <w:rPr>
                <w:rFonts w:hint="eastAsia"/>
                <w:color w:val="auto"/>
                <w:kern w:val="0"/>
                <w:sz w:val="21"/>
                <w:szCs w:val="21"/>
                <w:highlight w:val="none"/>
                <w:lang w:val="en-US" w:eastAsia="zh-CN"/>
              </w:rPr>
              <w:t>123.29</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其他资金</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年度总体目标</w:t>
            </w:r>
          </w:p>
        </w:tc>
        <w:tc>
          <w:tcPr>
            <w:tcW w:w="4599"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预期目标</w:t>
            </w:r>
          </w:p>
        </w:tc>
        <w:tc>
          <w:tcPr>
            <w:tcW w:w="4172"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4599"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eastAsia="zh-CN"/>
              </w:rPr>
              <w:t>采购</w:t>
            </w:r>
            <w:r>
              <w:rPr>
                <w:rFonts w:hint="eastAsia"/>
                <w:color w:val="000000"/>
                <w:kern w:val="0"/>
                <w:sz w:val="21"/>
                <w:szCs w:val="21"/>
              </w:rPr>
              <w:t>湘猪</w:t>
            </w:r>
            <w:r>
              <w:rPr>
                <w:color w:val="000000"/>
                <w:kern w:val="0"/>
                <w:sz w:val="21"/>
                <w:szCs w:val="21"/>
              </w:rPr>
              <w:t>育种芯片</w:t>
            </w:r>
            <w:r>
              <w:rPr>
                <w:rFonts w:hint="eastAsia"/>
                <w:color w:val="000000"/>
                <w:kern w:val="0"/>
                <w:sz w:val="21"/>
                <w:szCs w:val="21"/>
                <w:lang w:val="en-US" w:eastAsia="zh-CN"/>
              </w:rPr>
              <w:t>1套，</w:t>
            </w:r>
            <w:r>
              <w:rPr>
                <w:color w:val="000000"/>
                <w:kern w:val="0"/>
                <w:sz w:val="21"/>
                <w:szCs w:val="21"/>
              </w:rPr>
              <w:t>推广液态发酵饲料</w:t>
            </w:r>
            <w:r>
              <w:rPr>
                <w:rFonts w:hint="eastAsia"/>
                <w:color w:val="000000"/>
                <w:kern w:val="0"/>
                <w:sz w:val="21"/>
                <w:szCs w:val="21"/>
                <w:lang w:val="en-US" w:eastAsia="zh-CN"/>
              </w:rPr>
              <w:t>200吨，完成</w:t>
            </w:r>
            <w:r>
              <w:rPr>
                <w:color w:val="000000"/>
                <w:kern w:val="0"/>
                <w:sz w:val="21"/>
                <w:szCs w:val="21"/>
              </w:rPr>
              <w:t>发酵液体饲料和苜蓿草粉在地方猪降本提质养殖中的应用</w:t>
            </w:r>
            <w:r>
              <w:rPr>
                <w:rFonts w:hint="eastAsia"/>
                <w:color w:val="000000"/>
                <w:kern w:val="0"/>
                <w:sz w:val="21"/>
                <w:szCs w:val="21"/>
                <w:lang w:eastAsia="zh-CN"/>
              </w:rPr>
              <w:t>，本年完成，</w:t>
            </w:r>
            <w:r>
              <w:rPr>
                <w:rFonts w:hint="eastAsia"/>
                <w:color w:val="000000"/>
                <w:kern w:val="0"/>
                <w:sz w:val="21"/>
                <w:szCs w:val="21"/>
              </w:rPr>
              <w:t>使用苜蓿草颗粒、虫草菌渣、白酒糟配制鸭、鹅饲料，使饲料成本降低</w:t>
            </w:r>
            <w:r>
              <w:rPr>
                <w:rFonts w:hint="eastAsia"/>
                <w:color w:val="000000"/>
                <w:kern w:val="0"/>
                <w:sz w:val="21"/>
                <w:szCs w:val="21"/>
                <w:lang w:val="en-US" w:eastAsia="zh-CN"/>
              </w:rPr>
              <w:t>3%，提高动物成活率提高1%，减少每只动物药物使用成本0.5元/只，完成</w:t>
            </w:r>
            <w:r>
              <w:rPr>
                <w:color w:val="000000"/>
                <w:kern w:val="0"/>
                <w:sz w:val="21"/>
                <w:szCs w:val="21"/>
              </w:rPr>
              <w:t>广益黑猪新品种</w:t>
            </w:r>
            <w:r>
              <w:rPr>
                <w:rFonts w:hint="eastAsia"/>
                <w:color w:val="000000"/>
                <w:kern w:val="0"/>
                <w:sz w:val="21"/>
                <w:szCs w:val="21"/>
                <w:lang w:eastAsia="zh-CN"/>
              </w:rPr>
              <w:t>现场审查，</w:t>
            </w:r>
            <w:r>
              <w:rPr>
                <w:color w:val="000000"/>
                <w:kern w:val="0"/>
                <w:sz w:val="21"/>
                <w:szCs w:val="21"/>
              </w:rPr>
              <w:t>乡草花猪、</w:t>
            </w:r>
            <w:r>
              <w:rPr>
                <w:rFonts w:hint="eastAsia"/>
                <w:color w:val="000000"/>
                <w:kern w:val="0"/>
                <w:sz w:val="21"/>
                <w:szCs w:val="21"/>
                <w:lang w:eastAsia="zh-CN"/>
              </w:rPr>
              <w:t>完成</w:t>
            </w:r>
            <w:r>
              <w:rPr>
                <w:color w:val="000000"/>
                <w:kern w:val="0"/>
                <w:sz w:val="21"/>
                <w:szCs w:val="21"/>
              </w:rPr>
              <w:t>湘岭猪新品种</w:t>
            </w:r>
            <w:r>
              <w:rPr>
                <w:rFonts w:hint="eastAsia"/>
                <w:color w:val="000000"/>
                <w:kern w:val="0"/>
                <w:sz w:val="21"/>
                <w:szCs w:val="21"/>
                <w:lang w:eastAsia="zh-CN"/>
              </w:rPr>
              <w:t>屠宰测定，完成</w:t>
            </w:r>
            <w:r>
              <w:rPr>
                <w:rFonts w:hint="eastAsia"/>
                <w:color w:val="000000"/>
                <w:kern w:val="0"/>
                <w:sz w:val="22"/>
              </w:rPr>
              <w:t>种养结合，粪污就地消纳，减少环保压力，打造循环农业</w:t>
            </w:r>
            <w:r>
              <w:rPr>
                <w:rFonts w:hint="eastAsia"/>
                <w:color w:val="000000"/>
                <w:kern w:val="0"/>
                <w:sz w:val="22"/>
                <w:lang w:eastAsia="zh-CN"/>
              </w:rPr>
              <w:t>，采购</w:t>
            </w:r>
            <w:r>
              <w:rPr>
                <w:color w:val="000000"/>
                <w:kern w:val="0"/>
                <w:sz w:val="21"/>
                <w:szCs w:val="21"/>
              </w:rPr>
              <w:t>种猪性能综合评价体系</w:t>
            </w:r>
            <w:r>
              <w:rPr>
                <w:rFonts w:hint="eastAsia"/>
                <w:color w:val="000000"/>
                <w:kern w:val="0"/>
                <w:sz w:val="21"/>
                <w:szCs w:val="21"/>
                <w:lang w:val="en-US" w:eastAsia="zh-CN"/>
              </w:rPr>
              <w:t>1套，</w:t>
            </w:r>
            <w:r>
              <w:rPr>
                <w:color w:val="000000"/>
                <w:kern w:val="0"/>
                <w:sz w:val="21"/>
                <w:szCs w:val="21"/>
              </w:rPr>
              <w:t>企业满意度</w:t>
            </w:r>
            <w:r>
              <w:rPr>
                <w:rFonts w:hint="eastAsia"/>
                <w:color w:val="000000"/>
                <w:kern w:val="0"/>
                <w:sz w:val="21"/>
                <w:szCs w:val="21"/>
                <w:lang w:val="en-US" w:eastAsia="zh-CN"/>
              </w:rPr>
              <w:t>95%以上。</w:t>
            </w:r>
          </w:p>
        </w:tc>
        <w:tc>
          <w:tcPr>
            <w:tcW w:w="4172"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lang w:eastAsia="zh-CN"/>
              </w:rPr>
              <w:t>采购</w:t>
            </w:r>
            <w:r>
              <w:rPr>
                <w:rFonts w:hint="eastAsia"/>
                <w:color w:val="000000"/>
                <w:kern w:val="0"/>
                <w:sz w:val="21"/>
                <w:szCs w:val="21"/>
              </w:rPr>
              <w:t>湘猪</w:t>
            </w:r>
            <w:r>
              <w:rPr>
                <w:color w:val="000000"/>
                <w:kern w:val="0"/>
                <w:sz w:val="21"/>
                <w:szCs w:val="21"/>
              </w:rPr>
              <w:t>育种芯片</w:t>
            </w:r>
            <w:r>
              <w:rPr>
                <w:rFonts w:hint="eastAsia"/>
                <w:color w:val="000000"/>
                <w:kern w:val="0"/>
                <w:sz w:val="21"/>
                <w:szCs w:val="21"/>
                <w:lang w:val="en-US" w:eastAsia="zh-CN"/>
              </w:rPr>
              <w:t>1套，</w:t>
            </w:r>
            <w:r>
              <w:rPr>
                <w:color w:val="000000"/>
                <w:kern w:val="0"/>
                <w:sz w:val="21"/>
                <w:szCs w:val="21"/>
              </w:rPr>
              <w:t>推广液态发酵饲料</w:t>
            </w:r>
            <w:r>
              <w:rPr>
                <w:rFonts w:hint="eastAsia"/>
                <w:color w:val="000000"/>
                <w:kern w:val="0"/>
                <w:sz w:val="21"/>
                <w:szCs w:val="21"/>
                <w:lang w:val="en-US" w:eastAsia="zh-CN"/>
              </w:rPr>
              <w:t>200吨，完成</w:t>
            </w:r>
            <w:r>
              <w:rPr>
                <w:color w:val="000000"/>
                <w:kern w:val="0"/>
                <w:sz w:val="21"/>
                <w:szCs w:val="21"/>
              </w:rPr>
              <w:t>发酵液体饲料和苜蓿草粉在地方猪降本提质养殖中的应用</w:t>
            </w:r>
            <w:r>
              <w:rPr>
                <w:rFonts w:hint="eastAsia"/>
                <w:color w:val="000000"/>
                <w:kern w:val="0"/>
                <w:sz w:val="21"/>
                <w:szCs w:val="21"/>
                <w:lang w:eastAsia="zh-CN"/>
              </w:rPr>
              <w:t>，本年完成，</w:t>
            </w:r>
            <w:r>
              <w:rPr>
                <w:rFonts w:hint="eastAsia"/>
                <w:color w:val="000000"/>
                <w:kern w:val="0"/>
                <w:sz w:val="21"/>
                <w:szCs w:val="21"/>
              </w:rPr>
              <w:t>使用苜蓿草颗粒、虫草菌渣、白酒糟配制鸭、鹅饲料，使饲料成本降低</w:t>
            </w:r>
            <w:r>
              <w:rPr>
                <w:rFonts w:hint="eastAsia"/>
                <w:color w:val="000000"/>
                <w:kern w:val="0"/>
                <w:sz w:val="21"/>
                <w:szCs w:val="21"/>
                <w:lang w:val="en-US" w:eastAsia="zh-CN"/>
              </w:rPr>
              <w:t>4.8%，提高动物成活率提高1%，减少每只动物药物使用成本0.5元/只，完成</w:t>
            </w:r>
            <w:r>
              <w:rPr>
                <w:color w:val="000000"/>
                <w:kern w:val="0"/>
                <w:sz w:val="21"/>
                <w:szCs w:val="21"/>
              </w:rPr>
              <w:t>广益黑猪新品种</w:t>
            </w:r>
            <w:r>
              <w:rPr>
                <w:rFonts w:hint="eastAsia"/>
                <w:color w:val="000000"/>
                <w:kern w:val="0"/>
                <w:sz w:val="21"/>
                <w:szCs w:val="21"/>
                <w:lang w:eastAsia="zh-CN"/>
              </w:rPr>
              <w:t>现场审查，</w:t>
            </w:r>
            <w:r>
              <w:rPr>
                <w:color w:val="000000"/>
                <w:kern w:val="0"/>
                <w:sz w:val="21"/>
                <w:szCs w:val="21"/>
              </w:rPr>
              <w:t>乡草花猪、</w:t>
            </w:r>
            <w:r>
              <w:rPr>
                <w:rFonts w:hint="eastAsia"/>
                <w:color w:val="000000"/>
                <w:kern w:val="0"/>
                <w:sz w:val="21"/>
                <w:szCs w:val="21"/>
                <w:lang w:eastAsia="zh-CN"/>
              </w:rPr>
              <w:t>完成</w:t>
            </w:r>
            <w:r>
              <w:rPr>
                <w:color w:val="000000"/>
                <w:kern w:val="0"/>
                <w:sz w:val="21"/>
                <w:szCs w:val="21"/>
              </w:rPr>
              <w:t>湘岭猪新品种</w:t>
            </w:r>
            <w:r>
              <w:rPr>
                <w:rFonts w:hint="eastAsia"/>
                <w:color w:val="000000"/>
                <w:kern w:val="0"/>
                <w:sz w:val="21"/>
                <w:szCs w:val="21"/>
                <w:lang w:eastAsia="zh-CN"/>
              </w:rPr>
              <w:t>屠宰测定，完成</w:t>
            </w:r>
            <w:r>
              <w:rPr>
                <w:rFonts w:hint="eastAsia"/>
                <w:color w:val="000000"/>
                <w:kern w:val="0"/>
                <w:sz w:val="22"/>
              </w:rPr>
              <w:t>种养结合，粪污就地消纳，减少环保压力，打造循环农业</w:t>
            </w:r>
            <w:r>
              <w:rPr>
                <w:rFonts w:hint="eastAsia"/>
                <w:color w:val="000000"/>
                <w:kern w:val="0"/>
                <w:sz w:val="22"/>
                <w:lang w:eastAsia="zh-CN"/>
              </w:rPr>
              <w:t>，采购</w:t>
            </w:r>
            <w:r>
              <w:rPr>
                <w:color w:val="000000"/>
                <w:kern w:val="0"/>
                <w:sz w:val="21"/>
                <w:szCs w:val="21"/>
              </w:rPr>
              <w:t>种猪性能综合评价体系</w:t>
            </w:r>
            <w:r>
              <w:rPr>
                <w:rFonts w:hint="eastAsia"/>
                <w:color w:val="000000"/>
                <w:kern w:val="0"/>
                <w:sz w:val="21"/>
                <w:szCs w:val="21"/>
                <w:lang w:val="en-US" w:eastAsia="zh-CN"/>
              </w:rPr>
              <w:t>1套，</w:t>
            </w:r>
            <w:r>
              <w:rPr>
                <w:color w:val="000000"/>
                <w:kern w:val="0"/>
                <w:sz w:val="21"/>
                <w:szCs w:val="21"/>
              </w:rPr>
              <w:t>企业满意度</w:t>
            </w:r>
            <w:r>
              <w:rPr>
                <w:rFonts w:hint="eastAsia"/>
                <w:color w:val="000000"/>
                <w:kern w:val="0"/>
                <w:sz w:val="21"/>
                <w:szCs w:val="21"/>
                <w:lang w:eastAsia="zh-CN"/>
              </w:rPr>
              <w:t>达到</w:t>
            </w:r>
            <w:r>
              <w:rPr>
                <w:rFonts w:hint="eastAsia"/>
                <w:color w:val="000000"/>
                <w:kern w:val="0"/>
                <w:sz w:val="21"/>
                <w:szCs w:val="21"/>
                <w:lang w:val="en-US" w:eastAsia="zh-CN"/>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绩</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二级指标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三级指标</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指标值</w:t>
            </w:r>
          </w:p>
        </w:tc>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偏差原因</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分析及</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产出指标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(50分)</w:t>
            </w: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数量指标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rFonts w:hint="eastAsia"/>
                <w:color w:val="000000"/>
                <w:kern w:val="0"/>
                <w:sz w:val="21"/>
                <w:szCs w:val="21"/>
              </w:rPr>
              <w:t>湘猪</w:t>
            </w:r>
            <w:r>
              <w:rPr>
                <w:color w:val="000000"/>
                <w:kern w:val="0"/>
                <w:sz w:val="21"/>
                <w:szCs w:val="21"/>
              </w:rPr>
              <w:t>育种芯片</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highlight w:val="red"/>
                <w:lang w:val="en-US" w:eastAsia="zh-CN" w:bidi="ar-SA"/>
              </w:rPr>
            </w:pPr>
            <w:r>
              <w:rPr>
                <w:rFonts w:hint="eastAsia"/>
                <w:color w:val="000000"/>
                <w:kern w:val="0"/>
                <w:sz w:val="21"/>
                <w:szCs w:val="21"/>
                <w:highlight w:val="none"/>
                <w:lang w:eastAsia="zh-CN"/>
              </w:rPr>
              <w:t>等于</w:t>
            </w:r>
            <w:r>
              <w:rPr>
                <w:rFonts w:hint="eastAsia"/>
                <w:color w:val="000000"/>
                <w:kern w:val="0"/>
                <w:sz w:val="21"/>
                <w:szCs w:val="21"/>
                <w:highlight w:val="none"/>
              </w:rPr>
              <w:t>1套</w:t>
            </w:r>
          </w:p>
        </w:tc>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left="0" w:leftChars="0" w:firstLine="0" w:firstLineChars="0"/>
              <w:jc w:val="center"/>
              <w:textAlignment w:val="center"/>
              <w:rPr>
                <w:rFonts w:hint="eastAsia" w:eastAsia="仿宋_GB2312"/>
                <w:color w:val="000000"/>
                <w:kern w:val="0"/>
                <w:sz w:val="21"/>
                <w:szCs w:val="21"/>
                <w:highlight w:val="red"/>
                <w:lang w:val="en-US" w:eastAsia="zh-CN" w:bidi="ar-SA"/>
              </w:rPr>
            </w:pPr>
            <w:r>
              <w:rPr>
                <w:rFonts w:hint="eastAsia"/>
                <w:color w:val="000000"/>
                <w:kern w:val="0"/>
                <w:sz w:val="21"/>
                <w:szCs w:val="21"/>
                <w:highlight w:val="none"/>
              </w:rPr>
              <w:t>1套</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bidi="ar-SA"/>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推广液态发酵饲料</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highlight w:val="red"/>
              </w:rPr>
            </w:pPr>
            <w:r>
              <w:rPr>
                <w:rFonts w:hint="eastAsia"/>
                <w:color w:val="000000"/>
                <w:kern w:val="0"/>
                <w:sz w:val="21"/>
                <w:szCs w:val="21"/>
                <w:highlight w:val="none"/>
                <w:lang w:eastAsia="zh-CN"/>
              </w:rPr>
              <w:t>≥</w:t>
            </w:r>
            <w:r>
              <w:rPr>
                <w:color w:val="000000"/>
                <w:kern w:val="0"/>
                <w:sz w:val="21"/>
                <w:szCs w:val="21"/>
                <w:highlight w:val="none"/>
              </w:rPr>
              <w:t>200吨</w:t>
            </w:r>
          </w:p>
        </w:tc>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highlight w:val="red"/>
              </w:rPr>
            </w:pPr>
            <w:r>
              <w:rPr>
                <w:color w:val="000000"/>
                <w:kern w:val="0"/>
                <w:sz w:val="21"/>
                <w:szCs w:val="21"/>
                <w:highlight w:val="none"/>
              </w:rPr>
              <w:t>200吨</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bidi="ar-SA"/>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质量指标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eastAsia="仿宋_GB2312"/>
                <w:color w:val="000000"/>
                <w:kern w:val="0"/>
                <w:sz w:val="21"/>
                <w:szCs w:val="21"/>
                <w:lang w:val="en-US" w:eastAsia="zh-CN" w:bidi="ar-SA"/>
              </w:rPr>
            </w:pPr>
            <w:r>
              <w:rPr>
                <w:color w:val="000000"/>
                <w:kern w:val="0"/>
                <w:sz w:val="21"/>
                <w:szCs w:val="21"/>
              </w:rPr>
              <w:t>发酵液体饲料和苜蓿草粉在地方猪降本提质养殖中的应用</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完成</w:t>
            </w:r>
          </w:p>
        </w:tc>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完成</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bidi="ar-SA"/>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时效指标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完成时间</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eastAsia="zh-CN"/>
              </w:rPr>
              <w:t>本年</w:t>
            </w:r>
          </w:p>
        </w:tc>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eastAsia="zh-CN"/>
              </w:rPr>
              <w:t>本年</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bidi="ar-SA"/>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成本指标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eastAsia="仿宋_GB2312"/>
                <w:color w:val="000000"/>
                <w:kern w:val="0"/>
                <w:sz w:val="21"/>
                <w:szCs w:val="21"/>
                <w:lang w:val="en-US" w:eastAsia="zh-CN" w:bidi="ar-SA"/>
              </w:rPr>
            </w:pPr>
            <w:r>
              <w:rPr>
                <w:rFonts w:hint="eastAsia"/>
                <w:color w:val="000000"/>
                <w:kern w:val="0"/>
                <w:sz w:val="21"/>
                <w:szCs w:val="21"/>
              </w:rPr>
              <w:t>使用苜蓿草颗粒、虫草菌渣、白酒糟配制鸭、鹅饲料，使饲料成本降低</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sz w:val="22"/>
              </w:rPr>
              <w:t>降低3%</w:t>
            </w:r>
          </w:p>
        </w:tc>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rPr>
              <w:t>4.8%</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bidi="ar-SA"/>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效益指标</w:t>
            </w:r>
          </w:p>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（30分）</w:t>
            </w: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经济效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提高动物成活率</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1%</w:t>
            </w:r>
          </w:p>
        </w:tc>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1</w:t>
            </w:r>
            <w:r>
              <w:rPr>
                <w:rFonts w:hint="default"/>
                <w:color w:val="000000"/>
                <w:kern w:val="0"/>
                <w:sz w:val="21"/>
                <w:szCs w:val="21"/>
                <w:lang w:val="en-US" w:eastAsia="zh-CN"/>
              </w:rPr>
              <w:t>.54%</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eastAsia="仿宋_GB2312"/>
                <w:color w:val="000000"/>
                <w:kern w:val="0"/>
                <w:sz w:val="21"/>
                <w:szCs w:val="21"/>
                <w:lang w:val="en-US" w:eastAsia="zh-CN" w:bidi="ar-SA"/>
              </w:rPr>
            </w:pPr>
            <w:r>
              <w:rPr>
                <w:rFonts w:hint="eastAsia"/>
                <w:color w:val="000000"/>
                <w:kern w:val="0"/>
                <w:sz w:val="21"/>
                <w:szCs w:val="21"/>
                <w:lang w:val="en-US" w:eastAsia="zh-CN"/>
              </w:rPr>
              <w:t>减少每只动物药物使用成本</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0</w:t>
            </w:r>
            <w:r>
              <w:rPr>
                <w:rFonts w:hint="default"/>
                <w:color w:val="000000"/>
                <w:kern w:val="0"/>
                <w:sz w:val="21"/>
                <w:szCs w:val="21"/>
                <w:lang w:val="en-US" w:eastAsia="zh-CN"/>
              </w:rPr>
              <w:t>.5</w:t>
            </w:r>
            <w:r>
              <w:rPr>
                <w:rFonts w:hint="eastAsia"/>
                <w:color w:val="000000"/>
                <w:kern w:val="0"/>
                <w:sz w:val="21"/>
                <w:szCs w:val="21"/>
                <w:lang w:val="en-US" w:eastAsia="zh-CN"/>
              </w:rPr>
              <w:t>元</w:t>
            </w:r>
            <w:r>
              <w:rPr>
                <w:rFonts w:hint="default"/>
                <w:color w:val="000000"/>
                <w:kern w:val="0"/>
                <w:sz w:val="21"/>
                <w:szCs w:val="21"/>
                <w:lang w:val="en-US" w:eastAsia="zh-CN"/>
              </w:rPr>
              <w:t>/</w:t>
            </w:r>
            <w:r>
              <w:rPr>
                <w:rFonts w:hint="eastAsia"/>
                <w:color w:val="000000"/>
                <w:kern w:val="0"/>
                <w:sz w:val="21"/>
                <w:szCs w:val="21"/>
                <w:lang w:val="en-US" w:eastAsia="zh-CN"/>
              </w:rPr>
              <w:t>只</w:t>
            </w:r>
          </w:p>
        </w:tc>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0</w:t>
            </w:r>
            <w:r>
              <w:rPr>
                <w:rFonts w:hint="default"/>
                <w:color w:val="000000"/>
                <w:kern w:val="0"/>
                <w:sz w:val="21"/>
                <w:szCs w:val="21"/>
                <w:lang w:val="en-US" w:eastAsia="zh-CN"/>
              </w:rPr>
              <w:t>.5</w:t>
            </w:r>
            <w:r>
              <w:rPr>
                <w:rFonts w:hint="eastAsia"/>
                <w:color w:val="000000"/>
                <w:kern w:val="0"/>
                <w:sz w:val="21"/>
                <w:szCs w:val="21"/>
                <w:lang w:val="en-US" w:eastAsia="zh-CN"/>
              </w:rPr>
              <w:t>元/只</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社会效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color w:val="000000"/>
                <w:kern w:val="0"/>
                <w:sz w:val="21"/>
                <w:szCs w:val="21"/>
              </w:rPr>
              <w:t>广益黑猪新品种</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color w:val="000000"/>
                <w:kern w:val="0"/>
                <w:sz w:val="21"/>
                <w:szCs w:val="21"/>
              </w:rPr>
              <w:t>现场审查</w:t>
            </w:r>
          </w:p>
        </w:tc>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color w:val="000000"/>
                <w:kern w:val="0"/>
                <w:sz w:val="21"/>
                <w:szCs w:val="21"/>
              </w:rPr>
              <w:t>完成</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eastAsia="仿宋_GB2312"/>
                <w:color w:val="000000"/>
                <w:kern w:val="0"/>
                <w:sz w:val="21"/>
                <w:szCs w:val="21"/>
                <w:lang w:val="en-US" w:eastAsia="zh-CN" w:bidi="ar-SA"/>
              </w:rPr>
            </w:pPr>
            <w:r>
              <w:rPr>
                <w:color w:val="000000"/>
                <w:kern w:val="0"/>
                <w:sz w:val="21"/>
                <w:szCs w:val="21"/>
              </w:rPr>
              <w:t>乡草花猪、湘岭猪新品种</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color w:val="000000"/>
                <w:kern w:val="0"/>
                <w:sz w:val="21"/>
                <w:szCs w:val="21"/>
              </w:rPr>
              <w:t>屠宰测定</w:t>
            </w:r>
          </w:p>
        </w:tc>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color w:val="000000"/>
                <w:kern w:val="0"/>
                <w:sz w:val="21"/>
                <w:szCs w:val="21"/>
              </w:rPr>
              <w:t>完成</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生态效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2"/>
              </w:rPr>
              <w:t>种养结合，粪污就地消纳，减少环保压力，打造循环农业</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完成</w:t>
            </w:r>
          </w:p>
        </w:tc>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eastAsia="zh-CN"/>
              </w:rPr>
              <w:t>完成</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可持续影响指标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color w:val="000000"/>
                <w:kern w:val="0"/>
                <w:sz w:val="21"/>
                <w:szCs w:val="21"/>
              </w:rPr>
              <w:t>种猪性能综合评价体系</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rPr>
              <w:t>1</w:t>
            </w:r>
            <w:r>
              <w:rPr>
                <w:color w:val="000000"/>
                <w:kern w:val="0"/>
                <w:sz w:val="21"/>
                <w:szCs w:val="21"/>
              </w:rPr>
              <w:t>套</w:t>
            </w:r>
          </w:p>
        </w:tc>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rPr>
              <w:t>1</w:t>
            </w:r>
            <w:r>
              <w:rPr>
                <w:color w:val="000000"/>
                <w:kern w:val="0"/>
                <w:sz w:val="21"/>
                <w:szCs w:val="21"/>
              </w:rPr>
              <w:t>套</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满意度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（10分）</w:t>
            </w: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服务对象满意度指标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color w:val="000000"/>
                <w:kern w:val="0"/>
                <w:sz w:val="21"/>
                <w:szCs w:val="21"/>
              </w:rPr>
              <w:t>企业满意度</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highlight w:val="none"/>
                <w:lang w:eastAsia="zh-CN"/>
              </w:rPr>
              <w:t>≥</w:t>
            </w:r>
            <w:r>
              <w:rPr>
                <w:rFonts w:hint="eastAsia"/>
                <w:color w:val="000000"/>
                <w:kern w:val="0"/>
                <w:sz w:val="21"/>
                <w:szCs w:val="21"/>
                <w:highlight w:val="none"/>
              </w:rPr>
              <w:t>9</w:t>
            </w:r>
            <w:r>
              <w:rPr>
                <w:color w:val="000000"/>
                <w:kern w:val="0"/>
                <w:sz w:val="21"/>
                <w:szCs w:val="21"/>
                <w:highlight w:val="none"/>
              </w:rPr>
              <w:t>5%以上</w:t>
            </w:r>
          </w:p>
        </w:tc>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rPr>
              <w:t>9</w:t>
            </w:r>
            <w:r>
              <w:rPr>
                <w:color w:val="000000"/>
                <w:kern w:val="0"/>
                <w:sz w:val="21"/>
                <w:szCs w:val="21"/>
              </w:rPr>
              <w:t>9%</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总分</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99.8</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r>
    </w:tbl>
    <w:p>
      <w:pPr>
        <w:pStyle w:val="3"/>
        <w:ind w:firstLine="0" w:firstLineChars="0"/>
      </w:pPr>
    </w:p>
    <w:p>
      <w:pPr>
        <w:pStyle w:val="3"/>
        <w:ind w:firstLine="0" w:firstLineChars="0"/>
      </w:pPr>
    </w:p>
    <w:p>
      <w:pPr>
        <w:pStyle w:val="3"/>
        <w:ind w:firstLine="0" w:firstLineChars="0"/>
      </w:pPr>
    </w:p>
    <w:p>
      <w:pPr>
        <w:ind w:left="0" w:leftChars="0" w:firstLine="0" w:firstLineChars="0"/>
      </w:pPr>
    </w:p>
    <w:p>
      <w:pPr>
        <w:pStyle w:val="3"/>
        <w:ind w:firstLine="0" w:firstLineChars="0"/>
      </w:pPr>
    </w:p>
    <w:p>
      <w:pPr>
        <w:pStyle w:val="3"/>
        <w:ind w:firstLine="0" w:firstLineChars="0"/>
      </w:pPr>
    </w:p>
    <w:p>
      <w:pPr>
        <w:pStyle w:val="2"/>
        <w:spacing w:before="144" w:beforeLines="25" w:after="144" w:afterLines="25" w:line="500" w:lineRule="exact"/>
        <w:jc w:val="left"/>
        <w:rPr>
          <w:rFonts w:eastAsia="黑体"/>
          <w:sz w:val="32"/>
          <w:szCs w:val="32"/>
        </w:rPr>
      </w:pPr>
    </w:p>
    <w:p>
      <w:pPr>
        <w:pStyle w:val="2"/>
        <w:spacing w:before="144" w:beforeLines="25" w:after="144" w:afterLines="25" w:line="500" w:lineRule="exact"/>
        <w:jc w:val="left"/>
        <w:rPr>
          <w:rFonts w:eastAsia="黑体"/>
          <w:sz w:val="32"/>
          <w:szCs w:val="32"/>
        </w:rPr>
      </w:pPr>
    </w:p>
    <w:p>
      <w:pPr>
        <w:pStyle w:val="2"/>
        <w:spacing w:before="144" w:beforeLines="25" w:after="144" w:afterLines="25" w:line="500" w:lineRule="exact"/>
        <w:jc w:val="left"/>
        <w:rPr>
          <w:rFonts w:eastAsia="黑体"/>
          <w:sz w:val="32"/>
          <w:szCs w:val="32"/>
        </w:rPr>
      </w:pPr>
    </w:p>
    <w:p>
      <w:pPr>
        <w:pStyle w:val="2"/>
        <w:spacing w:before="144" w:beforeLines="25" w:after="144" w:afterLines="25" w:line="500" w:lineRule="exact"/>
        <w:jc w:val="left"/>
        <w:rPr>
          <w:rFonts w:eastAsia="黑体"/>
          <w:sz w:val="32"/>
          <w:szCs w:val="32"/>
        </w:rPr>
      </w:pPr>
    </w:p>
    <w:p>
      <w:pPr>
        <w:pStyle w:val="2"/>
        <w:spacing w:before="144" w:beforeLines="25" w:after="144" w:afterLines="25" w:line="500" w:lineRule="exact"/>
        <w:jc w:val="left"/>
        <w:rPr>
          <w:rFonts w:eastAsia="黑体"/>
          <w:sz w:val="32"/>
          <w:szCs w:val="32"/>
        </w:rPr>
      </w:pPr>
    </w:p>
    <w:p>
      <w:pPr>
        <w:pStyle w:val="2"/>
        <w:spacing w:before="144" w:beforeLines="25" w:after="144" w:afterLines="25" w:line="500" w:lineRule="exact"/>
        <w:jc w:val="left"/>
        <w:rPr>
          <w:rFonts w:eastAsia="黑体"/>
          <w:sz w:val="32"/>
          <w:szCs w:val="32"/>
        </w:rPr>
      </w:pPr>
    </w:p>
    <w:p>
      <w:pPr>
        <w:pStyle w:val="2"/>
        <w:spacing w:before="144" w:beforeLines="25" w:after="144" w:afterLines="25" w:line="500" w:lineRule="exact"/>
        <w:jc w:val="left"/>
        <w:rPr>
          <w:sz w:val="36"/>
          <w:szCs w:val="36"/>
        </w:rPr>
      </w:pPr>
      <w:r>
        <w:rPr>
          <w:rFonts w:eastAsia="黑体"/>
          <w:sz w:val="32"/>
          <w:szCs w:val="32"/>
        </w:rPr>
        <w:t>附件</w:t>
      </w:r>
      <w:r>
        <w:rPr>
          <w:rFonts w:hint="eastAsia" w:eastAsia="黑体"/>
          <w:sz w:val="32"/>
          <w:szCs w:val="32"/>
          <w:lang w:val="en-US" w:eastAsia="zh-CN"/>
        </w:rPr>
        <w:t>4：</w:t>
      </w:r>
    </w:p>
    <w:p>
      <w:pPr>
        <w:pStyle w:val="2"/>
        <w:spacing w:before="144" w:beforeLines="25" w:line="500" w:lineRule="exact"/>
        <w:rPr>
          <w:sz w:val="36"/>
          <w:szCs w:val="36"/>
        </w:rPr>
      </w:pPr>
      <w:r>
        <w:rPr>
          <w:sz w:val="36"/>
          <w:szCs w:val="36"/>
        </w:rPr>
        <w:t>项目支出绩效自评表</w:t>
      </w:r>
    </w:p>
    <w:p>
      <w:pPr>
        <w:widowControl/>
        <w:adjustRightInd/>
        <w:snapToGrid/>
        <w:spacing w:line="240" w:lineRule="auto"/>
        <w:ind w:firstLine="0" w:firstLineChars="0"/>
        <w:jc w:val="center"/>
        <w:rPr>
          <w:color w:val="000000"/>
          <w:kern w:val="0"/>
          <w:sz w:val="21"/>
          <w:szCs w:val="21"/>
        </w:rPr>
      </w:pPr>
      <w:r>
        <w:rPr>
          <w:color w:val="000000"/>
          <w:kern w:val="0"/>
          <w:sz w:val="21"/>
          <w:szCs w:val="21"/>
        </w:rPr>
        <w:t>（</w:t>
      </w:r>
      <w:r>
        <w:rPr>
          <w:rFonts w:hint="eastAsia"/>
          <w:color w:val="000000"/>
          <w:kern w:val="0"/>
          <w:sz w:val="21"/>
          <w:szCs w:val="21"/>
          <w:lang w:val="en-US" w:eastAsia="zh-CN"/>
        </w:rPr>
        <w:t>2024</w:t>
      </w:r>
      <w:r>
        <w:rPr>
          <w:color w:val="000000"/>
          <w:kern w:val="0"/>
          <w:sz w:val="21"/>
          <w:szCs w:val="21"/>
        </w:rPr>
        <w:t>年度）</w:t>
      </w:r>
    </w:p>
    <w:tbl>
      <w:tblPr>
        <w:tblStyle w:val="10"/>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80"/>
        <w:gridCol w:w="1080"/>
        <w:gridCol w:w="1149"/>
        <w:gridCol w:w="120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项目支</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eastAsia="zh-CN"/>
              </w:rPr>
              <w:t>其它事业类发展资金</w:t>
            </w: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主管部门</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eastAsia="zh-CN"/>
              </w:rPr>
            </w:pPr>
            <w:r>
              <w:rPr>
                <w:color w:val="000000"/>
                <w:kern w:val="0"/>
                <w:sz w:val="21"/>
                <w:szCs w:val="21"/>
              </w:rPr>
              <w:t>　</w:t>
            </w:r>
            <w:r>
              <w:rPr>
                <w:rFonts w:hint="eastAsia"/>
                <w:color w:val="000000"/>
                <w:kern w:val="0"/>
                <w:sz w:val="21"/>
                <w:szCs w:val="21"/>
                <w:lang w:eastAsia="zh-CN"/>
              </w:rPr>
              <w:t>湖南省农业农村厅</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实施单位</w:t>
            </w:r>
          </w:p>
        </w:tc>
        <w:tc>
          <w:tcPr>
            <w:tcW w:w="3119" w:type="dxa"/>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eastAsia="zh-CN"/>
              </w:rPr>
            </w:pPr>
            <w:r>
              <w:rPr>
                <w:color w:val="000000"/>
                <w:kern w:val="0"/>
                <w:sz w:val="21"/>
                <w:szCs w:val="21"/>
              </w:rPr>
              <w:t>　</w:t>
            </w:r>
            <w:r>
              <w:rPr>
                <w:rFonts w:hint="eastAsia"/>
                <w:color w:val="000000"/>
                <w:kern w:val="0"/>
                <w:sz w:val="21"/>
                <w:szCs w:val="21"/>
                <w:lang w:eastAsia="zh-CN"/>
              </w:rPr>
              <w:t>湖南省畜牧兽医研究所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项目资金</w:t>
            </w:r>
            <w:r>
              <w:rPr>
                <w:color w:val="000000"/>
                <w:kern w:val="0"/>
                <w:sz w:val="21"/>
                <w:szCs w:val="21"/>
              </w:rPr>
              <w:br w:type="textWrapping"/>
            </w:r>
            <w:r>
              <w:rPr>
                <w:color w:val="000000"/>
                <w:kern w:val="0"/>
                <w:sz w:val="21"/>
                <w:szCs w:val="21"/>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年初</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预算数</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全年</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全年</w:t>
            </w:r>
          </w:p>
          <w:p>
            <w:pPr>
              <w:adjustRightInd/>
              <w:spacing w:line="280" w:lineRule="exact"/>
              <w:ind w:firstLine="0" w:firstLineChars="0"/>
              <w:jc w:val="center"/>
              <w:textAlignment w:val="center"/>
              <w:rPr>
                <w:sz w:val="21"/>
                <w:szCs w:val="21"/>
              </w:rPr>
            </w:pPr>
            <w:r>
              <w:rPr>
                <w:sz w:val="21"/>
                <w:szCs w:val="21"/>
              </w:rPr>
              <w:t>执行数</w:t>
            </w:r>
          </w:p>
        </w:tc>
        <w:tc>
          <w:tcPr>
            <w:tcW w:w="828"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执行率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年度资金总额　</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55.33</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690.33</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345.02</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50%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 xml:space="preserve">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0" w:type="auto"/>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其中：当年财政拨款　</w:t>
            </w:r>
          </w:p>
        </w:tc>
        <w:tc>
          <w:tcPr>
            <w:tcW w:w="11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0" w:firstLineChars="0"/>
              <w:jc w:val="center"/>
              <w:textAlignment w:val="center"/>
              <w:rPr>
                <w:rFonts w:ascii="Times New Roman" w:hAnsi="Times New Roman" w:cs="Times New Roman"/>
                <w:color w:val="000000"/>
                <w:kern w:val="0"/>
                <w:sz w:val="21"/>
                <w:szCs w:val="21"/>
              </w:rPr>
            </w:pPr>
          </w:p>
        </w:tc>
        <w:tc>
          <w:tcPr>
            <w:tcW w:w="12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635</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289.69</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highlight w:val="none"/>
              </w:rPr>
            </w:pPr>
            <w:r>
              <w:rPr>
                <w:color w:val="000000"/>
                <w:kern w:val="0"/>
                <w:sz w:val="21"/>
                <w:szCs w:val="21"/>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上年结转资金　</w:t>
            </w:r>
          </w:p>
        </w:tc>
        <w:tc>
          <w:tcPr>
            <w:tcW w:w="11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55.33</w:t>
            </w:r>
          </w:p>
        </w:tc>
        <w:tc>
          <w:tcPr>
            <w:tcW w:w="12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55.33</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55.33</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highlight w:val="none"/>
              </w:rPr>
            </w:pPr>
            <w:r>
              <w:rPr>
                <w:color w:val="000000"/>
                <w:kern w:val="0"/>
                <w:sz w:val="21"/>
                <w:szCs w:val="21"/>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其他资金</w:t>
            </w:r>
          </w:p>
        </w:tc>
        <w:tc>
          <w:tcPr>
            <w:tcW w:w="11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2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年度总体目标</w:t>
            </w:r>
          </w:p>
        </w:tc>
        <w:tc>
          <w:tcPr>
            <w:tcW w:w="4518" w:type="dxa"/>
            <w:gridSpan w:val="4"/>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预期目标</w:t>
            </w:r>
          </w:p>
        </w:tc>
        <w:tc>
          <w:tcPr>
            <w:tcW w:w="4253" w:type="dxa"/>
            <w:gridSpan w:val="4"/>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left"/>
              <w:textAlignment w:val="center"/>
              <w:rPr>
                <w:color w:val="000000"/>
                <w:kern w:val="0"/>
                <w:sz w:val="21"/>
                <w:szCs w:val="21"/>
              </w:rPr>
            </w:pPr>
          </w:p>
        </w:tc>
        <w:tc>
          <w:tcPr>
            <w:tcW w:w="4518" w:type="dxa"/>
            <w:gridSpan w:val="4"/>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rPr>
              <w:t>保存沙子岭</w:t>
            </w:r>
            <w:r>
              <w:rPr>
                <w:color w:val="000000"/>
                <w:kern w:val="0"/>
                <w:sz w:val="21"/>
                <w:szCs w:val="21"/>
              </w:rPr>
              <w:t>猪冻精</w:t>
            </w:r>
            <w:r>
              <w:rPr>
                <w:rFonts w:hint="eastAsia"/>
                <w:color w:val="000000"/>
                <w:kern w:val="0"/>
                <w:sz w:val="21"/>
                <w:szCs w:val="21"/>
                <w:lang w:val="en-US" w:eastAsia="zh-CN"/>
              </w:rPr>
              <w:t>20000支，</w:t>
            </w:r>
            <w:r>
              <w:rPr>
                <w:rFonts w:hint="eastAsia"/>
                <w:color w:val="000000"/>
                <w:kern w:val="0"/>
                <w:sz w:val="21"/>
                <w:szCs w:val="21"/>
              </w:rPr>
              <w:t>湘猪</w:t>
            </w:r>
            <w:r>
              <w:rPr>
                <w:color w:val="000000"/>
                <w:kern w:val="0"/>
                <w:sz w:val="21"/>
                <w:szCs w:val="21"/>
              </w:rPr>
              <w:t>遗传材料</w:t>
            </w:r>
            <w:r>
              <w:rPr>
                <w:rFonts w:hint="eastAsia"/>
                <w:color w:val="000000"/>
                <w:kern w:val="0"/>
                <w:sz w:val="21"/>
                <w:szCs w:val="21"/>
                <w:lang w:val="en-US" w:eastAsia="zh-CN"/>
              </w:rPr>
              <w:t>10万份，</w:t>
            </w:r>
            <w:r>
              <w:rPr>
                <w:rFonts w:hint="eastAsia"/>
                <w:color w:val="000000"/>
                <w:kern w:val="0"/>
                <w:sz w:val="21"/>
                <w:szCs w:val="21"/>
                <w:lang w:eastAsia="zh-CN"/>
              </w:rPr>
              <w:t>草食动物首席</w:t>
            </w:r>
            <w:r>
              <w:rPr>
                <w:rFonts w:hint="eastAsia"/>
                <w:color w:val="000000"/>
                <w:kern w:val="0"/>
                <w:sz w:val="21"/>
                <w:szCs w:val="21"/>
              </w:rPr>
              <w:t>试验完成率</w:t>
            </w:r>
            <w:r>
              <w:rPr>
                <w:rFonts w:hint="eastAsia"/>
                <w:color w:val="000000"/>
                <w:kern w:val="0"/>
                <w:sz w:val="21"/>
                <w:szCs w:val="21"/>
                <w:lang w:val="en-US" w:eastAsia="zh-CN"/>
              </w:rPr>
              <w:t>100%，完成</w:t>
            </w:r>
            <w:r>
              <w:rPr>
                <w:rFonts w:hint="eastAsia"/>
                <w:color w:val="000000"/>
                <w:kern w:val="0"/>
                <w:sz w:val="21"/>
                <w:szCs w:val="21"/>
              </w:rPr>
              <w:t>测定站</w:t>
            </w:r>
            <w:r>
              <w:rPr>
                <w:color w:val="000000"/>
                <w:kern w:val="0"/>
                <w:sz w:val="21"/>
                <w:szCs w:val="21"/>
              </w:rPr>
              <w:t>改造</w:t>
            </w:r>
            <w:r>
              <w:rPr>
                <w:rFonts w:hint="eastAsia"/>
                <w:color w:val="000000"/>
                <w:kern w:val="0"/>
                <w:sz w:val="21"/>
                <w:szCs w:val="21"/>
                <w:lang w:eastAsia="zh-CN"/>
              </w:rPr>
              <w:t>，本年完成，不超过预算范围，</w:t>
            </w:r>
            <w:r>
              <w:rPr>
                <w:rFonts w:hint="eastAsia"/>
                <w:color w:val="000000"/>
                <w:kern w:val="0"/>
                <w:sz w:val="21"/>
                <w:szCs w:val="21"/>
                <w:lang w:val="en-US" w:eastAsia="zh-CN"/>
              </w:rPr>
              <w:t>完成性控冻精生产和推广任务，</w:t>
            </w:r>
            <w:r>
              <w:rPr>
                <w:rFonts w:hint="eastAsia"/>
                <w:color w:val="000000"/>
                <w:kern w:val="0"/>
                <w:sz w:val="21"/>
                <w:szCs w:val="21"/>
              </w:rPr>
              <w:t>湘西黑猪</w:t>
            </w:r>
            <w:r>
              <w:rPr>
                <w:rFonts w:hint="eastAsia"/>
                <w:color w:val="000000"/>
                <w:kern w:val="0"/>
                <w:sz w:val="21"/>
                <w:szCs w:val="21"/>
                <w:lang w:eastAsia="zh-CN"/>
              </w:rPr>
              <w:t>，完成藏香猪杂交组合实验，</w:t>
            </w:r>
            <w:r>
              <w:rPr>
                <w:rFonts w:hint="eastAsia"/>
                <w:color w:val="000000"/>
                <w:kern w:val="0"/>
                <w:sz w:val="21"/>
                <w:szCs w:val="21"/>
                <w:lang w:val="en-US" w:eastAsia="zh-CN"/>
              </w:rPr>
              <w:t>在全省进行示范，</w:t>
            </w:r>
            <w:r>
              <w:rPr>
                <w:rFonts w:hint="eastAsia"/>
                <w:color w:val="000000"/>
                <w:kern w:val="0"/>
                <w:sz w:val="21"/>
                <w:szCs w:val="21"/>
              </w:rPr>
              <w:t>对周边生态环境</w:t>
            </w:r>
            <w:r>
              <w:rPr>
                <w:rFonts w:hint="eastAsia"/>
                <w:color w:val="000000"/>
                <w:kern w:val="0"/>
                <w:sz w:val="21"/>
                <w:szCs w:val="21"/>
                <w:lang w:eastAsia="zh-CN"/>
              </w:rPr>
              <w:t>不</w:t>
            </w:r>
            <w:r>
              <w:rPr>
                <w:rFonts w:hint="eastAsia"/>
                <w:color w:val="000000"/>
                <w:kern w:val="0"/>
                <w:sz w:val="21"/>
                <w:szCs w:val="21"/>
              </w:rPr>
              <w:t>产生影响</w:t>
            </w:r>
            <w:r>
              <w:rPr>
                <w:rFonts w:hint="eastAsia"/>
                <w:color w:val="000000"/>
                <w:kern w:val="0"/>
                <w:sz w:val="21"/>
                <w:szCs w:val="21"/>
                <w:lang w:eastAsia="zh-CN"/>
              </w:rPr>
              <w:t>，</w:t>
            </w:r>
            <w:r>
              <w:rPr>
                <w:rFonts w:hint="eastAsia"/>
                <w:color w:val="000000"/>
                <w:kern w:val="0"/>
                <w:sz w:val="21"/>
                <w:szCs w:val="21"/>
              </w:rPr>
              <w:t>开展</w:t>
            </w:r>
            <w:r>
              <w:rPr>
                <w:color w:val="000000"/>
                <w:kern w:val="0"/>
                <w:sz w:val="21"/>
                <w:szCs w:val="21"/>
              </w:rPr>
              <w:t>地方猪或培育新</w:t>
            </w:r>
            <w:r>
              <w:rPr>
                <w:rFonts w:hint="eastAsia"/>
                <w:color w:val="000000"/>
                <w:kern w:val="0"/>
                <w:sz w:val="21"/>
                <w:szCs w:val="21"/>
              </w:rPr>
              <w:t>品种</w:t>
            </w:r>
            <w:r>
              <w:rPr>
                <w:color w:val="000000"/>
                <w:kern w:val="0"/>
                <w:sz w:val="21"/>
                <w:szCs w:val="21"/>
              </w:rPr>
              <w:t>性能测定</w:t>
            </w:r>
            <w:r>
              <w:rPr>
                <w:rFonts w:hint="eastAsia"/>
                <w:color w:val="000000"/>
                <w:kern w:val="0"/>
                <w:sz w:val="21"/>
                <w:szCs w:val="21"/>
                <w:lang w:eastAsia="zh-CN"/>
              </w:rPr>
              <w:t>，</w:t>
            </w:r>
            <w:r>
              <w:rPr>
                <w:rFonts w:hint="eastAsia"/>
                <w:color w:val="000000"/>
                <w:kern w:val="0"/>
                <w:sz w:val="21"/>
                <w:szCs w:val="21"/>
                <w:lang w:val="en-US" w:eastAsia="zh-CN"/>
              </w:rPr>
              <w:t>性控冻精</w:t>
            </w:r>
            <w:r>
              <w:rPr>
                <w:rFonts w:hint="eastAsia"/>
                <w:color w:val="000000"/>
                <w:kern w:val="0"/>
                <w:sz w:val="21"/>
                <w:szCs w:val="21"/>
              </w:rPr>
              <w:t>项目实施后在定时期内持续有效</w:t>
            </w:r>
            <w:r>
              <w:rPr>
                <w:rFonts w:hint="eastAsia"/>
                <w:color w:val="000000"/>
                <w:kern w:val="0"/>
                <w:sz w:val="21"/>
                <w:szCs w:val="21"/>
                <w:lang w:eastAsia="zh-CN"/>
              </w:rPr>
              <w:t>，</w:t>
            </w:r>
            <w:r>
              <w:rPr>
                <w:rFonts w:hint="eastAsia"/>
                <w:color w:val="000000"/>
                <w:kern w:val="0"/>
                <w:sz w:val="21"/>
                <w:szCs w:val="21"/>
              </w:rPr>
              <w:t>受益人企业满意度调查</w:t>
            </w:r>
            <w:r>
              <w:rPr>
                <w:rFonts w:hint="eastAsia"/>
                <w:color w:val="000000"/>
                <w:kern w:val="0"/>
                <w:sz w:val="21"/>
                <w:szCs w:val="21"/>
                <w:lang w:eastAsia="zh-CN"/>
              </w:rPr>
              <w:t>大于</w:t>
            </w:r>
            <w:r>
              <w:rPr>
                <w:rFonts w:hint="eastAsia"/>
                <w:color w:val="000000"/>
                <w:kern w:val="0"/>
                <w:sz w:val="21"/>
                <w:szCs w:val="21"/>
                <w:lang w:val="en-US" w:eastAsia="zh-CN"/>
              </w:rPr>
              <w:t>90分。</w:t>
            </w:r>
          </w:p>
        </w:tc>
        <w:tc>
          <w:tcPr>
            <w:tcW w:w="4253" w:type="dxa"/>
            <w:gridSpan w:val="4"/>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保存沙子岭</w:t>
            </w:r>
            <w:r>
              <w:rPr>
                <w:color w:val="000000"/>
                <w:kern w:val="0"/>
                <w:sz w:val="21"/>
                <w:szCs w:val="21"/>
              </w:rPr>
              <w:t>猪冻精</w:t>
            </w:r>
            <w:r>
              <w:rPr>
                <w:rFonts w:hint="eastAsia"/>
                <w:color w:val="000000"/>
                <w:kern w:val="0"/>
                <w:sz w:val="21"/>
                <w:szCs w:val="21"/>
                <w:lang w:val="en-US" w:eastAsia="zh-CN"/>
              </w:rPr>
              <w:t>21000支，</w:t>
            </w:r>
            <w:r>
              <w:rPr>
                <w:rFonts w:hint="eastAsia"/>
                <w:color w:val="000000"/>
                <w:kern w:val="0"/>
                <w:sz w:val="21"/>
                <w:szCs w:val="21"/>
              </w:rPr>
              <w:t>湘猪</w:t>
            </w:r>
            <w:r>
              <w:rPr>
                <w:color w:val="000000"/>
                <w:kern w:val="0"/>
                <w:sz w:val="21"/>
                <w:szCs w:val="21"/>
              </w:rPr>
              <w:t>遗传材料</w:t>
            </w:r>
            <w:r>
              <w:rPr>
                <w:rFonts w:hint="eastAsia"/>
                <w:color w:val="000000"/>
                <w:kern w:val="0"/>
                <w:sz w:val="21"/>
                <w:szCs w:val="21"/>
                <w:lang w:val="en-US" w:eastAsia="zh-CN"/>
              </w:rPr>
              <w:t>15.5万份，</w:t>
            </w:r>
            <w:r>
              <w:rPr>
                <w:rFonts w:hint="eastAsia"/>
                <w:color w:val="000000"/>
                <w:kern w:val="0"/>
                <w:sz w:val="21"/>
                <w:szCs w:val="21"/>
                <w:lang w:eastAsia="zh-CN"/>
              </w:rPr>
              <w:t>草食动物首席</w:t>
            </w:r>
            <w:r>
              <w:rPr>
                <w:rFonts w:hint="eastAsia"/>
                <w:color w:val="000000"/>
                <w:kern w:val="0"/>
                <w:sz w:val="21"/>
                <w:szCs w:val="21"/>
              </w:rPr>
              <w:t>试验完成率</w:t>
            </w:r>
            <w:r>
              <w:rPr>
                <w:rFonts w:hint="eastAsia"/>
                <w:color w:val="000000"/>
                <w:kern w:val="0"/>
                <w:sz w:val="21"/>
                <w:szCs w:val="21"/>
                <w:lang w:val="en-US" w:eastAsia="zh-CN"/>
              </w:rPr>
              <w:t>100%，完成</w:t>
            </w:r>
            <w:r>
              <w:rPr>
                <w:rFonts w:hint="eastAsia"/>
                <w:color w:val="000000"/>
                <w:kern w:val="0"/>
                <w:sz w:val="21"/>
                <w:szCs w:val="21"/>
              </w:rPr>
              <w:t>测定站</w:t>
            </w:r>
            <w:r>
              <w:rPr>
                <w:color w:val="000000"/>
                <w:kern w:val="0"/>
                <w:sz w:val="21"/>
                <w:szCs w:val="21"/>
              </w:rPr>
              <w:t>改造</w:t>
            </w:r>
            <w:r>
              <w:rPr>
                <w:rFonts w:hint="eastAsia"/>
                <w:color w:val="000000"/>
                <w:kern w:val="0"/>
                <w:sz w:val="21"/>
                <w:szCs w:val="21"/>
                <w:lang w:eastAsia="zh-CN"/>
              </w:rPr>
              <w:t>，本年完成，不超过预算范围，</w:t>
            </w:r>
            <w:r>
              <w:rPr>
                <w:rFonts w:hint="eastAsia"/>
                <w:color w:val="000000"/>
                <w:kern w:val="0"/>
                <w:sz w:val="21"/>
                <w:szCs w:val="21"/>
                <w:lang w:val="en-US" w:eastAsia="zh-CN"/>
              </w:rPr>
              <w:t>完成性控冻精生产和推广任务，</w:t>
            </w:r>
            <w:r>
              <w:rPr>
                <w:rFonts w:hint="eastAsia"/>
                <w:color w:val="000000"/>
                <w:kern w:val="0"/>
                <w:sz w:val="21"/>
                <w:szCs w:val="21"/>
              </w:rPr>
              <w:t>湘西黑猪</w:t>
            </w:r>
            <w:r>
              <w:rPr>
                <w:rFonts w:hint="eastAsia"/>
                <w:color w:val="000000"/>
                <w:kern w:val="0"/>
                <w:sz w:val="21"/>
                <w:szCs w:val="21"/>
                <w:lang w:eastAsia="zh-CN"/>
              </w:rPr>
              <w:t>，完成藏香猪杂交组合实验，</w:t>
            </w:r>
            <w:r>
              <w:rPr>
                <w:rFonts w:hint="eastAsia"/>
                <w:color w:val="000000"/>
                <w:kern w:val="0"/>
                <w:sz w:val="21"/>
                <w:szCs w:val="21"/>
                <w:lang w:val="en-US" w:eastAsia="zh-CN"/>
              </w:rPr>
              <w:t>在全省进行示范，</w:t>
            </w:r>
            <w:r>
              <w:rPr>
                <w:rFonts w:hint="eastAsia"/>
                <w:color w:val="000000"/>
                <w:kern w:val="0"/>
                <w:sz w:val="21"/>
                <w:szCs w:val="21"/>
              </w:rPr>
              <w:t>对周边生态环境</w:t>
            </w:r>
            <w:r>
              <w:rPr>
                <w:rFonts w:hint="eastAsia"/>
                <w:color w:val="000000"/>
                <w:kern w:val="0"/>
                <w:sz w:val="21"/>
                <w:szCs w:val="21"/>
                <w:lang w:eastAsia="zh-CN"/>
              </w:rPr>
              <w:t>不</w:t>
            </w:r>
            <w:r>
              <w:rPr>
                <w:rFonts w:hint="eastAsia"/>
                <w:color w:val="000000"/>
                <w:kern w:val="0"/>
                <w:sz w:val="21"/>
                <w:szCs w:val="21"/>
              </w:rPr>
              <w:t>产生影响</w:t>
            </w:r>
            <w:r>
              <w:rPr>
                <w:rFonts w:hint="eastAsia"/>
                <w:color w:val="000000"/>
                <w:kern w:val="0"/>
                <w:sz w:val="21"/>
                <w:szCs w:val="21"/>
                <w:lang w:eastAsia="zh-CN"/>
              </w:rPr>
              <w:t>，</w:t>
            </w:r>
            <w:r>
              <w:rPr>
                <w:rFonts w:hint="eastAsia"/>
                <w:color w:val="000000"/>
                <w:kern w:val="0"/>
                <w:sz w:val="21"/>
                <w:szCs w:val="21"/>
              </w:rPr>
              <w:t>开展</w:t>
            </w:r>
            <w:r>
              <w:rPr>
                <w:color w:val="000000"/>
                <w:kern w:val="0"/>
                <w:sz w:val="21"/>
                <w:szCs w:val="21"/>
              </w:rPr>
              <w:t>地方猪或培育新</w:t>
            </w:r>
            <w:r>
              <w:rPr>
                <w:rFonts w:hint="eastAsia"/>
                <w:color w:val="000000"/>
                <w:kern w:val="0"/>
                <w:sz w:val="21"/>
                <w:szCs w:val="21"/>
              </w:rPr>
              <w:t>品种</w:t>
            </w:r>
            <w:r>
              <w:rPr>
                <w:color w:val="000000"/>
                <w:kern w:val="0"/>
                <w:sz w:val="21"/>
                <w:szCs w:val="21"/>
              </w:rPr>
              <w:t>性能测定</w:t>
            </w:r>
            <w:r>
              <w:rPr>
                <w:rFonts w:hint="eastAsia"/>
                <w:color w:val="000000"/>
                <w:kern w:val="0"/>
                <w:sz w:val="21"/>
                <w:szCs w:val="21"/>
                <w:lang w:eastAsia="zh-CN"/>
              </w:rPr>
              <w:t>，</w:t>
            </w:r>
            <w:r>
              <w:rPr>
                <w:rFonts w:hint="eastAsia"/>
                <w:color w:val="000000"/>
                <w:kern w:val="0"/>
                <w:sz w:val="21"/>
                <w:szCs w:val="21"/>
                <w:lang w:val="en-US" w:eastAsia="zh-CN"/>
              </w:rPr>
              <w:t>性控冻精</w:t>
            </w:r>
            <w:r>
              <w:rPr>
                <w:rFonts w:hint="eastAsia"/>
                <w:color w:val="000000"/>
                <w:kern w:val="0"/>
                <w:sz w:val="21"/>
                <w:szCs w:val="21"/>
              </w:rPr>
              <w:t>项目实施后在定时期内持续有效</w:t>
            </w:r>
            <w:r>
              <w:rPr>
                <w:rFonts w:hint="eastAsia"/>
                <w:color w:val="000000"/>
                <w:kern w:val="0"/>
                <w:sz w:val="21"/>
                <w:szCs w:val="21"/>
                <w:lang w:eastAsia="zh-CN"/>
              </w:rPr>
              <w:t>，</w:t>
            </w:r>
            <w:r>
              <w:rPr>
                <w:rFonts w:hint="eastAsia"/>
                <w:color w:val="000000"/>
                <w:kern w:val="0"/>
                <w:sz w:val="21"/>
                <w:szCs w:val="21"/>
              </w:rPr>
              <w:t>受益人企业满意度调查</w:t>
            </w:r>
            <w:r>
              <w:rPr>
                <w:rFonts w:hint="eastAsia"/>
                <w:color w:val="000000"/>
                <w:kern w:val="0"/>
                <w:sz w:val="21"/>
                <w:szCs w:val="21"/>
                <w:lang w:val="en-US" w:eastAsia="zh-CN"/>
              </w:rPr>
              <w:t>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绩</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标</w:t>
            </w:r>
          </w:p>
        </w:tc>
        <w:tc>
          <w:tcPr>
            <w:tcW w:w="108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一级指标</w:t>
            </w:r>
          </w:p>
        </w:tc>
        <w:tc>
          <w:tcPr>
            <w:tcW w:w="108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二级指标</w:t>
            </w:r>
          </w:p>
        </w:tc>
        <w:tc>
          <w:tcPr>
            <w:tcW w:w="11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三级指标</w:t>
            </w:r>
          </w:p>
        </w:tc>
        <w:tc>
          <w:tcPr>
            <w:tcW w:w="12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指标值</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偏差原因</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分析及</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产出指标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(50分)</w:t>
            </w:r>
          </w:p>
        </w:tc>
        <w:tc>
          <w:tcPr>
            <w:tcW w:w="1080" w:type="dxa"/>
            <w:vMerge w:val="restart"/>
            <w:tcBorders>
              <w:top w:val="nil"/>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数量指标</w:t>
            </w:r>
          </w:p>
        </w:tc>
        <w:tc>
          <w:tcPr>
            <w:tcW w:w="11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rFonts w:hint="eastAsia"/>
                <w:color w:val="000000"/>
                <w:kern w:val="0"/>
                <w:sz w:val="21"/>
                <w:szCs w:val="21"/>
              </w:rPr>
              <w:t>保存沙子岭</w:t>
            </w:r>
            <w:r>
              <w:rPr>
                <w:color w:val="000000"/>
                <w:kern w:val="0"/>
                <w:sz w:val="21"/>
                <w:szCs w:val="21"/>
              </w:rPr>
              <w:t>猪冻精</w:t>
            </w:r>
          </w:p>
        </w:tc>
        <w:tc>
          <w:tcPr>
            <w:tcW w:w="12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0" w:firstLineChars="0"/>
              <w:jc w:val="center"/>
              <w:textAlignment w:val="center"/>
              <w:rPr>
                <w:rFonts w:eastAsia="仿宋_GB2312"/>
                <w:color w:val="000000"/>
                <w:kern w:val="0"/>
                <w:sz w:val="21"/>
                <w:szCs w:val="21"/>
                <w:highlight w:val="none"/>
                <w:lang w:val="en-US" w:eastAsia="zh-CN" w:bidi="ar-SA"/>
              </w:rPr>
            </w:pPr>
            <w:r>
              <w:rPr>
                <w:rFonts w:hint="eastAsia"/>
                <w:color w:val="000000"/>
                <w:kern w:val="0"/>
                <w:sz w:val="21"/>
                <w:szCs w:val="21"/>
                <w:highlight w:val="none"/>
                <w:lang w:eastAsia="zh-CN"/>
              </w:rPr>
              <w:t>≥</w:t>
            </w:r>
            <w:r>
              <w:rPr>
                <w:rFonts w:hint="eastAsia"/>
                <w:color w:val="000000"/>
                <w:kern w:val="0"/>
                <w:sz w:val="21"/>
                <w:szCs w:val="21"/>
                <w:highlight w:val="none"/>
              </w:rPr>
              <w:t>20000支</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0" w:firstLineChars="0"/>
              <w:jc w:val="center"/>
              <w:textAlignment w:val="center"/>
              <w:rPr>
                <w:rFonts w:eastAsia="仿宋_GB2312"/>
                <w:color w:val="000000"/>
                <w:kern w:val="0"/>
                <w:sz w:val="21"/>
                <w:szCs w:val="21"/>
                <w:highlight w:val="none"/>
                <w:lang w:val="en-US" w:eastAsia="zh-CN" w:bidi="ar-SA"/>
              </w:rPr>
            </w:pPr>
            <w:r>
              <w:rPr>
                <w:rFonts w:hint="eastAsia"/>
                <w:color w:val="000000"/>
                <w:kern w:val="0"/>
                <w:sz w:val="21"/>
                <w:szCs w:val="21"/>
                <w:highlight w:val="none"/>
              </w:rPr>
              <w:t>21000支</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left"/>
              <w:textAlignment w:val="center"/>
              <w:rPr>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0" w:firstLineChars="0"/>
              <w:jc w:val="left"/>
              <w:textAlignment w:val="center"/>
              <w:rPr>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0" w:firstLineChars="0"/>
              <w:jc w:val="left"/>
              <w:textAlignment w:val="center"/>
              <w:rPr>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湘猪</w:t>
            </w:r>
            <w:r>
              <w:rPr>
                <w:color w:val="000000"/>
                <w:kern w:val="0"/>
                <w:sz w:val="21"/>
                <w:szCs w:val="21"/>
              </w:rPr>
              <w:t>遗传材料</w:t>
            </w:r>
          </w:p>
        </w:tc>
        <w:tc>
          <w:tcPr>
            <w:tcW w:w="12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highlight w:val="none"/>
                <w:lang w:eastAsia="zh-CN"/>
              </w:rPr>
            </w:pPr>
            <w:r>
              <w:rPr>
                <w:rFonts w:hint="eastAsia"/>
                <w:color w:val="000000"/>
                <w:kern w:val="0"/>
                <w:sz w:val="21"/>
                <w:szCs w:val="21"/>
                <w:highlight w:val="none"/>
                <w:lang w:eastAsia="zh-CN"/>
              </w:rPr>
              <w:t>≥</w:t>
            </w:r>
            <w:r>
              <w:rPr>
                <w:rFonts w:hint="eastAsia"/>
                <w:color w:val="000000"/>
                <w:kern w:val="0"/>
                <w:sz w:val="21"/>
                <w:szCs w:val="21"/>
                <w:highlight w:val="none"/>
              </w:rPr>
              <w:t>10万份</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adjustRightInd/>
              <w:spacing w:line="280" w:lineRule="exact"/>
              <w:ind w:firstLine="0" w:firstLineChars="0"/>
              <w:jc w:val="center"/>
              <w:textAlignment w:val="center"/>
              <w:rPr>
                <w:color w:val="000000"/>
                <w:kern w:val="0"/>
                <w:sz w:val="21"/>
                <w:szCs w:val="21"/>
                <w:highlight w:val="none"/>
              </w:rPr>
            </w:pPr>
            <w:r>
              <w:rPr>
                <w:rFonts w:hint="eastAsia"/>
                <w:color w:val="000000"/>
                <w:kern w:val="0"/>
                <w:sz w:val="21"/>
                <w:szCs w:val="21"/>
                <w:highlight w:val="none"/>
              </w:rPr>
              <w:t>15.5万</w:t>
            </w:r>
            <w:r>
              <w:rPr>
                <w:color w:val="000000"/>
                <w:kern w:val="0"/>
                <w:sz w:val="21"/>
                <w:szCs w:val="21"/>
                <w:highlight w:val="none"/>
              </w:rPr>
              <w:t>份</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bidi="ar-SA"/>
              </w:rPr>
            </w:pPr>
            <w:r>
              <w:rPr>
                <w:color w:val="000000"/>
                <w:kern w:val="0"/>
                <w:sz w:val="21"/>
                <w:szCs w:val="21"/>
              </w:rPr>
              <w:t>　</w:t>
            </w: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bidi="ar-SA"/>
              </w:rPr>
            </w:pPr>
            <w:r>
              <w:rPr>
                <w:color w:val="000000"/>
                <w:kern w:val="0"/>
                <w:sz w:val="21"/>
                <w:szCs w:val="21"/>
              </w:rPr>
              <w:t>　</w:t>
            </w: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质量指标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rFonts w:hint="eastAsia"/>
                <w:color w:val="000000"/>
                <w:kern w:val="0"/>
                <w:sz w:val="21"/>
                <w:szCs w:val="21"/>
                <w:lang w:eastAsia="zh-CN"/>
              </w:rPr>
              <w:t>草食动物首席</w:t>
            </w:r>
            <w:r>
              <w:rPr>
                <w:rFonts w:hint="eastAsia"/>
                <w:color w:val="000000"/>
                <w:kern w:val="0"/>
                <w:sz w:val="21"/>
                <w:szCs w:val="21"/>
              </w:rPr>
              <w:t>试验完成率</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rPr>
              <w:t>1</w:t>
            </w:r>
            <w:r>
              <w:rPr>
                <w:color w:val="000000"/>
                <w:kern w:val="0"/>
                <w:sz w:val="21"/>
                <w:szCs w:val="21"/>
              </w:rPr>
              <w:t>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rPr>
              <w:t>1</w:t>
            </w:r>
            <w:r>
              <w:rPr>
                <w:color w:val="000000"/>
                <w:kern w:val="0"/>
                <w:sz w:val="21"/>
                <w:szCs w:val="21"/>
              </w:rPr>
              <w:t>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bidi="ar-SA"/>
              </w:rPr>
            </w:pPr>
            <w:r>
              <w:rPr>
                <w:color w:val="000000"/>
                <w:kern w:val="0"/>
                <w:sz w:val="21"/>
                <w:szCs w:val="21"/>
              </w:rPr>
              <w:t>　</w:t>
            </w: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bidi="ar-SA"/>
              </w:rPr>
            </w:pPr>
            <w:r>
              <w:rPr>
                <w:color w:val="000000"/>
                <w:kern w:val="0"/>
                <w:sz w:val="21"/>
                <w:szCs w:val="21"/>
              </w:rPr>
              <w:t>　</w:t>
            </w: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rFonts w:hint="eastAsia"/>
                <w:color w:val="000000"/>
                <w:kern w:val="0"/>
                <w:sz w:val="21"/>
                <w:szCs w:val="21"/>
              </w:rPr>
              <w:t>测定站</w:t>
            </w:r>
            <w:r>
              <w:rPr>
                <w:color w:val="000000"/>
                <w:kern w:val="0"/>
                <w:sz w:val="21"/>
                <w:szCs w:val="21"/>
              </w:rPr>
              <w:t>改造</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lang w:eastAsia="zh-CN"/>
              </w:rPr>
              <w:t>完成</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rPr>
              <w:t>完成</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bidi="ar-SA"/>
              </w:rPr>
            </w:pPr>
            <w:r>
              <w:rPr>
                <w:color w:val="000000"/>
                <w:kern w:val="0"/>
                <w:sz w:val="21"/>
                <w:szCs w:val="21"/>
              </w:rPr>
              <w:t>　</w:t>
            </w: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bidi="ar-SA"/>
              </w:rPr>
            </w:pPr>
            <w:r>
              <w:rPr>
                <w:color w:val="000000"/>
                <w:kern w:val="0"/>
                <w:sz w:val="21"/>
                <w:szCs w:val="21"/>
              </w:rPr>
              <w:t>　</w:t>
            </w: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时效指标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eastAsia="zh-CN"/>
              </w:rPr>
            </w:pPr>
            <w:r>
              <w:rPr>
                <w:rFonts w:hint="eastAsia"/>
                <w:color w:val="000000"/>
                <w:kern w:val="0"/>
                <w:sz w:val="21"/>
                <w:szCs w:val="21"/>
                <w:lang w:eastAsia="zh-CN"/>
              </w:rPr>
              <w:t>完成时效</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lang w:eastAsia="zh-CN"/>
              </w:rPr>
              <w:t>本年</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lang w:eastAsia="zh-CN"/>
              </w:rPr>
              <w:t>本年</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bidi="ar-SA"/>
              </w:rPr>
            </w:pPr>
            <w:r>
              <w:rPr>
                <w:color w:val="000000"/>
                <w:kern w:val="0"/>
                <w:sz w:val="21"/>
                <w:szCs w:val="21"/>
              </w:rPr>
              <w:t>　</w:t>
            </w:r>
            <w:r>
              <w:rPr>
                <w:rFonts w:hint="eastAsia"/>
                <w:color w:val="000000"/>
                <w:kern w:val="0"/>
                <w:sz w:val="21"/>
                <w:szCs w:val="21"/>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bidi="ar-SA"/>
              </w:rPr>
            </w:pPr>
            <w:r>
              <w:rPr>
                <w:color w:val="000000"/>
                <w:kern w:val="0"/>
                <w:sz w:val="21"/>
                <w:szCs w:val="21"/>
              </w:rPr>
              <w:t>　</w:t>
            </w:r>
            <w:r>
              <w:rPr>
                <w:rFonts w:hint="eastAsia"/>
                <w:color w:val="000000"/>
                <w:kern w:val="0"/>
                <w:sz w:val="21"/>
                <w:szCs w:val="21"/>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成本指标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eastAsia="zh-CN"/>
              </w:rPr>
            </w:pPr>
            <w:r>
              <w:rPr>
                <w:rFonts w:hint="eastAsia"/>
                <w:color w:val="000000"/>
                <w:kern w:val="0"/>
                <w:sz w:val="21"/>
                <w:szCs w:val="21"/>
                <w:lang w:eastAsia="zh-CN"/>
              </w:rPr>
              <w:t>预算范围内</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rPr>
              <w:t>1</w:t>
            </w:r>
            <w:r>
              <w:rPr>
                <w:color w:val="000000"/>
                <w:kern w:val="0"/>
                <w:sz w:val="21"/>
                <w:szCs w:val="21"/>
              </w:rPr>
              <w:t>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rPr>
              <w:t>1</w:t>
            </w:r>
            <w:r>
              <w:rPr>
                <w:color w:val="000000"/>
                <w:kern w:val="0"/>
                <w:sz w:val="21"/>
                <w:szCs w:val="21"/>
              </w:rPr>
              <w:t>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bidi="ar-SA"/>
              </w:rPr>
            </w:pPr>
            <w:r>
              <w:rPr>
                <w:color w:val="000000"/>
                <w:kern w:val="0"/>
                <w:sz w:val="21"/>
                <w:szCs w:val="21"/>
              </w:rPr>
              <w:t>　</w:t>
            </w:r>
            <w:r>
              <w:rPr>
                <w:rFonts w:hint="eastAsia"/>
                <w:color w:val="000000"/>
                <w:kern w:val="0"/>
                <w:sz w:val="21"/>
                <w:szCs w:val="21"/>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bidi="ar-SA"/>
              </w:rPr>
            </w:pPr>
            <w:r>
              <w:rPr>
                <w:color w:val="000000"/>
                <w:kern w:val="0"/>
                <w:sz w:val="21"/>
                <w:szCs w:val="21"/>
              </w:rPr>
              <w:t>　</w:t>
            </w:r>
            <w:r>
              <w:rPr>
                <w:rFonts w:hint="eastAsia"/>
                <w:color w:val="000000"/>
                <w:kern w:val="0"/>
                <w:sz w:val="21"/>
                <w:szCs w:val="21"/>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效益指标</w:t>
            </w:r>
          </w:p>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（30分）</w:t>
            </w: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经济效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是否完成性控冻精生产和推广任务</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是</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rPr>
              <w:t>是</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社会效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rFonts w:hint="eastAsia"/>
                <w:color w:val="000000"/>
                <w:kern w:val="0"/>
                <w:sz w:val="21"/>
                <w:szCs w:val="21"/>
              </w:rPr>
              <w:t>湘西黑猪</w:t>
            </w:r>
            <w:r>
              <w:rPr>
                <w:rFonts w:hint="eastAsia"/>
                <w:color w:val="000000"/>
                <w:kern w:val="0"/>
                <w:sz w:val="21"/>
                <w:szCs w:val="21"/>
                <w:lang w:eastAsia="zh-CN"/>
              </w:rPr>
              <w:t>，藏香猪杂交组合实验</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lang w:eastAsia="zh-CN"/>
              </w:rPr>
              <w:t>完成</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rPr>
              <w:t>完成</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color w:val="000000"/>
                <w:kern w:val="0"/>
                <w:sz w:val="21"/>
                <w:szCs w:val="21"/>
              </w:rPr>
              <w:t>　</w:t>
            </w:r>
            <w:r>
              <w:rPr>
                <w:rFonts w:hint="eastAsia"/>
                <w:color w:val="000000"/>
                <w:kern w:val="0"/>
                <w:sz w:val="21"/>
                <w:szCs w:val="21"/>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color w:val="000000"/>
                <w:kern w:val="0"/>
                <w:sz w:val="21"/>
                <w:szCs w:val="21"/>
              </w:rPr>
              <w:t>　</w:t>
            </w:r>
            <w:r>
              <w:rPr>
                <w:rFonts w:hint="eastAsia"/>
                <w:color w:val="000000"/>
                <w:kern w:val="0"/>
                <w:sz w:val="21"/>
                <w:szCs w:val="21"/>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是否完成在全省进行示范</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是</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是</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color w:val="000000"/>
                <w:kern w:val="0"/>
                <w:sz w:val="21"/>
                <w:szCs w:val="21"/>
              </w:rPr>
              <w:t>　</w:t>
            </w:r>
            <w:r>
              <w:rPr>
                <w:rFonts w:hint="eastAsia"/>
                <w:color w:val="000000"/>
                <w:kern w:val="0"/>
                <w:sz w:val="21"/>
                <w:szCs w:val="21"/>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color w:val="000000"/>
                <w:kern w:val="0"/>
                <w:sz w:val="21"/>
                <w:szCs w:val="21"/>
              </w:rPr>
              <w:t>　</w:t>
            </w:r>
            <w:r>
              <w:rPr>
                <w:rFonts w:hint="eastAsia"/>
                <w:color w:val="000000"/>
                <w:kern w:val="0"/>
                <w:sz w:val="21"/>
                <w:szCs w:val="21"/>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生态效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eastAsia="仿宋_GB2312"/>
                <w:color w:val="000000"/>
                <w:kern w:val="0"/>
                <w:sz w:val="21"/>
                <w:szCs w:val="21"/>
                <w:lang w:val="en-US" w:eastAsia="zh-CN" w:bidi="ar-SA"/>
              </w:rPr>
            </w:pPr>
            <w:r>
              <w:rPr>
                <w:rFonts w:hint="eastAsia"/>
                <w:color w:val="000000"/>
                <w:kern w:val="0"/>
                <w:sz w:val="21"/>
                <w:szCs w:val="21"/>
              </w:rPr>
              <w:t>对周边生态环境产生影响</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rPr>
              <w:t>无</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left="0" w:leftChars="0" w:firstLine="210" w:firstLineChars="10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无</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color w:val="000000"/>
                <w:kern w:val="0"/>
                <w:sz w:val="21"/>
                <w:szCs w:val="21"/>
              </w:rPr>
              <w:t>　</w:t>
            </w:r>
            <w:r>
              <w:rPr>
                <w:rFonts w:hint="eastAsia"/>
                <w:color w:val="000000"/>
                <w:kern w:val="0"/>
                <w:sz w:val="21"/>
                <w:szCs w:val="21"/>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color w:val="000000"/>
                <w:kern w:val="0"/>
                <w:sz w:val="21"/>
                <w:szCs w:val="21"/>
              </w:rPr>
              <w:t>　</w:t>
            </w:r>
            <w:r>
              <w:rPr>
                <w:rFonts w:hint="eastAsia"/>
                <w:color w:val="000000"/>
                <w:kern w:val="0"/>
                <w:sz w:val="21"/>
                <w:szCs w:val="21"/>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rFonts w:hint="eastAsia"/>
                <w:color w:val="000000"/>
                <w:kern w:val="0"/>
                <w:sz w:val="21"/>
                <w:szCs w:val="21"/>
              </w:rPr>
              <w:t>开展</w:t>
            </w:r>
            <w:r>
              <w:rPr>
                <w:color w:val="000000"/>
                <w:kern w:val="0"/>
                <w:sz w:val="21"/>
                <w:szCs w:val="21"/>
              </w:rPr>
              <w:t>地方猪或培育新</w:t>
            </w:r>
            <w:r>
              <w:rPr>
                <w:rFonts w:hint="eastAsia"/>
                <w:color w:val="000000"/>
                <w:kern w:val="0"/>
                <w:sz w:val="21"/>
                <w:szCs w:val="21"/>
              </w:rPr>
              <w:t>品种</w:t>
            </w:r>
            <w:r>
              <w:rPr>
                <w:color w:val="000000"/>
                <w:kern w:val="0"/>
                <w:sz w:val="21"/>
                <w:szCs w:val="21"/>
              </w:rPr>
              <w:t>性能测定</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rPr>
              <w:t>完成</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rPr>
              <w:t>完成</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color w:val="000000"/>
                <w:kern w:val="0"/>
                <w:sz w:val="21"/>
                <w:szCs w:val="21"/>
              </w:rPr>
              <w:t>　</w:t>
            </w:r>
            <w:r>
              <w:rPr>
                <w:rFonts w:hint="eastAsia"/>
                <w:color w:val="000000"/>
                <w:kern w:val="0"/>
                <w:sz w:val="21"/>
                <w:szCs w:val="21"/>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color w:val="000000"/>
                <w:kern w:val="0"/>
                <w:sz w:val="21"/>
                <w:szCs w:val="21"/>
              </w:rPr>
              <w:t>　</w:t>
            </w:r>
            <w:r>
              <w:rPr>
                <w:rFonts w:hint="eastAsia"/>
                <w:color w:val="000000"/>
                <w:kern w:val="0"/>
                <w:sz w:val="21"/>
                <w:szCs w:val="21"/>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可持续影响指标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eastAsia="仿宋_GB2312"/>
                <w:color w:val="000000"/>
                <w:kern w:val="0"/>
                <w:sz w:val="21"/>
                <w:szCs w:val="21"/>
                <w:lang w:val="en-US" w:eastAsia="zh-CN" w:bidi="ar-SA"/>
              </w:rPr>
            </w:pPr>
            <w:r>
              <w:rPr>
                <w:rFonts w:hint="eastAsia"/>
                <w:color w:val="000000"/>
                <w:kern w:val="0"/>
                <w:sz w:val="21"/>
                <w:szCs w:val="21"/>
                <w:lang w:val="en-US" w:eastAsia="zh-CN"/>
              </w:rPr>
              <w:t>性控冻精</w:t>
            </w:r>
            <w:r>
              <w:rPr>
                <w:rFonts w:hint="eastAsia"/>
                <w:color w:val="000000"/>
                <w:kern w:val="0"/>
                <w:sz w:val="21"/>
                <w:szCs w:val="21"/>
              </w:rPr>
              <w:t>项目实施后在定时期内持续有效</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rPr>
              <w:t>有效</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rPr>
              <w:t>有效</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color w:val="000000"/>
                <w:kern w:val="0"/>
                <w:sz w:val="21"/>
                <w:szCs w:val="21"/>
              </w:rPr>
              <w:t>　</w:t>
            </w:r>
            <w:r>
              <w:rPr>
                <w:rFonts w:hint="eastAsia"/>
                <w:color w:val="000000"/>
                <w:kern w:val="0"/>
                <w:sz w:val="21"/>
                <w:szCs w:val="21"/>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color w:val="000000"/>
                <w:kern w:val="0"/>
                <w:sz w:val="21"/>
                <w:szCs w:val="21"/>
              </w:rPr>
              <w:t>　</w:t>
            </w:r>
            <w:r>
              <w:rPr>
                <w:rFonts w:hint="eastAsia"/>
                <w:color w:val="000000"/>
                <w:kern w:val="0"/>
                <w:sz w:val="21"/>
                <w:szCs w:val="21"/>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满意度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（10分）</w:t>
            </w: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服务对象满意度指标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受益人企业满意度调查</w:t>
            </w:r>
          </w:p>
          <w:p>
            <w:pPr>
              <w:widowControl/>
              <w:adjustRightInd/>
              <w:spacing w:line="280" w:lineRule="exact"/>
              <w:ind w:firstLine="0" w:firstLineChars="0"/>
              <w:jc w:val="left"/>
              <w:textAlignment w:val="center"/>
              <w:rPr>
                <w:rFonts w:eastAsia="仿宋_GB2312"/>
                <w:color w:val="000000"/>
                <w:kern w:val="0"/>
                <w:sz w:val="21"/>
                <w:szCs w:val="21"/>
                <w:lang w:val="en-US" w:eastAsia="zh-CN" w:bidi="ar-SA"/>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rPr>
              <w:t>≥9</w:t>
            </w:r>
            <w:r>
              <w:rPr>
                <w:color w:val="000000"/>
                <w:kern w:val="0"/>
                <w:sz w:val="21"/>
                <w:szCs w:val="21"/>
              </w:rPr>
              <w:t>0</w:t>
            </w:r>
            <w:r>
              <w:rPr>
                <w:rFonts w:hint="eastAsia"/>
                <w:color w:val="000000"/>
                <w:kern w:val="0"/>
                <w:sz w:val="21"/>
                <w:szCs w:val="21"/>
              </w:rPr>
              <w:t>分</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rPr>
              <w:t>1</w:t>
            </w:r>
            <w:r>
              <w:rPr>
                <w:color w:val="000000"/>
                <w:kern w:val="0"/>
                <w:sz w:val="21"/>
                <w:szCs w:val="21"/>
              </w:rPr>
              <w:t>00</w:t>
            </w:r>
            <w:r>
              <w:rPr>
                <w:rFonts w:hint="eastAsia"/>
                <w:color w:val="000000"/>
                <w:kern w:val="0"/>
                <w:sz w:val="21"/>
                <w:szCs w:val="21"/>
              </w:rPr>
              <w:t>分</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总分</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95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bl>
    <w:p>
      <w:pPr>
        <w:spacing w:line="600" w:lineRule="exact"/>
        <w:ind w:left="0" w:leftChars="0" w:firstLine="0" w:firstLineChars="0"/>
        <w:rPr>
          <w:szCs w:val="32"/>
        </w:rPr>
      </w:pPr>
    </w:p>
    <w:p>
      <w:pPr>
        <w:jc w:val="left"/>
        <w:rPr>
          <w:rFonts w:ascii="Times New Roman" w:hAnsi="Times New Roman" w:cs="Times New Roman"/>
          <w:color w:val="000000"/>
          <w:kern w:val="0"/>
          <w:sz w:val="32"/>
          <w:szCs w:val="32"/>
        </w:rPr>
      </w:pPr>
    </w:p>
    <w:sectPr>
      <w:pgSz w:w="11906" w:h="16838"/>
      <w:pgMar w:top="1417" w:right="1588" w:bottom="1417"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auto"/>
    <w:pitch w:val="default"/>
    <w:sig w:usb0="00000000" w:usb1="00000000" w:usb2="00000016" w:usb3="00000000" w:csb0="0004001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中宋">
    <w:altName w:val="汉仪中宋简"/>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Batang">
    <w:altName w:val="方正书宋_GBK"/>
    <w:panose1 w:val="02030600000101010101"/>
    <w:charset w:val="81"/>
    <w:family w:val="roman"/>
    <w:pitch w:val="default"/>
    <w:sig w:usb0="00000000" w:usb1="00000000" w:usb2="00000030" w:usb3="00000000" w:csb0="4008009F" w:csb1="DFD7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AnWxrOFQIAABkEAAAOAAAAAAAAAAEAIAAAADUBAABkcnMvZTJvRG9jLnhtbFBLBQYAAAAABgAG&#10;AFkBAAC8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1C47AA"/>
    <w:multiLevelType w:val="singleLevel"/>
    <w:tmpl w:val="B21C47AA"/>
    <w:lvl w:ilvl="0" w:tentative="0">
      <w:start w:val="7"/>
      <w:numFmt w:val="chineseCounting"/>
      <w:suff w:val="nothing"/>
      <w:lvlText w:val="%1、"/>
      <w:lvlJc w:val="left"/>
      <w:rPr>
        <w:rFonts w:hint="eastAsia"/>
      </w:rPr>
    </w:lvl>
  </w:abstractNum>
  <w:abstractNum w:abstractNumId="1">
    <w:nsid w:val="BFD62C44"/>
    <w:multiLevelType w:val="singleLevel"/>
    <w:tmpl w:val="BFD62C44"/>
    <w:lvl w:ilvl="0" w:tentative="0">
      <w:start w:val="2"/>
      <w:numFmt w:val="decimal"/>
      <w:suff w:val="nothing"/>
      <w:lvlText w:val="%1、"/>
      <w:lvlJc w:val="left"/>
    </w:lvl>
  </w:abstractNum>
  <w:abstractNum w:abstractNumId="2">
    <w:nsid w:val="E1909322"/>
    <w:multiLevelType w:val="singleLevel"/>
    <w:tmpl w:val="E1909322"/>
    <w:lvl w:ilvl="0" w:tentative="0">
      <w:start w:val="8"/>
      <w:numFmt w:val="chineseCounting"/>
      <w:suff w:val="nothing"/>
      <w:lvlText w:val="%1、"/>
      <w:lvlJc w:val="left"/>
      <w:rPr>
        <w:rFonts w:hint="eastAsia"/>
      </w:rPr>
    </w:lvl>
  </w:abstractNum>
  <w:abstractNum w:abstractNumId="3">
    <w:nsid w:val="F50DA20E"/>
    <w:multiLevelType w:val="singleLevel"/>
    <w:tmpl w:val="F50DA20E"/>
    <w:lvl w:ilvl="0" w:tentative="0">
      <w:start w:val="2"/>
      <w:numFmt w:val="chineseCounting"/>
      <w:suff w:val="nothing"/>
      <w:lvlText w:val="（%1）"/>
      <w:lvlJc w:val="left"/>
      <w:rPr>
        <w:rFonts w:hint="eastAsia"/>
      </w:rPr>
    </w:lvl>
  </w:abstractNum>
  <w:abstractNum w:abstractNumId="4">
    <w:nsid w:val="377F28BA"/>
    <w:multiLevelType w:val="singleLevel"/>
    <w:tmpl w:val="377F28BA"/>
    <w:lvl w:ilvl="0" w:tentative="0">
      <w:start w:val="1"/>
      <w:numFmt w:val="chineseCounting"/>
      <w:suff w:val="nothing"/>
      <w:lvlText w:val="%1、"/>
      <w:lvlJc w:val="left"/>
      <w:rPr>
        <w:rFonts w:hint="eastAsia"/>
      </w:rPr>
    </w:lvl>
  </w:abstractNum>
  <w:abstractNum w:abstractNumId="5">
    <w:nsid w:val="458DD71B"/>
    <w:multiLevelType w:val="singleLevel"/>
    <w:tmpl w:val="458DD71B"/>
    <w:lvl w:ilvl="0" w:tentative="0">
      <w:start w:val="2"/>
      <w:numFmt w:val="chineseCounting"/>
      <w:suff w:val="nothing"/>
      <w:lvlText w:val="%1、"/>
      <w:lvlJc w:val="left"/>
      <w:rPr>
        <w:rFonts w:hint="eastAsia"/>
      </w:rPr>
    </w:lvl>
  </w:abstractNum>
  <w:abstractNum w:abstractNumId="6">
    <w:nsid w:val="6C2BB823"/>
    <w:multiLevelType w:val="singleLevel"/>
    <w:tmpl w:val="6C2BB823"/>
    <w:lvl w:ilvl="0" w:tentative="0">
      <w:start w:val="1"/>
      <w:numFmt w:val="chineseCounting"/>
      <w:suff w:val="nothing"/>
      <w:lvlText w:val="（%1）"/>
      <w:lvlJc w:val="left"/>
      <w:rPr>
        <w:rFonts w:hint="eastAsia"/>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embedTrueTypeFonts/>
  <w:saveSubsetFonts/>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0001A"/>
    <w:rsid w:val="0002229B"/>
    <w:rsid w:val="000273BD"/>
    <w:rsid w:val="0003620C"/>
    <w:rsid w:val="00040CBC"/>
    <w:rsid w:val="000415B7"/>
    <w:rsid w:val="00041E3F"/>
    <w:rsid w:val="00055DAA"/>
    <w:rsid w:val="00061F7B"/>
    <w:rsid w:val="000658A3"/>
    <w:rsid w:val="00074155"/>
    <w:rsid w:val="00080785"/>
    <w:rsid w:val="000A3F69"/>
    <w:rsid w:val="000B20F1"/>
    <w:rsid w:val="000C5742"/>
    <w:rsid w:val="00103957"/>
    <w:rsid w:val="00152C6D"/>
    <w:rsid w:val="00162D39"/>
    <w:rsid w:val="001678BD"/>
    <w:rsid w:val="00182373"/>
    <w:rsid w:val="001A67DB"/>
    <w:rsid w:val="001B67D1"/>
    <w:rsid w:val="001C3C29"/>
    <w:rsid w:val="001D2B79"/>
    <w:rsid w:val="001D51E5"/>
    <w:rsid w:val="001E080D"/>
    <w:rsid w:val="001E53D0"/>
    <w:rsid w:val="001F0C3B"/>
    <w:rsid w:val="00202C82"/>
    <w:rsid w:val="00214427"/>
    <w:rsid w:val="00220689"/>
    <w:rsid w:val="00221AFD"/>
    <w:rsid w:val="00226CB7"/>
    <w:rsid w:val="00252450"/>
    <w:rsid w:val="00264552"/>
    <w:rsid w:val="00264EF9"/>
    <w:rsid w:val="00265724"/>
    <w:rsid w:val="0027426B"/>
    <w:rsid w:val="00296D60"/>
    <w:rsid w:val="002E0A30"/>
    <w:rsid w:val="0030077D"/>
    <w:rsid w:val="003130C4"/>
    <w:rsid w:val="00316C4B"/>
    <w:rsid w:val="0032192B"/>
    <w:rsid w:val="0033283E"/>
    <w:rsid w:val="003479BD"/>
    <w:rsid w:val="0037197D"/>
    <w:rsid w:val="003768D5"/>
    <w:rsid w:val="003926B9"/>
    <w:rsid w:val="003C2E17"/>
    <w:rsid w:val="003C47E6"/>
    <w:rsid w:val="003C4FC2"/>
    <w:rsid w:val="00401F9A"/>
    <w:rsid w:val="00416E61"/>
    <w:rsid w:val="0042790C"/>
    <w:rsid w:val="004506F9"/>
    <w:rsid w:val="00462315"/>
    <w:rsid w:val="004717A2"/>
    <w:rsid w:val="00473DF3"/>
    <w:rsid w:val="00487911"/>
    <w:rsid w:val="00490F48"/>
    <w:rsid w:val="00491741"/>
    <w:rsid w:val="004B0CEE"/>
    <w:rsid w:val="004C2A0A"/>
    <w:rsid w:val="004F5EFB"/>
    <w:rsid w:val="00500E5F"/>
    <w:rsid w:val="005122EF"/>
    <w:rsid w:val="0051441A"/>
    <w:rsid w:val="00517C33"/>
    <w:rsid w:val="00517D5F"/>
    <w:rsid w:val="00523644"/>
    <w:rsid w:val="0054069E"/>
    <w:rsid w:val="00544866"/>
    <w:rsid w:val="00552A3D"/>
    <w:rsid w:val="005714C6"/>
    <w:rsid w:val="00574CC8"/>
    <w:rsid w:val="005767CC"/>
    <w:rsid w:val="00590D9F"/>
    <w:rsid w:val="00595D26"/>
    <w:rsid w:val="005A74E6"/>
    <w:rsid w:val="005B404E"/>
    <w:rsid w:val="005D4D55"/>
    <w:rsid w:val="005E0E6C"/>
    <w:rsid w:val="005E2CFB"/>
    <w:rsid w:val="005F2103"/>
    <w:rsid w:val="005F3D1C"/>
    <w:rsid w:val="005F4189"/>
    <w:rsid w:val="006171EE"/>
    <w:rsid w:val="0062378F"/>
    <w:rsid w:val="00641842"/>
    <w:rsid w:val="00651EEC"/>
    <w:rsid w:val="00686673"/>
    <w:rsid w:val="00691E8C"/>
    <w:rsid w:val="006A22C4"/>
    <w:rsid w:val="006A351B"/>
    <w:rsid w:val="006B0422"/>
    <w:rsid w:val="006C1B53"/>
    <w:rsid w:val="006D7730"/>
    <w:rsid w:val="006E5284"/>
    <w:rsid w:val="006F3EB5"/>
    <w:rsid w:val="006F56C8"/>
    <w:rsid w:val="00702E34"/>
    <w:rsid w:val="00704395"/>
    <w:rsid w:val="00710FE7"/>
    <w:rsid w:val="00717621"/>
    <w:rsid w:val="00720FF1"/>
    <w:rsid w:val="00727A53"/>
    <w:rsid w:val="007502DE"/>
    <w:rsid w:val="00787B42"/>
    <w:rsid w:val="007C4539"/>
    <w:rsid w:val="007F3657"/>
    <w:rsid w:val="00810F0C"/>
    <w:rsid w:val="00811AA2"/>
    <w:rsid w:val="00812ED5"/>
    <w:rsid w:val="008277D9"/>
    <w:rsid w:val="0084478C"/>
    <w:rsid w:val="0086638C"/>
    <w:rsid w:val="008764FA"/>
    <w:rsid w:val="008A1079"/>
    <w:rsid w:val="008A3E8D"/>
    <w:rsid w:val="008A5055"/>
    <w:rsid w:val="008D17F4"/>
    <w:rsid w:val="009237C4"/>
    <w:rsid w:val="00944C48"/>
    <w:rsid w:val="00950252"/>
    <w:rsid w:val="00967F5D"/>
    <w:rsid w:val="009A0F95"/>
    <w:rsid w:val="009B3ADF"/>
    <w:rsid w:val="009C31C5"/>
    <w:rsid w:val="009C3B52"/>
    <w:rsid w:val="009E6817"/>
    <w:rsid w:val="009E6E9A"/>
    <w:rsid w:val="00A01D2B"/>
    <w:rsid w:val="00A1392A"/>
    <w:rsid w:val="00A42218"/>
    <w:rsid w:val="00A70249"/>
    <w:rsid w:val="00A70B02"/>
    <w:rsid w:val="00A71D9F"/>
    <w:rsid w:val="00A92E9F"/>
    <w:rsid w:val="00AB18FF"/>
    <w:rsid w:val="00B26269"/>
    <w:rsid w:val="00B33BEA"/>
    <w:rsid w:val="00B57C9F"/>
    <w:rsid w:val="00B63572"/>
    <w:rsid w:val="00B845B3"/>
    <w:rsid w:val="00B85D8B"/>
    <w:rsid w:val="00BB4A40"/>
    <w:rsid w:val="00BD6022"/>
    <w:rsid w:val="00BD6C3E"/>
    <w:rsid w:val="00BE3674"/>
    <w:rsid w:val="00C10681"/>
    <w:rsid w:val="00C10822"/>
    <w:rsid w:val="00C15C89"/>
    <w:rsid w:val="00C27C0D"/>
    <w:rsid w:val="00C3049A"/>
    <w:rsid w:val="00C31B1E"/>
    <w:rsid w:val="00C32F2E"/>
    <w:rsid w:val="00C73888"/>
    <w:rsid w:val="00C77645"/>
    <w:rsid w:val="00CE04C3"/>
    <w:rsid w:val="00CE34BE"/>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26E00C7"/>
    <w:rsid w:val="027A6596"/>
    <w:rsid w:val="02E64D83"/>
    <w:rsid w:val="03522419"/>
    <w:rsid w:val="04AC7907"/>
    <w:rsid w:val="052F1ADA"/>
    <w:rsid w:val="054D1B01"/>
    <w:rsid w:val="05BB42A5"/>
    <w:rsid w:val="05E21783"/>
    <w:rsid w:val="073F2956"/>
    <w:rsid w:val="07830C87"/>
    <w:rsid w:val="08430582"/>
    <w:rsid w:val="08FD1430"/>
    <w:rsid w:val="096A7AF7"/>
    <w:rsid w:val="0B0771F0"/>
    <w:rsid w:val="0B3A112A"/>
    <w:rsid w:val="0BC81A19"/>
    <w:rsid w:val="0C116D7F"/>
    <w:rsid w:val="0C2F1905"/>
    <w:rsid w:val="0C682624"/>
    <w:rsid w:val="0E794CFD"/>
    <w:rsid w:val="118057AC"/>
    <w:rsid w:val="11904838"/>
    <w:rsid w:val="121548EA"/>
    <w:rsid w:val="12394FA0"/>
    <w:rsid w:val="13024F2E"/>
    <w:rsid w:val="13C407C9"/>
    <w:rsid w:val="140D46BB"/>
    <w:rsid w:val="14A24B95"/>
    <w:rsid w:val="14E804E7"/>
    <w:rsid w:val="15EC3507"/>
    <w:rsid w:val="16AD3796"/>
    <w:rsid w:val="17AF353E"/>
    <w:rsid w:val="17B467F6"/>
    <w:rsid w:val="17E72CD8"/>
    <w:rsid w:val="17F43647"/>
    <w:rsid w:val="181A30AD"/>
    <w:rsid w:val="194505FE"/>
    <w:rsid w:val="19CA28B1"/>
    <w:rsid w:val="1A22449B"/>
    <w:rsid w:val="1C5B1EE6"/>
    <w:rsid w:val="1CDF48C5"/>
    <w:rsid w:val="1D97DEFF"/>
    <w:rsid w:val="1DFF72E5"/>
    <w:rsid w:val="1E522E75"/>
    <w:rsid w:val="1EDF955A"/>
    <w:rsid w:val="1EE74EE5"/>
    <w:rsid w:val="1EFC6F07"/>
    <w:rsid w:val="1FAF4A23"/>
    <w:rsid w:val="21C02FA5"/>
    <w:rsid w:val="22123047"/>
    <w:rsid w:val="23B428FE"/>
    <w:rsid w:val="24AB4496"/>
    <w:rsid w:val="250315B4"/>
    <w:rsid w:val="2560231B"/>
    <w:rsid w:val="2688517C"/>
    <w:rsid w:val="26C62652"/>
    <w:rsid w:val="26E04A50"/>
    <w:rsid w:val="26E6622F"/>
    <w:rsid w:val="272563B7"/>
    <w:rsid w:val="292D4113"/>
    <w:rsid w:val="29CE1F49"/>
    <w:rsid w:val="2B3F7ED0"/>
    <w:rsid w:val="2B51209D"/>
    <w:rsid w:val="2B6C37C8"/>
    <w:rsid w:val="2C2E4F21"/>
    <w:rsid w:val="2D6A3D37"/>
    <w:rsid w:val="2F560A17"/>
    <w:rsid w:val="2F6A6270"/>
    <w:rsid w:val="2F6C220F"/>
    <w:rsid w:val="2FDF85B8"/>
    <w:rsid w:val="2FFFEE04"/>
    <w:rsid w:val="315D6252"/>
    <w:rsid w:val="32827D75"/>
    <w:rsid w:val="32D3237F"/>
    <w:rsid w:val="330176A4"/>
    <w:rsid w:val="334C3C43"/>
    <w:rsid w:val="349A0CEE"/>
    <w:rsid w:val="34DF85B0"/>
    <w:rsid w:val="350D749D"/>
    <w:rsid w:val="37796963"/>
    <w:rsid w:val="37863E63"/>
    <w:rsid w:val="3812280E"/>
    <w:rsid w:val="38AB1707"/>
    <w:rsid w:val="39256A2D"/>
    <w:rsid w:val="3B8F36BC"/>
    <w:rsid w:val="3B932054"/>
    <w:rsid w:val="3D032B65"/>
    <w:rsid w:val="3D404AB5"/>
    <w:rsid w:val="3E42660A"/>
    <w:rsid w:val="3EAC2B6C"/>
    <w:rsid w:val="3FE060DB"/>
    <w:rsid w:val="400B332C"/>
    <w:rsid w:val="40714F85"/>
    <w:rsid w:val="41AE6491"/>
    <w:rsid w:val="41D162A9"/>
    <w:rsid w:val="41FF771C"/>
    <w:rsid w:val="436332AB"/>
    <w:rsid w:val="43955732"/>
    <w:rsid w:val="443B6D8D"/>
    <w:rsid w:val="45E8203F"/>
    <w:rsid w:val="462036D5"/>
    <w:rsid w:val="491FF225"/>
    <w:rsid w:val="49555444"/>
    <w:rsid w:val="49955F1C"/>
    <w:rsid w:val="49C820BA"/>
    <w:rsid w:val="4A592477"/>
    <w:rsid w:val="4CD35BF3"/>
    <w:rsid w:val="4DA17073"/>
    <w:rsid w:val="4EEE4370"/>
    <w:rsid w:val="4FFD214C"/>
    <w:rsid w:val="50D9242F"/>
    <w:rsid w:val="51B65558"/>
    <w:rsid w:val="524231B0"/>
    <w:rsid w:val="52AD5B3E"/>
    <w:rsid w:val="555D3FFE"/>
    <w:rsid w:val="55762246"/>
    <w:rsid w:val="55BC5ADD"/>
    <w:rsid w:val="566D0271"/>
    <w:rsid w:val="56927CD7"/>
    <w:rsid w:val="56AA54C3"/>
    <w:rsid w:val="56D007FF"/>
    <w:rsid w:val="57400A23"/>
    <w:rsid w:val="5777D4F5"/>
    <w:rsid w:val="57CF6D09"/>
    <w:rsid w:val="596D1DFE"/>
    <w:rsid w:val="59DD8326"/>
    <w:rsid w:val="5BEC315F"/>
    <w:rsid w:val="5BF27270"/>
    <w:rsid w:val="5C5F4137"/>
    <w:rsid w:val="5DEF592A"/>
    <w:rsid w:val="5FC6BB1E"/>
    <w:rsid w:val="5FF720F1"/>
    <w:rsid w:val="603B26DF"/>
    <w:rsid w:val="60D62EB6"/>
    <w:rsid w:val="62214E92"/>
    <w:rsid w:val="62D358FF"/>
    <w:rsid w:val="63822E81"/>
    <w:rsid w:val="654900FB"/>
    <w:rsid w:val="65FC516D"/>
    <w:rsid w:val="67452B44"/>
    <w:rsid w:val="67713939"/>
    <w:rsid w:val="67FF5C0B"/>
    <w:rsid w:val="68447D40"/>
    <w:rsid w:val="69E7734D"/>
    <w:rsid w:val="6B0625EA"/>
    <w:rsid w:val="6B2D5DC9"/>
    <w:rsid w:val="6B3B6738"/>
    <w:rsid w:val="6BFB7C75"/>
    <w:rsid w:val="6D125E21"/>
    <w:rsid w:val="6E1D776A"/>
    <w:rsid w:val="6E663ACB"/>
    <w:rsid w:val="6E8126B3"/>
    <w:rsid w:val="6EFC0924"/>
    <w:rsid w:val="6FB74722"/>
    <w:rsid w:val="6FEF8B7E"/>
    <w:rsid w:val="701C374E"/>
    <w:rsid w:val="713B43D1"/>
    <w:rsid w:val="71447E2B"/>
    <w:rsid w:val="71A6591B"/>
    <w:rsid w:val="71B903B6"/>
    <w:rsid w:val="72207574"/>
    <w:rsid w:val="72B10ABA"/>
    <w:rsid w:val="737D59BA"/>
    <w:rsid w:val="741A4F1E"/>
    <w:rsid w:val="74BE59C8"/>
    <w:rsid w:val="76285B0A"/>
    <w:rsid w:val="76EC4D8A"/>
    <w:rsid w:val="778F488A"/>
    <w:rsid w:val="77BA6C36"/>
    <w:rsid w:val="77C37683"/>
    <w:rsid w:val="77E048EF"/>
    <w:rsid w:val="79426EE3"/>
    <w:rsid w:val="79872B48"/>
    <w:rsid w:val="79D19834"/>
    <w:rsid w:val="79FF515B"/>
    <w:rsid w:val="7B134E72"/>
    <w:rsid w:val="7B51165F"/>
    <w:rsid w:val="7BAF7530"/>
    <w:rsid w:val="7C8724CE"/>
    <w:rsid w:val="7E9E1962"/>
    <w:rsid w:val="7E9F11B4"/>
    <w:rsid w:val="7EED78F1"/>
    <w:rsid w:val="7F37EC1E"/>
    <w:rsid w:val="7F7DCD9D"/>
    <w:rsid w:val="7F970A6F"/>
    <w:rsid w:val="7FC1FFF3"/>
    <w:rsid w:val="7FC69637"/>
    <w:rsid w:val="7FDF8620"/>
    <w:rsid w:val="7FE8C8F7"/>
    <w:rsid w:val="7FFB242F"/>
    <w:rsid w:val="7FFDB408"/>
    <w:rsid w:val="7FFE4EEB"/>
    <w:rsid w:val="95FB2B98"/>
    <w:rsid w:val="9A639BC2"/>
    <w:rsid w:val="9FF7D786"/>
    <w:rsid w:val="ABBFB23D"/>
    <w:rsid w:val="C3B4DA5A"/>
    <w:rsid w:val="CBFF70E0"/>
    <w:rsid w:val="CFF50B82"/>
    <w:rsid w:val="CFFFAD89"/>
    <w:rsid w:val="DFFE359E"/>
    <w:rsid w:val="DFFE4FFD"/>
    <w:rsid w:val="EEABED75"/>
    <w:rsid w:val="EF6FE15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line="700" w:lineRule="exact"/>
      <w:ind w:firstLine="0" w:firstLineChars="0"/>
      <w:jc w:val="center"/>
      <w:outlineLvl w:val="0"/>
    </w:pPr>
    <w:rPr>
      <w:rFonts w:ascii="Times New Roman" w:hAnsi="Times New Roman" w:eastAsia="微软雅黑"/>
      <w:bCs/>
      <w:kern w:val="44"/>
      <w:sz w:val="44"/>
      <w:szCs w:val="44"/>
    </w:rPr>
  </w:style>
  <w:style w:type="paragraph" w:styleId="3">
    <w:name w:val="heading 2"/>
    <w:basedOn w:val="1"/>
    <w:next w:val="1"/>
    <w:qFormat/>
    <w:uiPriority w:val="0"/>
    <w:pPr>
      <w:outlineLvl w:val="1"/>
    </w:pPr>
    <w:rPr>
      <w:rFonts w:ascii="Times New Roman" w:hAnsi="Times New Roman" w:eastAsia="黑体"/>
      <w:bCs/>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next w:val="5"/>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First Indent 2"/>
    <w:basedOn w:val="4"/>
    <w:next w:val="1"/>
    <w:unhideWhenUsed/>
    <w:qFormat/>
    <w:uiPriority w:val="99"/>
    <w:pPr>
      <w:ind w:firstLine="420" w:firstLineChars="200"/>
    </w:pPr>
  </w:style>
  <w:style w:type="paragraph" w:styleId="6">
    <w:name w:val="Balloon Text"/>
    <w:basedOn w:val="1"/>
    <w:link w:val="17"/>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next w:val="5"/>
    <w:semiHidden/>
    <w:qFormat/>
    <w:uiPriority w:val="0"/>
    <w:pPr>
      <w:snapToGrid w:val="0"/>
      <w:jc w:val="left"/>
    </w:pPr>
    <w:rPr>
      <w:sz w:val="18"/>
      <w:szCs w:val="18"/>
    </w:rPr>
  </w:style>
  <w:style w:type="character" w:styleId="12">
    <w:name w:val="page number"/>
    <w:basedOn w:val="11"/>
    <w:qFormat/>
    <w:uiPriority w:val="0"/>
  </w:style>
  <w:style w:type="character" w:customStyle="1" w:styleId="13">
    <w:name w:val="页眉 Char"/>
    <w:basedOn w:val="11"/>
    <w:link w:val="8"/>
    <w:qFormat/>
    <w:uiPriority w:val="99"/>
    <w:rPr>
      <w:sz w:val="18"/>
      <w:szCs w:val="18"/>
    </w:rPr>
  </w:style>
  <w:style w:type="character" w:customStyle="1" w:styleId="14">
    <w:name w:val="页脚 Char"/>
    <w:basedOn w:val="11"/>
    <w:link w:val="7"/>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1"/>
    <w:link w:val="6"/>
    <w:semiHidden/>
    <w:qFormat/>
    <w:uiPriority w:val="99"/>
    <w:rPr>
      <w:sz w:val="18"/>
      <w:szCs w:val="18"/>
    </w:rPr>
  </w:style>
  <w:style w:type="character" w:customStyle="1" w:styleId="18">
    <w:name w:val="font01"/>
    <w:basedOn w:val="11"/>
    <w:qFormat/>
    <w:uiPriority w:val="0"/>
    <w:rPr>
      <w:rFonts w:hint="eastAsia" w:ascii="宋体" w:hAnsi="宋体" w:eastAsia="宋体" w:cs="宋体"/>
      <w:color w:val="000000"/>
      <w:sz w:val="22"/>
      <w:szCs w:val="22"/>
      <w:u w:val="none"/>
    </w:rPr>
  </w:style>
  <w:style w:type="character" w:customStyle="1" w:styleId="19">
    <w:name w:val="font21"/>
    <w:basedOn w:val="11"/>
    <w:qFormat/>
    <w:uiPriority w:val="0"/>
    <w:rPr>
      <w:rFonts w:hint="eastAsia" w:ascii="宋体" w:hAnsi="宋体" w:eastAsia="宋体" w:cs="宋体"/>
      <w:color w:val="000000"/>
      <w:sz w:val="24"/>
      <w:szCs w:val="24"/>
      <w:u w:val="none"/>
    </w:rPr>
  </w:style>
  <w:style w:type="character" w:customStyle="1" w:styleId="20">
    <w:name w:val="font11"/>
    <w:basedOn w:val="11"/>
    <w:qFormat/>
    <w:uiPriority w:val="0"/>
    <w:rPr>
      <w:rFonts w:hint="eastAsia" w:ascii="宋体" w:hAnsi="宋体" w:eastAsia="宋体" w:cs="宋体"/>
      <w:color w:val="000000"/>
      <w:sz w:val="24"/>
      <w:szCs w:val="24"/>
      <w:u w:val="none"/>
    </w:rPr>
  </w:style>
  <w:style w:type="paragraph" w:customStyle="1" w:styleId="21">
    <w:name w:val="列出段落1"/>
    <w:basedOn w:val="1"/>
    <w:qFormat/>
    <w:uiPriority w:val="0"/>
    <w:pPr>
      <w:adjustRightInd/>
      <w:snapToGrid/>
      <w:spacing w:line="360" w:lineRule="auto"/>
      <w:ind w:firstLine="420"/>
    </w:pPr>
    <w:rPr>
      <w:rFonts w:ascii="Calibri" w:hAnsi="Calibri" w:eastAsia="宋体"/>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41</Pages>
  <Words>11010</Words>
  <Characters>12210</Characters>
  <Lines>69</Lines>
  <Paragraphs>19</Paragraphs>
  <TotalTime>56</TotalTime>
  <ScaleCrop>false</ScaleCrop>
  <LinksUpToDate>false</LinksUpToDate>
  <CharactersWithSpaces>13282</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2025-08-19T02:17:00Z</dcterms:created>
  <dc:creator>李航 null</dc:creator>
  <cp:lastModifiedBy>greatwall</cp:lastModifiedBy>
  <cp:lastPrinted>2025-09-12T09:37:00Z</cp:lastPrinted>
  <dcterms:modified xsi:type="dcterms:W3CDTF">2025-09-16T17:48:52Z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BB7B6AA21D207914D6FDA268992A22D6</vt:lpwstr>
  </property>
  <property fmtid="{D5CDD505-2E9C-101B-9397-08002B2CF9AE}" pid="4" name="KSOTemplateDocerSaveRecord">
    <vt:lpwstr>eyJoZGlkIjoiYWNjNTRhODhlNzEwMzk0MDk0ZTE1OTM4ZTViMDQ4ODQiLCJ1c2VySWQiOiIyMjY4MjU1NDAifQ==</vt:lpwstr>
  </property>
</Properties>
</file>