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both"/>
        <w:rPr>
          <w:rFonts w:hAnsi="黑体"/>
          <w:sz w:val="36"/>
          <w:szCs w:val="36"/>
        </w:rPr>
      </w:pPr>
    </w:p>
    <w:p>
      <w:pPr>
        <w:pStyle w:val="16"/>
        <w:jc w:val="center"/>
        <w:rPr>
          <w:rFonts w:ascii="Times New Roman" w:hAnsi="Times New Roman" w:cs="Times New Roman"/>
          <w:sz w:val="56"/>
          <w:szCs w:val="56"/>
        </w:rPr>
      </w:pPr>
    </w:p>
    <w:p>
      <w:pPr>
        <w:pStyle w:val="16"/>
        <w:jc w:val="center"/>
        <w:rPr>
          <w:rFonts w:ascii="Times New Roman" w:hAnsi="Times New Roman" w:cs="Times New Roman"/>
          <w:sz w:val="84"/>
          <w:szCs w:val="84"/>
        </w:rPr>
      </w:pPr>
    </w:p>
    <w:p>
      <w:pPr>
        <w:pStyle w:val="16"/>
        <w:jc w:val="center"/>
        <w:rPr>
          <w:rFonts w:ascii="Times New Roman" w:hAnsi="Times New Roman" w:cs="Times New Roman"/>
          <w:sz w:val="84"/>
          <w:szCs w:val="84"/>
        </w:rPr>
      </w:pPr>
    </w:p>
    <w:p>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6"/>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湖南省畜牧水产事务中心</w:t>
      </w:r>
    </w:p>
    <w:p>
      <w:pPr>
        <w:pStyle w:val="16"/>
        <w:jc w:val="center"/>
        <w:rPr>
          <w:rFonts w:ascii="Times New Roman" w:hAnsi="Times New Roman" w:eastAsia="方正小标宋_GBK" w:cs="Times New Roman"/>
          <w:sz w:val="56"/>
          <w:szCs w:val="56"/>
        </w:rPr>
      </w:pPr>
      <w:r>
        <w:rPr>
          <w:rFonts w:ascii="Times New Roman" w:hAnsi="Times New Roman" w:eastAsia="方正小标宋简体" w:cs="Times New Roman"/>
          <w:sz w:val="72"/>
          <w:szCs w:val="72"/>
        </w:rPr>
        <w:t>部门决算</w:t>
      </w:r>
    </w:p>
    <w:p>
      <w:pPr>
        <w:pStyle w:val="16"/>
        <w:rPr>
          <w:rFonts w:ascii="Times New Roman" w:hAnsi="Times New Roman" w:cs="Times New Roman"/>
          <w:sz w:val="56"/>
          <w:szCs w:val="56"/>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6"/>
        <w:spacing w:line="600" w:lineRule="exact"/>
        <w:jc w:val="both"/>
        <w:rPr>
          <w:rFonts w:ascii="Times New Roman" w:hAnsi="Times New Roman" w:cs="Times New Roman"/>
          <w:b/>
          <w:sz w:val="36"/>
          <w:szCs w:val="28"/>
        </w:rPr>
      </w:pPr>
    </w:p>
    <w:p>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6"/>
        <w:spacing w:line="600" w:lineRule="exact"/>
        <w:jc w:val="center"/>
        <w:rPr>
          <w:rFonts w:ascii="Times New Roman" w:hAnsi="Times New Roman" w:cs="Times New Roman"/>
          <w:b/>
          <w:sz w:val="36"/>
          <w:szCs w:val="28"/>
        </w:rPr>
      </w:pPr>
    </w:p>
    <w:p>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 单位概况</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湖南省畜牧水产事务中心单位</w:t>
      </w:r>
      <w:r>
        <w:rPr>
          <w:rFonts w:ascii="Times New Roman" w:hAnsi="Times New Roman" w:eastAsia="仿宋_GB2312" w:cs="Times New Roman"/>
          <w:sz w:val="32"/>
          <w:szCs w:val="32"/>
        </w:rPr>
        <w:t>职责</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6"/>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湖南省畜牧水产事务中心</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7"/>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湖南省畜牧水产事务中心是湖南省农业农村厅管理的副厅级公益一类事业单位，统一社会信用代码：124300004448787034。主要承担畜牧业、渔业地方标准体系建设相关事务性工作；畜禽水产品质量安全风险评估工作；畜牧业、渔业生产、市场信息监测和统计分析工作；动物疫病（包括人畜共患病）防控、动物和动物产品检疫及动物血防相关事务性工作；为全省畜禽屠宰行业管理提供服务保障，对市县畜牧水产事务中心进行业务指导；承担省农业农村厅交办的其他工作。</w:t>
      </w:r>
    </w:p>
    <w:p>
      <w:pPr>
        <w:widowControl/>
        <w:spacing w:line="600" w:lineRule="exact"/>
        <w:ind w:firstLine="640" w:firstLineChars="200"/>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highlight w:val="none"/>
        </w:rPr>
      </w:pPr>
      <w:r>
        <w:rPr>
          <w:rFonts w:hint="eastAsia" w:ascii="Times New Roman" w:hAnsi="Times New Roman" w:eastAsia="仿宋_GB2312" w:cs="仿宋_GB2312"/>
          <w:bCs/>
          <w:kern w:val="0"/>
          <w:sz w:val="32"/>
          <w:szCs w:val="32"/>
          <w:highlight w:val="none"/>
        </w:rPr>
        <w:t>（一）内设机构设置。湖南省畜牧水产事务中心内设机构包括：综合部、财务部、科技推广部、质量安全与兽药部、畜牧业发展部、渔业发展部（省水生动物防疫检疫站）、兽医与屠宰行业事务部、动物检疫部（省动物血防工作站）等八个部门。</w:t>
      </w:r>
    </w:p>
    <w:p>
      <w:pPr>
        <w:widowControl/>
        <w:spacing w:line="600" w:lineRule="exact"/>
        <w:ind w:firstLine="640" w:firstLineChars="200"/>
        <w:rPr>
          <w:rFonts w:hint="eastAsia" w:ascii="Times New Roman" w:hAnsi="Times New Roman" w:eastAsia="仿宋_GB2312" w:cs="仿宋_GB2312"/>
          <w:bCs/>
          <w:kern w:val="0"/>
          <w:sz w:val="32"/>
          <w:szCs w:val="32"/>
          <w:highlight w:val="none"/>
          <w:lang w:eastAsia="zh-CN"/>
        </w:rPr>
      </w:pPr>
      <w:r>
        <w:rPr>
          <w:rFonts w:hint="eastAsia" w:ascii="Times New Roman" w:hAnsi="Times New Roman" w:eastAsia="仿宋_GB2312" w:cs="仿宋_GB2312"/>
          <w:bCs/>
          <w:kern w:val="0"/>
          <w:sz w:val="32"/>
          <w:szCs w:val="32"/>
          <w:highlight w:val="none"/>
        </w:rPr>
        <w:t>（二）决算单位构成。湖南省畜牧水产事务中心202</w:t>
      </w:r>
      <w:r>
        <w:rPr>
          <w:rFonts w:hint="eastAsia" w:ascii="Times New Roman" w:hAnsi="Times New Roman" w:eastAsia="仿宋_GB2312" w:cs="仿宋_GB2312"/>
          <w:bCs/>
          <w:kern w:val="0"/>
          <w:sz w:val="32"/>
          <w:szCs w:val="32"/>
          <w:highlight w:val="none"/>
          <w:lang w:val="en-US" w:eastAsia="zh-CN"/>
        </w:rPr>
        <w:t>4</w:t>
      </w:r>
      <w:r>
        <w:rPr>
          <w:rFonts w:hint="eastAsia" w:ascii="Times New Roman" w:hAnsi="Times New Roman" w:eastAsia="仿宋_GB2312" w:cs="仿宋_GB2312"/>
          <w:bCs/>
          <w:kern w:val="0"/>
          <w:sz w:val="32"/>
          <w:szCs w:val="32"/>
          <w:highlight w:val="none"/>
        </w:rPr>
        <w:t>年部门决算汇总公开单位构成包括：湖南省畜牧水产事务中心本级</w:t>
      </w:r>
      <w:r>
        <w:rPr>
          <w:rFonts w:hint="eastAsia" w:ascii="Times New Roman" w:hAnsi="Times New Roman" w:eastAsia="仿宋_GB2312" w:cs="仿宋_GB2312"/>
          <w:bCs/>
          <w:kern w:val="0"/>
          <w:sz w:val="32"/>
          <w:szCs w:val="32"/>
          <w:highlight w:val="none"/>
          <w:lang w:eastAsia="zh-CN"/>
        </w:rPr>
        <w:t>。</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6"/>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湖南省畜牧水产事务中心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1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834"/>
        <w:gridCol w:w="628"/>
        <w:gridCol w:w="1379"/>
        <w:gridCol w:w="4875"/>
        <w:gridCol w:w="593"/>
        <w:gridCol w:w="18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2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10,631.48</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212.42</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10,049.73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10,843.90</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11,095.66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1,048.65</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796.79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11,892.55</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11,892.55</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sz w:val="20"/>
          <w:szCs w:val="20"/>
        </w:rPr>
        <w:t>湖南省畜牧水产事务中心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1"/>
        <w:tblW w:w="15698" w:type="dxa"/>
        <w:tblInd w:w="-64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49"/>
        <w:gridCol w:w="1649"/>
        <w:gridCol w:w="1650"/>
        <w:gridCol w:w="1288"/>
        <w:gridCol w:w="1650"/>
        <w:gridCol w:w="1650"/>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10,843.90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10,631.48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212.42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354.00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354.00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227.00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227.00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266.00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9,767.90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9,555.48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9,767.90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9,555.48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2,744.63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2,744.53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162.95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162.95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5,761.00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5,761.00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行业业务管理</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258.57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对外交流与合作</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173.75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湖南省畜牧水产事务中心</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1"/>
        <w:tblW w:w="14690" w:type="dxa"/>
        <w:tblInd w:w="-45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89"/>
        <w:gridCol w:w="3603"/>
        <w:gridCol w:w="1650"/>
        <w:gridCol w:w="1650"/>
        <w:gridCol w:w="1650"/>
        <w:gridCol w:w="1649"/>
        <w:gridCol w:w="1649"/>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gridSpan w:val="2"/>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2" w:type="dxa"/>
            <w:gridSpan w:val="2"/>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50"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2" w:type="dxa"/>
            <w:gridSpan w:val="2"/>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11,095.66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3,424.45</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7,671.22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345.46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345.46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271.53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262.97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262.97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262.97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10,049.73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2,387.07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7,662.66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10,049.73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2,387.07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7,662.66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2,491.07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2,387.07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104.00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186.10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186.10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5,933.70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5,933.70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815.95</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815.95</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2130110</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执法监管</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162.15</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162.15</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统计监测与信息服务</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12.04</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12.04</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2130112</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行业业务管理</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247.50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247.50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2130114</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对外交流与合作</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15.99</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15.99</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177.43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177.43</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湖南省畜牧水产事务中心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1"/>
        <w:tblW w:w="15267" w:type="dxa"/>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322"/>
        <w:gridCol w:w="523"/>
        <w:gridCol w:w="1540"/>
        <w:gridCol w:w="3857"/>
        <w:gridCol w:w="523"/>
        <w:gridCol w:w="1010"/>
        <w:gridCol w:w="1540"/>
        <w:gridCol w:w="1455"/>
        <w:gridCol w:w="14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88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32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10,631.48</w:t>
            </w: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271.53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271.53</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9,837.68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9,837.68</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10,631.48</w:t>
            </w: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10,883.61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10,883.61</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710.11</w:t>
            </w: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457.98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457.98</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710.11</w:t>
            </w: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11,341.59</w:t>
            </w:r>
          </w:p>
        </w:tc>
        <w:tc>
          <w:tcPr>
            <w:tcW w:w="38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11,341.59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11,341.59</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rPr>
        <w:t>湖南省畜牧水产事务中心</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3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06"/>
        <w:gridCol w:w="5650"/>
        <w:gridCol w:w="2061"/>
        <w:gridCol w:w="2060"/>
        <w:gridCol w:w="2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7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8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56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6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6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7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7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10,883.61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3,424.45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7,459.17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566.53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345.46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345.46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271.53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262.97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262.97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262.97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9,837.68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2,387.07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7,450.61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9,837.68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2,387.07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7,450.61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2,491.07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2,387.07</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186.10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5,933.70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5,933.70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815.95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815.95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2130110</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执法监管</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162.15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统计监测与信息服务</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12.04</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2130112</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行业业务管理</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158.93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2130114</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对外交流与合作</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15.99</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53.94</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1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5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205.88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rPr>
        <w:t>湖南省畜牧水产事务中心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1"/>
        <w:tblW w:w="15095" w:type="dxa"/>
        <w:jc w:val="center"/>
        <w:tblInd w:w="0" w:type="dxa"/>
        <w:tblLayout w:type="fixed"/>
        <w:tblCellMar>
          <w:top w:w="0" w:type="dxa"/>
          <w:left w:w="108" w:type="dxa"/>
          <w:bottom w:w="0" w:type="dxa"/>
          <w:right w:w="108" w:type="dxa"/>
        </w:tblCellMar>
      </w:tblPr>
      <w:tblGrid>
        <w:gridCol w:w="1081"/>
        <w:gridCol w:w="2850"/>
        <w:gridCol w:w="1249"/>
        <w:gridCol w:w="1116"/>
        <w:gridCol w:w="2018"/>
        <w:gridCol w:w="1118"/>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24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2,394.73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592.40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609.28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18.09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519.78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2.71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449.51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118.98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221.06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43.85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3.81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147.65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115.97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49.99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6.63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132.85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205.88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29.14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437.32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1.60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68"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345.46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76.00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02"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66.70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43.74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5.92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30.61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32.80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107.56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7.66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4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11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18.06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12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2,832.05</w:t>
            </w:r>
          </w:p>
        </w:tc>
        <w:tc>
          <w:tcPr>
            <w:tcW w:w="8986"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592.40</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湖南省畜牧水产事务中心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湖南省畜牧水产事务中心</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rPr>
        <w:t>湖南省畜牧水产事务中心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1"/>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73.00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13.00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41.65</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7.80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32.80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32.80</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1.06</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11892.55</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1119.09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10.39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新增</w:t>
      </w:r>
      <w:r>
        <w:rPr>
          <w:rFonts w:hint="eastAsia" w:ascii="Times New Roman" w:hAnsi="Times New Roman" w:eastAsia="仿宋_GB2312" w:cs="Times New Roman"/>
          <w:sz w:val="32"/>
          <w:szCs w:val="32"/>
        </w:rPr>
        <w:t>动物防疫强制免疫采购</w:t>
      </w:r>
      <w:r>
        <w:rPr>
          <w:rFonts w:hint="eastAsia" w:ascii="Times New Roman" w:hAnsi="Times New Roman" w:eastAsia="仿宋_GB2312" w:cs="Times New Roman"/>
          <w:sz w:val="32"/>
          <w:szCs w:val="32"/>
          <w:lang w:val="en-US" w:eastAsia="zh-CN"/>
        </w:rPr>
        <w:t>项目。</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10843.90</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10631.48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98.04</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212.42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1.96</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11095.66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3424.45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30.86</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7671.22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69.14</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11341.59</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1095.97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10.70</w:t>
      </w:r>
      <w:r>
        <w:rPr>
          <w:rFonts w:ascii="Times New Roman" w:hAnsi="Times New Roman" w:eastAsia="仿宋_GB2312" w:cs="Times New Roman"/>
          <w:sz w:val="32"/>
          <w:szCs w:val="32"/>
        </w:rPr>
        <w:t>%，主要是因为，主要是因为</w:t>
      </w:r>
      <w:r>
        <w:rPr>
          <w:rFonts w:hint="eastAsia" w:ascii="Times New Roman" w:hAnsi="Times New Roman" w:eastAsia="仿宋_GB2312" w:cs="Times New Roman"/>
          <w:sz w:val="32"/>
          <w:szCs w:val="32"/>
          <w:lang w:val="en-US" w:eastAsia="zh-CN"/>
        </w:rPr>
        <w:t>新增</w:t>
      </w:r>
      <w:r>
        <w:rPr>
          <w:rFonts w:hint="eastAsia" w:ascii="Times New Roman" w:hAnsi="Times New Roman" w:eastAsia="仿宋_GB2312" w:cs="Times New Roman"/>
          <w:sz w:val="32"/>
          <w:szCs w:val="32"/>
        </w:rPr>
        <w:t>动物防疫强制免疫采购</w:t>
      </w:r>
      <w:r>
        <w:rPr>
          <w:rFonts w:hint="eastAsia" w:ascii="Times New Roman" w:hAnsi="Times New Roman" w:eastAsia="仿宋_GB2312" w:cs="Times New Roman"/>
          <w:sz w:val="32"/>
          <w:szCs w:val="32"/>
          <w:lang w:val="en-US" w:eastAsia="zh-CN"/>
        </w:rPr>
        <w:t>项目。</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10883.61</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98.09</w:t>
      </w:r>
      <w:r>
        <w:rPr>
          <w:rFonts w:ascii="Times New Roman" w:hAnsi="Times New Roman" w:eastAsia="仿宋_GB2312" w:cs="Times New Roman"/>
          <w:sz w:val="32"/>
          <w:szCs w:val="32"/>
        </w:rPr>
        <w:t>%，与上年相比，财政拨款支出</w:t>
      </w:r>
      <w:r>
        <w:rPr>
          <w:rFonts w:hint="eastAsia" w:ascii="Times New Roman" w:hAnsi="Times New Roman" w:eastAsia="仿宋_GB2312" w:cs="Times New Roman"/>
          <w:sz w:val="32"/>
          <w:szCs w:val="32"/>
          <w:lang w:val="en-US" w:eastAsia="zh-CN"/>
        </w:rPr>
        <w:t>增加</w:t>
      </w:r>
      <w:r>
        <w:rPr>
          <w:rFonts w:hint="eastAsia" w:ascii="Times New Roman" w:hAnsi="Times New Roman" w:eastAsia="仿宋_GB2312"/>
          <w:sz w:val="32"/>
          <w:szCs w:val="32"/>
          <w:highlight w:val="none"/>
          <w:lang w:val="en-US" w:eastAsia="zh-CN"/>
        </w:rPr>
        <w:t>1775.85</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val="en-US" w:eastAsia="zh-CN"/>
        </w:rPr>
        <w:t>增长19.50</w:t>
      </w:r>
      <w:r>
        <w:rPr>
          <w:rFonts w:hint="eastAsia" w:ascii="Times New Roman" w:hAnsi="Times New Roman" w:eastAsia="仿宋_GB2312"/>
          <w:sz w:val="32"/>
          <w:szCs w:val="32"/>
          <w:highlight w:val="none"/>
        </w:rPr>
        <w:t>%，</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新增</w:t>
      </w:r>
      <w:r>
        <w:rPr>
          <w:rFonts w:hint="eastAsia" w:ascii="Times New Roman" w:hAnsi="Times New Roman" w:eastAsia="仿宋_GB2312" w:cs="Times New Roman"/>
          <w:sz w:val="32"/>
          <w:szCs w:val="32"/>
        </w:rPr>
        <w:t>动物防疫强制免疫采购</w:t>
      </w:r>
      <w:r>
        <w:rPr>
          <w:rFonts w:hint="eastAsia" w:ascii="Times New Roman" w:hAnsi="Times New Roman" w:eastAsia="仿宋_GB2312" w:cs="Times New Roman"/>
          <w:sz w:val="32"/>
          <w:szCs w:val="32"/>
          <w:lang w:val="en-US" w:eastAsia="zh-CN"/>
        </w:rPr>
        <w:t>等项目支出。</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10883.61</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lang w:val="en-US" w:eastAsia="zh-CN"/>
        </w:rPr>
        <w:t>教育</w:t>
      </w:r>
      <w:r>
        <w:rPr>
          <w:rFonts w:hint="eastAsia" w:ascii="Times New Roman" w:hAnsi="Times New Roman" w:eastAsia="仿宋_GB2312"/>
          <w:sz w:val="32"/>
          <w:szCs w:val="32"/>
          <w:highlight w:val="none"/>
        </w:rPr>
        <w:t>（类）支出</w:t>
      </w:r>
      <w:r>
        <w:rPr>
          <w:rFonts w:hint="eastAsia" w:ascii="Times New Roman" w:hAnsi="Times New Roman" w:eastAsia="仿宋_GB2312"/>
          <w:sz w:val="32"/>
          <w:szCs w:val="32"/>
          <w:highlight w:val="none"/>
          <w:lang w:val="en-US" w:eastAsia="zh-CN"/>
        </w:rPr>
        <w:t>2.00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0.02</w:t>
      </w:r>
      <w:r>
        <w:rPr>
          <w:rFonts w:hint="eastAsia" w:ascii="Times New Roman" w:hAnsi="Times New Roman" w:eastAsia="仿宋_GB2312"/>
          <w:sz w:val="32"/>
          <w:szCs w:val="32"/>
          <w:highlight w:val="none"/>
        </w:rPr>
        <w:t>%；社会保障和就业（类）支出</w:t>
      </w:r>
      <w:r>
        <w:rPr>
          <w:rFonts w:hint="eastAsia" w:ascii="Times New Roman" w:hAnsi="Times New Roman" w:eastAsia="仿宋_GB2312"/>
          <w:sz w:val="32"/>
          <w:szCs w:val="32"/>
          <w:highlight w:val="none"/>
          <w:lang w:val="en-US" w:eastAsia="zh-CN"/>
        </w:rPr>
        <w:t>566.53</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5.21</w:t>
      </w:r>
      <w:r>
        <w:rPr>
          <w:rFonts w:hint="eastAsia" w:ascii="Times New Roman" w:hAnsi="Times New Roman" w:eastAsia="仿宋_GB2312"/>
          <w:sz w:val="32"/>
          <w:szCs w:val="32"/>
          <w:highlight w:val="none"/>
        </w:rPr>
        <w:t>%；卫生健康（类）支出</w:t>
      </w:r>
      <w:r>
        <w:rPr>
          <w:rFonts w:hint="eastAsia" w:ascii="Times New Roman" w:hAnsi="Times New Roman" w:eastAsia="仿宋_GB2312"/>
          <w:sz w:val="32"/>
          <w:szCs w:val="32"/>
          <w:highlight w:val="none"/>
          <w:lang w:val="en-US" w:eastAsia="zh-CN"/>
        </w:rPr>
        <w:t>271.53</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2.49</w:t>
      </w:r>
      <w:r>
        <w:rPr>
          <w:rFonts w:hint="eastAsia" w:ascii="Times New Roman" w:hAnsi="Times New Roman" w:eastAsia="仿宋_GB2312"/>
          <w:sz w:val="32"/>
          <w:szCs w:val="32"/>
          <w:highlight w:val="none"/>
        </w:rPr>
        <w:t>%;农林水（类）支出</w:t>
      </w:r>
      <w:r>
        <w:rPr>
          <w:rFonts w:hint="eastAsia" w:ascii="Times New Roman" w:hAnsi="Times New Roman" w:eastAsia="仿宋_GB2312"/>
          <w:sz w:val="32"/>
          <w:szCs w:val="32"/>
          <w:highlight w:val="none"/>
          <w:lang w:val="en-US" w:eastAsia="zh-CN"/>
        </w:rPr>
        <w:t>9837.68</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90.39</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，住房保障（</w:t>
      </w:r>
      <w:r>
        <w:rPr>
          <w:rFonts w:hint="eastAsia" w:ascii="Times New Roman" w:hAnsi="Times New Roman" w:eastAsia="仿宋_GB2312"/>
          <w:sz w:val="32"/>
          <w:szCs w:val="32"/>
          <w:highlight w:val="none"/>
        </w:rPr>
        <w:t>类）支出</w:t>
      </w:r>
      <w:r>
        <w:rPr>
          <w:rFonts w:hint="eastAsia" w:ascii="Times New Roman" w:hAnsi="Times New Roman" w:eastAsia="仿宋_GB2312"/>
          <w:sz w:val="32"/>
          <w:szCs w:val="32"/>
          <w:highlight w:val="none"/>
          <w:lang w:val="en-US" w:eastAsia="zh-CN"/>
        </w:rPr>
        <w:t>205.88</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1.89</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9753.65</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10883.61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111.59</w:t>
      </w:r>
      <w:r>
        <w:rPr>
          <w:rFonts w:ascii="Times New Roman" w:hAnsi="Times New Roman" w:eastAsia="仿宋_GB2312" w:cs="Times New Roman"/>
          <w:sz w:val="32"/>
          <w:szCs w:val="32"/>
        </w:rPr>
        <w:t>%，其中：</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教育支出</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val="en-US" w:eastAsia="zh-CN"/>
        </w:rPr>
        <w:t>进修及培训</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val="en-US" w:eastAsia="zh-CN"/>
        </w:rPr>
        <w:t>培训支出</w:t>
      </w:r>
      <w:r>
        <w:rPr>
          <w:rFonts w:hint="eastAsia" w:ascii="Times New Roman" w:hAnsi="Times New Roman" w:eastAsia="仿宋_GB2312"/>
          <w:sz w:val="32"/>
          <w:szCs w:val="32"/>
          <w:highlight w:val="none"/>
        </w:rPr>
        <w:t>（项）。</w:t>
      </w:r>
    </w:p>
    <w:p>
      <w:pPr>
        <w:pStyle w:val="16"/>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2.00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社会保障和就业（类）行政事业单位养老支出（款）</w:t>
      </w:r>
      <w:r>
        <w:rPr>
          <w:rFonts w:hint="eastAsia" w:ascii="Times New Roman" w:hAnsi="Times New Roman" w:eastAsia="仿宋_GB2312"/>
          <w:sz w:val="32"/>
          <w:szCs w:val="32"/>
          <w:highlight w:val="none"/>
          <w:lang w:val="en-US" w:eastAsia="zh-CN"/>
        </w:rPr>
        <w:t>行政单位离退休</w:t>
      </w:r>
      <w:r>
        <w:rPr>
          <w:rFonts w:hint="eastAsia" w:ascii="Times New Roman" w:hAnsi="Times New Roman" w:eastAsia="仿宋_GB2312"/>
          <w:sz w:val="32"/>
          <w:szCs w:val="32"/>
          <w:highlight w:val="none"/>
        </w:rPr>
        <w:t>（项）。</w:t>
      </w:r>
    </w:p>
    <w:p>
      <w:pPr>
        <w:pStyle w:val="16"/>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354.00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345.46</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97.59</w:t>
      </w:r>
      <w:r>
        <w:rPr>
          <w:rFonts w:hint="eastAsia" w:ascii="Times New Roman" w:hAnsi="Times New Roman" w:eastAsia="仿宋_GB2312"/>
          <w:sz w:val="32"/>
          <w:szCs w:val="32"/>
          <w:highlight w:val="none"/>
        </w:rPr>
        <w:t>%，决算数小于年初预算数的主要原因是：机关事业单位基本养老保险缴费支出</w:t>
      </w:r>
      <w:r>
        <w:rPr>
          <w:rFonts w:hint="eastAsia" w:ascii="Times New Roman" w:hAnsi="Times New Roman" w:eastAsia="仿宋_GB2312"/>
          <w:sz w:val="32"/>
          <w:szCs w:val="32"/>
          <w:highlight w:val="none"/>
          <w:lang w:val="en-US" w:eastAsia="zh-CN"/>
        </w:rPr>
        <w:t>费用有结余。</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社会保障和就业（类）行政事业单位养老支出（款）机关事业单位基本养老保险缴费支出（项）。</w:t>
      </w:r>
    </w:p>
    <w:p>
      <w:pPr>
        <w:pStyle w:val="16"/>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227.00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221.06</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97.39</w:t>
      </w:r>
      <w:r>
        <w:rPr>
          <w:rFonts w:hint="eastAsia" w:ascii="Times New Roman" w:hAnsi="Times New Roman" w:eastAsia="仿宋_GB2312"/>
          <w:sz w:val="32"/>
          <w:szCs w:val="32"/>
          <w:highlight w:val="none"/>
        </w:rPr>
        <w:t>%，决算数小于年初预算数的主要原因是：机关事业单位基本养老保险缴费支出</w:t>
      </w:r>
      <w:r>
        <w:rPr>
          <w:rFonts w:hint="eastAsia" w:ascii="Times New Roman" w:hAnsi="Times New Roman" w:eastAsia="仿宋_GB2312"/>
          <w:sz w:val="32"/>
          <w:szCs w:val="32"/>
          <w:highlight w:val="none"/>
          <w:lang w:val="en-US" w:eastAsia="zh-CN"/>
        </w:rPr>
        <w:t>费用有结余。</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卫生健康</w:t>
      </w:r>
      <w:r>
        <w:rPr>
          <w:rFonts w:hint="eastAsia" w:ascii="Times New Roman" w:hAnsi="Times New Roman" w:eastAsia="仿宋_GB2312"/>
          <w:sz w:val="32"/>
          <w:szCs w:val="32"/>
          <w:highlight w:val="none"/>
          <w:lang w:val="en-US" w:eastAsia="zh-CN"/>
        </w:rPr>
        <w:t>支出</w:t>
      </w:r>
      <w:r>
        <w:rPr>
          <w:rFonts w:hint="eastAsia" w:ascii="Times New Roman" w:hAnsi="Times New Roman" w:eastAsia="仿宋_GB2312"/>
          <w:sz w:val="32"/>
          <w:szCs w:val="32"/>
          <w:highlight w:val="none"/>
        </w:rPr>
        <w:t>（类）公共卫生（款）重大公共卫生服务（项）。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3.56</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8.56</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240.45</w:t>
      </w:r>
      <w:r>
        <w:rPr>
          <w:rFonts w:hint="eastAsia" w:ascii="Times New Roman" w:hAnsi="Times New Roman" w:eastAsia="仿宋_GB2312"/>
          <w:sz w:val="32"/>
          <w:szCs w:val="32"/>
          <w:highlight w:val="none"/>
        </w:rPr>
        <w:t>%，决算数大于年初预算数的主要原因是：</w:t>
      </w:r>
      <w:r>
        <w:rPr>
          <w:rFonts w:hint="eastAsia" w:ascii="Times New Roman" w:hAnsi="Times New Roman" w:eastAsia="仿宋_GB2312"/>
          <w:sz w:val="32"/>
          <w:szCs w:val="32"/>
          <w:highlight w:val="none"/>
          <w:lang w:val="en-US" w:eastAsia="zh-CN"/>
        </w:rPr>
        <w:t>年中追加项目经费。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5、卫</w:t>
      </w:r>
      <w:r>
        <w:rPr>
          <w:rFonts w:hint="eastAsia" w:ascii="Times New Roman" w:hAnsi="Times New Roman" w:eastAsia="仿宋_GB2312"/>
          <w:sz w:val="32"/>
          <w:szCs w:val="32"/>
          <w:highlight w:val="none"/>
        </w:rPr>
        <w:t>生健康</w:t>
      </w:r>
      <w:r>
        <w:rPr>
          <w:rFonts w:hint="eastAsia" w:ascii="Times New Roman" w:hAnsi="Times New Roman" w:eastAsia="仿宋_GB2312"/>
          <w:sz w:val="32"/>
          <w:szCs w:val="32"/>
          <w:highlight w:val="none"/>
          <w:lang w:val="en-US" w:eastAsia="zh-CN"/>
        </w:rPr>
        <w:t>支出</w:t>
      </w:r>
      <w:r>
        <w:rPr>
          <w:rFonts w:hint="eastAsia" w:ascii="Times New Roman" w:hAnsi="Times New Roman" w:eastAsia="仿宋_GB2312"/>
          <w:sz w:val="32"/>
          <w:szCs w:val="32"/>
          <w:highlight w:val="none"/>
        </w:rPr>
        <w:t>（类）行政事业单位医疗（款）行政单位医疗（项）。</w:t>
      </w:r>
    </w:p>
    <w:p>
      <w:pPr>
        <w:pStyle w:val="16"/>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147.00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147.00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6、卫</w:t>
      </w:r>
      <w:r>
        <w:rPr>
          <w:rFonts w:hint="eastAsia" w:ascii="Times New Roman" w:hAnsi="Times New Roman" w:eastAsia="仿宋_GB2312"/>
          <w:sz w:val="32"/>
          <w:szCs w:val="32"/>
          <w:highlight w:val="none"/>
        </w:rPr>
        <w:t>生健康</w:t>
      </w:r>
      <w:r>
        <w:rPr>
          <w:rFonts w:hint="eastAsia" w:ascii="Times New Roman" w:hAnsi="Times New Roman" w:eastAsia="仿宋_GB2312"/>
          <w:sz w:val="32"/>
          <w:szCs w:val="32"/>
          <w:highlight w:val="none"/>
          <w:lang w:val="en-US" w:eastAsia="zh-CN"/>
        </w:rPr>
        <w:t>支出</w:t>
      </w:r>
      <w:r>
        <w:rPr>
          <w:rFonts w:hint="eastAsia" w:ascii="Times New Roman" w:hAnsi="Times New Roman" w:eastAsia="仿宋_GB2312"/>
          <w:sz w:val="32"/>
          <w:szCs w:val="32"/>
          <w:highlight w:val="none"/>
        </w:rPr>
        <w:t>（类）行政事业单位医疗（款）</w:t>
      </w:r>
      <w:r>
        <w:rPr>
          <w:rFonts w:hint="eastAsia" w:ascii="Times New Roman" w:hAnsi="Times New Roman" w:eastAsia="仿宋_GB2312"/>
          <w:sz w:val="32"/>
          <w:szCs w:val="32"/>
          <w:highlight w:val="none"/>
          <w:lang w:val="en-US" w:eastAsia="zh-CN"/>
        </w:rPr>
        <w:t>公务员医疗补助</w:t>
      </w:r>
      <w:r>
        <w:rPr>
          <w:rFonts w:hint="eastAsia" w:ascii="Times New Roman" w:hAnsi="Times New Roman" w:eastAsia="仿宋_GB2312"/>
          <w:sz w:val="32"/>
          <w:szCs w:val="32"/>
          <w:highlight w:val="none"/>
        </w:rPr>
        <w:t>（项）。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119.00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115.97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97.46</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公务员</w:t>
      </w:r>
      <w:r>
        <w:rPr>
          <w:rFonts w:hint="eastAsia" w:ascii="Times New Roman" w:hAnsi="Times New Roman" w:eastAsia="仿宋_GB2312"/>
          <w:color w:val="auto"/>
          <w:sz w:val="32"/>
          <w:szCs w:val="32"/>
          <w:highlight w:val="none"/>
          <w:lang w:val="en-US" w:eastAsia="zh-CN"/>
        </w:rPr>
        <w:t>医疗补助有结余</w:t>
      </w:r>
      <w:r>
        <w:rPr>
          <w:rFonts w:hint="eastAsia" w:ascii="Times New Roman" w:hAnsi="Times New Roman" w:eastAsia="仿宋_GB2312"/>
          <w:sz w:val="32"/>
          <w:szCs w:val="32"/>
          <w:highlight w:val="none"/>
          <w:lang w:val="en-US" w:eastAsia="zh-CN"/>
        </w:rPr>
        <w:t>。</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（类）农业农村（款）行政运行（项）。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b/>
          <w:bCs/>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2593.76</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2491.07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96.04</w:t>
      </w:r>
      <w:r>
        <w:rPr>
          <w:rFonts w:hint="eastAsia" w:ascii="Times New Roman" w:hAnsi="Times New Roman" w:eastAsia="仿宋_GB2312"/>
          <w:sz w:val="32"/>
          <w:szCs w:val="32"/>
          <w:highlight w:val="none"/>
        </w:rPr>
        <w:t>%，决算</w:t>
      </w:r>
      <w:r>
        <w:rPr>
          <w:rFonts w:hint="eastAsia" w:ascii="Times New Roman" w:hAnsi="Times New Roman" w:eastAsia="仿宋_GB2312"/>
          <w:color w:val="auto"/>
          <w:sz w:val="32"/>
          <w:szCs w:val="32"/>
          <w:highlight w:val="none"/>
        </w:rPr>
        <w:t>数</w:t>
      </w:r>
      <w:r>
        <w:rPr>
          <w:rFonts w:hint="eastAsia" w:ascii="Times New Roman" w:hAnsi="Times New Roman" w:eastAsia="仿宋_GB2312"/>
          <w:color w:val="auto"/>
          <w:sz w:val="32"/>
          <w:szCs w:val="32"/>
          <w:highlight w:val="none"/>
          <w:lang w:val="en-US" w:eastAsia="zh-CN"/>
        </w:rPr>
        <w:t>小</w:t>
      </w:r>
      <w:r>
        <w:rPr>
          <w:rFonts w:hint="eastAsia" w:ascii="Times New Roman" w:hAnsi="Times New Roman" w:eastAsia="仿宋_GB2312"/>
          <w:color w:val="auto"/>
          <w:sz w:val="32"/>
          <w:szCs w:val="32"/>
          <w:highlight w:val="none"/>
        </w:rPr>
        <w:t>于年初预算数</w:t>
      </w:r>
      <w:r>
        <w:rPr>
          <w:rFonts w:hint="eastAsia" w:ascii="Times New Roman" w:hAnsi="Times New Roman" w:eastAsia="仿宋_GB2312"/>
          <w:sz w:val="32"/>
          <w:szCs w:val="32"/>
          <w:highlight w:val="none"/>
        </w:rPr>
        <w:t>的主要原因是：</w:t>
      </w:r>
      <w:r>
        <w:rPr>
          <w:rFonts w:hint="eastAsia" w:eastAsia="仿宋_GB2312"/>
          <w:color w:val="000000"/>
          <w:sz w:val="32"/>
          <w:szCs w:val="32"/>
          <w:highlight w:val="none"/>
          <w:lang w:val="en-US" w:eastAsia="zh-CN"/>
        </w:rPr>
        <w:t>我单位厉行节约，压减运行经费。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（类）农业农村（款）科技转化与推广服务（项）。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102.86</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186.10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180.93</w:t>
      </w:r>
      <w:r>
        <w:rPr>
          <w:rFonts w:hint="eastAsia" w:ascii="Times New Roman" w:hAnsi="Times New Roman" w:eastAsia="仿宋_GB2312"/>
          <w:sz w:val="32"/>
          <w:szCs w:val="32"/>
          <w:highlight w:val="none"/>
        </w:rPr>
        <w:t>%，决算</w:t>
      </w:r>
      <w:r>
        <w:rPr>
          <w:rFonts w:hint="eastAsia" w:ascii="Times New Roman" w:hAnsi="Times New Roman" w:eastAsia="仿宋_GB2312"/>
          <w:color w:val="auto"/>
          <w:sz w:val="32"/>
          <w:szCs w:val="32"/>
          <w:highlight w:val="none"/>
        </w:rPr>
        <w:t>数</w:t>
      </w:r>
      <w:r>
        <w:rPr>
          <w:rFonts w:hint="eastAsia" w:ascii="Times New Roman" w:hAnsi="Times New Roman" w:eastAsia="仿宋_GB2312"/>
          <w:color w:val="auto"/>
          <w:sz w:val="32"/>
          <w:szCs w:val="32"/>
          <w:highlight w:val="none"/>
          <w:lang w:val="en-US" w:eastAsia="zh-CN"/>
        </w:rPr>
        <w:t>大</w:t>
      </w:r>
      <w:r>
        <w:rPr>
          <w:rFonts w:hint="eastAsia" w:ascii="Times New Roman" w:hAnsi="Times New Roman" w:eastAsia="仿宋_GB2312"/>
          <w:color w:val="auto"/>
          <w:sz w:val="32"/>
          <w:szCs w:val="32"/>
          <w:highlight w:val="none"/>
        </w:rPr>
        <w:t>于年初预算数</w:t>
      </w:r>
      <w:r>
        <w:rPr>
          <w:rFonts w:hint="eastAsia" w:ascii="Times New Roman" w:hAnsi="Times New Roman" w:eastAsia="仿宋_GB2312"/>
          <w:sz w:val="32"/>
          <w:szCs w:val="32"/>
          <w:highlight w:val="none"/>
        </w:rPr>
        <w:t>的主要原因是：</w:t>
      </w:r>
      <w:r>
        <w:rPr>
          <w:rFonts w:hint="eastAsia" w:ascii="Times New Roman" w:hAnsi="Times New Roman" w:eastAsia="仿宋_GB2312"/>
          <w:sz w:val="32"/>
          <w:szCs w:val="32"/>
          <w:highlight w:val="none"/>
          <w:lang w:val="en-US" w:eastAsia="zh-CN"/>
        </w:rPr>
        <w:t>年中追加项目经费。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（类）农业农村（款）病虫害控制（项）。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4744.94</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5933.70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125.06</w:t>
      </w:r>
      <w:r>
        <w:rPr>
          <w:rFonts w:hint="eastAsia" w:ascii="Times New Roman" w:hAnsi="Times New Roman" w:eastAsia="仿宋_GB2312"/>
          <w:sz w:val="32"/>
          <w:szCs w:val="32"/>
          <w:highlight w:val="none"/>
        </w:rPr>
        <w:t>%，决算</w:t>
      </w:r>
      <w:r>
        <w:rPr>
          <w:rFonts w:hint="eastAsia" w:ascii="Times New Roman" w:hAnsi="Times New Roman" w:eastAsia="仿宋_GB2312"/>
          <w:color w:val="auto"/>
          <w:sz w:val="32"/>
          <w:szCs w:val="32"/>
          <w:highlight w:val="none"/>
        </w:rPr>
        <w:t>数</w:t>
      </w:r>
      <w:r>
        <w:rPr>
          <w:rFonts w:hint="eastAsia" w:ascii="Times New Roman" w:hAnsi="Times New Roman" w:eastAsia="仿宋_GB2312"/>
          <w:color w:val="auto"/>
          <w:sz w:val="32"/>
          <w:szCs w:val="32"/>
          <w:highlight w:val="none"/>
          <w:lang w:val="en-US" w:eastAsia="zh-CN"/>
        </w:rPr>
        <w:t>大</w:t>
      </w:r>
      <w:r>
        <w:rPr>
          <w:rFonts w:hint="eastAsia" w:ascii="Times New Roman" w:hAnsi="Times New Roman" w:eastAsia="仿宋_GB2312"/>
          <w:color w:val="auto"/>
          <w:sz w:val="32"/>
          <w:szCs w:val="32"/>
          <w:highlight w:val="none"/>
        </w:rPr>
        <w:t>于年初预算数</w:t>
      </w:r>
      <w:r>
        <w:rPr>
          <w:rFonts w:hint="eastAsia" w:ascii="Times New Roman" w:hAnsi="Times New Roman" w:eastAsia="仿宋_GB2312"/>
          <w:sz w:val="32"/>
          <w:szCs w:val="32"/>
          <w:highlight w:val="none"/>
        </w:rPr>
        <w:t>的主要原因是：</w:t>
      </w:r>
      <w:r>
        <w:rPr>
          <w:rFonts w:hint="eastAsia" w:ascii="Times New Roman" w:hAnsi="Times New Roman" w:eastAsia="仿宋_GB2312"/>
          <w:sz w:val="32"/>
          <w:szCs w:val="32"/>
          <w:highlight w:val="none"/>
          <w:lang w:val="en-US" w:eastAsia="zh-CN"/>
        </w:rPr>
        <w:t>年中追加项目经费。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农林水</w:t>
      </w:r>
      <w:r>
        <w:rPr>
          <w:rFonts w:hint="eastAsia" w:ascii="Times New Roman" w:hAnsi="Times New Roman" w:eastAsia="仿宋_GB2312"/>
          <w:color w:val="auto"/>
          <w:sz w:val="32"/>
          <w:szCs w:val="32"/>
          <w:highlight w:val="none"/>
        </w:rPr>
        <w:t>（类）农业农村（款）执法监管（项）。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年初为</w:t>
      </w:r>
      <w:r>
        <w:rPr>
          <w:rFonts w:hint="eastAsia" w:ascii="Times New Roman" w:hAnsi="Times New Roman" w:eastAsia="仿宋_GB2312"/>
          <w:color w:val="auto"/>
          <w:sz w:val="32"/>
          <w:szCs w:val="32"/>
          <w:highlight w:val="none"/>
          <w:lang w:val="en-US" w:eastAsia="zh-CN"/>
        </w:rPr>
        <w:t>172.18</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162.15</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94.18</w:t>
      </w:r>
      <w:r>
        <w:rPr>
          <w:rFonts w:hint="eastAsia" w:ascii="Times New Roman" w:hAnsi="Times New Roman" w:eastAsia="仿宋_GB2312"/>
          <w:color w:val="auto"/>
          <w:sz w:val="32"/>
          <w:szCs w:val="32"/>
          <w:highlight w:val="none"/>
        </w:rPr>
        <w:t>%，决算数小于年初预算数的主要原因是：</w:t>
      </w:r>
      <w:r>
        <w:rPr>
          <w:rFonts w:hint="eastAsia" w:ascii="Times New Roman" w:hAnsi="Times New Roman" w:eastAsia="仿宋_GB2312"/>
          <w:color w:val="auto"/>
          <w:sz w:val="32"/>
          <w:szCs w:val="32"/>
          <w:highlight w:val="none"/>
          <w:lang w:val="en-US" w:eastAsia="zh-CN"/>
        </w:rPr>
        <w:t>项目跨年实施。</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11</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农林水</w:t>
      </w:r>
      <w:r>
        <w:rPr>
          <w:rFonts w:hint="eastAsia" w:ascii="Times New Roman" w:hAnsi="Times New Roman" w:eastAsia="仿宋_GB2312"/>
          <w:color w:val="auto"/>
          <w:sz w:val="32"/>
          <w:szCs w:val="32"/>
          <w:highlight w:val="none"/>
        </w:rPr>
        <w:t>（类）农业农村（款）统计监测与信息服务（项）。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12.04</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12.04</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12</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农林水</w:t>
      </w:r>
      <w:r>
        <w:rPr>
          <w:rFonts w:hint="eastAsia" w:ascii="Times New Roman" w:hAnsi="Times New Roman" w:eastAsia="仿宋_GB2312"/>
          <w:color w:val="auto"/>
          <w:sz w:val="32"/>
          <w:szCs w:val="32"/>
          <w:highlight w:val="none"/>
        </w:rPr>
        <w:t>（类）农业农村（款）</w:t>
      </w:r>
      <w:r>
        <w:rPr>
          <w:rFonts w:hint="eastAsia" w:ascii="Times New Roman" w:hAnsi="Times New Roman" w:eastAsia="仿宋_GB2312"/>
          <w:color w:val="auto"/>
          <w:sz w:val="32"/>
          <w:szCs w:val="32"/>
          <w:highlight w:val="none"/>
          <w:lang w:val="en-US" w:eastAsia="zh-CN"/>
        </w:rPr>
        <w:t>行业业务管理</w:t>
      </w:r>
      <w:r>
        <w:rPr>
          <w:rFonts w:hint="eastAsia" w:ascii="Times New Roman" w:hAnsi="Times New Roman" w:eastAsia="仿宋_GB2312"/>
          <w:color w:val="auto"/>
          <w:sz w:val="32"/>
          <w:szCs w:val="32"/>
          <w:highlight w:val="none"/>
        </w:rPr>
        <w:t>（项）。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170.00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158.93</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93.49</w:t>
      </w:r>
      <w:r>
        <w:rPr>
          <w:rFonts w:hint="eastAsia" w:ascii="Times New Roman" w:hAnsi="Times New Roman" w:eastAsia="仿宋_GB2312"/>
          <w:color w:val="auto"/>
          <w:sz w:val="32"/>
          <w:szCs w:val="32"/>
          <w:highlight w:val="none"/>
        </w:rPr>
        <w:t>%，决算数小于年初预算数的主要原因是</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项目跨年实施。</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13</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农林水</w:t>
      </w:r>
      <w:r>
        <w:rPr>
          <w:rFonts w:hint="eastAsia" w:ascii="Times New Roman" w:hAnsi="Times New Roman" w:eastAsia="仿宋_GB2312"/>
          <w:color w:val="auto"/>
          <w:sz w:val="32"/>
          <w:szCs w:val="32"/>
          <w:highlight w:val="none"/>
        </w:rPr>
        <w:t>（类）农业农村（款）</w:t>
      </w:r>
      <w:r>
        <w:rPr>
          <w:rFonts w:hint="eastAsia" w:ascii="Times New Roman" w:hAnsi="Times New Roman" w:eastAsia="仿宋_GB2312"/>
          <w:color w:val="auto"/>
          <w:sz w:val="32"/>
          <w:szCs w:val="32"/>
          <w:highlight w:val="none"/>
          <w:lang w:val="en-US" w:eastAsia="zh-CN"/>
        </w:rPr>
        <w:t>对外交流与合作</w:t>
      </w:r>
      <w:r>
        <w:rPr>
          <w:rFonts w:hint="eastAsia" w:ascii="Times New Roman" w:hAnsi="Times New Roman" w:eastAsia="仿宋_GB2312"/>
          <w:color w:val="auto"/>
          <w:sz w:val="32"/>
          <w:szCs w:val="32"/>
          <w:highlight w:val="none"/>
        </w:rPr>
        <w:t>（项）。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13.00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7.80</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60.00</w:t>
      </w:r>
      <w:r>
        <w:rPr>
          <w:rFonts w:hint="eastAsia" w:ascii="Times New Roman" w:hAnsi="Times New Roman" w:eastAsia="仿宋_GB2312"/>
          <w:color w:val="auto"/>
          <w:sz w:val="32"/>
          <w:szCs w:val="32"/>
          <w:highlight w:val="none"/>
        </w:rPr>
        <w:t>%，决算数小于年初预算数的主要原因是</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项目实施完毕后部分经费结余。</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14</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农林水</w:t>
      </w:r>
      <w:r>
        <w:rPr>
          <w:rFonts w:hint="eastAsia" w:ascii="Times New Roman" w:hAnsi="Times New Roman" w:eastAsia="仿宋_GB2312"/>
          <w:color w:val="auto"/>
          <w:sz w:val="32"/>
          <w:szCs w:val="32"/>
          <w:highlight w:val="none"/>
        </w:rPr>
        <w:t>（类）农业农村（款）</w:t>
      </w:r>
      <w:r>
        <w:rPr>
          <w:rFonts w:hint="eastAsia" w:ascii="Times New Roman" w:hAnsi="Times New Roman" w:eastAsia="仿宋_GB2312"/>
          <w:color w:val="auto"/>
          <w:sz w:val="32"/>
          <w:szCs w:val="32"/>
          <w:highlight w:val="none"/>
          <w:lang w:val="en-US" w:eastAsia="zh-CN"/>
        </w:rPr>
        <w:t>农业生产发展</w:t>
      </w:r>
      <w:r>
        <w:rPr>
          <w:rFonts w:hint="eastAsia" w:ascii="Times New Roman" w:hAnsi="Times New Roman" w:eastAsia="仿宋_GB2312"/>
          <w:color w:val="auto"/>
          <w:sz w:val="32"/>
          <w:szCs w:val="32"/>
          <w:highlight w:val="none"/>
        </w:rPr>
        <w:t>（项）。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15.99</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val="en-US" w:eastAsia="zh-CN"/>
        </w:rPr>
        <w:t>大</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年中追加项目经费。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15</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农林水</w:t>
      </w:r>
      <w:r>
        <w:rPr>
          <w:rFonts w:hint="eastAsia" w:ascii="Times New Roman" w:hAnsi="Times New Roman" w:eastAsia="仿宋_GB2312"/>
          <w:color w:val="auto"/>
          <w:sz w:val="32"/>
          <w:szCs w:val="32"/>
          <w:highlight w:val="none"/>
        </w:rPr>
        <w:t>（类）农业农村（款）其他农业农村支出（项）。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50.00</w:t>
      </w:r>
      <w:r>
        <w:rPr>
          <w:rFonts w:hint="eastAsia" w:ascii="Times New Roman" w:hAnsi="Times New Roman" w:eastAsia="仿宋_GB2312"/>
          <w:color w:val="auto"/>
          <w:sz w:val="32"/>
          <w:szCs w:val="32"/>
          <w:highlight w:val="none"/>
        </w:rPr>
        <w:t>万元，支出决算</w:t>
      </w:r>
      <w:r>
        <w:rPr>
          <w:rFonts w:hint="eastAsia" w:ascii="Times New Roman" w:hAnsi="Times New Roman" w:eastAsia="仿宋_GB2312"/>
          <w:color w:val="auto"/>
          <w:sz w:val="32"/>
          <w:szCs w:val="32"/>
          <w:highlight w:val="none"/>
          <w:lang w:val="en-US" w:eastAsia="zh-CN"/>
        </w:rPr>
        <w:t>53.94</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107.88</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val="en-US" w:eastAsia="zh-CN"/>
        </w:rPr>
        <w:t>大</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val="en-US" w:eastAsia="zh-CN"/>
        </w:rPr>
        <w:t>年中追加项目经费。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16</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住房保障支出</w:t>
      </w:r>
      <w:r>
        <w:rPr>
          <w:rFonts w:hint="eastAsia" w:ascii="Times New Roman" w:hAnsi="Times New Roman" w:eastAsia="仿宋_GB2312"/>
          <w:color w:val="auto"/>
          <w:sz w:val="32"/>
          <w:szCs w:val="32"/>
          <w:highlight w:val="none"/>
        </w:rPr>
        <w:t>（类）住房改革支出（款）住房公积金（项）。</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222.00</w:t>
      </w:r>
      <w:r>
        <w:rPr>
          <w:rFonts w:hint="eastAsia" w:ascii="Times New Roman" w:hAnsi="Times New Roman" w:eastAsia="仿宋_GB2312"/>
          <w:color w:val="auto"/>
          <w:sz w:val="32"/>
          <w:szCs w:val="32"/>
          <w:highlight w:val="none"/>
        </w:rPr>
        <w:t>万元，支出决算</w:t>
      </w:r>
      <w:r>
        <w:rPr>
          <w:rFonts w:hint="eastAsia" w:ascii="Times New Roman" w:hAnsi="Times New Roman" w:eastAsia="仿宋_GB2312"/>
          <w:color w:val="auto"/>
          <w:sz w:val="32"/>
          <w:szCs w:val="32"/>
          <w:highlight w:val="none"/>
          <w:lang w:val="en-US" w:eastAsia="zh-CN"/>
        </w:rPr>
        <w:t>205.88</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92.74</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val="en-US" w:eastAsia="zh-CN"/>
        </w:rPr>
        <w:t>小</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val="en-US" w:eastAsia="zh-CN"/>
        </w:rPr>
        <w:t>人员经费有结余。</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六、一般公共预算财政拨款基本支出决算情况说明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2024年度一般公共预算财政拨款基本支</w:t>
      </w:r>
      <w:r>
        <w:rPr>
          <w:rFonts w:hint="eastAsia" w:ascii="Times New Roman" w:hAnsi="Times New Roman" w:eastAsia="仿宋_GB2312" w:cs="Times New Roman"/>
          <w:color w:val="auto"/>
          <w:sz w:val="32"/>
          <w:szCs w:val="32"/>
          <w:lang w:val="en-US" w:eastAsia="zh-CN"/>
        </w:rPr>
        <w:t>3424.45</w:t>
      </w:r>
      <w:r>
        <w:rPr>
          <w:rFonts w:ascii="Times New Roman" w:hAnsi="Times New Roman" w:eastAsia="仿宋_GB2312" w:cs="Times New Roman"/>
          <w:color w:val="auto"/>
          <w:sz w:val="32"/>
          <w:szCs w:val="32"/>
        </w:rPr>
        <w:t>万元，其中：</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b/>
          <w:bCs/>
          <w:color w:val="auto"/>
          <w:sz w:val="32"/>
          <w:szCs w:val="32"/>
        </w:rPr>
        <w:t>人员经费</w:t>
      </w:r>
      <w:r>
        <w:rPr>
          <w:rFonts w:hint="eastAsia" w:ascii="Times New Roman" w:hAnsi="Times New Roman" w:eastAsia="仿宋_GB2312" w:cs="Times New Roman"/>
          <w:color w:val="auto"/>
          <w:sz w:val="32"/>
          <w:szCs w:val="32"/>
          <w:lang w:val="en-US" w:eastAsia="zh-CN"/>
        </w:rPr>
        <w:t>2832.05</w:t>
      </w:r>
      <w:r>
        <w:rPr>
          <w:rFonts w:ascii="Times New Roman" w:hAnsi="Times New Roman" w:eastAsia="仿宋_GB2312" w:cs="Times New Roman"/>
          <w:color w:val="auto"/>
          <w:sz w:val="32"/>
          <w:szCs w:val="32"/>
        </w:rPr>
        <w:t>万元，占基本支出的</w:t>
      </w:r>
      <w:r>
        <w:rPr>
          <w:rFonts w:hint="eastAsia" w:ascii="Times New Roman" w:hAnsi="Times New Roman" w:eastAsia="仿宋_GB2312" w:cs="Times New Roman"/>
          <w:color w:val="auto"/>
          <w:sz w:val="32"/>
          <w:szCs w:val="32"/>
          <w:lang w:val="en-US" w:eastAsia="zh-CN"/>
        </w:rPr>
        <w:t>82.70</w:t>
      </w:r>
      <w:r>
        <w:rPr>
          <w:rFonts w:ascii="Times New Roman" w:hAnsi="Times New Roman" w:eastAsia="仿宋_GB2312" w:cs="Times New Roman"/>
          <w:color w:val="auto"/>
          <w:sz w:val="32"/>
          <w:szCs w:val="32"/>
        </w:rPr>
        <w:t>%,主要包括基本工资、津贴补贴、奖金、伙食补助费</w:t>
      </w:r>
      <w:r>
        <w:rPr>
          <w:rFonts w:hint="eastAsia" w:ascii="Times New Roman" w:hAnsi="Times New Roman" w:eastAsia="仿宋_GB2312" w:cs="Times New Roman"/>
          <w:color w:val="auto"/>
          <w:sz w:val="32"/>
          <w:szCs w:val="32"/>
          <w:lang w:eastAsia="zh-CN"/>
        </w:rPr>
        <w:t>、机关事业单位基本养老保险缴费、职工基本医疗保险缴费、公务员医疗补助缴费、  住房公积金、退休费、抚恤金</w:t>
      </w:r>
      <w:r>
        <w:rPr>
          <w:rFonts w:hint="eastAsia" w:ascii="Times New Roman" w:hAnsi="Times New Roman" w:eastAsia="仿宋_GB2312" w:cs="Times New Roman"/>
          <w:color w:val="auto"/>
          <w:sz w:val="32"/>
          <w:szCs w:val="32"/>
          <w:lang w:val="en-US" w:eastAsia="zh-CN"/>
        </w:rPr>
        <w:t>等</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color w:val="auto"/>
          <w:sz w:val="32"/>
          <w:szCs w:val="32"/>
        </w:rPr>
      </w:pPr>
      <w:r>
        <w:rPr>
          <w:rFonts w:ascii="Times New Roman" w:hAnsi="Times New Roman" w:eastAsia="仿宋_GB2312" w:cs="Times New Roman"/>
          <w:b/>
          <w:bCs/>
          <w:color w:val="auto"/>
          <w:sz w:val="32"/>
          <w:szCs w:val="32"/>
        </w:rPr>
        <w:t>公用经费</w:t>
      </w:r>
      <w:r>
        <w:rPr>
          <w:rFonts w:hint="eastAsia" w:ascii="Times New Roman" w:hAnsi="Times New Roman" w:eastAsia="仿宋_GB2312" w:cs="Times New Roman"/>
          <w:color w:val="auto"/>
          <w:sz w:val="32"/>
          <w:szCs w:val="32"/>
          <w:lang w:val="en-US" w:eastAsia="zh-CN"/>
        </w:rPr>
        <w:t>592.40</w:t>
      </w:r>
      <w:r>
        <w:rPr>
          <w:rFonts w:ascii="Times New Roman" w:hAnsi="Times New Roman" w:eastAsia="仿宋_GB2312" w:cs="Times New Roman"/>
          <w:color w:val="auto"/>
          <w:sz w:val="32"/>
          <w:szCs w:val="32"/>
        </w:rPr>
        <w:t>万元，占基本支出的</w:t>
      </w:r>
      <w:r>
        <w:rPr>
          <w:rFonts w:hint="eastAsia" w:ascii="Times New Roman" w:hAnsi="Times New Roman" w:eastAsia="仿宋_GB2312" w:cs="Times New Roman"/>
          <w:color w:val="auto"/>
          <w:sz w:val="32"/>
          <w:szCs w:val="32"/>
          <w:lang w:val="en-US" w:eastAsia="zh-CN"/>
        </w:rPr>
        <w:t>17.30</w:t>
      </w:r>
      <w:r>
        <w:rPr>
          <w:rFonts w:ascii="Times New Roman" w:hAnsi="Times New Roman" w:eastAsia="仿宋_GB2312" w:cs="Times New Roman"/>
          <w:color w:val="auto"/>
          <w:sz w:val="32"/>
          <w:szCs w:val="32"/>
        </w:rPr>
        <w:t>%，主要包括办公费、印刷费、</w:t>
      </w:r>
      <w:r>
        <w:rPr>
          <w:rFonts w:hint="eastAsia" w:ascii="Times New Roman" w:hAnsi="Times New Roman" w:eastAsia="仿宋_GB2312" w:cs="Times New Roman"/>
          <w:color w:val="auto"/>
          <w:sz w:val="32"/>
          <w:szCs w:val="32"/>
          <w:lang w:val="en-US" w:eastAsia="zh-CN"/>
        </w:rPr>
        <w:t>水费、电费、邮电费、物业管理费、差旅费、维修（护）费、劳务费、公务接待费、工会经费、福利费、公务用车运行维护费、其他交通费等</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color w:val="auto"/>
          <w:sz w:val="32"/>
          <w:szCs w:val="32"/>
        </w:rPr>
      </w:pPr>
      <w:r>
        <w:rPr>
          <w:rFonts w:ascii="Times New Roman" w:hAnsi="Times New Roman" w:cs="Times New Roman"/>
          <w:bCs/>
          <w:color w:val="auto"/>
          <w:sz w:val="32"/>
          <w:szCs w:val="32"/>
        </w:rPr>
        <w:t>七、财政拨款“三公”经费支出决算情况说明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（一）“三公”经费财政拨款支出决算总体情况说明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yellow"/>
        </w:rPr>
      </w:pPr>
      <w:r>
        <w:rPr>
          <w:rFonts w:ascii="Times New Roman" w:hAnsi="Times New Roman" w:eastAsia="仿宋_GB2312" w:cs="Times New Roman"/>
          <w:color w:val="auto"/>
          <w:sz w:val="32"/>
          <w:szCs w:val="32"/>
        </w:rPr>
        <w:t>2024年度“三公”经费财政拨款支出预算为</w:t>
      </w:r>
      <w:r>
        <w:rPr>
          <w:rFonts w:hint="eastAsia" w:ascii="Times New Roman" w:hAnsi="Times New Roman" w:eastAsia="仿宋_GB2312" w:cs="Times New Roman"/>
          <w:color w:val="auto"/>
          <w:sz w:val="32"/>
          <w:szCs w:val="32"/>
          <w:lang w:val="en-US" w:eastAsia="zh-CN"/>
        </w:rPr>
        <w:t>73.00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41.65</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57.05</w:t>
      </w:r>
      <w:r>
        <w:rPr>
          <w:rFonts w:ascii="Times New Roman" w:hAnsi="Times New Roman" w:eastAsia="仿宋_GB2312" w:cs="Times New Roman"/>
          <w:color w:val="auto"/>
          <w:sz w:val="32"/>
          <w:szCs w:val="32"/>
        </w:rPr>
        <w:t>%；与上年相比减少</w:t>
      </w:r>
      <w:r>
        <w:rPr>
          <w:rFonts w:hint="eastAsia" w:ascii="Times New Roman" w:hAnsi="Times New Roman" w:eastAsia="仿宋_GB2312" w:cs="Times New Roman"/>
          <w:color w:val="auto"/>
          <w:sz w:val="32"/>
          <w:szCs w:val="32"/>
          <w:lang w:val="en-US" w:eastAsia="zh-CN"/>
        </w:rPr>
        <w:t>9.97</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19.31</w:t>
      </w:r>
      <w:r>
        <w:rPr>
          <w:rFonts w:ascii="Times New Roman" w:hAnsi="Times New Roman" w:eastAsia="仿宋_GB2312" w:cs="Times New Roman"/>
          <w:color w:val="auto"/>
          <w:sz w:val="32"/>
          <w:szCs w:val="32"/>
        </w:rPr>
        <w:t>%。决算数小于预算数的主要原因是</w:t>
      </w:r>
      <w:r>
        <w:rPr>
          <w:rFonts w:hint="eastAsia" w:ascii="Times New Roman" w:hAnsi="Times New Roman" w:eastAsia="仿宋_GB2312"/>
          <w:color w:val="auto"/>
          <w:sz w:val="32"/>
          <w:szCs w:val="32"/>
          <w:highlight w:val="none"/>
          <w:lang w:val="en-US" w:eastAsia="zh-CN"/>
        </w:rPr>
        <w:t>我单位严控“三公”经费开支，各项费用均控制在预算范围内</w:t>
      </w:r>
      <w:r>
        <w:rPr>
          <w:rFonts w:ascii="Times New Roman" w:hAnsi="Times New Roman" w:eastAsia="仿宋_GB2312" w:cs="Times New Roman"/>
          <w:color w:val="auto"/>
          <w:sz w:val="32"/>
          <w:szCs w:val="32"/>
        </w:rPr>
        <w:t>。决算数小于上年数的主要原因是</w:t>
      </w:r>
      <w:r>
        <w:rPr>
          <w:rFonts w:hint="eastAsia" w:ascii="Times New Roman" w:hAnsi="Times New Roman" w:eastAsia="仿宋_GB2312"/>
          <w:color w:val="auto"/>
          <w:sz w:val="32"/>
          <w:szCs w:val="32"/>
          <w:highlight w:val="none"/>
          <w:lang w:val="en-US" w:eastAsia="zh-CN"/>
        </w:rPr>
        <w:t>上年因工作需要，更新购置了一台公车，本年无公车购置支出</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（二）“三公”经费财政拨款支出决算具体情况说明</w:t>
      </w:r>
    </w:p>
    <w:p>
      <w:pPr>
        <w:pStyle w:val="16"/>
        <w:overflowPunct w:val="0"/>
        <w:autoSpaceDE/>
        <w:autoSpaceDN/>
        <w:spacing w:line="600" w:lineRule="exact"/>
        <w:ind w:firstLine="640" w:firstLineChars="200"/>
        <w:jc w:val="both"/>
        <w:rPr>
          <w:color w:val="auto"/>
        </w:rPr>
      </w:pPr>
      <w:r>
        <w:rPr>
          <w:rFonts w:ascii="Times New Roman" w:hAnsi="Times New Roman" w:eastAsia="仿宋_GB2312" w:cs="Times New Roman"/>
          <w:color w:val="auto"/>
          <w:sz w:val="32"/>
          <w:szCs w:val="32"/>
        </w:rPr>
        <w:t>1.因公出国（境）费支出预算为</w:t>
      </w:r>
      <w:r>
        <w:rPr>
          <w:rFonts w:hint="eastAsia" w:ascii="Times New Roman" w:hAnsi="Times New Roman" w:eastAsia="仿宋_GB2312" w:cs="Times New Roman"/>
          <w:color w:val="auto"/>
          <w:sz w:val="32"/>
          <w:szCs w:val="32"/>
          <w:lang w:val="en-US" w:eastAsia="zh-CN"/>
        </w:rPr>
        <w:t>13.00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7.80</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60.00</w:t>
      </w:r>
      <w:r>
        <w:rPr>
          <w:rFonts w:ascii="Times New Roman" w:hAnsi="Times New Roman" w:eastAsia="仿宋_GB2312" w:cs="Times New Roman"/>
          <w:color w:val="auto"/>
          <w:sz w:val="32"/>
          <w:szCs w:val="32"/>
        </w:rPr>
        <w:t>%；与上年相比增加</w:t>
      </w:r>
      <w:r>
        <w:rPr>
          <w:rFonts w:hint="eastAsia" w:ascii="Times New Roman" w:hAnsi="Times New Roman" w:eastAsia="仿宋_GB2312" w:cs="Times New Roman"/>
          <w:color w:val="auto"/>
          <w:sz w:val="32"/>
          <w:szCs w:val="32"/>
          <w:lang w:val="en-US" w:eastAsia="zh-CN"/>
        </w:rPr>
        <w:t>7.80</w:t>
      </w:r>
      <w:r>
        <w:rPr>
          <w:rFonts w:ascii="Times New Roman" w:hAnsi="Times New Roman" w:eastAsia="仿宋_GB2312" w:cs="Times New Roman"/>
          <w:color w:val="auto"/>
          <w:sz w:val="32"/>
          <w:szCs w:val="32"/>
        </w:rPr>
        <w:t>万元。决算数小于预算数的主要原因是</w:t>
      </w:r>
      <w:r>
        <w:rPr>
          <w:rFonts w:hint="eastAsia" w:ascii="Times New Roman" w:hAnsi="Times New Roman" w:eastAsia="仿宋_GB2312"/>
          <w:color w:val="auto"/>
          <w:sz w:val="32"/>
          <w:szCs w:val="32"/>
          <w:highlight w:val="none"/>
          <w:lang w:val="en-US" w:eastAsia="zh-CN"/>
        </w:rPr>
        <w:t>我单位严控“三公”经费开支，</w:t>
      </w:r>
      <w:r>
        <w:rPr>
          <w:rFonts w:ascii="Times New Roman" w:hAnsi="Times New Roman" w:eastAsia="仿宋_GB2312" w:cs="Times New Roman"/>
          <w:color w:val="auto"/>
          <w:sz w:val="32"/>
          <w:szCs w:val="32"/>
        </w:rPr>
        <w:t>因公出国（境）费</w:t>
      </w:r>
      <w:r>
        <w:rPr>
          <w:rFonts w:hint="eastAsia" w:ascii="Times New Roman" w:hAnsi="Times New Roman" w:eastAsia="仿宋_GB2312" w:cs="Times New Roman"/>
          <w:color w:val="auto"/>
          <w:sz w:val="32"/>
          <w:szCs w:val="32"/>
          <w:lang w:val="en-US" w:eastAsia="zh-CN"/>
        </w:rPr>
        <w:t>支出</w:t>
      </w:r>
      <w:r>
        <w:rPr>
          <w:rFonts w:hint="eastAsia" w:ascii="Times New Roman" w:hAnsi="Times New Roman" w:eastAsia="仿宋_GB2312"/>
          <w:color w:val="auto"/>
          <w:sz w:val="32"/>
          <w:szCs w:val="32"/>
          <w:highlight w:val="none"/>
          <w:lang w:val="en-US" w:eastAsia="zh-CN"/>
        </w:rPr>
        <w:t>控制在预算范围内</w:t>
      </w:r>
      <w:r>
        <w:rPr>
          <w:rFonts w:ascii="Times New Roman" w:hAnsi="Times New Roman" w:eastAsia="仿宋_GB2312" w:cs="Times New Roman"/>
          <w:color w:val="auto"/>
          <w:sz w:val="32"/>
          <w:szCs w:val="32"/>
        </w:rPr>
        <w:t>。决算数大于上年数的主要原因是</w:t>
      </w:r>
      <w:r>
        <w:rPr>
          <w:rFonts w:hint="eastAsia" w:ascii="Times New Roman" w:hAnsi="Times New Roman" w:eastAsia="仿宋_GB2312" w:cs="Times New Roman"/>
          <w:color w:val="auto"/>
          <w:sz w:val="32"/>
          <w:szCs w:val="32"/>
          <w:lang w:val="en-US" w:eastAsia="zh-CN"/>
        </w:rPr>
        <w:t>上年未安排出国任务，今年因工作需要，安排了出国交流任务</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主要包括：</w:t>
      </w:r>
      <w:r>
        <w:rPr>
          <w:rFonts w:hint="eastAsia" w:ascii="Times New Roman" w:hAnsi="Times New Roman" w:eastAsia="仿宋_GB2312" w:cs="Times New Roman"/>
          <w:color w:val="auto"/>
          <w:sz w:val="32"/>
          <w:szCs w:val="32"/>
          <w:lang w:val="en-US" w:eastAsia="zh-CN"/>
        </w:rPr>
        <w:t>出访新西兰、瓦努阿图、斐济，</w:t>
      </w:r>
      <w:r>
        <w:rPr>
          <w:rFonts w:ascii="Times New Roman" w:hAnsi="Times New Roman" w:eastAsia="仿宋_GB2312" w:cs="Times New Roman"/>
          <w:color w:val="auto"/>
          <w:sz w:val="32"/>
          <w:szCs w:val="32"/>
        </w:rPr>
        <w:t>支出</w:t>
      </w:r>
      <w:r>
        <w:rPr>
          <w:rFonts w:hint="eastAsia" w:ascii="Times New Roman" w:hAnsi="Times New Roman" w:eastAsia="仿宋_GB2312" w:cs="Times New Roman"/>
          <w:color w:val="auto"/>
          <w:sz w:val="32"/>
          <w:szCs w:val="32"/>
          <w:lang w:val="en-US" w:eastAsia="zh-CN"/>
        </w:rPr>
        <w:t>7.8</w:t>
      </w:r>
      <w:r>
        <w:rPr>
          <w:rFonts w:ascii="Times New Roman" w:hAnsi="Times New Roman" w:eastAsia="仿宋_GB2312" w:cs="Times New Roman"/>
          <w:color w:val="auto"/>
          <w:sz w:val="32"/>
          <w:szCs w:val="32"/>
        </w:rPr>
        <w:t>万元，主要用于</w:t>
      </w:r>
      <w:r>
        <w:rPr>
          <w:rFonts w:hint="eastAsia" w:ascii="Times New Roman" w:hAnsi="Times New Roman" w:eastAsia="仿宋_GB2312" w:cs="Times New Roman"/>
          <w:color w:val="auto"/>
          <w:sz w:val="32"/>
          <w:szCs w:val="32"/>
          <w:lang w:val="en-US" w:eastAsia="zh-CN"/>
        </w:rPr>
        <w:t>对口交流。</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2.公务用车购置费及运行维护费支出预算为</w:t>
      </w:r>
      <w:r>
        <w:rPr>
          <w:rFonts w:hint="eastAsia" w:ascii="Times New Roman" w:hAnsi="Times New Roman" w:eastAsia="仿宋_GB2312" w:cs="Times New Roman"/>
          <w:color w:val="auto"/>
          <w:sz w:val="32"/>
          <w:szCs w:val="32"/>
          <w:lang w:val="en-US" w:eastAsia="zh-CN"/>
        </w:rPr>
        <w:t>50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32.80</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65.60</w:t>
      </w:r>
      <w:r>
        <w:rPr>
          <w:rFonts w:ascii="Times New Roman" w:hAnsi="Times New Roman" w:eastAsia="仿宋_GB2312" w:cs="Times New Roman"/>
          <w:color w:val="auto"/>
          <w:sz w:val="32"/>
          <w:szCs w:val="32"/>
        </w:rPr>
        <w:t>%；与上年相比减少</w:t>
      </w:r>
      <w:r>
        <w:rPr>
          <w:rFonts w:hint="eastAsia" w:ascii="Times New Roman" w:hAnsi="Times New Roman" w:eastAsia="仿宋_GB2312" w:cs="Times New Roman"/>
          <w:color w:val="auto"/>
          <w:sz w:val="32"/>
          <w:szCs w:val="32"/>
          <w:lang w:val="en-US" w:eastAsia="zh-CN"/>
        </w:rPr>
        <w:t>16.92</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34.03</w:t>
      </w:r>
      <w:r>
        <w:rPr>
          <w:rFonts w:ascii="Times New Roman" w:hAnsi="Times New Roman" w:eastAsia="仿宋_GB2312" w:cs="Times New Roman"/>
          <w:color w:val="auto"/>
          <w:sz w:val="32"/>
          <w:szCs w:val="32"/>
        </w:rPr>
        <w:t>%。其中：</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万元；与上年相比减少</w:t>
      </w:r>
      <w:r>
        <w:rPr>
          <w:rFonts w:hint="eastAsia" w:ascii="Times New Roman" w:hAnsi="Times New Roman" w:eastAsia="仿宋_GB2312" w:cs="Times New Roman"/>
          <w:color w:val="auto"/>
          <w:sz w:val="32"/>
          <w:szCs w:val="32"/>
          <w:lang w:val="en-US" w:eastAsia="zh-CN"/>
        </w:rPr>
        <w:t>17.98</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%。决算数小于上年数的主要原因是是</w:t>
      </w:r>
      <w:r>
        <w:rPr>
          <w:rFonts w:hint="eastAsia" w:ascii="Times New Roman" w:hAnsi="Times New Roman" w:eastAsia="仿宋_GB2312"/>
          <w:color w:val="auto"/>
          <w:sz w:val="32"/>
          <w:szCs w:val="32"/>
          <w:highlight w:val="none"/>
          <w:lang w:val="en-US" w:eastAsia="zh-CN"/>
        </w:rPr>
        <w:t>上年因工作需要，更新购置了一台公车，本年无</w:t>
      </w:r>
      <w:r>
        <w:rPr>
          <w:rFonts w:ascii="Times New Roman" w:hAnsi="Times New Roman" w:eastAsia="仿宋_GB2312" w:cs="Times New Roman"/>
          <w:color w:val="auto"/>
          <w:sz w:val="32"/>
          <w:szCs w:val="32"/>
        </w:rPr>
        <w:t>公务用车购置</w:t>
      </w:r>
      <w:r>
        <w:rPr>
          <w:rFonts w:hint="eastAsia" w:ascii="Times New Roman" w:hAnsi="Times New Roman" w:eastAsia="仿宋_GB2312"/>
          <w:color w:val="auto"/>
          <w:sz w:val="32"/>
          <w:szCs w:val="32"/>
          <w:highlight w:val="none"/>
          <w:lang w:val="en-US" w:eastAsia="zh-CN"/>
        </w:rPr>
        <w:t>支出</w:t>
      </w:r>
      <w:r>
        <w:rPr>
          <w:rFonts w:ascii="Times New Roman" w:hAnsi="Times New Roman" w:eastAsia="仿宋_GB2312" w:cs="Times New Roman"/>
          <w:color w:val="auto"/>
          <w:sz w:val="32"/>
          <w:szCs w:val="32"/>
        </w:rPr>
        <w:t>。单位本级更新公务用车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公务用车运行维护费支出预算为</w:t>
      </w:r>
      <w:r>
        <w:rPr>
          <w:rFonts w:hint="eastAsia" w:ascii="Times New Roman" w:hAnsi="Times New Roman" w:eastAsia="仿宋_GB2312" w:cs="Times New Roman"/>
          <w:color w:val="auto"/>
          <w:sz w:val="32"/>
          <w:szCs w:val="32"/>
          <w:lang w:val="en-US" w:eastAsia="zh-CN"/>
        </w:rPr>
        <w:t>50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32.80</w:t>
      </w:r>
      <w:r>
        <w:rPr>
          <w:rFonts w:ascii="Times New Roman" w:hAnsi="Times New Roman" w:eastAsia="仿宋_GB2312" w:cs="Times New Roman"/>
          <w:color w:val="auto"/>
          <w:sz w:val="32"/>
          <w:szCs w:val="32"/>
        </w:rPr>
        <w:t>万元，主要是</w:t>
      </w:r>
      <w:r>
        <w:rPr>
          <w:rFonts w:hint="eastAsia" w:ascii="Times New Roman" w:hAnsi="Times New Roman" w:eastAsia="仿宋_GB2312" w:cs="Times New Roman"/>
          <w:color w:val="auto"/>
          <w:sz w:val="32"/>
          <w:szCs w:val="32"/>
          <w:lang w:val="en-US" w:eastAsia="zh-CN"/>
        </w:rPr>
        <w:t>加油、购买保险、车辆维修</w:t>
      </w:r>
      <w:r>
        <w:rPr>
          <w:rFonts w:hint="eastAsia" w:ascii="Times New Roman" w:hAnsi="Times New Roman" w:eastAsia="仿宋_GB2312"/>
          <w:color w:val="auto"/>
          <w:sz w:val="32"/>
          <w:szCs w:val="32"/>
          <w:highlight w:val="none"/>
        </w:rPr>
        <w:t>及过路过桥费用</w:t>
      </w:r>
      <w:r>
        <w:rPr>
          <w:rFonts w:hint="eastAsia" w:ascii="Times New Roman" w:hAnsi="Times New Roman" w:eastAsia="仿宋_GB2312" w:cs="Times New Roman"/>
          <w:color w:val="auto"/>
          <w:sz w:val="32"/>
          <w:szCs w:val="32"/>
          <w:lang w:val="en-US" w:eastAsia="zh-CN"/>
        </w:rPr>
        <w:t>等</w:t>
      </w:r>
      <w:r>
        <w:rPr>
          <w:rFonts w:ascii="Times New Roman" w:hAnsi="Times New Roman" w:eastAsia="仿宋_GB2312" w:cs="Times New Roman"/>
          <w:color w:val="auto"/>
          <w:sz w:val="32"/>
          <w:szCs w:val="32"/>
        </w:rPr>
        <w:t>支出，完成预算的</w:t>
      </w:r>
      <w:r>
        <w:rPr>
          <w:rFonts w:hint="eastAsia" w:ascii="Times New Roman" w:hAnsi="Times New Roman" w:eastAsia="仿宋_GB2312" w:cs="Times New Roman"/>
          <w:color w:val="auto"/>
          <w:sz w:val="32"/>
          <w:szCs w:val="32"/>
          <w:lang w:val="en-US" w:eastAsia="zh-CN"/>
        </w:rPr>
        <w:t>65.60</w:t>
      </w:r>
      <w:r>
        <w:rPr>
          <w:rFonts w:ascii="Times New Roman" w:hAnsi="Times New Roman" w:eastAsia="仿宋_GB2312" w:cs="Times New Roman"/>
          <w:color w:val="auto"/>
          <w:sz w:val="32"/>
          <w:szCs w:val="32"/>
        </w:rPr>
        <w:t>%；与上年相比增加</w:t>
      </w:r>
      <w:r>
        <w:rPr>
          <w:rFonts w:hint="eastAsia" w:ascii="Times New Roman" w:hAnsi="Times New Roman" w:eastAsia="仿宋_GB2312" w:cs="Times New Roman"/>
          <w:color w:val="auto"/>
          <w:sz w:val="32"/>
          <w:szCs w:val="32"/>
          <w:lang w:val="en-US" w:eastAsia="zh-CN"/>
        </w:rPr>
        <w:t>1.06</w:t>
      </w:r>
      <w:r>
        <w:rPr>
          <w:rFonts w:ascii="Times New Roman" w:hAnsi="Times New Roman" w:eastAsia="仿宋_GB2312" w:cs="Times New Roman"/>
          <w:color w:val="auto"/>
          <w:sz w:val="32"/>
          <w:szCs w:val="32"/>
        </w:rPr>
        <w:t>万元，增长</w:t>
      </w:r>
      <w:r>
        <w:rPr>
          <w:rFonts w:hint="eastAsia" w:ascii="Times New Roman" w:hAnsi="Times New Roman" w:eastAsia="仿宋_GB2312" w:cs="Times New Roman"/>
          <w:color w:val="auto"/>
          <w:sz w:val="32"/>
          <w:szCs w:val="32"/>
          <w:lang w:val="en-US" w:eastAsia="zh-CN"/>
        </w:rPr>
        <w:t>3.34</w:t>
      </w:r>
      <w:r>
        <w:rPr>
          <w:rFonts w:ascii="Times New Roman" w:hAnsi="Times New Roman" w:eastAsia="仿宋_GB2312" w:cs="Times New Roman"/>
          <w:color w:val="auto"/>
          <w:sz w:val="32"/>
          <w:szCs w:val="32"/>
        </w:rPr>
        <w:t>%。决算数小于预算数的主要原因是</w:t>
      </w:r>
      <w:r>
        <w:rPr>
          <w:rFonts w:hint="eastAsia" w:ascii="Times New Roman" w:hAnsi="Times New Roman" w:eastAsia="仿宋_GB2312"/>
          <w:color w:val="auto"/>
          <w:sz w:val="32"/>
          <w:szCs w:val="32"/>
          <w:highlight w:val="none"/>
        </w:rPr>
        <w:t>是厉行节约</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严格</w:t>
      </w:r>
      <w:r>
        <w:rPr>
          <w:rFonts w:hint="eastAsia" w:ascii="Times New Roman" w:hAnsi="Times New Roman" w:eastAsia="仿宋_GB2312"/>
          <w:color w:val="auto"/>
          <w:sz w:val="32"/>
          <w:szCs w:val="32"/>
          <w:highlight w:val="none"/>
        </w:rPr>
        <w:t>控制“三公经费”使用</w:t>
      </w:r>
      <w:r>
        <w:rPr>
          <w:rFonts w:ascii="Times New Roman" w:hAnsi="Times New Roman" w:eastAsia="仿宋_GB2312" w:cs="Times New Roman"/>
          <w:color w:val="auto"/>
          <w:sz w:val="32"/>
          <w:szCs w:val="32"/>
        </w:rPr>
        <w:t>。决算数大于上年数的主要原因是</w:t>
      </w:r>
      <w:r>
        <w:rPr>
          <w:rFonts w:hint="eastAsia" w:ascii="Times New Roman" w:hAnsi="Times New Roman" w:eastAsia="仿宋_GB2312"/>
          <w:color w:val="auto"/>
          <w:sz w:val="32"/>
          <w:szCs w:val="32"/>
          <w:highlight w:val="none"/>
          <w:lang w:val="en-US" w:eastAsia="zh-CN"/>
        </w:rPr>
        <w:t>因公务出行任务增加，公</w:t>
      </w:r>
      <w:r>
        <w:rPr>
          <w:rFonts w:hint="eastAsia" w:ascii="Times New Roman" w:hAnsi="Times New Roman" w:eastAsia="仿宋_GB2312"/>
          <w:color w:val="auto"/>
          <w:sz w:val="32"/>
          <w:szCs w:val="32"/>
          <w:highlight w:val="none"/>
        </w:rPr>
        <w:t>务用车运行维护费</w:t>
      </w:r>
      <w:r>
        <w:rPr>
          <w:rFonts w:hint="eastAsia" w:ascii="Times New Roman" w:hAnsi="Times New Roman" w:eastAsia="仿宋_GB2312"/>
          <w:color w:val="auto"/>
          <w:sz w:val="32"/>
          <w:szCs w:val="32"/>
          <w:highlight w:val="none"/>
          <w:lang w:val="en-US" w:eastAsia="zh-CN"/>
        </w:rPr>
        <w:t>费用较上年略有增加</w:t>
      </w:r>
      <w:r>
        <w:rPr>
          <w:rFonts w:ascii="Times New Roman" w:hAnsi="Times New Roman" w:eastAsia="仿宋_GB2312" w:cs="Times New Roman"/>
          <w:color w:val="auto"/>
          <w:sz w:val="32"/>
          <w:szCs w:val="32"/>
        </w:rPr>
        <w:t>。截止2024年12月31日，我单位开支财政拨款的公务用车保有量为</w:t>
      </w:r>
      <w:r>
        <w:rPr>
          <w:rFonts w:hint="eastAsia" w:ascii="Times New Roman" w:hAnsi="Times New Roman" w:eastAsia="仿宋_GB2312" w:cs="Times New Roman"/>
          <w:color w:val="auto"/>
          <w:sz w:val="32"/>
          <w:szCs w:val="32"/>
          <w:lang w:val="en-US" w:eastAsia="zh-CN"/>
        </w:rPr>
        <w:t>9</w:t>
      </w:r>
      <w:r>
        <w:rPr>
          <w:rFonts w:ascii="Times New Roman" w:hAnsi="Times New Roman" w:eastAsia="仿宋_GB2312" w:cs="Times New Roman"/>
          <w:color w:val="auto"/>
          <w:sz w:val="32"/>
          <w:szCs w:val="32"/>
        </w:rPr>
        <w:t>辆。</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3.公务接待费支出预算为</w:t>
      </w:r>
      <w:r>
        <w:rPr>
          <w:rFonts w:hint="eastAsia" w:ascii="Times New Roman" w:hAnsi="Times New Roman" w:eastAsia="仿宋_GB2312" w:cs="Times New Roman"/>
          <w:color w:val="auto"/>
          <w:sz w:val="32"/>
          <w:szCs w:val="32"/>
          <w:lang w:val="en-US" w:eastAsia="zh-CN"/>
        </w:rPr>
        <w:t>10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1.06</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10.60</w:t>
      </w:r>
      <w:r>
        <w:rPr>
          <w:rFonts w:ascii="Times New Roman" w:hAnsi="Times New Roman" w:eastAsia="仿宋_GB2312" w:cs="Times New Roman"/>
          <w:color w:val="auto"/>
          <w:sz w:val="32"/>
          <w:szCs w:val="32"/>
        </w:rPr>
        <w:t>%；与上年相比减少</w:t>
      </w:r>
      <w:r>
        <w:rPr>
          <w:rFonts w:hint="eastAsia" w:ascii="Times New Roman" w:hAnsi="Times New Roman" w:eastAsia="仿宋_GB2312" w:cs="Times New Roman"/>
          <w:color w:val="auto"/>
          <w:sz w:val="32"/>
          <w:szCs w:val="32"/>
          <w:lang w:val="en-US" w:eastAsia="zh-CN"/>
        </w:rPr>
        <w:t>0.84</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44.21</w:t>
      </w:r>
      <w:r>
        <w:rPr>
          <w:rFonts w:ascii="Times New Roman" w:hAnsi="Times New Roman" w:eastAsia="仿宋_GB2312" w:cs="Times New Roman"/>
          <w:color w:val="auto"/>
          <w:sz w:val="32"/>
          <w:szCs w:val="32"/>
        </w:rPr>
        <w:t>%。决算数小于预算数的主要原因是</w:t>
      </w:r>
      <w:r>
        <w:rPr>
          <w:rFonts w:hint="eastAsia" w:ascii="Times New Roman" w:hAnsi="Times New Roman" w:eastAsia="仿宋_GB2312"/>
          <w:color w:val="auto"/>
          <w:sz w:val="32"/>
          <w:szCs w:val="32"/>
          <w:highlight w:val="none"/>
        </w:rPr>
        <w:t>厉行节约</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严格控制“三公经费”使用</w:t>
      </w:r>
      <w:r>
        <w:rPr>
          <w:rFonts w:ascii="Times New Roman" w:hAnsi="Times New Roman" w:eastAsia="仿宋_GB2312" w:cs="Times New Roman"/>
          <w:color w:val="auto"/>
          <w:sz w:val="32"/>
          <w:szCs w:val="32"/>
        </w:rPr>
        <w:t>。决算数小于上年数的主要原因是</w:t>
      </w:r>
      <w:r>
        <w:rPr>
          <w:rFonts w:hint="eastAsia" w:ascii="Times New Roman" w:hAnsi="Times New Roman" w:eastAsia="仿宋_GB2312"/>
          <w:color w:val="auto"/>
          <w:sz w:val="32"/>
          <w:szCs w:val="32"/>
          <w:highlight w:val="none"/>
        </w:rPr>
        <w:t>厉行节约</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接待团组及人次均较上年减少</w:t>
      </w:r>
      <w:r>
        <w:rPr>
          <w:rFonts w:ascii="Times New Roman" w:hAnsi="Times New Roman" w:eastAsia="仿宋_GB2312" w:cs="Times New Roman"/>
          <w:color w:val="auto"/>
          <w:sz w:val="32"/>
          <w:szCs w:val="32"/>
        </w:rPr>
        <w:t>。2024年度共接待来访团组</w:t>
      </w:r>
      <w:r>
        <w:rPr>
          <w:rFonts w:hint="eastAsia" w:ascii="Times New Roman" w:hAnsi="Times New Roman" w:eastAsia="仿宋_GB2312" w:cs="Times New Roman"/>
          <w:color w:val="auto"/>
          <w:sz w:val="32"/>
          <w:szCs w:val="32"/>
          <w:lang w:val="en-US" w:eastAsia="zh-CN"/>
        </w:rPr>
        <w:t>14</w:t>
      </w:r>
      <w:r>
        <w:rPr>
          <w:rFonts w:ascii="Times New Roman" w:hAnsi="Times New Roman" w:eastAsia="仿宋_GB2312" w:cs="Times New Roman"/>
          <w:color w:val="auto"/>
          <w:sz w:val="32"/>
          <w:szCs w:val="32"/>
        </w:rPr>
        <w:t>个、来宾</w:t>
      </w:r>
      <w:r>
        <w:rPr>
          <w:rFonts w:hint="eastAsia" w:ascii="Times New Roman" w:hAnsi="Times New Roman" w:eastAsia="仿宋_GB2312" w:cs="Times New Roman"/>
          <w:color w:val="auto"/>
          <w:sz w:val="32"/>
          <w:szCs w:val="32"/>
          <w:lang w:val="en-US" w:eastAsia="zh-CN"/>
        </w:rPr>
        <w:t>60</w:t>
      </w:r>
      <w:r>
        <w:rPr>
          <w:rFonts w:ascii="Times New Roman" w:hAnsi="Times New Roman" w:eastAsia="仿宋_GB2312" w:cs="Times New Roman"/>
          <w:color w:val="auto"/>
          <w:sz w:val="32"/>
          <w:szCs w:val="32"/>
        </w:rPr>
        <w:t>人次，主要是</w:t>
      </w:r>
      <w:r>
        <w:rPr>
          <w:rFonts w:hint="eastAsia" w:ascii="Times New Roman" w:hAnsi="Times New Roman" w:eastAsia="仿宋_GB2312"/>
          <w:color w:val="auto"/>
          <w:sz w:val="32"/>
          <w:szCs w:val="32"/>
          <w:highlight w:val="none"/>
          <w:lang w:val="en-US" w:eastAsia="zh-CN"/>
        </w:rPr>
        <w:t>外省农业农村厅调研、</w:t>
      </w:r>
      <w:r>
        <w:rPr>
          <w:rFonts w:hint="eastAsia" w:ascii="Times New Roman" w:hAnsi="Times New Roman" w:eastAsia="仿宋_GB2312"/>
          <w:color w:val="auto"/>
          <w:sz w:val="32"/>
          <w:szCs w:val="32"/>
          <w:highlight w:val="none"/>
        </w:rPr>
        <w:t>市州、县市区农业部门等单位联系</w:t>
      </w:r>
      <w:r>
        <w:rPr>
          <w:rFonts w:hint="eastAsia" w:ascii="Times New Roman" w:hAnsi="Times New Roman" w:eastAsia="仿宋_GB2312"/>
          <w:color w:val="auto"/>
          <w:sz w:val="32"/>
          <w:szCs w:val="32"/>
          <w:highlight w:val="none"/>
          <w:lang w:val="en-US" w:eastAsia="zh-CN"/>
        </w:rPr>
        <w:t>汇报</w:t>
      </w:r>
      <w:r>
        <w:rPr>
          <w:rFonts w:hint="eastAsia" w:ascii="Times New Roman" w:hAnsi="Times New Roman" w:eastAsia="仿宋_GB2312"/>
          <w:color w:val="auto"/>
          <w:sz w:val="32"/>
          <w:szCs w:val="32"/>
          <w:highlight w:val="none"/>
        </w:rPr>
        <w:t>工作发生的接待支出</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八、政府性基金预算收入支出决算情况</w:t>
      </w:r>
    </w:p>
    <w:p>
      <w:pPr>
        <w:pStyle w:val="16"/>
        <w:overflowPunct w:val="0"/>
        <w:autoSpaceDE/>
        <w:autoSpaceDN/>
        <w:spacing w:line="600" w:lineRule="exact"/>
        <w:ind w:firstLine="640" w:firstLineChars="200"/>
        <w:jc w:val="both"/>
        <w:rPr>
          <w:rFonts w:ascii="Times New Roman" w:hAnsi="Times New Roman" w:eastAsia="仿宋_GB2312" w:cs="Times New Roman"/>
          <w:b w:val="0"/>
          <w:bCs w:val="0"/>
          <w:i w:val="0"/>
          <w:iCs/>
          <w:color w:val="auto"/>
          <w:sz w:val="32"/>
          <w:szCs w:val="32"/>
        </w:rPr>
      </w:pPr>
      <w:r>
        <w:rPr>
          <w:rFonts w:ascii="Times New Roman" w:hAnsi="Times New Roman" w:eastAsia="楷体_GB2312" w:cs="Times New Roman"/>
          <w:b w:val="0"/>
          <w:bCs w:val="0"/>
          <w:i w:val="0"/>
          <w:iCs/>
          <w:color w:val="auto"/>
          <w:sz w:val="32"/>
          <w:szCs w:val="32"/>
        </w:rPr>
        <w:t>本单位无政府性基金收支</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九、关于机关运行经费支出说明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highlight w:val="none"/>
        </w:rPr>
      </w:pPr>
      <w:r>
        <w:rPr>
          <w:rFonts w:ascii="Times New Roman" w:hAnsi="Times New Roman" w:eastAsia="仿宋_GB2312" w:cs="Times New Roman"/>
          <w:color w:val="auto"/>
          <w:sz w:val="32"/>
          <w:szCs w:val="32"/>
        </w:rPr>
        <w:t>本部门2024年度机关运行经费支出</w:t>
      </w:r>
      <w:r>
        <w:rPr>
          <w:rFonts w:hint="eastAsia" w:ascii="Times New Roman" w:hAnsi="Times New Roman" w:eastAsia="仿宋_GB2312" w:cs="Times New Roman"/>
          <w:color w:val="auto"/>
          <w:sz w:val="32"/>
          <w:szCs w:val="32"/>
          <w:lang w:val="en-US" w:eastAsia="zh-CN"/>
        </w:rPr>
        <w:t>592.40</w:t>
      </w:r>
      <w:r>
        <w:rPr>
          <w:rFonts w:ascii="Times New Roman" w:hAnsi="Times New Roman" w:eastAsia="仿宋_GB2312" w:cs="Times New Roman"/>
          <w:color w:val="auto"/>
          <w:sz w:val="32"/>
          <w:szCs w:val="32"/>
        </w:rPr>
        <w:t>万元，比年初预算数减少</w:t>
      </w:r>
      <w:r>
        <w:rPr>
          <w:rFonts w:hint="eastAsia" w:ascii="Times New Roman" w:hAnsi="Times New Roman" w:eastAsia="仿宋_GB2312" w:cs="Times New Roman"/>
          <w:color w:val="auto"/>
          <w:sz w:val="32"/>
          <w:szCs w:val="32"/>
          <w:lang w:val="en-US" w:eastAsia="zh-CN"/>
        </w:rPr>
        <w:t>120</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16.84</w:t>
      </w:r>
      <w:r>
        <w:rPr>
          <w:rFonts w:ascii="Times New Roman" w:hAnsi="Times New Roman" w:eastAsia="仿宋_GB2312" w:cs="Times New Roman"/>
          <w:color w:val="auto"/>
          <w:sz w:val="32"/>
          <w:szCs w:val="32"/>
        </w:rPr>
        <w:t>%。主要原因是：</w:t>
      </w:r>
      <w:r>
        <w:rPr>
          <w:rFonts w:hint="eastAsia" w:ascii="Times New Roman" w:hAnsi="Times New Roman" w:eastAsia="仿宋_GB2312"/>
          <w:color w:val="auto"/>
          <w:sz w:val="32"/>
          <w:szCs w:val="32"/>
          <w:highlight w:val="none"/>
        </w:rPr>
        <w:t>厉行节约</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严格</w:t>
      </w:r>
      <w:r>
        <w:rPr>
          <w:rFonts w:hint="eastAsia" w:ascii="Times New Roman" w:hAnsi="Times New Roman" w:eastAsia="仿宋_GB2312"/>
          <w:color w:val="auto"/>
          <w:sz w:val="32"/>
          <w:szCs w:val="32"/>
          <w:highlight w:val="none"/>
        </w:rPr>
        <w:t>压缩</w:t>
      </w:r>
      <w:r>
        <w:rPr>
          <w:rFonts w:hint="eastAsia" w:ascii="Times New Roman" w:hAnsi="Times New Roman" w:eastAsia="仿宋_GB2312"/>
          <w:color w:val="auto"/>
          <w:sz w:val="32"/>
          <w:szCs w:val="32"/>
          <w:highlight w:val="none"/>
          <w:lang w:val="en-US" w:eastAsia="zh-CN"/>
        </w:rPr>
        <w:t>机关运行</w:t>
      </w:r>
      <w:r>
        <w:rPr>
          <w:rFonts w:hint="eastAsia" w:ascii="Times New Roman" w:hAnsi="Times New Roman" w:eastAsia="仿宋_GB2312"/>
          <w:color w:val="auto"/>
          <w:sz w:val="32"/>
          <w:szCs w:val="32"/>
          <w:highlight w:val="none"/>
        </w:rPr>
        <w:t>经费开支。</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十、一般性支出情况说明</w:t>
      </w:r>
    </w:p>
    <w:p>
      <w:pPr>
        <w:ind w:firstLine="640" w:firstLineChars="200"/>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2024年本部门开支会议费</w:t>
      </w:r>
      <w:r>
        <w:rPr>
          <w:rFonts w:hint="eastAsia" w:ascii="Times New Roman" w:hAnsi="Times New Roman" w:eastAsia="仿宋_GB2312" w:cs="Times New Roman"/>
          <w:color w:val="auto"/>
          <w:sz w:val="32"/>
          <w:szCs w:val="32"/>
          <w:lang w:val="en-US" w:eastAsia="zh-CN"/>
        </w:rPr>
        <w:t>1.60</w:t>
      </w:r>
      <w:r>
        <w:rPr>
          <w:rFonts w:ascii="Times New Roman" w:hAnsi="Times New Roman" w:eastAsia="仿宋_GB2312" w:cs="Times New Roman"/>
          <w:color w:val="auto"/>
          <w:sz w:val="32"/>
          <w:szCs w:val="32"/>
        </w:rPr>
        <w:t>万元，用于召开</w:t>
      </w:r>
      <w:r>
        <w:rPr>
          <w:rFonts w:hint="eastAsia" w:ascii="Times New Roman" w:hAnsi="Times New Roman" w:eastAsia="仿宋_GB2312" w:cs="Times New Roman"/>
          <w:color w:val="auto"/>
          <w:sz w:val="32"/>
          <w:szCs w:val="32"/>
          <w:lang w:val="en-US" w:eastAsia="zh-CN"/>
        </w:rPr>
        <w:t>下列</w:t>
      </w:r>
      <w:r>
        <w:rPr>
          <w:rFonts w:ascii="Times New Roman" w:hAnsi="Times New Roman" w:eastAsia="仿宋_GB2312" w:cs="Times New Roman"/>
          <w:color w:val="auto"/>
          <w:sz w:val="32"/>
          <w:szCs w:val="32"/>
        </w:rPr>
        <w:t>会议</w:t>
      </w:r>
      <w:r>
        <w:rPr>
          <w:rFonts w:hint="eastAsia" w:ascii="Times New Roman" w:hAnsi="Times New Roman" w:eastAsia="仿宋_GB2312" w:cs="Times New Roman"/>
          <w:color w:val="auto"/>
          <w:sz w:val="32"/>
          <w:szCs w:val="32"/>
          <w:lang w:eastAsia="zh-CN"/>
        </w:rPr>
        <w:t>：</w:t>
      </w:r>
    </w:p>
    <w:p>
      <w:pPr>
        <w:numPr>
          <w:ilvl w:val="0"/>
          <w:numId w:val="0"/>
        </w:numPr>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rPr>
        <w:t>全省农业血防工作座谈会</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0.83万元，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27人，</w:t>
      </w:r>
      <w:r>
        <w:rPr>
          <w:rFonts w:ascii="Times New Roman" w:hAnsi="Times New Roman" w:eastAsia="仿宋_GB2312" w:cs="Times New Roman"/>
          <w:color w:val="auto"/>
          <w:sz w:val="32"/>
          <w:szCs w:val="32"/>
        </w:rPr>
        <w:t>内容为</w:t>
      </w:r>
      <w:r>
        <w:rPr>
          <w:rFonts w:hint="eastAsia" w:ascii="Times New Roman" w:hAnsi="Times New Roman" w:eastAsia="仿宋_GB2312" w:cs="Times New Roman"/>
          <w:color w:val="auto"/>
          <w:sz w:val="32"/>
          <w:szCs w:val="32"/>
        </w:rPr>
        <w:t>通报家畜血防工作调研情况、</w:t>
      </w:r>
      <w:r>
        <w:rPr>
          <w:rFonts w:hint="eastAsia" w:ascii="Times New Roman" w:hAnsi="Times New Roman" w:eastAsia="仿宋_GB2312" w:cs="Times New Roman"/>
          <w:color w:val="auto"/>
          <w:sz w:val="32"/>
          <w:szCs w:val="32"/>
          <w:lang w:val="en-US" w:eastAsia="zh-CN"/>
        </w:rPr>
        <w:t>交流</w:t>
      </w:r>
      <w:r>
        <w:rPr>
          <w:rFonts w:hint="eastAsia" w:ascii="Times New Roman" w:hAnsi="Times New Roman" w:eastAsia="仿宋_GB2312" w:cs="Times New Roman"/>
          <w:color w:val="auto"/>
          <w:sz w:val="32"/>
          <w:szCs w:val="32"/>
        </w:rPr>
        <w:t>发言等</w:t>
      </w:r>
      <w:r>
        <w:rPr>
          <w:rFonts w:hint="eastAsia" w:ascii="Times New Roman" w:hAnsi="Times New Roman" w:eastAsia="仿宋_GB2312" w:cs="Times New Roman"/>
          <w:color w:val="auto"/>
          <w:sz w:val="32"/>
          <w:szCs w:val="32"/>
          <w:lang w:eastAsia="zh-CN"/>
        </w:rPr>
        <w:t>。</w:t>
      </w:r>
    </w:p>
    <w:p>
      <w:pPr>
        <w:numPr>
          <w:ilvl w:val="0"/>
          <w:numId w:val="0"/>
        </w:numPr>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rPr>
        <w:t>病死畜禽无害化处理监督工作座谈会</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0.16万元，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29人，</w:t>
      </w:r>
      <w:r>
        <w:rPr>
          <w:rFonts w:ascii="Times New Roman" w:hAnsi="Times New Roman" w:eastAsia="仿宋_GB2312" w:cs="Times New Roman"/>
          <w:color w:val="auto"/>
          <w:sz w:val="32"/>
          <w:szCs w:val="32"/>
        </w:rPr>
        <w:t>内容为</w:t>
      </w:r>
      <w:r>
        <w:rPr>
          <w:rFonts w:hint="eastAsia" w:ascii="Times New Roman" w:hAnsi="Times New Roman" w:eastAsia="仿宋_GB2312" w:cs="Times New Roman"/>
          <w:color w:val="auto"/>
          <w:sz w:val="32"/>
          <w:szCs w:val="32"/>
        </w:rPr>
        <w:t>规范补助资金管理等</w:t>
      </w:r>
      <w:r>
        <w:rPr>
          <w:rFonts w:hint="eastAsia" w:ascii="Times New Roman" w:hAnsi="Times New Roman" w:eastAsia="仿宋_GB2312" w:cs="Times New Roman"/>
          <w:color w:val="auto"/>
          <w:sz w:val="32"/>
          <w:szCs w:val="32"/>
          <w:lang w:eastAsia="zh-CN"/>
        </w:rPr>
        <w:t>。</w:t>
      </w:r>
    </w:p>
    <w:p>
      <w:pPr>
        <w:numPr>
          <w:ilvl w:val="0"/>
          <w:numId w:val="0"/>
        </w:numPr>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rPr>
        <w:t>疫苗管理工作座谈会</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0.31万元，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23人，</w:t>
      </w:r>
      <w:r>
        <w:rPr>
          <w:rFonts w:ascii="Times New Roman" w:hAnsi="Times New Roman" w:eastAsia="仿宋_GB2312" w:cs="Times New Roman"/>
          <w:color w:val="auto"/>
          <w:sz w:val="32"/>
          <w:szCs w:val="32"/>
        </w:rPr>
        <w:t>内容为</w:t>
      </w:r>
      <w:r>
        <w:rPr>
          <w:rFonts w:hint="eastAsia" w:ascii="Times New Roman" w:hAnsi="Times New Roman" w:eastAsia="仿宋_GB2312" w:cs="Times New Roman"/>
          <w:color w:val="auto"/>
          <w:sz w:val="32"/>
          <w:szCs w:val="32"/>
        </w:rPr>
        <w:t>研讨修订湖南省先打后补实施方案</w:t>
      </w:r>
      <w:r>
        <w:rPr>
          <w:rFonts w:hint="eastAsia" w:ascii="Times New Roman" w:hAnsi="Times New Roman" w:eastAsia="仿宋_GB2312" w:cs="Times New Roman"/>
          <w:color w:val="auto"/>
          <w:sz w:val="32"/>
          <w:szCs w:val="32"/>
          <w:lang w:eastAsia="zh-CN"/>
        </w:rPr>
        <w:t>。</w:t>
      </w:r>
    </w:p>
    <w:p>
      <w:pPr>
        <w:numPr>
          <w:ilvl w:val="0"/>
          <w:numId w:val="0"/>
        </w:numPr>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rPr>
        <w:t>省畜牧水产监管信息平台功能需求对接会</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0.3万元，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31人，</w:t>
      </w:r>
      <w:r>
        <w:rPr>
          <w:rFonts w:ascii="Times New Roman" w:hAnsi="Times New Roman" w:eastAsia="仿宋_GB2312" w:cs="Times New Roman"/>
          <w:color w:val="auto"/>
          <w:sz w:val="32"/>
          <w:szCs w:val="32"/>
        </w:rPr>
        <w:t>内容为</w:t>
      </w:r>
      <w:r>
        <w:rPr>
          <w:rFonts w:hint="eastAsia" w:ascii="Times New Roman" w:hAnsi="Times New Roman" w:eastAsia="仿宋_GB2312" w:cs="Times New Roman"/>
          <w:color w:val="auto"/>
          <w:sz w:val="32"/>
          <w:szCs w:val="32"/>
          <w:lang w:val="en-US" w:eastAsia="zh-CN"/>
        </w:rPr>
        <w:t>修改</w:t>
      </w:r>
      <w:r>
        <w:rPr>
          <w:rFonts w:hint="eastAsia" w:ascii="Times New Roman" w:hAnsi="Times New Roman" w:eastAsia="仿宋_GB2312" w:cs="Times New Roman"/>
          <w:color w:val="auto"/>
          <w:sz w:val="32"/>
          <w:szCs w:val="32"/>
        </w:rPr>
        <w:t>完善信息平台功能</w:t>
      </w:r>
      <w:r>
        <w:rPr>
          <w:rFonts w:hint="eastAsia" w:ascii="Times New Roman" w:hAnsi="Times New Roman" w:eastAsia="仿宋_GB2312" w:cs="Times New Roman"/>
          <w:color w:val="auto"/>
          <w:sz w:val="32"/>
          <w:szCs w:val="32"/>
          <w:lang w:eastAsia="zh-CN"/>
        </w:rPr>
        <w:t>。</w:t>
      </w:r>
    </w:p>
    <w:p>
      <w:pPr>
        <w:ind w:firstLine="640" w:firstLineChars="200"/>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开支培训费</w:t>
      </w:r>
      <w:r>
        <w:rPr>
          <w:rFonts w:hint="eastAsia" w:ascii="Times New Roman" w:hAnsi="Times New Roman" w:eastAsia="仿宋_GB2312" w:cs="Times New Roman"/>
          <w:color w:val="auto"/>
          <w:sz w:val="32"/>
          <w:szCs w:val="32"/>
          <w:lang w:val="en-US" w:eastAsia="zh-CN"/>
        </w:rPr>
        <w:t>17.99</w:t>
      </w:r>
      <w:r>
        <w:rPr>
          <w:rFonts w:ascii="Times New Roman" w:hAnsi="Times New Roman" w:eastAsia="仿宋_GB2312" w:cs="Times New Roman"/>
          <w:color w:val="auto"/>
          <w:sz w:val="32"/>
          <w:szCs w:val="32"/>
        </w:rPr>
        <w:t>万元，用于开展</w:t>
      </w:r>
      <w:r>
        <w:rPr>
          <w:rFonts w:hint="eastAsia" w:ascii="Times New Roman" w:hAnsi="Times New Roman" w:eastAsia="仿宋_GB2312" w:cs="Times New Roman"/>
          <w:color w:val="auto"/>
          <w:sz w:val="32"/>
          <w:szCs w:val="32"/>
          <w:lang w:val="en-US" w:eastAsia="zh-CN"/>
        </w:rPr>
        <w:t>下列</w:t>
      </w:r>
      <w:r>
        <w:rPr>
          <w:rFonts w:ascii="Times New Roman" w:hAnsi="Times New Roman" w:eastAsia="仿宋_GB2312" w:cs="Times New Roman"/>
          <w:color w:val="auto"/>
          <w:sz w:val="32"/>
          <w:szCs w:val="32"/>
        </w:rPr>
        <w:t>培训</w:t>
      </w:r>
      <w:r>
        <w:rPr>
          <w:rFonts w:hint="eastAsia" w:ascii="Times New Roman" w:hAnsi="Times New Roman" w:eastAsia="仿宋_GB2312" w:cs="Times New Roman"/>
          <w:color w:val="auto"/>
          <w:sz w:val="32"/>
          <w:szCs w:val="32"/>
          <w:lang w:eastAsia="zh-CN"/>
        </w:rPr>
        <w:t>：</w:t>
      </w:r>
    </w:p>
    <w:p>
      <w:pPr>
        <w:numPr>
          <w:ilvl w:val="0"/>
          <w:numId w:val="0"/>
        </w:numPr>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1、参加水产总站无疫场培训班</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0.6万元，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人，内容为</w:t>
      </w:r>
      <w:r>
        <w:rPr>
          <w:rFonts w:hint="eastAsia" w:ascii="Times New Roman" w:hAnsi="Times New Roman" w:eastAsia="仿宋_GB2312" w:cs="Times New Roman"/>
          <w:color w:val="auto"/>
          <w:sz w:val="32"/>
          <w:szCs w:val="32"/>
        </w:rPr>
        <w:t>评估管理办法解读、技术讲座、经验交流</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现场教学等</w:t>
      </w:r>
      <w:r>
        <w:rPr>
          <w:rFonts w:hint="eastAsia" w:ascii="Times New Roman" w:hAnsi="Times New Roman" w:eastAsia="仿宋_GB2312" w:cs="Times New Roman"/>
          <w:color w:val="auto"/>
          <w:sz w:val="32"/>
          <w:szCs w:val="32"/>
          <w:lang w:eastAsia="zh-CN"/>
        </w:rPr>
        <w:t>。</w:t>
      </w:r>
    </w:p>
    <w:p>
      <w:pPr>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val="en-US" w:eastAsia="zh-CN"/>
        </w:rPr>
        <w:t>2、参加职业技能大赛裁判员培训</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0.2万元，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人，内容为</w:t>
      </w:r>
      <w:r>
        <w:rPr>
          <w:rFonts w:hint="eastAsia" w:ascii="Times New Roman" w:hAnsi="Times New Roman" w:eastAsia="仿宋_GB2312" w:cs="Times New Roman"/>
          <w:color w:val="auto"/>
          <w:sz w:val="32"/>
          <w:szCs w:val="32"/>
        </w:rPr>
        <w:t>解读大赛制度规程及裁判守则，讲解试题评判要点</w:t>
      </w:r>
      <w:r>
        <w:rPr>
          <w:rFonts w:hint="eastAsia" w:ascii="Times New Roman" w:hAnsi="Times New Roman" w:eastAsia="仿宋_GB2312" w:cs="Times New Roman"/>
          <w:color w:val="auto"/>
          <w:sz w:val="32"/>
          <w:szCs w:val="32"/>
          <w:lang w:eastAsia="zh-CN"/>
        </w:rPr>
        <w:t>。</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3、2024年全省兽医社会化服务体系建设培训班</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1.26万元，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84</w:t>
      </w:r>
      <w:r>
        <w:rPr>
          <w:rFonts w:ascii="Times New Roman" w:hAnsi="Times New Roman" w:eastAsia="仿宋_GB2312" w:cs="Times New Roman"/>
          <w:color w:val="auto"/>
          <w:sz w:val="32"/>
          <w:szCs w:val="32"/>
        </w:rPr>
        <w:t>人，内容为</w:t>
      </w:r>
      <w:r>
        <w:rPr>
          <w:rFonts w:hint="eastAsia" w:ascii="Times New Roman" w:hAnsi="Times New Roman" w:eastAsia="仿宋_GB2312" w:cs="Times New Roman"/>
          <w:color w:val="auto"/>
          <w:sz w:val="32"/>
          <w:szCs w:val="32"/>
        </w:rPr>
        <w:t>部署兽医社会化服务工作</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交流</w:t>
      </w:r>
      <w:r>
        <w:rPr>
          <w:rFonts w:hint="eastAsia" w:ascii="Times New Roman" w:hAnsi="Times New Roman" w:eastAsia="仿宋_GB2312" w:cs="Times New Roman"/>
          <w:color w:val="auto"/>
          <w:sz w:val="32"/>
          <w:szCs w:val="32"/>
        </w:rPr>
        <w:t>主要做法和典型经验、现场观摩</w:t>
      </w:r>
      <w:r>
        <w:rPr>
          <w:rFonts w:hint="eastAsia" w:ascii="Times New Roman" w:hAnsi="Times New Roman" w:eastAsia="仿宋_GB2312" w:cs="Times New Roman"/>
          <w:color w:val="auto"/>
          <w:sz w:val="32"/>
          <w:szCs w:val="32"/>
          <w:lang w:val="en-US" w:eastAsia="zh-CN"/>
        </w:rPr>
        <w:t>等</w:t>
      </w:r>
      <w:r>
        <w:rPr>
          <w:rFonts w:hint="eastAsia" w:ascii="Times New Roman" w:hAnsi="Times New Roman" w:eastAsia="仿宋_GB2312" w:cs="Times New Roman"/>
          <w:color w:val="auto"/>
          <w:sz w:val="32"/>
          <w:szCs w:val="32"/>
          <w:lang w:eastAsia="zh-CN"/>
        </w:rPr>
        <w:t>。</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4、全省水生动物疫病防控暨用药减量技术培训班</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8.59万元，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153</w:t>
      </w:r>
      <w:r>
        <w:rPr>
          <w:rFonts w:ascii="Times New Roman" w:hAnsi="Times New Roman" w:eastAsia="仿宋_GB2312" w:cs="Times New Roman"/>
          <w:color w:val="auto"/>
          <w:sz w:val="32"/>
          <w:szCs w:val="32"/>
        </w:rPr>
        <w:t>人，内容为</w:t>
      </w:r>
      <w:r>
        <w:rPr>
          <w:rFonts w:hint="eastAsia" w:ascii="Times New Roman" w:hAnsi="Times New Roman" w:eastAsia="仿宋_GB2312" w:cs="Times New Roman"/>
          <w:color w:val="auto"/>
          <w:sz w:val="32"/>
          <w:szCs w:val="32"/>
        </w:rPr>
        <w:t>文件解读</w:t>
      </w:r>
      <w:r>
        <w:rPr>
          <w:rFonts w:hint="eastAsia" w:ascii="Times New Roman" w:hAnsi="Times New Roman" w:eastAsia="仿宋_GB2312" w:cs="Times New Roman"/>
          <w:color w:val="auto"/>
          <w:sz w:val="32"/>
          <w:szCs w:val="32"/>
          <w:lang w:val="en-US" w:eastAsia="zh-CN"/>
        </w:rPr>
        <w:t>及</w:t>
      </w:r>
      <w:r>
        <w:rPr>
          <w:rFonts w:hint="eastAsia" w:ascii="Times New Roman" w:hAnsi="Times New Roman" w:eastAsia="仿宋_GB2312" w:cs="Times New Roman"/>
          <w:color w:val="auto"/>
          <w:sz w:val="32"/>
          <w:szCs w:val="32"/>
        </w:rPr>
        <w:t>疾病防治</w:t>
      </w:r>
      <w:r>
        <w:rPr>
          <w:rFonts w:hint="eastAsia" w:ascii="Times New Roman" w:hAnsi="Times New Roman" w:eastAsia="仿宋_GB2312" w:cs="Times New Roman"/>
          <w:color w:val="auto"/>
          <w:sz w:val="32"/>
          <w:szCs w:val="32"/>
          <w:lang w:val="en-US" w:eastAsia="zh-CN"/>
        </w:rPr>
        <w:t>相关经验</w:t>
      </w:r>
      <w:r>
        <w:rPr>
          <w:rFonts w:hint="eastAsia" w:ascii="Times New Roman" w:hAnsi="Times New Roman" w:eastAsia="仿宋_GB2312" w:cs="Times New Roman"/>
          <w:color w:val="auto"/>
          <w:sz w:val="32"/>
          <w:szCs w:val="32"/>
        </w:rPr>
        <w:t>等</w:t>
      </w:r>
      <w:r>
        <w:rPr>
          <w:rFonts w:hint="eastAsia" w:ascii="Times New Roman" w:hAnsi="Times New Roman" w:eastAsia="仿宋_GB2312" w:cs="Times New Roman"/>
          <w:color w:val="auto"/>
          <w:sz w:val="32"/>
          <w:szCs w:val="32"/>
          <w:lang w:eastAsia="zh-CN"/>
        </w:rPr>
        <w:t>。</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5、全省水产养殖重点品种监测暨水产养殖尾水处理技术推广培训班</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7.34万元，</w:t>
      </w:r>
      <w:r>
        <w:rPr>
          <w:rFonts w:ascii="Times New Roman" w:hAnsi="Times New Roman" w:eastAsia="仿宋_GB2312" w:cs="Times New Roman"/>
          <w:color w:val="auto"/>
          <w:sz w:val="32"/>
          <w:szCs w:val="32"/>
        </w:rPr>
        <w:t>人数</w:t>
      </w:r>
      <w:r>
        <w:rPr>
          <w:rFonts w:hint="eastAsia" w:ascii="Times New Roman" w:hAnsi="Times New Roman" w:eastAsia="仿宋_GB2312" w:cs="Times New Roman"/>
          <w:color w:val="auto"/>
          <w:sz w:val="32"/>
          <w:szCs w:val="32"/>
          <w:lang w:val="en-US" w:eastAsia="zh-CN"/>
        </w:rPr>
        <w:t>160</w:t>
      </w:r>
      <w:r>
        <w:rPr>
          <w:rFonts w:ascii="Times New Roman" w:hAnsi="Times New Roman" w:eastAsia="仿宋_GB2312" w:cs="Times New Roman"/>
          <w:color w:val="auto"/>
          <w:sz w:val="32"/>
          <w:szCs w:val="32"/>
        </w:rPr>
        <w:t>人，内容为</w:t>
      </w:r>
      <w:r>
        <w:rPr>
          <w:rFonts w:hint="eastAsia" w:ascii="Times New Roman" w:hAnsi="Times New Roman" w:eastAsia="仿宋_GB2312" w:cs="Times New Roman"/>
          <w:color w:val="auto"/>
          <w:sz w:val="32"/>
          <w:szCs w:val="32"/>
        </w:rPr>
        <w:t>重点品种监测工作交流、监测系统填报指导等</w:t>
      </w:r>
      <w:r>
        <w:rPr>
          <w:rFonts w:hint="eastAsia"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w:t>
      </w:r>
      <w:r>
        <w:rPr>
          <w:rFonts w:hint="eastAsia" w:ascii="Times New Roman" w:hAnsi="Times New Roman" w:eastAsia="仿宋_GB2312" w:cs="Times New Roman"/>
          <w:sz w:val="32"/>
          <w:szCs w:val="32"/>
          <w:lang w:val="en-US" w:eastAsia="zh-CN"/>
        </w:rPr>
        <w:t>办</w:t>
      </w:r>
      <w:r>
        <w:rPr>
          <w:rFonts w:ascii="Times New Roman" w:hAnsi="Times New Roman" w:eastAsia="仿宋_GB2312" w:cs="Times New Roman"/>
          <w:sz w:val="32"/>
          <w:szCs w:val="32"/>
        </w:rPr>
        <w:t>节庆、晚会、论坛、赛事活动。</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6581.49</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6491.49</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90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3606.56</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54.90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3516.56</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97.50</w:t>
      </w:r>
      <w:r>
        <w:rPr>
          <w:rFonts w:ascii="Times New Roman" w:hAnsi="Times New Roman" w:eastAsia="仿宋_GB2312" w:cs="Times New Roman"/>
          <w:color w:val="auto"/>
          <w:sz w:val="32"/>
          <w:szCs w:val="32"/>
        </w:rPr>
        <w:t>%。货物采购授予中小企业合同金额占货物支出</w:t>
      </w:r>
      <w:r>
        <w:rPr>
          <w:rFonts w:ascii="Times New Roman" w:hAnsi="Times New Roman" w:eastAsia="仿宋_GB2312" w:cs="Times New Roman"/>
          <w:color w:val="auto"/>
          <w:sz w:val="32"/>
          <w:szCs w:val="32"/>
          <w:highlight w:val="none"/>
        </w:rPr>
        <w:t>金额的</w:t>
      </w:r>
      <w:r>
        <w:rPr>
          <w:rFonts w:hint="eastAsia" w:ascii="Times New Roman" w:hAnsi="Times New Roman" w:eastAsia="仿宋_GB2312" w:cs="Times New Roman"/>
          <w:color w:val="auto"/>
          <w:sz w:val="32"/>
          <w:szCs w:val="32"/>
          <w:highlight w:val="none"/>
          <w:lang w:val="en-US" w:eastAsia="zh-CN"/>
        </w:rPr>
        <w:t>54.17</w:t>
      </w:r>
      <w:r>
        <w:rPr>
          <w:rFonts w:ascii="Times New Roman" w:hAnsi="Times New Roman" w:eastAsia="仿宋_GB2312" w:cs="Times New Roman"/>
          <w:color w:val="auto"/>
          <w:sz w:val="32"/>
          <w:szCs w:val="32"/>
          <w:highlight w:val="none"/>
        </w:rPr>
        <w:t>%，服务采购授予中小企业合同金额占服务支出金额的</w:t>
      </w:r>
      <w:r>
        <w:rPr>
          <w:rFonts w:hint="eastAsia" w:ascii="Times New Roman" w:hAnsi="Times New Roman" w:eastAsia="仿宋_GB2312" w:cs="Times New Roman"/>
          <w:color w:val="auto"/>
          <w:sz w:val="32"/>
          <w:szCs w:val="32"/>
          <w:highlight w:val="none"/>
          <w:lang w:val="en-US" w:eastAsia="zh-CN"/>
        </w:rPr>
        <w:t>100%</w:t>
      </w:r>
      <w:r>
        <w:rPr>
          <w:rFonts w:ascii="Times New Roman" w:hAnsi="Times New Roman" w:eastAsia="仿宋_GB2312" w:cs="Times New Roman"/>
          <w:color w:val="auto"/>
          <w:sz w:val="32"/>
          <w:szCs w:val="32"/>
          <w:highlight w:val="none"/>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十二、关于国有资产占用情况说明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9</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w:t>
      </w:r>
      <w:r>
        <w:rPr>
          <w:rFonts w:hint="eastAsia" w:ascii="Times New Roman" w:hAnsi="Times New Roman" w:eastAsia="仿宋_GB2312" w:cs="Times New Roman"/>
          <w:color w:val="auto"/>
          <w:sz w:val="32"/>
          <w:szCs w:val="32"/>
          <w:lang w:val="en-US" w:eastAsia="zh-CN"/>
        </w:rPr>
        <w:t>4</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台（套）。</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组织对2024年度单位</w:t>
      </w:r>
      <w:r>
        <w:rPr>
          <w:rFonts w:hint="eastAsia" w:ascii="Times New Roman" w:hAnsi="Times New Roman" w:eastAsia="仿宋_GB2312" w:cs="Times New Roman"/>
          <w:kern w:val="0"/>
          <w:sz w:val="32"/>
          <w:szCs w:val="32"/>
          <w:lang w:val="en-US" w:eastAsia="zh-CN"/>
        </w:rPr>
        <w:t>整</w:t>
      </w:r>
      <w:r>
        <w:rPr>
          <w:rFonts w:ascii="Times New Roman" w:hAnsi="Times New Roman" w:eastAsia="仿宋_GB2312" w:cs="Times New Roman"/>
          <w:kern w:val="0"/>
          <w:sz w:val="32"/>
          <w:szCs w:val="32"/>
        </w:rPr>
        <w:t>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7459.16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7459.16</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68.54</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pStyle w:val="16"/>
        <w:ind w:firstLine="640" w:firstLineChars="200"/>
        <w:jc w:val="both"/>
        <w:rPr>
          <w:rFonts w:eastAsia="黑体"/>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11341.59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10883.61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95.96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99.60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Times New Roman" w:hAnsi="Times New Roman"/>
          <w:b w:val="0"/>
          <w:bCs w:val="0"/>
          <w:color w:val="000000"/>
          <w:sz w:val="32"/>
          <w:szCs w:val="32"/>
          <w:highlight w:val="none"/>
          <w:lang w:val="en-US" w:eastAsia="zh-CN"/>
        </w:rPr>
        <w:t>一是</w:t>
      </w:r>
      <w:r>
        <w:rPr>
          <w:rFonts w:hint="eastAsia" w:ascii="Times New Roman" w:hAnsi="Times New Roman" w:eastAsia="仿宋_GB2312"/>
          <w:b w:val="0"/>
          <w:bCs w:val="0"/>
          <w:color w:val="000000"/>
          <w:sz w:val="32"/>
          <w:szCs w:val="32"/>
          <w:highlight w:val="none"/>
          <w:lang w:val="en-US" w:eastAsia="zh-CN"/>
        </w:rPr>
        <w:t>加强常态化防控。督促地方严格落实综合防控措施，实施春秋集中强制免疫，加大平常补免，全省畜禽群体免疫密度常年保持在90%以上、抗体水平达70%以上。加大养殖场、活禽交易市场、屠宰场、无害化处理场等重点部位的病毒监测频次，指导督促全面消杀到位。“先打后补”基本实现全省覆盖。完成对10个血吸虫病流行县消除达标技术评估。联合发布《关于入湘动物实施指定通道管理的通告》，将指定通道管理对象由生猪扩大到所有动物。出台《湖南省病死动物无害化处理体系建设规划（2024-2030年）》，指导组建行业协会。组织9家机构参加全国水生动物防疫系统实验室检测能力验证，检测能力明显提升。</w:t>
      </w:r>
      <w:r>
        <w:rPr>
          <w:rFonts w:hint="eastAsia" w:ascii="Times New Roman" w:hAnsi="Times New Roman"/>
          <w:b w:val="0"/>
          <w:bCs w:val="0"/>
          <w:color w:val="000000"/>
          <w:sz w:val="32"/>
          <w:szCs w:val="32"/>
          <w:highlight w:val="none"/>
          <w:lang w:val="en-US" w:eastAsia="zh-CN"/>
        </w:rPr>
        <w:t>二是</w:t>
      </w:r>
      <w:r>
        <w:rPr>
          <w:rFonts w:hint="eastAsia" w:ascii="Times New Roman" w:hAnsi="Times New Roman" w:eastAsia="仿宋_GB2312"/>
          <w:b w:val="0"/>
          <w:bCs w:val="0"/>
          <w:color w:val="000000"/>
          <w:sz w:val="32"/>
          <w:szCs w:val="32"/>
          <w:highlight w:val="none"/>
          <w:lang w:val="en-US" w:eastAsia="zh-CN"/>
        </w:rPr>
        <w:t>加快无疫小区创建。提升生物安全防护水平，累计建成牛布病无疫小区1个、非洲猪瘟无疫小区29个，在建非洲猪瘟无疫小区10个，覆盖10市州40个县市区，我省创建数量质量均排名全国前茅，助推了生猪外调、湘猪出湘。水产方面，指导推动3家单位创建无规定水生动物疫病苗种场。</w:t>
      </w:r>
      <w:r>
        <w:rPr>
          <w:rFonts w:hint="eastAsia" w:ascii="Times New Roman" w:hAnsi="Times New Roman"/>
          <w:b w:val="0"/>
          <w:bCs w:val="0"/>
          <w:color w:val="000000"/>
          <w:sz w:val="32"/>
          <w:szCs w:val="32"/>
          <w:highlight w:val="none"/>
          <w:lang w:val="en-US" w:eastAsia="zh-CN"/>
        </w:rPr>
        <w:t>三是</w:t>
      </w:r>
      <w:r>
        <w:rPr>
          <w:rFonts w:hint="eastAsia" w:ascii="Times New Roman" w:hAnsi="Times New Roman" w:eastAsia="仿宋_GB2312"/>
          <w:b w:val="0"/>
          <w:bCs w:val="0"/>
          <w:color w:val="000000"/>
          <w:sz w:val="32"/>
          <w:szCs w:val="32"/>
          <w:highlight w:val="none"/>
          <w:lang w:val="en-US" w:eastAsia="zh-CN"/>
        </w:rPr>
        <w:t>严格官方兽医管理。出台《湖南省官方兽医管理办法（试行）》。组织全国（湖南）执业兽医资格考试，通过率创历史新高。举办全省首届屠宰兽医卫生检验人员考试。开展基层检疫乱象集中整治，全省暂停官方兽医出证权限49人次、注销20人次，党纪政务处分13人次。推进检疫电子出证。在全省实现无纸化出具动物A证、B证基础上，启动无纸化出具动物产品B证试点并成功，即将在全省推行。</w:t>
      </w:r>
      <w:r>
        <w:rPr>
          <w:rFonts w:hint="eastAsia" w:ascii="Times New Roman" w:hAnsi="Times New Roman"/>
          <w:b w:val="0"/>
          <w:bCs w:val="0"/>
          <w:color w:val="000000"/>
          <w:sz w:val="32"/>
          <w:szCs w:val="32"/>
          <w:highlight w:val="none"/>
          <w:lang w:val="en-US" w:eastAsia="zh-CN"/>
        </w:rPr>
        <w:t>四是</w:t>
      </w:r>
      <w:r>
        <w:rPr>
          <w:rFonts w:hint="eastAsia" w:ascii="Times New Roman" w:hAnsi="Times New Roman" w:eastAsia="仿宋_GB2312"/>
          <w:b w:val="0"/>
          <w:bCs w:val="0"/>
          <w:color w:val="000000"/>
          <w:sz w:val="32"/>
          <w:szCs w:val="32"/>
          <w:highlight w:val="none"/>
          <w:lang w:val="en-US" w:eastAsia="zh-CN"/>
        </w:rPr>
        <w:t>加强信息化管理。持续优化省畜牧水产监管信息平台，全省畜禽种业、养殖、调运、免疫、检疫、屠宰、无害化处理、资源化利用等全链条重要数据基本做到“一网覆盖”，并实现与农业农村部相关数据平台、省政务平台对接及“动物A证出证”中南六省跨省互认，养殖业智慧监管走在全国前列；</w:t>
      </w:r>
      <w:r>
        <w:rPr>
          <w:rFonts w:hint="eastAsia" w:ascii="Times New Roman" w:hAnsi="Times New Roman" w:eastAsia="仿宋_GB2312"/>
          <w:b/>
          <w:bCs/>
          <w:color w:val="000000"/>
          <w:sz w:val="32"/>
          <w:szCs w:val="32"/>
          <w:highlight w:val="none"/>
          <w:lang w:val="en-US" w:eastAsia="zh-CN"/>
        </w:rPr>
        <w:t>五是</w:t>
      </w:r>
      <w:r>
        <w:rPr>
          <w:rFonts w:hint="eastAsia" w:ascii="Times New Roman" w:hAnsi="Times New Roman" w:eastAsia="仿宋_GB2312"/>
          <w:b w:val="0"/>
          <w:bCs w:val="0"/>
          <w:color w:val="000000"/>
          <w:sz w:val="32"/>
          <w:szCs w:val="32"/>
          <w:highlight w:val="none"/>
          <w:lang w:val="en-US" w:eastAsia="zh-CN"/>
        </w:rPr>
        <w:t>全力稳定产能。压实生猪稳产保供省负总责和“菜篮子”市长负责制，落实“猪十条”、《省金融助力畜牧业高质量发展实施方案》等扶持政策，实施生猪良种补贴项目，加大生猪产能调控基地建设，发展标准化规模养殖，引导中小户积极补栏增养。推进草牧业增量提质行动，新改扩建牛羊场941个，新增栏舍90万平米。起草《推进家禽产业高质量发展的意见》，采取发放鸡苗、仔猪等措施帮助农户发展养殖。协力推进湖区6.3万亩水产养殖池塘升级改造，提升单产水平，稳定大宗水产品产量，发展鲈、鳜、鳗等名特优养殖。</w:t>
      </w:r>
      <w:r>
        <w:rPr>
          <w:rFonts w:hint="eastAsia" w:ascii="Times New Roman" w:hAnsi="Times New Roman" w:eastAsia="仿宋_GB2312"/>
          <w:b/>
          <w:bCs/>
          <w:color w:val="000000"/>
          <w:sz w:val="32"/>
          <w:szCs w:val="32"/>
          <w:highlight w:val="none"/>
          <w:lang w:val="en-US" w:eastAsia="zh-CN"/>
        </w:rPr>
        <w:t>六是</w:t>
      </w:r>
      <w:r>
        <w:rPr>
          <w:rFonts w:hint="eastAsia" w:ascii="Times New Roman" w:hAnsi="Times New Roman" w:eastAsia="仿宋_GB2312"/>
          <w:b w:val="0"/>
          <w:bCs w:val="0"/>
          <w:color w:val="000000"/>
          <w:sz w:val="32"/>
          <w:szCs w:val="32"/>
          <w:highlight w:val="none"/>
          <w:lang w:val="en-US" w:eastAsia="zh-CN"/>
        </w:rPr>
        <w:t>大抓产能建设。全年上马畜牧业项目272个、建成投产153个，其中万头以上规模猪场112个，已建成投产38个、新增肥猪年产能101万头；年出笼超20万羽的肉鸡规模场15个，建成投产9个、新增肉鸡年出栏230万羽；年存笼过20万羽的蛋鸡规模场31个，建成投产10个、年存笼规模359万羽。积极推动出台《湖南省推进现代设施渔业高质量发展的若干措施（2024-2026年）》，筹备召开全省设施渔业现场推进会，设施渔业发展势头强劲，全省工厂化养殖容量达173万立米、同比增长48%，池塘流水槽从年初394条发展到900多条，另有106个设施渔业项目正加快建设。</w:t>
      </w:r>
      <w:r>
        <w:rPr>
          <w:rFonts w:hint="eastAsia" w:ascii="Times New Roman" w:hAnsi="Times New Roman" w:eastAsia="仿宋_GB2312"/>
          <w:b/>
          <w:bCs/>
          <w:color w:val="000000"/>
          <w:sz w:val="32"/>
          <w:szCs w:val="32"/>
          <w:highlight w:val="none"/>
          <w:lang w:val="en-US" w:eastAsia="zh-CN"/>
        </w:rPr>
        <w:t>七是</w:t>
      </w:r>
      <w:r>
        <w:rPr>
          <w:rFonts w:hint="eastAsia" w:ascii="Times New Roman" w:hAnsi="Times New Roman" w:eastAsia="仿宋_GB2312"/>
          <w:b w:val="0"/>
          <w:bCs w:val="0"/>
          <w:color w:val="000000"/>
          <w:sz w:val="32"/>
          <w:szCs w:val="32"/>
          <w:highlight w:val="none"/>
          <w:lang w:val="en-US" w:eastAsia="zh-CN"/>
        </w:rPr>
        <w:t>夯实种业基础。持续发力种业高地建设，以良种良繁提升养殖产量。崀山鸡、白羽乌鸡、凤头鸭、武雪山羊通过国家新资源鉴定。瘦肉型猪联合育种成效显著，建成国内首个完成整体性系统性遗传关联的省级生猪育种联合体。广益黑猪、湘佳黑鸡配套系通过省级新品种审定。原濒危品种东安鸡得到抢救性保护，原种群体数量恢复至安全线以上。水产方面，17家单位晋升为省级水产原、良种场；草鱼、湘华鲮等9个重点品种选育联合攻关取得阶段性成果。</w:t>
      </w:r>
      <w:r>
        <w:rPr>
          <w:rFonts w:hint="eastAsia"/>
          <w:b w:val="0"/>
          <w:bCs w:val="0"/>
          <w:color w:val="000000"/>
          <w:sz w:val="32"/>
          <w:szCs w:val="32"/>
          <w:highlight w:val="none"/>
          <w:lang w:val="en-US" w:eastAsia="zh-CN"/>
        </w:rPr>
        <w:t>八</w:t>
      </w:r>
      <w:r>
        <w:rPr>
          <w:rFonts w:hint="eastAsia" w:ascii="Times New Roman" w:hAnsi="Times New Roman"/>
          <w:b w:val="0"/>
          <w:bCs w:val="0"/>
          <w:color w:val="000000"/>
          <w:sz w:val="32"/>
          <w:szCs w:val="32"/>
          <w:highlight w:val="none"/>
          <w:lang w:val="en-US" w:eastAsia="zh-CN"/>
        </w:rPr>
        <w:t>是</w:t>
      </w:r>
      <w:r>
        <w:rPr>
          <w:rFonts w:hint="eastAsia" w:ascii="Times New Roman" w:hAnsi="Times New Roman" w:eastAsia="仿宋_GB2312"/>
          <w:b w:val="0"/>
          <w:bCs w:val="0"/>
          <w:color w:val="000000"/>
          <w:sz w:val="32"/>
          <w:szCs w:val="32"/>
          <w:highlight w:val="none"/>
          <w:lang w:val="en-US" w:eastAsia="zh-CN"/>
        </w:rPr>
        <w:t>推进减抗行动。据对畜禽养殖常用的20种兽用抗菌药生产销售情况调查统计，2023年省内相关产品的产量比2022年降低4.3%、销量减少了3.6%。</w:t>
      </w:r>
      <w:r>
        <w:rPr>
          <w:rFonts w:hint="eastAsia"/>
          <w:b w:val="0"/>
          <w:bCs w:val="0"/>
          <w:color w:val="000000"/>
          <w:sz w:val="32"/>
          <w:szCs w:val="32"/>
          <w:highlight w:val="none"/>
          <w:lang w:val="en-US" w:eastAsia="zh-CN"/>
        </w:rPr>
        <w:t>九</w:t>
      </w:r>
      <w:r>
        <w:rPr>
          <w:rFonts w:hint="eastAsia" w:ascii="Times New Roman" w:hAnsi="Times New Roman"/>
          <w:b w:val="0"/>
          <w:bCs w:val="0"/>
          <w:color w:val="000000"/>
          <w:sz w:val="32"/>
          <w:szCs w:val="32"/>
          <w:highlight w:val="none"/>
          <w:lang w:val="en-US" w:eastAsia="zh-CN"/>
        </w:rPr>
        <w:t>是</w:t>
      </w:r>
      <w:r>
        <w:rPr>
          <w:rFonts w:hint="eastAsia" w:ascii="Times New Roman" w:hAnsi="Times New Roman" w:eastAsia="仿宋_GB2312"/>
          <w:b w:val="0"/>
          <w:bCs w:val="0"/>
          <w:color w:val="000000"/>
          <w:sz w:val="32"/>
          <w:szCs w:val="32"/>
          <w:highlight w:val="none"/>
          <w:lang w:val="en-US" w:eastAsia="zh-CN"/>
        </w:rPr>
        <w:t>开展养殖规范用药专项整治。实施“8条鱼”等重点水产品药物残留攻坚治理专项行动。严格兽药生产和经营环节日常监管“双随机、一公开”，协助检查兽药生产企业6家、兽药经营企业102家，调查处置兽药生产涉嫌违法行为1起。协助核发兽药生产许可证10个、兽用生物制品经营许可证121个。</w:t>
      </w:r>
      <w:r>
        <w:rPr>
          <w:rFonts w:hint="eastAsia"/>
          <w:b w:val="0"/>
          <w:bCs w:val="0"/>
          <w:color w:val="000000"/>
          <w:sz w:val="32"/>
          <w:szCs w:val="32"/>
          <w:highlight w:val="none"/>
          <w:lang w:val="en-US" w:eastAsia="zh-CN"/>
        </w:rPr>
        <w:t>十</w:t>
      </w:r>
      <w:r>
        <w:rPr>
          <w:rFonts w:hint="eastAsia" w:ascii="Times New Roman" w:hAnsi="Times New Roman"/>
          <w:b w:val="0"/>
          <w:bCs w:val="0"/>
          <w:color w:val="000000"/>
          <w:sz w:val="32"/>
          <w:szCs w:val="32"/>
          <w:highlight w:val="none"/>
          <w:lang w:val="en-US" w:eastAsia="zh-CN"/>
        </w:rPr>
        <w:t>是</w:t>
      </w:r>
      <w:r>
        <w:rPr>
          <w:rFonts w:hint="eastAsia" w:ascii="Times New Roman" w:hAnsi="Times New Roman" w:eastAsia="仿宋_GB2312"/>
          <w:b w:val="0"/>
          <w:bCs w:val="0"/>
          <w:color w:val="000000"/>
          <w:sz w:val="32"/>
          <w:szCs w:val="32"/>
          <w:highlight w:val="none"/>
          <w:lang w:val="en-US" w:eastAsia="zh-CN"/>
        </w:rPr>
        <w:t>实施生猪屠宰质量管理规范。举办全省专题培训班、现场推进会，33家生猪屠宰场厂通过验收，超额完成年度任务，通过数量全国第三。争取到将生猪就地屠宰率、人均猪肉占有量列入省政府大抓落实工作激励措施，支持和推动67个屠宰企业升级改造，全省生猪规模以上集中屠宰率提升至44.9%，同比提高6.5个百分点发现的主要问题及原因：本年度预算执行中，尽管整体预算执行率达到95.96%，但仍有个别项目本年度预算执行率较低。主要原因是工作安排调整，前序工作推迟，导致该项目推迟至下年度，本年度内暂未形成支出。下一步改进措施：</w:t>
      </w:r>
      <w:r>
        <w:rPr>
          <w:rFonts w:hint="eastAsia" w:ascii="Times New Roman" w:hAnsi="Times New Roman" w:eastAsia="仿宋_GB2312"/>
          <w:sz w:val="32"/>
          <w:szCs w:val="32"/>
          <w:highlight w:val="none"/>
        </w:rPr>
        <w:t>一方面进一步提高预算编制的科学性、准确性和合理性，强化预算管理，提高预算执行力度。另一方面通过定期对项目实施和预算执行情况进行跟踪，及时掌握项目进度、发现问题和解决问题，督促项目实施单位早启动、早实施、早验收，对符合条件的目按照项目进度支付相关款项，将预算资金管理贯穿于项目实施全过程中。</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highlight w:val="none"/>
        </w:rPr>
      </w:pPr>
      <w:r>
        <w:rPr>
          <w:rFonts w:ascii="Times New Roman" w:hAnsi="Times New Roman" w:eastAsia="楷体_GB2312" w:cs="Times New Roman"/>
          <w:b/>
          <w:bCs/>
          <w:color w:val="auto"/>
          <w:kern w:val="2"/>
          <w:sz w:val="32"/>
          <w:szCs w:val="32"/>
        </w:rPr>
        <w:t>（三）评价结果应用情况。</w:t>
      </w:r>
      <w:bookmarkStart w:id="3" w:name="_GoBack"/>
      <w:r>
        <w:rPr>
          <w:rFonts w:hint="eastAsia" w:ascii="Times New Roman" w:hAnsi="Times New Roman" w:eastAsia="仿宋_GB2312" w:cs="Times New Roman"/>
          <w:color w:val="auto"/>
          <w:kern w:val="2"/>
          <w:sz w:val="32"/>
          <w:szCs w:val="32"/>
          <w:highlight w:val="none"/>
          <w:lang w:val="en-US" w:eastAsia="zh-CN" w:bidi="ar-SA"/>
        </w:rPr>
        <w:t>本年度绩效自评拟应用于</w:t>
      </w:r>
      <w:r>
        <w:rPr>
          <w:rFonts w:hint="eastAsia" w:ascii="Times New Roman" w:hAnsi="Times New Roman" w:eastAsia="仿宋_GB2312" w:cs="Times New Roman"/>
          <w:color w:val="auto"/>
          <w:sz w:val="32"/>
          <w:szCs w:val="32"/>
          <w:highlight w:val="none"/>
        </w:rPr>
        <w:t>资</w:t>
      </w:r>
      <w:bookmarkEnd w:id="3"/>
      <w:r>
        <w:rPr>
          <w:rFonts w:hint="eastAsia" w:ascii="Times New Roman" w:hAnsi="Times New Roman" w:eastAsia="仿宋_GB2312" w:cs="Times New Roman"/>
          <w:color w:val="auto"/>
          <w:sz w:val="32"/>
          <w:szCs w:val="32"/>
          <w:highlight w:val="none"/>
        </w:rPr>
        <w:t>金全过程管理，严格预算执行监控，确保资金支付进度与绩效目标实现程度同步。完善绩效运行监控机制，对执行偏差及时预警纠偏，保障资金安全高效使用。加强绩效评价结果与资金拨付的联动，提升资金使用效益。</w:t>
      </w:r>
    </w:p>
    <w:p>
      <w:pPr>
        <w:pStyle w:val="16"/>
        <w:overflowPunct w:val="0"/>
        <w:autoSpaceDE/>
        <w:autoSpaceDN/>
        <w:spacing w:line="600" w:lineRule="exact"/>
        <w:ind w:firstLine="640" w:firstLineChars="200"/>
        <w:jc w:val="both"/>
        <w:rPr>
          <w:rFonts w:ascii="Times New Roman" w:hAnsi="Times New Roman" w:eastAsia="仿宋_GB2312" w:cs="Times New Roman"/>
          <w:color w:val="auto"/>
          <w:kern w:val="2"/>
          <w:sz w:val="32"/>
          <w:szCs w:val="32"/>
          <w:highlight w:val="yellow"/>
          <w:lang w:val="en-US" w:eastAsia="zh-CN" w:bidi="ar-SA"/>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6"/>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6"/>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6"/>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both"/>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6"/>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ind w:firstLine="0" w:firstLineChars="0"/>
        <w:jc w:val="center"/>
        <w:rPr>
          <w:rFonts w:hint="eastAsia" w:eastAsia="方正小标宋_GBK"/>
          <w:sz w:val="48"/>
          <w:szCs w:val="48"/>
          <w:lang w:val="en-US" w:eastAsia="zh-CN"/>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湖南省畜牧水产事务中心</w:t>
      </w:r>
    </w:p>
    <w:p>
      <w:pPr>
        <w:ind w:firstLine="0" w:firstLineChars="0"/>
        <w:jc w:val="center"/>
        <w:rPr>
          <w:rFonts w:eastAsia="方正小标宋_GBK"/>
          <w:sz w:val="48"/>
          <w:szCs w:val="48"/>
        </w:rPr>
      </w:pPr>
      <w:r>
        <w:rPr>
          <w:rFonts w:eastAsia="方正小标宋_GBK"/>
          <w:sz w:val="48"/>
          <w:szCs w:val="48"/>
        </w:rPr>
        <w:t>整体支出绩效自评报告</w:t>
      </w:r>
    </w:p>
    <w:p>
      <w:pPr>
        <w:ind w:firstLine="0" w:firstLineChars="0"/>
        <w:jc w:val="center"/>
        <w:rPr>
          <w:rFonts w:eastAsia="黑体"/>
          <w:szCs w:val="32"/>
        </w:rPr>
      </w:pP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36"/>
          <w:szCs w:val="36"/>
        </w:rPr>
      </w:pPr>
      <w:r>
        <w:rPr>
          <w:rFonts w:eastAsia="黑体"/>
          <w:sz w:val="36"/>
          <w:szCs w:val="36"/>
        </w:rPr>
        <w:t>单位名称（盖章）：</w:t>
      </w:r>
    </w:p>
    <w:p>
      <w:pPr>
        <w:ind w:firstLine="0" w:firstLineChars="0"/>
        <w:jc w:val="center"/>
        <w:rPr>
          <w:rFonts w:eastAsia="黑体"/>
          <w:sz w:val="36"/>
          <w:szCs w:val="36"/>
        </w:rPr>
      </w:pPr>
      <w:r>
        <w:rPr>
          <w:rFonts w:eastAsia="黑体"/>
          <w:sz w:val="36"/>
          <w:szCs w:val="36"/>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both"/>
        <w:rPr>
          <w:sz w:val="32"/>
          <w:szCs w:val="32"/>
        </w:rPr>
      </w:pPr>
      <w:r>
        <w:rPr>
          <w:rFonts w:eastAsia="仿宋_GB2312"/>
        </w:rPr>
        <w:br w:type="page"/>
      </w:r>
      <w:r>
        <w:rPr>
          <w:rFonts w:hint="eastAsia"/>
          <w:lang w:val="en-US" w:eastAsia="zh-CN"/>
        </w:rPr>
        <w:t xml:space="preserve">  </w:t>
      </w:r>
      <w:r>
        <w:rPr>
          <w:rFonts w:hint="eastAsia"/>
          <w:sz w:val="32"/>
          <w:szCs w:val="32"/>
          <w:lang w:val="en-US" w:eastAsia="zh-CN"/>
        </w:rPr>
        <w:t xml:space="preserve">  </w:t>
      </w:r>
      <w:r>
        <w:rPr>
          <w:rFonts w:hint="eastAsia" w:ascii="黑体" w:hAnsi="黑体" w:eastAsia="黑体" w:cs="黑体"/>
          <w:sz w:val="32"/>
          <w:szCs w:val="32"/>
        </w:rPr>
        <w:t>一、基本情况</w:t>
      </w:r>
    </w:p>
    <w:p>
      <w:pPr>
        <w:spacing w:line="570" w:lineRule="atLeast"/>
        <w:ind w:firstLine="643"/>
        <w:rPr>
          <w:rFonts w:eastAsia="楷体_GB2312"/>
          <w:b/>
          <w:sz w:val="32"/>
          <w:szCs w:val="32"/>
        </w:rPr>
      </w:pPr>
      <w:r>
        <w:rPr>
          <w:rFonts w:eastAsia="楷体_GB2312"/>
          <w:b/>
          <w:sz w:val="32"/>
          <w:szCs w:val="32"/>
        </w:rPr>
        <w:t>（一）单位基本情况</w:t>
      </w:r>
    </w:p>
    <w:p>
      <w:pPr>
        <w:spacing w:line="570" w:lineRule="atLeast"/>
        <w:ind w:firstLine="643"/>
        <w:rPr>
          <w:rFonts w:eastAsia="楷体_GB2312"/>
          <w:b/>
          <w:sz w:val="32"/>
          <w:szCs w:val="32"/>
        </w:rPr>
      </w:pPr>
      <w:r>
        <w:rPr>
          <w:rFonts w:hint="eastAsia" w:ascii="Times New Roman" w:hAnsi="Times New Roman" w:eastAsia="仿宋_GB2312" w:cs="仿宋_GB2312"/>
          <w:sz w:val="32"/>
          <w:szCs w:val="32"/>
          <w:highlight w:val="none"/>
        </w:rPr>
        <w:t>湖南省畜牧水产事务中心是湖南省农业农村厅管理的副厅级公益一类事业单位，统一社会信用代码：124300004448787034。主要承担畜牧业、渔业地方标准体系建设相关事务性工作；畜禽水产品质量安全风险评估工作；畜牧业、渔业生产、市场信息监测和统计分析工作；动物疫病（包括人畜共患病）防控、动物和动物产品检疫及动物血防相关事务性工作；为全省畜禽屠宰行业管理提供服务保障，对市县畜牧水产事务中心进行业务指导；承担省农业农村厅交办的其他工作。</w:t>
      </w:r>
    </w:p>
    <w:p>
      <w:pPr>
        <w:numPr>
          <w:ilvl w:val="0"/>
          <w:numId w:val="1"/>
        </w:numPr>
        <w:spacing w:line="570" w:lineRule="atLeast"/>
        <w:ind w:firstLine="643"/>
        <w:rPr>
          <w:rFonts w:eastAsia="楷体_GB2312"/>
          <w:b/>
          <w:sz w:val="32"/>
          <w:szCs w:val="32"/>
        </w:rPr>
      </w:pPr>
      <w:r>
        <w:rPr>
          <w:rFonts w:eastAsia="楷体_GB2312"/>
          <w:b/>
          <w:sz w:val="32"/>
          <w:szCs w:val="32"/>
        </w:rPr>
        <w:t>单位年度整体支出绩效目标，省级专项资金绩效目标、其他项目支出（除省级专项资金以外）绩效目标</w:t>
      </w:r>
    </w:p>
    <w:p>
      <w:pPr>
        <w:numPr>
          <w:ilvl w:val="0"/>
          <w:numId w:val="0"/>
        </w:numPr>
        <w:spacing w:line="570" w:lineRule="atLeast"/>
        <w:ind w:firstLine="640"/>
        <w:rPr>
          <w:rFonts w:hint="eastAsia"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我单位2024</w:t>
      </w:r>
      <w:r>
        <w:rPr>
          <w:rFonts w:hint="eastAsia" w:ascii="Times New Roman" w:hAnsi="Times New Roman" w:cs="Times New Roman"/>
          <w:b w:val="0"/>
          <w:bCs/>
          <w:sz w:val="32"/>
          <w:szCs w:val="32"/>
          <w:lang w:val="en-US" w:eastAsia="zh-CN"/>
        </w:rPr>
        <w:t>年年</w:t>
      </w:r>
      <w:r>
        <w:rPr>
          <w:rFonts w:hint="eastAsia" w:ascii="Times New Roman" w:hAnsi="Times New Roman" w:eastAsia="仿宋_GB2312" w:cs="Times New Roman"/>
          <w:b w:val="0"/>
          <w:bCs/>
          <w:sz w:val="32"/>
          <w:szCs w:val="32"/>
          <w:lang w:val="en-US" w:eastAsia="zh-CN"/>
        </w:rPr>
        <w:t>度整体支出绩效目标为</w:t>
      </w:r>
      <w:r>
        <w:rPr>
          <w:rFonts w:hint="eastAsia" w:ascii="Times New Roman" w:hAnsi="Times New Roman" w:cs="Times New Roman"/>
          <w:b w:val="0"/>
          <w:bCs/>
          <w:sz w:val="32"/>
          <w:szCs w:val="32"/>
          <w:lang w:val="en-US" w:eastAsia="zh-CN"/>
        </w:rPr>
        <w:t>：</w:t>
      </w:r>
      <w:r>
        <w:rPr>
          <w:rFonts w:hint="eastAsia" w:ascii="Times New Roman" w:hAnsi="Times New Roman" w:eastAsia="仿宋_GB2312" w:cs="Times New Roman"/>
          <w:b w:val="0"/>
          <w:bCs/>
          <w:sz w:val="32"/>
          <w:szCs w:val="32"/>
          <w:lang w:val="en-US" w:eastAsia="zh-CN"/>
        </w:rPr>
        <w:t>按照“稳中求进、以进促稳、先立后破”总要求，深入贯彻习近平总书记作出的“要树立大农业观、大食物观，农林牧渔并举，构建多元化食物供给体系”重要指示精神，认真落实中央农村经济工作会议部署，守底线、稳发展，加快全省畜牧业渔业现代化建设。</w:t>
      </w:r>
    </w:p>
    <w:p>
      <w:pPr>
        <w:numPr>
          <w:ilvl w:val="0"/>
          <w:numId w:val="0"/>
        </w:numPr>
        <w:spacing w:line="570" w:lineRule="atLeast"/>
        <w:ind w:firstLine="640"/>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省级专项资金绩效目标为：完成本年畜牧业、渔业相关管理、培训、采购及信息化工作，支持本省养殖产业发展。其他项目支出（除省级专项资金以外）绩效目标为：完成本年度因公出国任务、执业兽医资格考试考务服务、办公设备购置及重大动物疫病疫苗采购任务。</w:t>
      </w:r>
    </w:p>
    <w:p>
      <w:pPr>
        <w:pStyle w:val="22"/>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22"/>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numPr>
          <w:ilvl w:val="0"/>
          <w:numId w:val="0"/>
        </w:numPr>
        <w:spacing w:line="570" w:lineRule="atLeast"/>
        <w:ind w:firstLine="640"/>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202</w:t>
      </w:r>
      <w:r>
        <w:rPr>
          <w:rFonts w:hint="eastAsia" w:ascii="Times New Roman" w:hAnsi="Times New Roman" w:eastAsia="仿宋_GB2312" w:cs="Times New Roman"/>
          <w:b w:val="0"/>
          <w:bCs/>
          <w:sz w:val="32"/>
          <w:szCs w:val="32"/>
          <w:lang w:val="en-US" w:eastAsia="zh-CN"/>
        </w:rPr>
        <w:t>4</w:t>
      </w:r>
      <w:r>
        <w:rPr>
          <w:rFonts w:hint="default" w:ascii="Times New Roman" w:hAnsi="Times New Roman" w:eastAsia="仿宋_GB2312" w:cs="Times New Roman"/>
          <w:b w:val="0"/>
          <w:bCs/>
          <w:sz w:val="32"/>
          <w:szCs w:val="32"/>
          <w:lang w:val="en-US" w:eastAsia="zh-CN"/>
        </w:rPr>
        <w:t>年度财政拨款基本支出</w:t>
      </w:r>
      <w:r>
        <w:rPr>
          <w:rFonts w:hint="eastAsia" w:ascii="Times New Roman" w:hAnsi="Times New Roman" w:eastAsia="仿宋_GB2312" w:cs="Times New Roman"/>
          <w:b w:val="0"/>
          <w:bCs/>
          <w:sz w:val="32"/>
          <w:szCs w:val="32"/>
          <w:lang w:val="en-US" w:eastAsia="zh-CN"/>
        </w:rPr>
        <w:t>3424.45</w:t>
      </w:r>
      <w:r>
        <w:rPr>
          <w:rFonts w:hint="default" w:ascii="Times New Roman" w:hAnsi="Times New Roman" w:eastAsia="仿宋_GB2312" w:cs="Times New Roman"/>
          <w:b w:val="0"/>
          <w:bCs/>
          <w:sz w:val="32"/>
          <w:szCs w:val="32"/>
          <w:lang w:val="en-US" w:eastAsia="zh-CN"/>
        </w:rPr>
        <w:t>万元，其中：</w:t>
      </w:r>
    </w:p>
    <w:p>
      <w:pPr>
        <w:numPr>
          <w:ilvl w:val="0"/>
          <w:numId w:val="0"/>
        </w:numPr>
        <w:spacing w:line="570" w:lineRule="atLeast"/>
        <w:ind w:firstLine="640"/>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人员经费2</w:t>
      </w:r>
      <w:r>
        <w:rPr>
          <w:rFonts w:hint="eastAsia" w:ascii="Times New Roman" w:hAnsi="Times New Roman" w:eastAsia="仿宋_GB2312" w:cs="Times New Roman"/>
          <w:b w:val="0"/>
          <w:bCs/>
          <w:sz w:val="32"/>
          <w:szCs w:val="32"/>
          <w:lang w:val="en-US" w:eastAsia="zh-CN"/>
        </w:rPr>
        <w:t>832.05</w:t>
      </w:r>
      <w:r>
        <w:rPr>
          <w:rFonts w:hint="default" w:ascii="Times New Roman" w:hAnsi="Times New Roman" w:eastAsia="仿宋_GB2312" w:cs="Times New Roman"/>
          <w:b w:val="0"/>
          <w:bCs/>
          <w:sz w:val="32"/>
          <w:szCs w:val="32"/>
          <w:lang w:val="en-US" w:eastAsia="zh-CN"/>
        </w:rPr>
        <w:t>万元，占基本支出的8</w:t>
      </w:r>
      <w:r>
        <w:rPr>
          <w:rFonts w:hint="eastAsia" w:ascii="Times New Roman" w:hAnsi="Times New Roman" w:eastAsia="仿宋_GB2312" w:cs="Times New Roman"/>
          <w:b w:val="0"/>
          <w:bCs/>
          <w:sz w:val="32"/>
          <w:szCs w:val="32"/>
          <w:lang w:val="en-US" w:eastAsia="zh-CN"/>
        </w:rPr>
        <w:t>2.70</w:t>
      </w:r>
      <w:r>
        <w:rPr>
          <w:rFonts w:hint="default" w:ascii="Times New Roman" w:hAnsi="Times New Roman" w:eastAsia="仿宋_GB2312" w:cs="Times New Roman"/>
          <w:b w:val="0"/>
          <w:bCs/>
          <w:sz w:val="32"/>
          <w:szCs w:val="32"/>
          <w:lang w:val="en-US" w:eastAsia="zh-CN"/>
        </w:rPr>
        <w:t>%,主要包括基本工资、津贴补贴、奖金、伙食补助费、退休费、机关事业单位基本养老保险缴费、职工基本医疗保险缴费、 公务员医疗补助缴费、住房公积金等。</w:t>
      </w:r>
    </w:p>
    <w:p>
      <w:pPr>
        <w:numPr>
          <w:ilvl w:val="0"/>
          <w:numId w:val="0"/>
        </w:numPr>
        <w:spacing w:line="570" w:lineRule="atLeast"/>
        <w:ind w:firstLine="640"/>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公用经费</w:t>
      </w:r>
      <w:r>
        <w:rPr>
          <w:rFonts w:hint="eastAsia" w:ascii="Times New Roman" w:hAnsi="Times New Roman" w:eastAsia="仿宋_GB2312" w:cs="Times New Roman"/>
          <w:b w:val="0"/>
          <w:bCs/>
          <w:sz w:val="32"/>
          <w:szCs w:val="32"/>
          <w:lang w:val="en-US" w:eastAsia="zh-CN"/>
        </w:rPr>
        <w:t>592.40</w:t>
      </w:r>
      <w:r>
        <w:rPr>
          <w:rFonts w:hint="default" w:ascii="Times New Roman" w:hAnsi="Times New Roman" w:eastAsia="仿宋_GB2312" w:cs="Times New Roman"/>
          <w:b w:val="0"/>
          <w:bCs/>
          <w:sz w:val="32"/>
          <w:szCs w:val="32"/>
          <w:lang w:val="en-US" w:eastAsia="zh-CN"/>
        </w:rPr>
        <w:t>万元，占基本支出的</w:t>
      </w:r>
      <w:r>
        <w:rPr>
          <w:rFonts w:hint="eastAsia" w:ascii="Times New Roman" w:hAnsi="Times New Roman" w:eastAsia="仿宋_GB2312" w:cs="Times New Roman"/>
          <w:b w:val="0"/>
          <w:bCs/>
          <w:sz w:val="32"/>
          <w:szCs w:val="32"/>
          <w:lang w:val="en-US" w:eastAsia="zh-CN"/>
        </w:rPr>
        <w:t>17.30</w:t>
      </w:r>
      <w:r>
        <w:rPr>
          <w:rFonts w:hint="default" w:ascii="Times New Roman" w:hAnsi="Times New Roman" w:eastAsia="仿宋_GB2312" w:cs="Times New Roman"/>
          <w:b w:val="0"/>
          <w:bCs/>
          <w:sz w:val="32"/>
          <w:szCs w:val="32"/>
          <w:lang w:val="en-US" w:eastAsia="zh-CN"/>
        </w:rPr>
        <w:t>%，主要包括办公费、印刷费、差旅费、物业管理费、维修（护）费、劳务费、其他交通费用、公务用车运行维护费、工会经费、福利费等。</w:t>
      </w:r>
    </w:p>
    <w:p>
      <w:pPr>
        <w:pStyle w:val="22"/>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numPr>
          <w:ilvl w:val="0"/>
          <w:numId w:val="0"/>
        </w:numPr>
        <w:spacing w:line="570" w:lineRule="atLeast"/>
        <w:ind w:firstLine="640"/>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1、2024</w:t>
      </w:r>
      <w:r>
        <w:rPr>
          <w:rFonts w:hint="default" w:ascii="Times New Roman" w:hAnsi="Times New Roman" w:eastAsia="仿宋_GB2312" w:cs="Times New Roman"/>
          <w:b w:val="0"/>
          <w:bCs/>
          <w:sz w:val="32"/>
          <w:szCs w:val="32"/>
          <w:lang w:val="en-US" w:eastAsia="zh-CN"/>
        </w:rPr>
        <w:t>年度省级专项资金使用情况</w:t>
      </w:r>
      <w:r>
        <w:rPr>
          <w:rFonts w:hint="eastAsia" w:ascii="Times New Roman" w:hAnsi="Times New Roman" w:eastAsia="仿宋_GB2312" w:cs="Times New Roman"/>
          <w:b w:val="0"/>
          <w:bCs/>
          <w:sz w:val="32"/>
          <w:szCs w:val="32"/>
          <w:lang w:val="en-US" w:eastAsia="zh-CN"/>
        </w:rPr>
        <w:t>：</w:t>
      </w:r>
    </w:p>
    <w:p>
      <w:pPr>
        <w:numPr>
          <w:ilvl w:val="0"/>
          <w:numId w:val="0"/>
        </w:numPr>
        <w:spacing w:line="570" w:lineRule="atLeast"/>
        <w:ind w:firstLine="640"/>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年度省级专项支出1345.37万元，其中当年预算支出945.94万元，主要包括重大传染病防控经费、全省养殖技术推广、技能提升、基层补助项目管理等相关培训及活动、牧运通系统、种畜禽管理系统及电子设备运维、直联直报系统省部共建、种猪管理系统建设、2024年省水生动物疫病监控中心实验室检测能力验证和运转保障、家畜血吸虫病防治、2024年畜禽标识采购、兽医事务管理及相关会议、培训、畜牧业事务管理及相关会议、培训、动物检疫事务管理、渔业相关业务培训。上年结余支出399.43万元，主要包括重大传染病防控经费(2023结转)、省级水产养殖种质资源数据库建设(2023结转)、科技下乡、新技术推广与培训等(2023结转)、重要农产品稳产保供(市县)(2023结转)、产业兴旺与融合发展(市县)(2023结转)、农村人居环境整治与乡村建设(市县)(2023结转)、动物卫生监督信息化建设及维护等(2023结转)、动物检疫技能培训及事务管理等(202</w:t>
      </w:r>
      <w:r>
        <w:rPr>
          <w:rFonts w:hint="default" w:ascii="Times New Roman" w:hAnsi="Times New Roman" w:eastAsia="仿宋_GB2312" w:cs="Times New Roman"/>
          <w:b w:val="0"/>
          <w:bCs/>
          <w:sz w:val="32"/>
          <w:szCs w:val="32"/>
          <w:lang w:val="en-US" w:eastAsia="zh-CN"/>
        </w:rPr>
        <w:t>3结转）</w:t>
      </w:r>
      <w:r>
        <w:rPr>
          <w:rFonts w:hint="eastAsia" w:ascii="Times New Roman" w:hAnsi="Times New Roman" w:eastAsia="仿宋_GB2312" w:cs="Times New Roman"/>
          <w:b w:val="0"/>
          <w:bCs/>
          <w:sz w:val="32"/>
          <w:szCs w:val="32"/>
          <w:lang w:val="en-US" w:eastAsia="zh-CN"/>
        </w:rPr>
        <w:t>、动物强制免疫疫苗管理、非洲猪瘟无疫小区创建以及执业兽医考试等兽医与屠宰事务管理及培训(2023结转)畜牧业统计固定监测县及全省畜牧业统计年报等相关培训、会议(2023结转)。</w:t>
      </w:r>
    </w:p>
    <w:p>
      <w:pPr>
        <w:numPr>
          <w:ilvl w:val="0"/>
          <w:numId w:val="0"/>
        </w:numPr>
        <w:spacing w:line="570" w:lineRule="atLeast"/>
        <w:ind w:firstLine="640"/>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2、2024年度</w:t>
      </w:r>
      <w:r>
        <w:rPr>
          <w:rFonts w:hint="default" w:ascii="Times New Roman" w:hAnsi="Times New Roman" w:eastAsia="仿宋_GB2312" w:cs="Times New Roman"/>
          <w:b w:val="0"/>
          <w:bCs/>
          <w:sz w:val="32"/>
          <w:szCs w:val="32"/>
          <w:lang w:val="en-US" w:eastAsia="zh-CN"/>
        </w:rPr>
        <w:t>其他项目支出情况</w:t>
      </w:r>
      <w:r>
        <w:rPr>
          <w:rFonts w:hint="eastAsia" w:ascii="Times New Roman" w:hAnsi="Times New Roman" w:eastAsia="仿宋_GB2312" w:cs="Times New Roman"/>
          <w:b w:val="0"/>
          <w:bCs/>
          <w:sz w:val="32"/>
          <w:szCs w:val="32"/>
          <w:lang w:val="en-US" w:eastAsia="zh-CN"/>
        </w:rPr>
        <w:t>：</w:t>
      </w:r>
    </w:p>
    <w:p>
      <w:pPr>
        <w:numPr>
          <w:ilvl w:val="0"/>
          <w:numId w:val="0"/>
        </w:numPr>
        <w:spacing w:line="570" w:lineRule="atLeast"/>
        <w:ind w:firstLine="640"/>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本年度其他项目支出共计6113.79万元，主要包括因公出国、执业兽医资格考试、办公设备购置、重大动物疫病疫苗采购、重大传染病防控经费、2023年度省直机关单位绩效相关经费。</w:t>
      </w:r>
    </w:p>
    <w:p>
      <w:pPr>
        <w:pStyle w:val="22"/>
        <w:numPr>
          <w:ilvl w:val="0"/>
          <w:numId w:val="2"/>
        </w:numPr>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22"/>
        <w:numPr>
          <w:ilvl w:val="0"/>
          <w:numId w:val="0"/>
        </w:numPr>
        <w:snapToGrid w:val="0"/>
        <w:spacing w:line="570" w:lineRule="atLeast"/>
        <w:rPr>
          <w:rFonts w:hint="eastAsia" w:ascii="Times New Roman" w:hAnsi="Times New Roman" w:eastAsia="仿宋_GB2312"/>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sz w:val="32"/>
          <w:szCs w:val="32"/>
          <w:lang w:val="en-US" w:eastAsia="zh-CN"/>
        </w:rPr>
        <w:t>本年度无</w:t>
      </w:r>
      <w:r>
        <w:rPr>
          <w:rFonts w:hint="eastAsia" w:ascii="仿宋_GB2312" w:hAnsi="仿宋_GB2312" w:eastAsia="仿宋_GB2312" w:cs="仿宋_GB2312"/>
          <w:sz w:val="32"/>
          <w:szCs w:val="32"/>
        </w:rPr>
        <w:t>政府性基金预算支出</w:t>
      </w:r>
      <w:r>
        <w:rPr>
          <w:rFonts w:hint="eastAsia" w:ascii="仿宋_GB2312" w:hAnsi="仿宋_GB2312" w:eastAsia="仿宋_GB2312" w:cs="仿宋_GB2312"/>
          <w:sz w:val="32"/>
          <w:szCs w:val="32"/>
          <w:lang w:eastAsia="zh-CN"/>
        </w:rPr>
        <w:t>。</w:t>
      </w:r>
    </w:p>
    <w:p>
      <w:pPr>
        <w:pStyle w:val="22"/>
        <w:numPr>
          <w:ilvl w:val="0"/>
          <w:numId w:val="2"/>
        </w:numPr>
        <w:snapToGrid w:val="0"/>
        <w:spacing w:line="570" w:lineRule="atLeas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22"/>
        <w:numPr>
          <w:ilvl w:val="0"/>
          <w:numId w:val="0"/>
        </w:numPr>
        <w:snapToGrid w:val="0"/>
        <w:spacing w:line="570" w:lineRule="atLeast"/>
        <w:ind w:left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本年度无国有资本经营预算支出。</w:t>
      </w:r>
    </w:p>
    <w:p>
      <w:pPr>
        <w:pStyle w:val="22"/>
        <w:numPr>
          <w:ilvl w:val="0"/>
          <w:numId w:val="2"/>
        </w:numPr>
        <w:snapToGrid w:val="0"/>
        <w:spacing w:line="570" w:lineRule="atLeast"/>
        <w:ind w:left="0" w:leftChars="0" w:firstLine="640" w:firstLineChars="200"/>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22"/>
        <w:numPr>
          <w:ilvl w:val="0"/>
          <w:numId w:val="0"/>
        </w:numPr>
        <w:snapToGrid w:val="0"/>
        <w:spacing w:line="570" w:lineRule="atLeast"/>
        <w:ind w:leftChars="200"/>
        <w:rPr>
          <w:rFonts w:ascii="Times New Roman" w:hAnsi="Times New Roman" w:eastAsia="黑体"/>
          <w:sz w:val="32"/>
          <w:szCs w:val="32"/>
        </w:rPr>
      </w:pPr>
      <w:r>
        <w:rPr>
          <w:rFonts w:hint="eastAsia" w:ascii="仿宋_GB2312" w:hAnsi="仿宋_GB2312" w:eastAsia="仿宋_GB2312" w:cs="仿宋_GB2312"/>
          <w:sz w:val="32"/>
          <w:szCs w:val="32"/>
          <w:lang w:val="en-US" w:eastAsia="zh-CN"/>
        </w:rPr>
        <w:t>本年度无社会保险基金预算支出。</w:t>
      </w:r>
    </w:p>
    <w:p>
      <w:pPr>
        <w:spacing w:line="570" w:lineRule="atLeast"/>
        <w:ind w:firstLine="640"/>
        <w:rPr>
          <w:rFonts w:eastAsia="黑体"/>
          <w:sz w:val="32"/>
          <w:szCs w:val="32"/>
        </w:rPr>
      </w:pPr>
      <w:r>
        <w:rPr>
          <w:rFonts w:eastAsia="黑体"/>
          <w:sz w:val="32"/>
          <w:szCs w:val="32"/>
        </w:rPr>
        <w:t>六、部门整体支出绩效情况</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年，</w:t>
      </w:r>
      <w:r>
        <w:rPr>
          <w:rFonts w:hint="eastAsia" w:ascii="Times New Roman" w:hAnsi="Times New Roman" w:eastAsia="仿宋_GB2312"/>
          <w:sz w:val="32"/>
          <w:szCs w:val="32"/>
          <w:highlight w:val="none"/>
          <w:lang w:val="en-US" w:eastAsia="zh-CN"/>
        </w:rPr>
        <w:t>本单位</w:t>
      </w:r>
      <w:r>
        <w:rPr>
          <w:rFonts w:hint="eastAsia" w:ascii="Times New Roman" w:hAnsi="Times New Roman" w:eastAsia="仿宋_GB2312"/>
          <w:sz w:val="32"/>
          <w:szCs w:val="32"/>
          <w:highlight w:val="none"/>
        </w:rPr>
        <w:t>坚持以习近平新时代中国特色社会主义思想为指导，深入落实省委、省政府的决策部署，根据年初工作计划和监督工作计划等要求，认真履行职责，较好地完成了年初确定的各项工作任务。现从运行成本、管理效率、履职效能、社会效应、可持续发展能力和服务对象满意度这六个方面进行自评</w:t>
      </w:r>
      <w:r>
        <w:rPr>
          <w:rFonts w:hint="eastAsia" w:ascii="Times New Roman" w:hAnsi="Times New Roman" w:eastAsia="仿宋_GB2312"/>
          <w:sz w:val="32"/>
          <w:szCs w:val="32"/>
          <w:highlight w:val="none"/>
          <w:lang w:eastAsia="zh-CN"/>
        </w:rPr>
        <w:t>。</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运行成本</w:t>
      </w:r>
      <w:r>
        <w:rPr>
          <w:rFonts w:hint="eastAsia" w:ascii="Times New Roman" w:hAnsi="Times New Roman" w:eastAsia="仿宋_GB2312"/>
          <w:sz w:val="32"/>
          <w:szCs w:val="32"/>
          <w:highlight w:val="none"/>
          <w:lang w:val="en-US" w:eastAsia="zh-CN"/>
        </w:rPr>
        <w:t>方面</w:t>
      </w:r>
    </w:p>
    <w:p>
      <w:pPr>
        <w:spacing w:line="570" w:lineRule="atLeast"/>
        <w:ind w:firstLine="64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sz w:val="32"/>
          <w:szCs w:val="32"/>
          <w:highlight w:val="none"/>
        </w:rPr>
        <w:t>202</w:t>
      </w:r>
      <w:r>
        <w:rPr>
          <w:rFonts w:hint="eastAsia" w:ascii="Times New Roman" w:hAnsi="Times New Roman"/>
          <w:sz w:val="32"/>
          <w:szCs w:val="32"/>
          <w:highlight w:val="none"/>
          <w:lang w:val="en-US" w:eastAsia="zh-CN"/>
        </w:rPr>
        <w:t>4</w:t>
      </w:r>
      <w:r>
        <w:rPr>
          <w:rFonts w:hint="eastAsia" w:ascii="Times New Roman" w:hAnsi="Times New Roman" w:eastAsia="仿宋_GB2312"/>
          <w:sz w:val="32"/>
          <w:szCs w:val="32"/>
          <w:highlight w:val="none"/>
        </w:rPr>
        <w:t>年部门财政拨款收入</w:t>
      </w:r>
      <w:r>
        <w:rPr>
          <w:rFonts w:hint="eastAsia" w:ascii="Times New Roman" w:hAnsi="Times New Roman"/>
          <w:sz w:val="32"/>
          <w:szCs w:val="32"/>
          <w:highlight w:val="none"/>
          <w:lang w:val="en-US" w:eastAsia="zh-CN"/>
        </w:rPr>
        <w:t>11341.59</w:t>
      </w:r>
      <w:r>
        <w:rPr>
          <w:rFonts w:hint="eastAsia" w:ascii="Times New Roman" w:hAnsi="Times New Roman" w:eastAsia="仿宋_GB2312"/>
          <w:sz w:val="32"/>
          <w:szCs w:val="32"/>
          <w:highlight w:val="none"/>
        </w:rPr>
        <w:t>万元，支出</w:t>
      </w:r>
      <w:r>
        <w:rPr>
          <w:rFonts w:hint="eastAsia" w:ascii="Times New Roman" w:hAnsi="Times New Roman"/>
          <w:sz w:val="32"/>
          <w:szCs w:val="32"/>
          <w:highlight w:val="none"/>
          <w:lang w:val="en-US" w:eastAsia="zh-CN"/>
        </w:rPr>
        <w:t>10883.61</w:t>
      </w:r>
      <w:r>
        <w:rPr>
          <w:rFonts w:hint="eastAsia" w:ascii="Times New Roman" w:hAnsi="Times New Roman" w:eastAsia="仿宋_GB2312"/>
          <w:sz w:val="32"/>
          <w:szCs w:val="32"/>
          <w:highlight w:val="none"/>
        </w:rPr>
        <w:t>万元，预算执行率为</w:t>
      </w:r>
      <w:r>
        <w:rPr>
          <w:rFonts w:hint="eastAsia" w:ascii="Times New Roman" w:hAnsi="Times New Roman"/>
          <w:sz w:val="32"/>
          <w:szCs w:val="32"/>
          <w:highlight w:val="none"/>
          <w:lang w:val="en-US" w:eastAsia="zh-CN"/>
        </w:rPr>
        <w:t>95.96</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其中：</w:t>
      </w:r>
      <w:r>
        <w:rPr>
          <w:rFonts w:hint="eastAsia" w:ascii="Times New Roman" w:hAnsi="Times New Roman" w:eastAsia="仿宋_GB2312"/>
          <w:sz w:val="32"/>
          <w:szCs w:val="32"/>
          <w:highlight w:val="none"/>
        </w:rPr>
        <w:t>202</w:t>
      </w:r>
      <w:r>
        <w:rPr>
          <w:rFonts w:hint="eastAsia" w:ascii="Times New Roman" w:hAnsi="Times New Roman"/>
          <w:sz w:val="32"/>
          <w:szCs w:val="32"/>
          <w:highlight w:val="none"/>
          <w:lang w:val="en-US" w:eastAsia="zh-CN"/>
        </w:rPr>
        <w:t>4</w:t>
      </w:r>
      <w:r>
        <w:rPr>
          <w:rFonts w:hint="eastAsia" w:ascii="Times New Roman" w:hAnsi="Times New Roman" w:eastAsia="仿宋_GB2312"/>
          <w:sz w:val="32"/>
          <w:szCs w:val="32"/>
          <w:highlight w:val="none"/>
        </w:rPr>
        <w:t xml:space="preserve"> 年“三公”经费支出</w:t>
      </w:r>
      <w:r>
        <w:rPr>
          <w:rFonts w:hint="eastAsia" w:ascii="Times New Roman" w:hAnsi="Times New Roman"/>
          <w:sz w:val="32"/>
          <w:szCs w:val="32"/>
          <w:highlight w:val="none"/>
          <w:lang w:val="en-US" w:eastAsia="zh-CN"/>
        </w:rPr>
        <w:t>41.6</w:t>
      </w: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包括</w:t>
      </w:r>
      <w:r>
        <w:rPr>
          <w:rFonts w:hint="eastAsia" w:ascii="Times New Roman" w:hAnsi="Times New Roman" w:eastAsia="仿宋_GB2312"/>
          <w:sz w:val="32"/>
          <w:szCs w:val="32"/>
          <w:highlight w:val="none"/>
        </w:rPr>
        <w:t>公务接待费</w:t>
      </w:r>
      <w:r>
        <w:rPr>
          <w:rFonts w:hint="eastAsia" w:ascii="Times New Roman" w:hAnsi="Times New Roman"/>
          <w:sz w:val="32"/>
          <w:szCs w:val="32"/>
          <w:highlight w:val="none"/>
          <w:lang w:val="en-US" w:eastAsia="zh-CN"/>
        </w:rPr>
        <w:t>1.06</w:t>
      </w:r>
      <w:r>
        <w:rPr>
          <w:rFonts w:hint="eastAsia" w:ascii="Times New Roman" w:hAnsi="Times New Roman" w:eastAsia="仿宋_GB2312"/>
          <w:sz w:val="32"/>
          <w:szCs w:val="32"/>
          <w:highlight w:val="none"/>
        </w:rPr>
        <w:t>万元、</w:t>
      </w:r>
      <w:r>
        <w:rPr>
          <w:rFonts w:hint="eastAsia" w:ascii="Times New Roman" w:hAnsi="Times New Roman" w:eastAsia="仿宋_GB2312"/>
          <w:b w:val="0"/>
          <w:bCs w:val="0"/>
          <w:color w:val="000000"/>
          <w:sz w:val="32"/>
          <w:szCs w:val="32"/>
          <w:highlight w:val="none"/>
        </w:rPr>
        <w:t>公务用车运行维护费</w:t>
      </w:r>
      <w:r>
        <w:rPr>
          <w:rFonts w:hint="eastAsia" w:ascii="Times New Roman" w:hAnsi="Times New Roman"/>
          <w:b w:val="0"/>
          <w:bCs w:val="0"/>
          <w:color w:val="000000"/>
          <w:sz w:val="32"/>
          <w:szCs w:val="32"/>
          <w:highlight w:val="none"/>
          <w:lang w:val="en-US" w:eastAsia="zh-CN"/>
        </w:rPr>
        <w:t>32.80</w:t>
      </w:r>
      <w:r>
        <w:rPr>
          <w:rFonts w:hint="eastAsia" w:ascii="Times New Roman" w:hAnsi="Times New Roman" w:eastAsia="仿宋_GB2312"/>
          <w:b w:val="0"/>
          <w:bCs w:val="0"/>
          <w:color w:val="000000"/>
          <w:sz w:val="32"/>
          <w:szCs w:val="32"/>
          <w:highlight w:val="none"/>
        </w:rPr>
        <w:t>万元、</w:t>
      </w:r>
      <w:r>
        <w:rPr>
          <w:rFonts w:hint="eastAsia" w:ascii="Times New Roman" w:hAnsi="Times New Roman" w:eastAsia="仿宋_GB2312"/>
          <w:b w:val="0"/>
          <w:bCs w:val="0"/>
          <w:color w:val="000000"/>
          <w:sz w:val="32"/>
          <w:szCs w:val="32"/>
          <w:highlight w:val="none"/>
          <w:lang w:val="en-US" w:eastAsia="zh-CN"/>
        </w:rPr>
        <w:t>因公出国(境)费</w:t>
      </w:r>
      <w:r>
        <w:rPr>
          <w:rFonts w:hint="eastAsia" w:ascii="Times New Roman" w:hAnsi="Times New Roman" w:eastAsia="仿宋_GB2312"/>
          <w:b w:val="0"/>
          <w:bCs w:val="0"/>
          <w:color w:val="000000"/>
          <w:sz w:val="32"/>
          <w:szCs w:val="32"/>
          <w:highlight w:val="none"/>
        </w:rPr>
        <w:t>支出</w:t>
      </w:r>
      <w:r>
        <w:rPr>
          <w:rFonts w:hint="eastAsia" w:ascii="Times New Roman" w:hAnsi="Times New Roman"/>
          <w:b w:val="0"/>
          <w:bCs w:val="0"/>
          <w:color w:val="000000"/>
          <w:sz w:val="32"/>
          <w:szCs w:val="32"/>
          <w:highlight w:val="none"/>
          <w:lang w:val="en-US" w:eastAsia="zh-CN"/>
        </w:rPr>
        <w:t>7.80</w:t>
      </w:r>
      <w:r>
        <w:rPr>
          <w:rFonts w:hint="eastAsia" w:ascii="Times New Roman" w:hAnsi="Times New Roman" w:eastAsia="仿宋_GB2312"/>
          <w:b w:val="0"/>
          <w:bCs w:val="0"/>
          <w:color w:val="000000"/>
          <w:sz w:val="32"/>
          <w:szCs w:val="32"/>
          <w:highlight w:val="none"/>
        </w:rPr>
        <w:t>万元,较年初预算</w:t>
      </w:r>
      <w:r>
        <w:rPr>
          <w:rFonts w:hint="eastAsia" w:ascii="Times New Roman" w:hAnsi="Times New Roman"/>
          <w:b w:val="0"/>
          <w:bCs w:val="0"/>
          <w:color w:val="000000"/>
          <w:sz w:val="32"/>
          <w:szCs w:val="32"/>
          <w:highlight w:val="none"/>
          <w:lang w:val="en-US" w:eastAsia="zh-CN"/>
        </w:rPr>
        <w:t>73.00</w:t>
      </w:r>
      <w:r>
        <w:rPr>
          <w:rFonts w:hint="eastAsia" w:ascii="Times New Roman" w:hAnsi="Times New Roman" w:eastAsia="仿宋_GB2312"/>
          <w:b w:val="0"/>
          <w:bCs w:val="0"/>
          <w:color w:val="000000"/>
          <w:sz w:val="32"/>
          <w:szCs w:val="32"/>
          <w:highlight w:val="none"/>
        </w:rPr>
        <w:t>万元节约</w:t>
      </w:r>
      <w:r>
        <w:rPr>
          <w:rFonts w:hint="eastAsia" w:ascii="Times New Roman" w:hAnsi="Times New Roman"/>
          <w:b w:val="0"/>
          <w:bCs w:val="0"/>
          <w:color w:val="000000"/>
          <w:sz w:val="32"/>
          <w:szCs w:val="32"/>
          <w:highlight w:val="none"/>
          <w:lang w:val="en-US" w:eastAsia="zh-CN"/>
        </w:rPr>
        <w:t>31.34</w:t>
      </w:r>
      <w:r>
        <w:rPr>
          <w:rFonts w:hint="eastAsia" w:ascii="Times New Roman" w:hAnsi="Times New Roman" w:eastAsia="仿宋_GB2312"/>
          <w:b w:val="0"/>
          <w:bCs w:val="0"/>
          <w:color w:val="000000"/>
          <w:sz w:val="32"/>
          <w:szCs w:val="32"/>
          <w:highlight w:val="none"/>
        </w:rPr>
        <w:t>万元，节约比为</w:t>
      </w:r>
      <w:r>
        <w:rPr>
          <w:rFonts w:hint="eastAsia" w:ascii="Times New Roman" w:hAnsi="Times New Roman"/>
          <w:b w:val="0"/>
          <w:bCs w:val="0"/>
          <w:color w:val="000000"/>
          <w:sz w:val="32"/>
          <w:szCs w:val="32"/>
          <w:highlight w:val="none"/>
          <w:lang w:val="en-US" w:eastAsia="zh-CN"/>
        </w:rPr>
        <w:t>42.93</w:t>
      </w:r>
      <w:r>
        <w:rPr>
          <w:rFonts w:hint="eastAsia" w:ascii="Times New Roman" w:hAnsi="Times New Roman" w:eastAsia="仿宋_GB2312"/>
          <w:b w:val="0"/>
          <w:bCs w:val="0"/>
          <w:color w:val="000000"/>
          <w:sz w:val="32"/>
          <w:szCs w:val="32"/>
          <w:highlight w:val="none"/>
        </w:rPr>
        <w:t>%。</w:t>
      </w:r>
      <w:r>
        <w:rPr>
          <w:rFonts w:hint="eastAsia" w:ascii="Times New Roman" w:hAnsi="Times New Roman" w:eastAsia="仿宋_GB2312"/>
          <w:b w:val="0"/>
          <w:bCs w:val="0"/>
          <w:color w:val="000000"/>
          <w:sz w:val="32"/>
          <w:szCs w:val="32"/>
          <w:highlight w:val="none"/>
          <w:lang w:val="en-US" w:eastAsia="zh-CN"/>
        </w:rPr>
        <w:t>202</w:t>
      </w:r>
      <w:r>
        <w:rPr>
          <w:rFonts w:hint="eastAsia" w:ascii="Times New Roman" w:hAnsi="Times New Roman"/>
          <w:b w:val="0"/>
          <w:bCs w:val="0"/>
          <w:color w:val="000000"/>
          <w:sz w:val="32"/>
          <w:szCs w:val="32"/>
          <w:highlight w:val="none"/>
          <w:lang w:val="en-US" w:eastAsia="zh-CN"/>
        </w:rPr>
        <w:t>4</w:t>
      </w:r>
      <w:r>
        <w:rPr>
          <w:rFonts w:hint="eastAsia" w:ascii="Times New Roman" w:hAnsi="Times New Roman" w:eastAsia="仿宋_GB2312"/>
          <w:b w:val="0"/>
          <w:bCs w:val="0"/>
          <w:color w:val="000000"/>
          <w:sz w:val="32"/>
          <w:szCs w:val="32"/>
          <w:highlight w:val="none"/>
          <w:lang w:val="en-US" w:eastAsia="zh-CN"/>
        </w:rPr>
        <w:t>年公用经费年初预算为712.4</w:t>
      </w:r>
      <w:r>
        <w:rPr>
          <w:rFonts w:hint="eastAsia" w:ascii="Times New Roman" w:hAnsi="Times New Roman"/>
          <w:b w:val="0"/>
          <w:bCs w:val="0"/>
          <w:color w:val="000000"/>
          <w:sz w:val="32"/>
          <w:szCs w:val="32"/>
          <w:highlight w:val="none"/>
          <w:lang w:val="en-US" w:eastAsia="zh-CN"/>
        </w:rPr>
        <w:t>0</w:t>
      </w:r>
      <w:r>
        <w:rPr>
          <w:rFonts w:hint="eastAsia" w:ascii="Times New Roman" w:hAnsi="Times New Roman" w:eastAsia="仿宋_GB2312"/>
          <w:b w:val="0"/>
          <w:bCs w:val="0"/>
          <w:color w:val="000000"/>
          <w:sz w:val="32"/>
          <w:szCs w:val="32"/>
          <w:highlight w:val="none"/>
          <w:lang w:val="en-US" w:eastAsia="zh-CN"/>
        </w:rPr>
        <w:t>万元，决算数为</w:t>
      </w:r>
      <w:r>
        <w:rPr>
          <w:rFonts w:hint="eastAsia" w:ascii="Times New Roman" w:hAnsi="Times New Roman"/>
          <w:b w:val="0"/>
          <w:bCs w:val="0"/>
          <w:color w:val="000000"/>
          <w:sz w:val="32"/>
          <w:szCs w:val="32"/>
          <w:highlight w:val="none"/>
          <w:lang w:val="en-US" w:eastAsia="zh-CN"/>
        </w:rPr>
        <w:t>592.40</w:t>
      </w:r>
      <w:r>
        <w:rPr>
          <w:rFonts w:hint="eastAsia" w:ascii="Times New Roman" w:hAnsi="Times New Roman" w:eastAsia="仿宋_GB2312"/>
          <w:b w:val="0"/>
          <w:bCs w:val="0"/>
          <w:color w:val="000000"/>
          <w:sz w:val="32"/>
          <w:szCs w:val="32"/>
          <w:highlight w:val="none"/>
          <w:lang w:val="en-US" w:eastAsia="zh-CN"/>
        </w:rPr>
        <w:t>万元。</w:t>
      </w:r>
    </w:p>
    <w:p>
      <w:pPr>
        <w:numPr>
          <w:ilvl w:val="0"/>
          <w:numId w:val="3"/>
        </w:numPr>
        <w:spacing w:line="570" w:lineRule="atLeast"/>
        <w:ind w:firstLine="64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b w:val="0"/>
          <w:bCs w:val="0"/>
          <w:color w:val="000000"/>
          <w:sz w:val="32"/>
          <w:szCs w:val="32"/>
          <w:highlight w:val="none"/>
          <w:lang w:val="en-US" w:eastAsia="zh-CN"/>
        </w:rPr>
        <w:t>管理效率方面</w:t>
      </w:r>
    </w:p>
    <w:p>
      <w:pPr>
        <w:numPr>
          <w:ilvl w:val="0"/>
          <w:numId w:val="0"/>
        </w:numPr>
        <w:spacing w:line="570" w:lineRule="atLeast"/>
        <w:rPr>
          <w:rFonts w:hint="default" w:ascii="Times New Roman" w:hAnsi="Times New Roman" w:eastAsia="仿宋_GB2312"/>
          <w:b w:val="0"/>
          <w:bCs w:val="0"/>
          <w:color w:val="000000"/>
          <w:sz w:val="32"/>
          <w:szCs w:val="32"/>
          <w:highlight w:val="none"/>
          <w:lang w:val="en-US" w:eastAsia="zh-CN"/>
        </w:rPr>
      </w:pPr>
      <w:r>
        <w:rPr>
          <w:rFonts w:hint="eastAsia" w:ascii="Times New Roman" w:hAnsi="Times New Roman"/>
          <w:b w:val="0"/>
          <w:bCs w:val="0"/>
          <w:color w:val="000000"/>
          <w:sz w:val="32"/>
          <w:szCs w:val="32"/>
          <w:highlight w:val="none"/>
          <w:lang w:val="en-US" w:eastAsia="zh-CN"/>
        </w:rPr>
        <w:t xml:space="preserve"> </w:t>
      </w:r>
      <w:r>
        <w:rPr>
          <w:rFonts w:hint="eastAsia" w:ascii="Times New Roman" w:hAnsi="Times New Roman" w:eastAsia="仿宋_GB2312"/>
          <w:b w:val="0"/>
          <w:bCs w:val="0"/>
          <w:color w:val="000000"/>
          <w:sz w:val="32"/>
          <w:szCs w:val="32"/>
          <w:highlight w:val="none"/>
          <w:lang w:val="en-US" w:eastAsia="zh-CN"/>
        </w:rPr>
        <w:t xml:space="preserve">   一是全力稳定产能。压实生猪稳产保供省负总责和“菜篮子”市长负责制，落实“猪十条”、《省金融助力畜牧业高质量发展实施方案》等扶持政策，实施生猪良种补贴项目，加大生猪产能调控基地建设，发展标准化规模养殖，引导中小户积极补栏增养。推进草牧业增量提质行动，新改扩建牛羊场941个，新增栏舍90万平米。起草《推进家禽产业高质量发展的意见》，采取发放鸡苗、仔猪等措施帮助农户发展养殖。协力推进湖区6.3万亩水产养殖池塘升级改造，提升单产水平，稳定大宗水产品产量，发展鲈、鳜、鳗等名特优养殖。二是大抓产能建设。全年上马畜牧业项目272个、建成投产153个，其中万头以上规模猪场112个，已建成投产38个、新增肥猪年产能101万头；年出笼超20万羽的肉鸡规模场15个，建成投产9个、新增肉鸡年出栏230万羽；年存笼过20万羽的蛋鸡规模场31个，建成投产10个、年存笼规模359万羽。积极推动出台《湖南省推进现代设施渔业高质量发展的若干措施（2024-2026年）》，筹备召开全省设施渔业现场推进会，设施渔业发展势头强劲，全省工厂化养殖容量达173万立米、同比增长48%，池塘流水槽从年初394条发展到900多条，另有106个设施渔业项目正加快建设。三是夯实种业基础。持续发力种业高地建设，以良种良繁提升养殖产量。崀山鸡、白羽乌鸡、凤头鸭、武雪山羊通过国家新资源鉴定。瘦肉型猪联合育种成效显著，建成国内首个完成整体性系统性遗传关联的省级生猪育种联合体。广益黑猪、湘佳黑鸡配套系通过省级新品种审定。原濒危品种东安鸡得到抢救性保护，原种群体数量恢复至安全线以上。水产方面，17家单位晋升为省级水产原、良种场；草鱼、湘华鲮等9个重点品种选育联合攻关取得阶段性成果。</w:t>
      </w:r>
    </w:p>
    <w:p>
      <w:pPr>
        <w:numPr>
          <w:ilvl w:val="0"/>
          <w:numId w:val="3"/>
        </w:numPr>
        <w:spacing w:line="570" w:lineRule="atLeast"/>
        <w:ind w:firstLine="64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sz w:val="32"/>
          <w:szCs w:val="32"/>
          <w:highlight w:val="none"/>
          <w:lang w:val="en-US" w:eastAsia="zh-CN"/>
        </w:rPr>
        <w:t>履职效能方面</w:t>
      </w:r>
    </w:p>
    <w:p>
      <w:pPr>
        <w:numPr>
          <w:ilvl w:val="0"/>
          <w:numId w:val="0"/>
        </w:numPr>
        <w:spacing w:line="570" w:lineRule="atLeast"/>
        <w:ind w:firstLine="640" w:firstLineChars="20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b w:val="0"/>
          <w:bCs w:val="0"/>
          <w:color w:val="000000"/>
          <w:sz w:val="32"/>
          <w:szCs w:val="32"/>
          <w:highlight w:val="none"/>
          <w:lang w:val="en-US" w:eastAsia="zh-CN"/>
        </w:rPr>
        <w:t>一是</w:t>
      </w:r>
      <w:r>
        <w:rPr>
          <w:rFonts w:hint="eastAsia" w:ascii="Times New Roman" w:hAnsi="Times New Roman" w:eastAsia="仿宋_GB2312"/>
          <w:b w:val="0"/>
          <w:bCs w:val="0"/>
          <w:color w:val="000000"/>
          <w:sz w:val="32"/>
          <w:szCs w:val="32"/>
          <w:highlight w:val="none"/>
          <w:lang w:val="en-US" w:eastAsia="zh-CN"/>
        </w:rPr>
        <w:t>加强常态化防控。督促地方严格落实综合防控措施，实施春秋集中强制免疫，加大平常补免，全省畜禽群体免疫密度常年保持在90%以上、抗体水平达70%以上。加大养殖场、活禽交易市场、屠宰场、无害化处理场等重点部位的病毒监测频次，指导督促全面消杀到位。“先打后补”基本实现全省覆盖。完成对10个血吸虫病流行县消除达标技术评估。联合发布《关于入湘动物实施指定通道管理的通告》，将指定通道管理对象由生猪扩大到所有动物。出台《湖南省病死动物无害化处理体系建设规划（2024-2030年）》，指导组建行业协会。组织9家机构参加全国水生动物防疫系统实验室检测能力验证，检测能力明显提升。</w:t>
      </w:r>
      <w:r>
        <w:rPr>
          <w:rFonts w:hint="eastAsia" w:ascii="Times New Roman" w:hAnsi="Times New Roman"/>
          <w:b w:val="0"/>
          <w:bCs w:val="0"/>
          <w:color w:val="000000"/>
          <w:sz w:val="32"/>
          <w:szCs w:val="32"/>
          <w:highlight w:val="none"/>
          <w:lang w:val="en-US" w:eastAsia="zh-CN"/>
        </w:rPr>
        <w:t>二是</w:t>
      </w:r>
      <w:r>
        <w:rPr>
          <w:rFonts w:hint="eastAsia" w:ascii="Times New Roman" w:hAnsi="Times New Roman" w:eastAsia="仿宋_GB2312"/>
          <w:b w:val="0"/>
          <w:bCs w:val="0"/>
          <w:color w:val="000000"/>
          <w:sz w:val="32"/>
          <w:szCs w:val="32"/>
          <w:highlight w:val="none"/>
          <w:lang w:val="en-US" w:eastAsia="zh-CN"/>
        </w:rPr>
        <w:t>加快无疫小区创建。提升生物安全防护水平，累计建成牛布病无疫小区1个、非洲猪瘟无疫小区29个，在建非洲猪瘟无疫小区10个，覆盖10市州40个县市区，我省创建数量质量均排名全国前茅，助推了生猪外调、湘猪出湘。水产方面，指导推动3家单位创建无规定水生动物疫病苗种场。</w:t>
      </w:r>
      <w:r>
        <w:rPr>
          <w:rFonts w:hint="eastAsia" w:ascii="Times New Roman" w:hAnsi="Times New Roman"/>
          <w:b w:val="0"/>
          <w:bCs w:val="0"/>
          <w:color w:val="000000"/>
          <w:sz w:val="32"/>
          <w:szCs w:val="32"/>
          <w:highlight w:val="none"/>
          <w:lang w:val="en-US" w:eastAsia="zh-CN"/>
        </w:rPr>
        <w:t>三是</w:t>
      </w:r>
      <w:r>
        <w:rPr>
          <w:rFonts w:hint="eastAsia" w:ascii="Times New Roman" w:hAnsi="Times New Roman" w:eastAsia="仿宋_GB2312"/>
          <w:b w:val="0"/>
          <w:bCs w:val="0"/>
          <w:color w:val="000000"/>
          <w:sz w:val="32"/>
          <w:szCs w:val="32"/>
          <w:highlight w:val="none"/>
          <w:lang w:val="en-US" w:eastAsia="zh-CN"/>
        </w:rPr>
        <w:t>严格官方兽医管理。出台《湖南省官方兽医管理办法（试行）》。组织全国（湖南）执业兽医资格考试，通过率创历史新高。举办全省首届屠宰兽医卫生检验人员考试。开展基层检疫乱象集中整治，全省暂停官方兽医出证权限49人次、注销20人次，党纪政务处分13人次。推进检疫电子出证。在全省实现无纸化出具动物A证、B证基础上，启动无纸化出具动物产品B证试点并成功，即将在全省推行。</w:t>
      </w:r>
      <w:r>
        <w:rPr>
          <w:rFonts w:hint="eastAsia" w:ascii="Times New Roman" w:hAnsi="Times New Roman"/>
          <w:b w:val="0"/>
          <w:bCs w:val="0"/>
          <w:color w:val="000000"/>
          <w:sz w:val="32"/>
          <w:szCs w:val="32"/>
          <w:highlight w:val="none"/>
          <w:lang w:val="en-US" w:eastAsia="zh-CN"/>
        </w:rPr>
        <w:t>四是</w:t>
      </w:r>
      <w:r>
        <w:rPr>
          <w:rFonts w:hint="eastAsia" w:ascii="Times New Roman" w:hAnsi="Times New Roman" w:eastAsia="仿宋_GB2312"/>
          <w:b w:val="0"/>
          <w:bCs w:val="0"/>
          <w:color w:val="000000"/>
          <w:sz w:val="32"/>
          <w:szCs w:val="32"/>
          <w:highlight w:val="none"/>
          <w:lang w:val="en-US" w:eastAsia="zh-CN"/>
        </w:rPr>
        <w:t>加强信息化管理。持续优化省畜牧水产监管信息平台，全省畜禽种业、养殖、调运、免疫、检疫、屠宰、无害化处理、资源化利用等全链条重要数据基本做到“一网覆盖”，并实现与农业农村部相关数据平台、省政务平台对接及“动物A证出证”中南六省跨省互认，养殖业智慧监管走在全国前列。</w:t>
      </w:r>
    </w:p>
    <w:p>
      <w:pPr>
        <w:numPr>
          <w:ilvl w:val="0"/>
          <w:numId w:val="3"/>
        </w:numPr>
        <w:spacing w:line="570" w:lineRule="atLeast"/>
        <w:ind w:firstLine="64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sz w:val="32"/>
          <w:szCs w:val="32"/>
          <w:highlight w:val="none"/>
          <w:lang w:val="en-US" w:eastAsia="zh-CN"/>
        </w:rPr>
        <w:t>社会效益方面</w:t>
      </w:r>
    </w:p>
    <w:p>
      <w:pPr>
        <w:numPr>
          <w:ilvl w:val="0"/>
          <w:numId w:val="0"/>
        </w:numPr>
        <w:spacing w:line="570" w:lineRule="atLeast"/>
        <w:ind w:firstLine="640" w:firstLineChars="20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b w:val="0"/>
          <w:bCs w:val="0"/>
          <w:color w:val="000000"/>
          <w:sz w:val="32"/>
          <w:szCs w:val="32"/>
          <w:highlight w:val="none"/>
          <w:lang w:val="en-US" w:eastAsia="zh-CN"/>
        </w:rPr>
        <w:t>一是</w:t>
      </w:r>
      <w:r>
        <w:rPr>
          <w:rFonts w:hint="eastAsia" w:ascii="Times New Roman" w:hAnsi="Times New Roman" w:eastAsia="仿宋_GB2312"/>
          <w:b w:val="0"/>
          <w:bCs w:val="0"/>
          <w:color w:val="000000"/>
          <w:sz w:val="32"/>
          <w:szCs w:val="32"/>
          <w:highlight w:val="none"/>
          <w:lang w:val="en-US" w:eastAsia="zh-CN"/>
        </w:rPr>
        <w:t>推进减抗行动。据对畜禽养殖常用的20种兽用抗菌药生产销售情况调查统计，2023年省内相关产品的产量比2022年降低4.3%、销量减少了3.6%。</w:t>
      </w:r>
      <w:r>
        <w:rPr>
          <w:rFonts w:hint="eastAsia" w:ascii="Times New Roman" w:hAnsi="Times New Roman"/>
          <w:b w:val="0"/>
          <w:bCs w:val="0"/>
          <w:color w:val="000000"/>
          <w:sz w:val="32"/>
          <w:szCs w:val="32"/>
          <w:highlight w:val="none"/>
          <w:lang w:val="en-US" w:eastAsia="zh-CN"/>
        </w:rPr>
        <w:t>二是</w:t>
      </w:r>
      <w:r>
        <w:rPr>
          <w:rFonts w:hint="eastAsia" w:ascii="Times New Roman" w:hAnsi="Times New Roman" w:eastAsia="仿宋_GB2312"/>
          <w:b w:val="0"/>
          <w:bCs w:val="0"/>
          <w:color w:val="000000"/>
          <w:sz w:val="32"/>
          <w:szCs w:val="32"/>
          <w:highlight w:val="none"/>
          <w:lang w:val="en-US" w:eastAsia="zh-CN"/>
        </w:rPr>
        <w:t>开展养殖规范用药专项整治。实施“8条鱼”等重点水产品药物残留攻坚治理专项行动。严格兽药生产和经营环节日常监管“双随机、一公开”，协助检查兽药生产企业6家、兽药经营企业102家，调查处置兽药生产涉嫌违法行为1起。协助核发兽药生产许可证10个、兽用生物制品经营许可证121个。</w:t>
      </w:r>
      <w:r>
        <w:rPr>
          <w:rFonts w:hint="eastAsia" w:ascii="Times New Roman" w:hAnsi="Times New Roman"/>
          <w:b w:val="0"/>
          <w:bCs w:val="0"/>
          <w:color w:val="000000"/>
          <w:sz w:val="32"/>
          <w:szCs w:val="32"/>
          <w:highlight w:val="none"/>
          <w:lang w:val="en-US" w:eastAsia="zh-CN"/>
        </w:rPr>
        <w:t>三是</w:t>
      </w:r>
      <w:r>
        <w:rPr>
          <w:rFonts w:hint="eastAsia" w:ascii="Times New Roman" w:hAnsi="Times New Roman" w:eastAsia="仿宋_GB2312"/>
          <w:b w:val="0"/>
          <w:bCs w:val="0"/>
          <w:color w:val="000000"/>
          <w:sz w:val="32"/>
          <w:szCs w:val="32"/>
          <w:highlight w:val="none"/>
          <w:lang w:val="en-US" w:eastAsia="zh-CN"/>
        </w:rPr>
        <w:t>实施生猪屠宰质量管理规范。举办全省专题培训班、现场推进会，33家生猪屠宰场厂通过验收，超额完成年度任务，通过数量全国第三。争取到将生猪就地屠宰率、人均猪肉占有量列入省政府大抓落实工作激励措施，支持和推动67个屠宰企业升级改造，全省生猪规模以上集中屠宰率提升至44.9%，同比提高6.5个百分点。</w:t>
      </w:r>
    </w:p>
    <w:p>
      <w:pPr>
        <w:numPr>
          <w:ilvl w:val="0"/>
          <w:numId w:val="3"/>
        </w:numPr>
        <w:spacing w:line="570" w:lineRule="atLeast"/>
        <w:ind w:firstLine="64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b w:val="0"/>
          <w:bCs w:val="0"/>
          <w:color w:val="000000"/>
          <w:sz w:val="32"/>
          <w:szCs w:val="32"/>
          <w:highlight w:val="none"/>
          <w:shd w:val="clear" w:color="auto" w:fill="FFFFFF"/>
          <w:lang w:val="en-US" w:eastAsia="zh-CN"/>
        </w:rPr>
        <w:t>可持续发展能力方面</w:t>
      </w:r>
    </w:p>
    <w:p>
      <w:pPr>
        <w:numPr>
          <w:ilvl w:val="0"/>
          <w:numId w:val="0"/>
        </w:numPr>
        <w:spacing w:line="570" w:lineRule="atLeast"/>
        <w:ind w:firstLine="640" w:firstLineChars="20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b w:val="0"/>
          <w:bCs w:val="0"/>
          <w:color w:val="000000"/>
          <w:sz w:val="32"/>
          <w:szCs w:val="32"/>
          <w:highlight w:val="none"/>
          <w:lang w:val="en-US" w:eastAsia="zh-CN"/>
        </w:rPr>
        <w:t>一是</w:t>
      </w:r>
      <w:r>
        <w:rPr>
          <w:rFonts w:hint="eastAsia" w:ascii="Times New Roman" w:hAnsi="Times New Roman" w:eastAsia="仿宋_GB2312"/>
          <w:b w:val="0"/>
          <w:bCs w:val="0"/>
          <w:color w:val="000000"/>
          <w:sz w:val="32"/>
          <w:szCs w:val="32"/>
          <w:highlight w:val="none"/>
          <w:lang w:val="en-US" w:eastAsia="zh-CN"/>
        </w:rPr>
        <w:t>开展技能大培训。实施基层农技推广项目，建设养殖科技示范基地69个、推广主推品种和主推技术100余项、培训基层农技员1500多人次。举办基层养殖技术推广骨干能力提升培训8期、1035人，养殖新技术线上培训5期。办好第六届湖南省职业（水产技术员）技能竞赛。组队参加全国农技大赛水产技术员项目竞赛，2名选手获个人三等奖。</w:t>
      </w:r>
      <w:r>
        <w:rPr>
          <w:rFonts w:hint="eastAsia" w:ascii="Times New Roman" w:hAnsi="Times New Roman"/>
          <w:b w:val="0"/>
          <w:bCs w:val="0"/>
          <w:color w:val="000000"/>
          <w:sz w:val="32"/>
          <w:szCs w:val="32"/>
          <w:highlight w:val="none"/>
          <w:lang w:val="en-US" w:eastAsia="zh-CN"/>
        </w:rPr>
        <w:t>二是</w:t>
      </w:r>
      <w:r>
        <w:rPr>
          <w:rFonts w:hint="eastAsia" w:ascii="Times New Roman" w:hAnsi="Times New Roman" w:eastAsia="仿宋_GB2312"/>
          <w:b w:val="0"/>
          <w:bCs w:val="0"/>
          <w:color w:val="000000"/>
          <w:sz w:val="32"/>
          <w:szCs w:val="32"/>
          <w:highlight w:val="none"/>
          <w:lang w:val="en-US" w:eastAsia="zh-CN"/>
        </w:rPr>
        <w:t>提升基层兽医学历。制定《湖南省基层兽医队伍学历提升培养实施方案（2025-2029年）》，并积极争取到厅党组重视和支持，将通过成人高等教育方式提升基层兽医从业人员学历，计划5年培养1500人。</w:t>
      </w:r>
      <w:r>
        <w:rPr>
          <w:rFonts w:hint="eastAsia" w:ascii="Times New Roman" w:hAnsi="Times New Roman"/>
          <w:b w:val="0"/>
          <w:bCs w:val="0"/>
          <w:color w:val="000000"/>
          <w:sz w:val="32"/>
          <w:szCs w:val="32"/>
          <w:highlight w:val="none"/>
          <w:lang w:val="en-US" w:eastAsia="zh-CN"/>
        </w:rPr>
        <w:t>三是</w:t>
      </w:r>
      <w:r>
        <w:rPr>
          <w:rFonts w:hint="eastAsia" w:ascii="Times New Roman" w:hAnsi="Times New Roman" w:eastAsia="仿宋_GB2312"/>
          <w:b w:val="0"/>
          <w:bCs w:val="0"/>
          <w:color w:val="000000"/>
          <w:sz w:val="32"/>
          <w:szCs w:val="32"/>
          <w:highlight w:val="none"/>
          <w:lang w:val="en-US" w:eastAsia="zh-CN"/>
        </w:rPr>
        <w:t>组织科技下乡。先后组织开展畜牧业科技基层行、动物疫病防治科技下乡服务、助力家禽产业高质量发展送科技送法规下乡活动，在衡阳县召开蛋鸭笼养现场观摩会、泸溪县举办水产健康养殖技术培训会，深受农户欢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6、服务对象满意度方面</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b w:val="0"/>
          <w:bCs w:val="0"/>
          <w:color w:val="000000"/>
          <w:sz w:val="32"/>
          <w:szCs w:val="32"/>
          <w:highlight w:val="none"/>
          <w:lang w:val="en-US" w:eastAsia="zh-CN"/>
        </w:rPr>
      </w:pPr>
      <w:r>
        <w:rPr>
          <w:rFonts w:hint="default" w:ascii="Times New Roman" w:hAnsi="Times New Roman" w:eastAsia="仿宋_GB2312"/>
          <w:sz w:val="32"/>
          <w:szCs w:val="32"/>
          <w:highlight w:val="none"/>
          <w:lang w:val="en-US" w:eastAsia="zh-CN"/>
        </w:rPr>
        <w:t>服务对象的满意度为90%以上。</w:t>
      </w:r>
    </w:p>
    <w:p>
      <w:pPr>
        <w:pStyle w:val="22"/>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64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本年度预算执行中，尽管整体预算执行率</w:t>
      </w:r>
      <w:r>
        <w:rPr>
          <w:rFonts w:hint="eastAsia" w:ascii="Times New Roman" w:hAnsi="Times New Roman"/>
          <w:sz w:val="32"/>
          <w:szCs w:val="32"/>
          <w:highlight w:val="none"/>
          <w:lang w:val="en-US" w:eastAsia="zh-CN"/>
        </w:rPr>
        <w:t>达到95.96</w:t>
      </w:r>
      <w:r>
        <w:rPr>
          <w:rFonts w:hint="eastAsia" w:ascii="Times New Roman" w:hAnsi="Times New Roman" w:eastAsia="仿宋_GB2312"/>
          <w:sz w:val="32"/>
          <w:szCs w:val="32"/>
          <w:highlight w:val="none"/>
        </w:rPr>
        <w:t>%，但仍有个别项目本年度预算执行率</w:t>
      </w:r>
      <w:r>
        <w:rPr>
          <w:rFonts w:hint="eastAsia" w:ascii="Times New Roman" w:hAnsi="Times New Roman" w:eastAsia="仿宋_GB2312"/>
          <w:sz w:val="32"/>
          <w:szCs w:val="32"/>
          <w:highlight w:val="none"/>
          <w:lang w:val="en-US" w:eastAsia="zh-CN"/>
        </w:rPr>
        <w:t>较低</w:t>
      </w:r>
      <w:r>
        <w:rPr>
          <w:rFonts w:hint="eastAsia" w:ascii="Times New Roman" w:hAnsi="Times New Roman" w:eastAsia="仿宋_GB2312"/>
          <w:sz w:val="32"/>
          <w:szCs w:val="32"/>
          <w:highlight w:val="none"/>
        </w:rPr>
        <w:t>。主要原因是</w:t>
      </w:r>
      <w:r>
        <w:rPr>
          <w:rFonts w:hint="eastAsia" w:ascii="Times New Roman" w:hAnsi="Times New Roman" w:eastAsia="仿宋_GB2312"/>
          <w:sz w:val="32"/>
          <w:szCs w:val="32"/>
          <w:highlight w:val="none"/>
          <w:lang w:val="en-US" w:eastAsia="zh-CN"/>
        </w:rPr>
        <w:t>工作安排调整，</w:t>
      </w:r>
      <w:r>
        <w:rPr>
          <w:rFonts w:hint="eastAsia" w:ascii="Times New Roman" w:hAnsi="Times New Roman"/>
          <w:sz w:val="32"/>
          <w:szCs w:val="32"/>
          <w:highlight w:val="none"/>
          <w:lang w:val="en-US" w:eastAsia="zh-CN"/>
        </w:rPr>
        <w:t>前序工作推迟，导致该</w:t>
      </w:r>
      <w:r>
        <w:rPr>
          <w:rFonts w:hint="eastAsia" w:ascii="Times New Roman" w:hAnsi="Times New Roman" w:eastAsia="仿宋_GB2312"/>
          <w:sz w:val="32"/>
          <w:szCs w:val="32"/>
          <w:highlight w:val="none"/>
          <w:lang w:val="en-US" w:eastAsia="zh-CN"/>
        </w:rPr>
        <w:t>项目推迟</w:t>
      </w:r>
      <w:r>
        <w:rPr>
          <w:rFonts w:hint="eastAsia" w:ascii="Times New Roman" w:hAnsi="Times New Roman"/>
          <w:sz w:val="32"/>
          <w:szCs w:val="32"/>
          <w:highlight w:val="none"/>
          <w:lang w:val="en-US" w:eastAsia="zh-CN"/>
        </w:rPr>
        <w:t>至下年度</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本年度内</w:t>
      </w:r>
      <w:r>
        <w:rPr>
          <w:rFonts w:hint="eastAsia" w:ascii="Times New Roman" w:hAnsi="Times New Roman" w:eastAsia="仿宋_GB2312"/>
          <w:sz w:val="32"/>
          <w:szCs w:val="32"/>
          <w:highlight w:val="none"/>
        </w:rPr>
        <w:t>暂未形成支出。</w:t>
      </w:r>
    </w:p>
    <w:p>
      <w:pPr>
        <w:numPr>
          <w:ilvl w:val="0"/>
          <w:numId w:val="4"/>
        </w:numPr>
        <w:spacing w:line="600" w:lineRule="exact"/>
        <w:ind w:firstLine="640"/>
        <w:rPr>
          <w:rFonts w:eastAsia="黑体"/>
          <w:sz w:val="32"/>
          <w:szCs w:val="32"/>
        </w:rPr>
      </w:pPr>
      <w:r>
        <w:rPr>
          <w:rFonts w:eastAsia="黑体"/>
          <w:sz w:val="32"/>
          <w:szCs w:val="32"/>
        </w:rPr>
        <w:t>下一步改进措施</w:t>
      </w:r>
    </w:p>
    <w:p>
      <w:pPr>
        <w:pStyle w:val="16"/>
        <w:ind w:firstLine="640" w:firstLineChars="200"/>
        <w:jc w:val="both"/>
        <w:rPr>
          <w:rFonts w:eastAsia="黑体"/>
          <w:sz w:val="32"/>
          <w:szCs w:val="32"/>
        </w:rPr>
      </w:pPr>
      <w:r>
        <w:rPr>
          <w:rFonts w:hint="eastAsia" w:ascii="Times New Roman" w:hAnsi="Times New Roman" w:eastAsia="仿宋_GB2312"/>
          <w:sz w:val="32"/>
          <w:szCs w:val="32"/>
          <w:highlight w:val="none"/>
        </w:rPr>
        <w:t>一方面进一步提高预算编制的科学性、准确性和合理性，强化预算管理，提高预算执行力度。另一方面通过定期对项目实施和预算执行情况进行跟踪，及时掌握项目进度、发现问题和解决问题，督促项目实施单位早启动、早实施、早验收，对符合条件的目按照项目进度支付相关款项，将预算资金管理贯穿于项目实施全过程中。</w:t>
      </w:r>
    </w:p>
    <w:p>
      <w:pPr>
        <w:numPr>
          <w:ilvl w:val="0"/>
          <w:numId w:val="4"/>
        </w:numPr>
        <w:spacing w:line="600" w:lineRule="exact"/>
        <w:ind w:left="0" w:leftChars="0" w:firstLine="640" w:firstLineChars="200"/>
        <w:rPr>
          <w:rFonts w:eastAsia="黑体"/>
          <w:sz w:val="32"/>
          <w:szCs w:val="32"/>
        </w:rPr>
      </w:pPr>
      <w:r>
        <w:rPr>
          <w:rFonts w:eastAsia="黑体"/>
          <w:sz w:val="32"/>
          <w:szCs w:val="32"/>
        </w:rPr>
        <w:t>绩效自评结果拟应用和公开情况</w:t>
      </w:r>
    </w:p>
    <w:p>
      <w:pPr>
        <w:numPr>
          <w:ilvl w:val="0"/>
          <w:numId w:val="0"/>
        </w:numPr>
        <w:spacing w:line="600" w:lineRule="exact"/>
        <w:ind w:left="0" w:leftChars="0" w:firstLine="640" w:firstLineChars="200"/>
        <w:rPr>
          <w:rFonts w:hint="default"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本年度绩效自评拟应用于</w:t>
      </w:r>
      <w:r>
        <w:rPr>
          <w:rFonts w:hint="default" w:ascii="Times New Roman" w:hAnsi="Times New Roman" w:eastAsia="仿宋_GB2312" w:cs="黑体"/>
          <w:color w:val="000000"/>
          <w:kern w:val="0"/>
          <w:sz w:val="32"/>
          <w:szCs w:val="32"/>
          <w:highlight w:val="none"/>
          <w:lang w:val="en-US" w:eastAsia="zh-CN" w:bidi="ar-SA"/>
        </w:rPr>
        <w:t>2025年省</w:t>
      </w:r>
      <w:r>
        <w:rPr>
          <w:rFonts w:hint="eastAsia" w:ascii="Times New Roman" w:hAnsi="Times New Roman" w:eastAsia="仿宋_GB2312" w:cs="黑体"/>
          <w:color w:val="000000"/>
          <w:kern w:val="0"/>
          <w:sz w:val="32"/>
          <w:szCs w:val="32"/>
          <w:highlight w:val="none"/>
          <w:lang w:val="en-US" w:eastAsia="zh-CN" w:bidi="ar-SA"/>
        </w:rPr>
        <w:t>级专项资金安排，将绩效自评结果对中心内部公示，并按要求进行</w:t>
      </w:r>
      <w:r>
        <w:rPr>
          <w:rFonts w:hint="default" w:ascii="Times New Roman" w:hAnsi="Times New Roman" w:eastAsia="仿宋_GB2312" w:cs="黑体"/>
          <w:color w:val="000000"/>
          <w:kern w:val="0"/>
          <w:sz w:val="32"/>
          <w:szCs w:val="32"/>
          <w:highlight w:val="none"/>
          <w:lang w:val="en-US" w:eastAsia="zh-CN" w:bidi="ar-SA"/>
        </w:rPr>
        <w:t>2024</w:t>
      </w:r>
      <w:r>
        <w:rPr>
          <w:rFonts w:hint="eastAsia" w:ascii="Times New Roman" w:hAnsi="Times New Roman" w:eastAsia="仿宋_GB2312" w:cs="黑体"/>
          <w:color w:val="000000"/>
          <w:kern w:val="0"/>
          <w:sz w:val="32"/>
          <w:szCs w:val="32"/>
          <w:highlight w:val="none"/>
          <w:lang w:val="en-US" w:eastAsia="zh-CN" w:bidi="ar-SA"/>
        </w:rPr>
        <w:t>年决算公开。</w:t>
      </w:r>
    </w:p>
    <w:p>
      <w:pPr>
        <w:spacing w:line="600" w:lineRule="exact"/>
        <w:ind w:firstLine="640"/>
        <w:rPr>
          <w:rFonts w:eastAsia="黑体"/>
          <w:sz w:val="32"/>
          <w:szCs w:val="32"/>
        </w:rPr>
      </w:pPr>
      <w:r>
        <w:rPr>
          <w:rFonts w:hint="eastAsia" w:eastAsia="黑体"/>
          <w:sz w:val="32"/>
          <w:szCs w:val="32"/>
          <w:lang w:val="en-US" w:eastAsia="zh-CN"/>
        </w:rPr>
        <w:t>十、</w:t>
      </w:r>
      <w:r>
        <w:rPr>
          <w:rFonts w:eastAsia="黑体"/>
          <w:sz w:val="32"/>
          <w:szCs w:val="32"/>
        </w:rPr>
        <w:t>其他需要说明的情况</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sz w:val="32"/>
          <w:szCs w:val="32"/>
        </w:rPr>
        <w:t xml:space="preserve"> </w:t>
      </w:r>
      <w:r>
        <w:rPr>
          <w:rFonts w:hint="eastAsia" w:ascii="Times New Roman" w:hAnsi="Times New Roman" w:eastAsia="仿宋_GB2312" w:cs="黑体"/>
          <w:color w:val="000000"/>
          <w:kern w:val="0"/>
          <w:sz w:val="32"/>
          <w:szCs w:val="32"/>
          <w:highlight w:val="none"/>
          <w:lang w:val="en-US" w:eastAsia="zh-CN" w:bidi="ar-SA"/>
        </w:rPr>
        <w:t>无。</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附件1：部门整体支出绩效评价基础数据表</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附件2：部门整体支出绩效自评表</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附件3-1：项目支出绩效自评表（业务工作经费）</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附件3-2：项目支出绩效自评表（运行维护经费）</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附件3-3：项目支出绩效自评表（省级专项资金（现代农业发展专项））</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r>
        <w:rPr>
          <w:rFonts w:hint="eastAsia" w:ascii="Times New Roman" w:hAnsi="Times New Roman" w:eastAsia="仿宋_GB2312" w:cs="黑体"/>
          <w:color w:val="000000"/>
          <w:kern w:val="0"/>
          <w:sz w:val="32"/>
          <w:szCs w:val="32"/>
          <w:highlight w:val="none"/>
          <w:lang w:val="en-US" w:eastAsia="zh-CN" w:bidi="ar-SA"/>
        </w:rPr>
        <w:t>附件3-4：项目支出绩效自评表（其他事业类发展资金）</w:t>
      </w:r>
    </w:p>
    <w:p>
      <w:pPr>
        <w:numPr>
          <w:ilvl w:val="0"/>
          <w:numId w:val="0"/>
        </w:numPr>
        <w:spacing w:line="600" w:lineRule="exact"/>
        <w:ind w:left="0" w:leftChars="0" w:firstLine="640" w:firstLineChars="200"/>
        <w:rPr>
          <w:rFonts w:hint="eastAsia" w:ascii="Times New Roman" w:hAnsi="Times New Roman" w:eastAsia="仿宋_GB2312" w:cs="黑体"/>
          <w:color w:val="000000"/>
          <w:kern w:val="0"/>
          <w:sz w:val="32"/>
          <w:szCs w:val="32"/>
          <w:highlight w:val="none"/>
          <w:lang w:val="en-US" w:eastAsia="zh-CN" w:bidi="ar-SA"/>
        </w:rPr>
      </w:pPr>
    </w:p>
    <w:p>
      <w:pPr>
        <w:spacing w:line="600" w:lineRule="exact"/>
        <w:ind w:firstLine="640"/>
        <w:rPr>
          <w:szCs w:val="32"/>
        </w:rPr>
      </w:pPr>
    </w:p>
    <w:p>
      <w:pPr>
        <w:spacing w:line="600" w:lineRule="exact"/>
        <w:ind w:firstLine="640"/>
        <w:rPr>
          <w:szCs w:val="32"/>
        </w:rPr>
      </w:pPr>
    </w:p>
    <w:p>
      <w:pPr>
        <w:spacing w:line="600" w:lineRule="exact"/>
        <w:ind w:firstLine="640"/>
        <w:rPr>
          <w:szCs w:val="32"/>
        </w:rPr>
      </w:pPr>
    </w:p>
    <w:p>
      <w:pPr>
        <w:spacing w:line="600" w:lineRule="exact"/>
        <w:ind w:firstLine="640"/>
        <w:rPr>
          <w:szCs w:val="32"/>
        </w:rPr>
      </w:pPr>
    </w:p>
    <w:p>
      <w:pPr>
        <w:spacing w:line="600" w:lineRule="exact"/>
        <w:ind w:firstLine="640"/>
        <w:rPr>
          <w:szCs w:val="32"/>
        </w:rPr>
      </w:pPr>
    </w:p>
    <w:p>
      <w:pPr>
        <w:spacing w:line="600" w:lineRule="exact"/>
        <w:ind w:firstLine="640"/>
        <w:rPr>
          <w:szCs w:val="32"/>
        </w:rPr>
      </w:pPr>
    </w:p>
    <w:p>
      <w:pPr>
        <w:spacing w:line="600" w:lineRule="exact"/>
        <w:ind w:firstLine="640"/>
        <w:rPr>
          <w:szCs w:val="32"/>
        </w:rPr>
      </w:pPr>
    </w:p>
    <w:p>
      <w:pPr>
        <w:spacing w:line="600" w:lineRule="exact"/>
        <w:ind w:firstLine="640"/>
        <w:rPr>
          <w:szCs w:val="32"/>
        </w:rPr>
      </w:pPr>
    </w:p>
    <w:p>
      <w:pPr>
        <w:pStyle w:val="7"/>
        <w:ind w:firstLine="0" w:firstLineChars="0"/>
      </w:pPr>
      <w:r>
        <w:t>附件1</w:t>
      </w:r>
    </w:p>
    <w:p>
      <w:pPr>
        <w:pStyle w:val="6"/>
        <w:spacing w:before="144" w:beforeLines="25" w:after="144" w:afterLines="25" w:line="500" w:lineRule="exact"/>
        <w:rPr>
          <w:sz w:val="36"/>
          <w:szCs w:val="36"/>
        </w:rPr>
      </w:pPr>
      <w:r>
        <w:rPr>
          <w:sz w:val="36"/>
          <w:szCs w:val="36"/>
        </w:rPr>
        <w:t>部门整体支出绩效评价基础数据表</w:t>
      </w:r>
    </w:p>
    <w:tbl>
      <w:tblPr>
        <w:tblStyle w:val="11"/>
        <w:tblW w:w="96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113</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102</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90.27%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highlight w:val="none"/>
                <w:lang w:val="en-US" w:eastAsia="zh-CN"/>
              </w:rPr>
            </w:pPr>
            <w:r>
              <w:rPr>
                <w:rFonts w:hint="eastAsia"/>
                <w:kern w:val="0"/>
                <w:sz w:val="21"/>
                <w:szCs w:val="21"/>
                <w:highlight w:val="none"/>
                <w:lang w:val="en-US" w:eastAsia="zh-CN"/>
              </w:rPr>
              <w:t>51.62</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highlight w:val="none"/>
                <w:lang w:val="en-US" w:eastAsia="zh-CN"/>
              </w:rPr>
            </w:pPr>
            <w:r>
              <w:rPr>
                <w:rFonts w:hint="eastAsia"/>
                <w:kern w:val="0"/>
                <w:sz w:val="21"/>
                <w:szCs w:val="21"/>
                <w:highlight w:val="none"/>
                <w:lang w:val="en-US" w:eastAsia="zh-CN"/>
              </w:rPr>
              <w:t>73.00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highlight w:val="none"/>
                <w:lang w:val="en-US" w:eastAsia="zh-CN"/>
              </w:rPr>
            </w:pPr>
            <w:r>
              <w:rPr>
                <w:rFonts w:hint="eastAsia"/>
                <w:kern w:val="0"/>
                <w:sz w:val="21"/>
                <w:szCs w:val="21"/>
                <w:highlight w:val="none"/>
                <w:lang w:val="en-US" w:eastAsia="zh-CN"/>
              </w:rPr>
              <w:t>41.66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49.72</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32.80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17.98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31.74</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32.80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eastAsia="zh-CN"/>
              </w:rPr>
            </w:pPr>
            <w:r>
              <w:rPr>
                <w:rFonts w:hint="eastAsia"/>
                <w:kern w:val="0"/>
                <w:sz w:val="21"/>
                <w:szCs w:val="21"/>
                <w:lang w:val="en-US" w:eastAsia="zh-CN"/>
              </w:rPr>
              <w:t>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13.00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1.90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eastAsia="zh-CN"/>
              </w:rPr>
            </w:pPr>
            <w:r>
              <w:rPr>
                <w:rFonts w:hint="eastAsia"/>
                <w:kern w:val="0"/>
                <w:sz w:val="21"/>
                <w:szCs w:val="21"/>
                <w:lang w:val="en-US" w:eastAsia="zh-CN"/>
              </w:rPr>
              <w:t>10.00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highlight w:val="none"/>
                <w:lang w:val="en-US" w:eastAsia="zh-CN"/>
              </w:rPr>
            </w:pPr>
            <w:r>
              <w:rPr>
                <w:rFonts w:hint="eastAsia"/>
                <w:kern w:val="0"/>
                <w:sz w:val="21"/>
                <w:szCs w:val="21"/>
                <w:highlight w:val="none"/>
                <w:lang w:val="en-US" w:eastAsia="zh-CN"/>
              </w:rPr>
              <w:t>5590.85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highlight w:val="none"/>
                <w:lang w:val="en-US" w:eastAsia="zh-CN"/>
              </w:rPr>
            </w:pPr>
            <w:r>
              <w:rPr>
                <w:rFonts w:hint="eastAsia"/>
                <w:kern w:val="0"/>
                <w:sz w:val="21"/>
                <w:szCs w:val="21"/>
                <w:highlight w:val="none"/>
                <w:lang w:val="en-US" w:eastAsia="zh-CN"/>
              </w:rPr>
              <w:t>6088.92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highlight w:val="none"/>
                <w:lang w:val="en-US" w:eastAsia="zh-CN"/>
              </w:rPr>
            </w:pPr>
            <w:r>
              <w:rPr>
                <w:rFonts w:hint="eastAsia"/>
                <w:kern w:val="0"/>
                <w:sz w:val="21"/>
                <w:szCs w:val="21"/>
                <w:highlight w:val="none"/>
                <w:lang w:val="en-US" w:eastAsia="zh-CN"/>
              </w:rPr>
              <w:t>7459.16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42.80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55.00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62.20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17.98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13.00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kern w:val="0"/>
                <w:sz w:val="21"/>
                <w:szCs w:val="21"/>
              </w:rPr>
            </w:pPr>
            <w:r>
              <w:rPr>
                <w:kern w:val="0"/>
                <w:sz w:val="21"/>
                <w:szCs w:val="21"/>
              </w:rPr>
              <w:t>3、省级专项资金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1139.16</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1285.42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1345.37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kern w:val="0"/>
                <w:sz w:val="21"/>
                <w:szCs w:val="21"/>
              </w:rPr>
            </w:pPr>
            <w:r>
              <w:rPr>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4390.91</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4735.50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6043.79</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628.49</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eastAsia="zh-CN"/>
              </w:rPr>
            </w:pPr>
            <w:r>
              <w:rPr>
                <w:rFonts w:hint="eastAsia"/>
                <w:kern w:val="0"/>
                <w:sz w:val="21"/>
                <w:szCs w:val="21"/>
                <w:lang w:val="en-US" w:eastAsia="zh-CN"/>
              </w:rPr>
              <w:t>712.40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592.40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color w:val="auto"/>
                <w:kern w:val="0"/>
                <w:sz w:val="21"/>
                <w:szCs w:val="21"/>
                <w:lang w:val="en-US" w:eastAsia="zh-CN"/>
              </w:rPr>
            </w:pPr>
            <w:r>
              <w:rPr>
                <w:rFonts w:hint="eastAsia"/>
                <w:color w:val="auto"/>
                <w:kern w:val="0"/>
                <w:sz w:val="21"/>
                <w:szCs w:val="21"/>
                <w:lang w:val="en-US" w:eastAsia="zh-CN"/>
              </w:rPr>
              <w:t>20.00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color w:val="auto"/>
                <w:kern w:val="0"/>
                <w:sz w:val="21"/>
                <w:szCs w:val="21"/>
                <w:lang w:val="en-US" w:eastAsia="zh-CN"/>
              </w:rPr>
            </w:pPr>
            <w:r>
              <w:rPr>
                <w:rFonts w:hint="eastAsia"/>
                <w:color w:val="auto"/>
                <w:kern w:val="0"/>
                <w:sz w:val="21"/>
                <w:szCs w:val="21"/>
                <w:lang w:val="en-US" w:eastAsia="zh-CN"/>
              </w:rPr>
              <w:t>24.00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color w:val="auto"/>
                <w:kern w:val="0"/>
                <w:sz w:val="21"/>
                <w:szCs w:val="21"/>
                <w:lang w:val="en-US" w:eastAsia="zh-CN"/>
              </w:rPr>
            </w:pPr>
            <w:r>
              <w:rPr>
                <w:rFonts w:hint="eastAsia"/>
                <w:color w:val="auto"/>
                <w:kern w:val="0"/>
                <w:sz w:val="21"/>
                <w:szCs w:val="21"/>
                <w:lang w:val="en-US" w:eastAsia="zh-CN"/>
              </w:rPr>
              <w:t>18.09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151.46</w:t>
            </w:r>
            <w:r>
              <w:rPr>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color w:val="auto"/>
                <w:kern w:val="0"/>
                <w:sz w:val="21"/>
                <w:szCs w:val="21"/>
                <w:lang w:val="en-US" w:eastAsia="zh-CN"/>
              </w:rPr>
            </w:pPr>
            <w:r>
              <w:rPr>
                <w:rFonts w:hint="eastAsia"/>
                <w:color w:val="auto"/>
                <w:kern w:val="0"/>
                <w:sz w:val="21"/>
                <w:szCs w:val="21"/>
                <w:lang w:val="en-US" w:eastAsia="zh-CN"/>
              </w:rPr>
              <w:t>158.00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highlight w:val="none"/>
                <w:lang w:val="en-US" w:eastAsia="zh-CN"/>
              </w:rPr>
              <w:t>178.51</w:t>
            </w:r>
            <w:r>
              <w:rPr>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color w:val="auto"/>
                <w:kern w:val="0"/>
                <w:sz w:val="21"/>
                <w:szCs w:val="21"/>
                <w:lang w:val="en-US" w:eastAsia="zh-CN"/>
              </w:rPr>
            </w:pPr>
            <w:r>
              <w:rPr>
                <w:rFonts w:hint="eastAsia"/>
                <w:color w:val="auto"/>
                <w:kern w:val="0"/>
                <w:sz w:val="21"/>
                <w:szCs w:val="21"/>
                <w:lang w:val="en-US" w:eastAsia="zh-CN"/>
              </w:rPr>
              <w:t>6.65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12.00</w:t>
            </w:r>
            <w:r>
              <w:rPr>
                <w:color w:val="auto"/>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color w:val="auto"/>
                <w:kern w:val="0"/>
                <w:sz w:val="21"/>
                <w:szCs w:val="21"/>
                <w:lang w:eastAsia="zh-CN"/>
              </w:rPr>
            </w:pPr>
            <w:r>
              <w:rPr>
                <w:rFonts w:hint="eastAsia"/>
                <w:color w:val="auto"/>
                <w:kern w:val="0"/>
                <w:sz w:val="21"/>
                <w:szCs w:val="21"/>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5082.00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6581.49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楼堂馆所控制情况</w:t>
            </w:r>
            <w:r>
              <w:rPr>
                <w:kern w:val="0"/>
                <w:sz w:val="21"/>
                <w:szCs w:val="21"/>
              </w:rPr>
              <w:br w:type="textWrapping"/>
            </w:r>
            <w:r>
              <w:rPr>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批复规模</w:t>
            </w:r>
            <w:r>
              <w:rPr>
                <w:bCs/>
                <w:kern w:val="0"/>
                <w:sz w:val="21"/>
                <w:szCs w:val="21"/>
              </w:rPr>
              <w:br w:type="textWrapping"/>
            </w:r>
            <w:r>
              <w:rPr>
                <w:bCs/>
                <w:kern w:val="0"/>
                <w:sz w:val="21"/>
                <w:szCs w:val="21"/>
              </w:rPr>
              <w:t>（</w:t>
            </w:r>
            <w:r>
              <w:rPr>
                <w:rFonts w:eastAsia="Batang"/>
                <w:bCs/>
                <w:kern w:val="0"/>
                <w:sz w:val="21"/>
                <w:szCs w:val="21"/>
              </w:rPr>
              <w:t>㎡</w:t>
            </w:r>
            <w:r>
              <w:rPr>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实际</w:t>
            </w:r>
          </w:p>
          <w:p>
            <w:pPr>
              <w:widowControl/>
              <w:adjustRightInd/>
              <w:snapToGrid/>
              <w:spacing w:line="280" w:lineRule="exact"/>
              <w:ind w:firstLine="0" w:firstLineChars="0"/>
              <w:jc w:val="center"/>
              <w:rPr>
                <w:bCs/>
                <w:kern w:val="0"/>
                <w:sz w:val="21"/>
                <w:szCs w:val="21"/>
              </w:rPr>
            </w:pPr>
            <w:r>
              <w:rPr>
                <w:bCs/>
                <w:kern w:val="0"/>
                <w:sz w:val="21"/>
                <w:szCs w:val="21"/>
              </w:rPr>
              <w:t>规模</w:t>
            </w:r>
          </w:p>
          <w:p>
            <w:pPr>
              <w:widowControl/>
              <w:adjustRightInd/>
              <w:snapToGrid/>
              <w:spacing w:line="280" w:lineRule="exact"/>
              <w:ind w:firstLine="0" w:firstLineChars="0"/>
              <w:jc w:val="center"/>
              <w:rPr>
                <w:bCs/>
                <w:kern w:val="0"/>
                <w:sz w:val="21"/>
                <w:szCs w:val="21"/>
              </w:rPr>
            </w:pPr>
            <w:r>
              <w:rPr>
                <w:bCs/>
                <w:kern w:val="0"/>
                <w:sz w:val="21"/>
                <w:szCs w:val="21"/>
              </w:rPr>
              <w:t>（</w:t>
            </w:r>
            <w:r>
              <w:rPr>
                <w:rFonts w:eastAsia="Batang"/>
                <w:bCs/>
                <w:kern w:val="0"/>
                <w:sz w:val="21"/>
                <w:szCs w:val="21"/>
              </w:rPr>
              <w:t>㎡</w:t>
            </w:r>
            <w:r>
              <w:rPr>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规模</w:t>
            </w:r>
          </w:p>
          <w:p>
            <w:pPr>
              <w:widowControl/>
              <w:adjustRightInd/>
              <w:snapToGrid/>
              <w:spacing w:line="280" w:lineRule="exact"/>
              <w:ind w:firstLine="0" w:firstLineChars="0"/>
              <w:jc w:val="center"/>
              <w:rPr>
                <w:bCs/>
                <w:kern w:val="0"/>
                <w:sz w:val="21"/>
                <w:szCs w:val="21"/>
              </w:rPr>
            </w:pPr>
            <w:r>
              <w:rPr>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实际</w:t>
            </w:r>
          </w:p>
          <w:p>
            <w:pPr>
              <w:widowControl/>
              <w:adjustRightInd/>
              <w:snapToGrid/>
              <w:spacing w:line="280" w:lineRule="exact"/>
              <w:ind w:firstLine="0" w:firstLineChars="0"/>
              <w:jc w:val="center"/>
              <w:rPr>
                <w:bCs/>
                <w:kern w:val="0"/>
                <w:sz w:val="21"/>
                <w:szCs w:val="21"/>
              </w:rPr>
            </w:pPr>
            <w:r>
              <w:rPr>
                <w:bCs/>
                <w:kern w:val="0"/>
                <w:sz w:val="21"/>
                <w:szCs w:val="21"/>
              </w:rPr>
              <w:t>投资</w:t>
            </w:r>
          </w:p>
          <w:p>
            <w:pPr>
              <w:widowControl/>
              <w:adjustRightInd/>
              <w:snapToGrid/>
              <w:spacing w:line="280" w:lineRule="exact"/>
              <w:ind w:firstLine="0" w:firstLineChars="0"/>
              <w:jc w:val="center"/>
              <w:rPr>
                <w:bCs/>
                <w:kern w:val="0"/>
                <w:sz w:val="21"/>
                <w:szCs w:val="21"/>
              </w:rPr>
            </w:pPr>
            <w:r>
              <w:rPr>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投资</w:t>
            </w:r>
          </w:p>
          <w:p>
            <w:pPr>
              <w:widowControl/>
              <w:adjustRightInd/>
              <w:snapToGrid/>
              <w:spacing w:line="280" w:lineRule="exact"/>
              <w:ind w:firstLine="0" w:firstLineChars="0"/>
              <w:jc w:val="center"/>
              <w:rPr>
                <w:bCs/>
                <w:kern w:val="0"/>
                <w:sz w:val="21"/>
                <w:szCs w:val="21"/>
              </w:rPr>
            </w:pPr>
            <w:r>
              <w:rPr>
                <w:bCs/>
                <w:kern w:val="0"/>
                <w:sz w:val="21"/>
                <w:szCs w:val="21"/>
              </w:rPr>
              <w:t>概算</w:t>
            </w:r>
          </w:p>
          <w:p>
            <w:pPr>
              <w:widowControl/>
              <w:adjustRightInd/>
              <w:snapToGrid/>
              <w:spacing w:line="280" w:lineRule="exact"/>
              <w:ind w:firstLine="0" w:firstLineChars="0"/>
              <w:jc w:val="center"/>
              <w:rPr>
                <w:bCs/>
                <w:kern w:val="0"/>
                <w:sz w:val="21"/>
                <w:szCs w:val="21"/>
              </w:rPr>
            </w:pPr>
            <w:r>
              <w:rPr>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bl>
    <w:p>
      <w:pPr>
        <w:adjustRightInd/>
        <w:snapToGrid/>
        <w:spacing w:line="360" w:lineRule="exact"/>
        <w:ind w:firstLine="0" w:firstLineChars="0"/>
        <w:rPr>
          <w:rFonts w:hint="eastAsia" w:ascii="黑体" w:hAnsi="黑体" w:eastAsia="黑体" w:cs="黑体"/>
        </w:rPr>
      </w:pPr>
      <w:r>
        <w:rPr>
          <w:kern w:val="0"/>
          <w:sz w:val="22"/>
          <w:szCs w:val="22"/>
        </w:rPr>
        <w:t>说明：“项目支出”需要填报基本支出以外的所有项目支出情况，“公用经费”填报基本支出中的一般商品和服务支出。</w:t>
      </w:r>
      <w:r>
        <w:rPr>
          <w:kern w:val="0"/>
          <w:sz w:val="22"/>
          <w:szCs w:val="22"/>
        </w:rPr>
        <w:br w:type="page"/>
      </w:r>
      <w:r>
        <w:rPr>
          <w:rFonts w:hint="eastAsia" w:ascii="黑体" w:hAnsi="黑体" w:eastAsia="黑体" w:cs="黑体"/>
        </w:rPr>
        <w:t>附件2</w:t>
      </w:r>
    </w:p>
    <w:p>
      <w:pPr>
        <w:pStyle w:val="6"/>
        <w:spacing w:before="144" w:beforeLines="25" w:line="500" w:lineRule="exact"/>
        <w:rPr>
          <w:sz w:val="36"/>
          <w:szCs w:val="36"/>
        </w:rPr>
      </w:pPr>
      <w:r>
        <w:rPr>
          <w:sz w:val="36"/>
          <w:szCs w:val="36"/>
        </w:rPr>
        <w:t>部门整体支出绩效自评表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10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140"/>
        <w:gridCol w:w="1350"/>
        <w:gridCol w:w="1281"/>
        <w:gridCol w:w="1119"/>
        <w:gridCol w:w="1440"/>
        <w:gridCol w:w="945"/>
        <w:gridCol w:w="900"/>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省级预算部门名称</w:t>
            </w:r>
          </w:p>
        </w:tc>
        <w:tc>
          <w:tcPr>
            <w:tcW w:w="9253"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lang w:val="en-US" w:eastAsia="zh-CN"/>
              </w:rPr>
              <w:t>湖南省畜牧水产事务中心本级</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年度预</w:t>
            </w:r>
          </w:p>
          <w:p>
            <w:pPr>
              <w:widowControl/>
              <w:adjustRightInd/>
              <w:spacing w:line="280" w:lineRule="exact"/>
              <w:ind w:firstLine="0" w:firstLineChars="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21"/>
                <w:szCs w:val="21"/>
              </w:rPr>
              <w:t>（万元）</w:t>
            </w:r>
          </w:p>
        </w:tc>
        <w:tc>
          <w:tcPr>
            <w:tcW w:w="2490"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年初</w:t>
            </w:r>
          </w:p>
          <w:p>
            <w:pPr>
              <w:adjustRightInd/>
              <w:spacing w:line="280" w:lineRule="exact"/>
              <w:ind w:firstLine="0" w:firstLineChars="0"/>
              <w:jc w:val="center"/>
              <w:rPr>
                <w:sz w:val="21"/>
                <w:szCs w:val="21"/>
              </w:rPr>
            </w:pPr>
            <w:r>
              <w:rPr>
                <w:sz w:val="21"/>
                <w:szCs w:val="21"/>
              </w:rPr>
              <w:t>预算数</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全年预算数</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w:t>
            </w:r>
          </w:p>
          <w:p>
            <w:pPr>
              <w:adjustRightInd/>
              <w:spacing w:line="280" w:lineRule="exact"/>
              <w:ind w:firstLine="0" w:firstLineChars="0"/>
              <w:jc w:val="center"/>
              <w:rPr>
                <w:sz w:val="21"/>
                <w:szCs w:val="21"/>
              </w:rPr>
            </w:pPr>
            <w:r>
              <w:rPr>
                <w:sz w:val="21"/>
                <w:szCs w:val="21"/>
              </w:rPr>
              <w:t>执行数</w:t>
            </w:r>
          </w:p>
        </w:tc>
        <w:tc>
          <w:tcPr>
            <w:tcW w:w="94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分值</w:t>
            </w:r>
          </w:p>
        </w:tc>
        <w:tc>
          <w:tcPr>
            <w:tcW w:w="9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执行率</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2490"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color w:val="000000"/>
                <w:kern w:val="0"/>
                <w:sz w:val="21"/>
                <w:szCs w:val="21"/>
              </w:rPr>
              <w:t>年度资金总额</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9753.65</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11341.59</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10883.61</w:t>
            </w:r>
          </w:p>
        </w:tc>
        <w:tc>
          <w:tcPr>
            <w:tcW w:w="94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95.96%</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按收入性质分：</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xml:space="preserve">  其中：  一般公共预算：</w:t>
            </w:r>
            <w:r>
              <w:rPr>
                <w:rFonts w:hint="eastAsia"/>
                <w:color w:val="000000"/>
                <w:kern w:val="0"/>
                <w:sz w:val="21"/>
                <w:szCs w:val="21"/>
                <w:lang w:val="en-US" w:eastAsia="zh-CN"/>
              </w:rPr>
              <w:t>11341.59</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其中：基本支出：</w:t>
            </w:r>
            <w:r>
              <w:rPr>
                <w:rFonts w:hint="eastAsia"/>
                <w:color w:val="000000"/>
                <w:kern w:val="0"/>
                <w:sz w:val="21"/>
                <w:szCs w:val="21"/>
                <w:lang w:val="en-US" w:eastAsia="zh-CN"/>
              </w:rPr>
              <w:t>3424.45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840" w:firstLineChars="400"/>
              <w:jc w:val="left"/>
              <w:rPr>
                <w:rFonts w:hint="default" w:eastAsia="仿宋_GB2312"/>
                <w:color w:val="000000"/>
                <w:kern w:val="0"/>
                <w:sz w:val="21"/>
                <w:szCs w:val="21"/>
                <w:lang w:val="en-US" w:eastAsia="zh-CN"/>
              </w:rPr>
            </w:pPr>
            <w:r>
              <w:rPr>
                <w:color w:val="000000"/>
                <w:kern w:val="0"/>
                <w:sz w:val="21"/>
                <w:szCs w:val="21"/>
              </w:rPr>
              <w:t>政府性基金拨款：</w:t>
            </w:r>
            <w:r>
              <w:rPr>
                <w:rFonts w:hint="eastAsia"/>
                <w:color w:val="000000"/>
                <w:kern w:val="0"/>
                <w:sz w:val="21"/>
                <w:szCs w:val="21"/>
                <w:lang w:val="en-US" w:eastAsia="zh-CN"/>
              </w:rPr>
              <w:t>0.00</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rPr>
                <w:rFonts w:hint="default" w:eastAsia="仿宋_GB2312"/>
                <w:color w:val="000000"/>
                <w:kern w:val="0"/>
                <w:sz w:val="21"/>
                <w:szCs w:val="21"/>
                <w:lang w:val="en-US" w:eastAsia="zh-CN"/>
              </w:rPr>
            </w:pPr>
            <w:r>
              <w:rPr>
                <w:color w:val="000000"/>
                <w:kern w:val="0"/>
                <w:sz w:val="21"/>
                <w:szCs w:val="21"/>
              </w:rPr>
              <w:t>项目支出：</w:t>
            </w:r>
            <w:r>
              <w:rPr>
                <w:rFonts w:hint="eastAsia"/>
                <w:color w:val="000000"/>
                <w:kern w:val="0"/>
                <w:sz w:val="21"/>
                <w:szCs w:val="21"/>
                <w:lang w:val="en-US" w:eastAsia="zh-CN"/>
              </w:rPr>
              <w:t>7459.16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纳入专户管理的非税收入拨款：</w:t>
            </w:r>
            <w:r>
              <w:rPr>
                <w:rFonts w:hint="eastAsia"/>
                <w:color w:val="000000"/>
                <w:kern w:val="0"/>
                <w:sz w:val="21"/>
                <w:szCs w:val="21"/>
                <w:lang w:val="en-US" w:eastAsia="zh-CN"/>
              </w:rPr>
              <w:t>0.00</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1470" w:firstLineChars="700"/>
              <w:jc w:val="left"/>
              <w:rPr>
                <w:rFonts w:hint="default" w:eastAsia="仿宋_GB2312"/>
                <w:color w:val="000000"/>
                <w:kern w:val="0"/>
                <w:sz w:val="21"/>
                <w:szCs w:val="21"/>
                <w:lang w:val="en-US" w:eastAsia="zh-CN"/>
              </w:rPr>
            </w:pPr>
            <w:r>
              <w:rPr>
                <w:color w:val="000000"/>
                <w:kern w:val="0"/>
                <w:sz w:val="21"/>
                <w:szCs w:val="21"/>
              </w:rPr>
              <w:t>其他资金：</w:t>
            </w:r>
            <w:r>
              <w:rPr>
                <w:rFonts w:hint="eastAsia"/>
                <w:color w:val="000000"/>
                <w:kern w:val="0"/>
                <w:sz w:val="21"/>
                <w:szCs w:val="21"/>
                <w:lang w:val="en-US" w:eastAsia="zh-CN"/>
              </w:rPr>
              <w:t>0.00</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预期目标</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8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按照“稳中求进、以进促稳、先立后破”总要求，深入贯彻习近平总书记作出的“要树立大农业观、大食物观，农林牧渔并举，构建多元化食物供给体系”重要指示精神，认真落实中央农村经济工作会议部署，守底线、稳发展，加快全省畜牧业渔业现代化建设。</w:t>
            </w:r>
            <w:r>
              <w:rPr>
                <w:color w:val="000000"/>
                <w:kern w:val="0"/>
                <w:sz w:val="21"/>
                <w:szCs w:val="21"/>
              </w:rPr>
              <w:t>　　</w:t>
            </w:r>
          </w:p>
        </w:tc>
        <w:tc>
          <w:tcPr>
            <w:tcW w:w="436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eastAsia="仿宋_GB2312"/>
                <w:sz w:val="21"/>
                <w:szCs w:val="21"/>
              </w:rPr>
              <w:t>在省委、省政府和厅党组的坚强领导下，围绕中心、服务大局，勤勉履职、奋发作为，以“四个主动”全力落实主责做好主业，圆满完成了各项目标任务，全省畜牧渔业保持健康稳定发展。</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rPr>
                <w:color w:val="000000"/>
                <w:kern w:val="0"/>
                <w:sz w:val="21"/>
                <w:szCs w:val="21"/>
              </w:rPr>
            </w:pPr>
            <w:r>
              <w:rPr>
                <w:color w:val="000000"/>
                <w:kern w:val="0"/>
                <w:sz w:val="21"/>
                <w:szCs w:val="21"/>
              </w:rPr>
              <w:t>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一级指标</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三级指标</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rPr>
                <w:color w:val="000000"/>
                <w:kern w:val="0"/>
                <w:sz w:val="21"/>
                <w:szCs w:val="21"/>
              </w:rPr>
            </w:pPr>
            <w:r>
              <w:rPr>
                <w:color w:val="000000"/>
                <w:kern w:val="0"/>
                <w:sz w:val="21"/>
                <w:szCs w:val="21"/>
              </w:rPr>
              <w:t>指标值</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rPr>
                <w:color w:val="000000"/>
                <w:kern w:val="0"/>
                <w:sz w:val="21"/>
                <w:szCs w:val="21"/>
              </w:rPr>
            </w:pPr>
            <w:r>
              <w:rPr>
                <w:color w:val="000000"/>
                <w:kern w:val="0"/>
                <w:sz w:val="21"/>
                <w:szCs w:val="21"/>
              </w:rPr>
              <w:t>完成值</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分值</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得分</w:t>
            </w:r>
          </w:p>
        </w:tc>
        <w:tc>
          <w:tcPr>
            <w:tcW w:w="1078" w:type="dxa"/>
            <w:tcBorders>
              <w:top w:val="single" w:color="auto" w:sz="4" w:space="0"/>
              <w:left w:val="single" w:color="auto" w:sz="4" w:space="0"/>
              <w:bottom w:val="single" w:color="auto" w:sz="4" w:space="0"/>
              <w:right w:val="single" w:color="auto" w:sz="4" w:space="0"/>
            </w:tcBorders>
            <w:noWrap w:val="0"/>
            <w:vAlign w:val="top"/>
          </w:tcPr>
          <w:p>
            <w:pPr>
              <w:widowControl/>
              <w:adjustRightInd/>
              <w:spacing w:line="280" w:lineRule="exact"/>
              <w:ind w:firstLine="0" w:firstLineChars="0"/>
              <w:jc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rPr>
                <w:color w:val="000000"/>
                <w:kern w:val="0"/>
                <w:sz w:val="21"/>
                <w:szCs w:val="21"/>
              </w:rPr>
            </w:pPr>
            <w:r>
              <w:rPr>
                <w:color w:val="000000"/>
                <w:kern w:val="0"/>
                <w:sz w:val="21"/>
                <w:szCs w:val="21"/>
              </w:rPr>
              <w:t>(50分)</w:t>
            </w: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生猪出栏量</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r>
              <w:rPr>
                <w:rFonts w:hint="eastAsia"/>
                <w:color w:val="000000"/>
                <w:kern w:val="0"/>
                <w:sz w:val="21"/>
                <w:szCs w:val="21"/>
              </w:rPr>
              <w:t>6000</w:t>
            </w:r>
            <w:r>
              <w:rPr>
                <w:rFonts w:hint="eastAsia"/>
                <w:color w:val="000000"/>
                <w:kern w:val="0"/>
                <w:sz w:val="21"/>
                <w:szCs w:val="21"/>
                <w:lang w:val="en-US" w:eastAsia="zh-CN"/>
              </w:rPr>
              <w:t>万头</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6016万头</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养殖新品种、新技术</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推广发展</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开展超10次技术培训</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时效指标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完成时间</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highlight w:val="none"/>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经费使用</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11341.59万元内</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10883.61万元</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效益指标</w:t>
            </w:r>
          </w:p>
          <w:p>
            <w:pPr>
              <w:widowControl/>
              <w:adjustRightInd/>
              <w:spacing w:line="280" w:lineRule="exact"/>
              <w:ind w:left="0" w:leftChars="0" w:firstLine="0" w:firstLineChars="0"/>
              <w:jc w:val="left"/>
              <w:rPr>
                <w:color w:val="000000"/>
                <w:kern w:val="0"/>
                <w:sz w:val="21"/>
                <w:szCs w:val="21"/>
              </w:rPr>
            </w:pPr>
            <w:r>
              <w:rPr>
                <w:color w:val="000000"/>
                <w:kern w:val="0"/>
                <w:sz w:val="21"/>
                <w:szCs w:val="21"/>
              </w:rPr>
              <w:t>（30分）　</w:t>
            </w: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全省渔业经济总产值</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大于等于1000亿元</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1281亿元左右</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重大动物疫病和人畜共患病</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r>
              <w:rPr>
                <w:rFonts w:hint="eastAsia"/>
                <w:color w:val="000000"/>
                <w:kern w:val="0"/>
                <w:sz w:val="21"/>
                <w:szCs w:val="21"/>
                <w:lang w:val="en-US" w:eastAsia="zh-CN"/>
              </w:rPr>
              <w:t>不发生</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r>
              <w:rPr>
                <w:rFonts w:hint="eastAsia"/>
                <w:color w:val="000000"/>
                <w:kern w:val="0"/>
                <w:sz w:val="21"/>
                <w:szCs w:val="21"/>
                <w:lang w:val="en-US" w:eastAsia="zh-CN"/>
              </w:rPr>
              <w:t>未发生</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动物检疫和病死畜禽无害化监管</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污染减少</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r>
              <w:rPr>
                <w:rFonts w:hint="eastAsia"/>
                <w:color w:val="000000"/>
                <w:kern w:val="0"/>
                <w:sz w:val="21"/>
                <w:szCs w:val="21"/>
                <w:lang w:val="en-US" w:eastAsia="zh-CN"/>
              </w:rPr>
              <w:t>完成</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7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4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rPr>
                <w:color w:val="000000"/>
                <w:kern w:val="0"/>
                <w:sz w:val="21"/>
                <w:szCs w:val="21"/>
              </w:rPr>
            </w:pPr>
            <w:r>
              <w:rPr>
                <w:color w:val="000000"/>
                <w:kern w:val="0"/>
                <w:sz w:val="21"/>
                <w:szCs w:val="21"/>
              </w:rPr>
              <w:t>（10分）</w:t>
            </w:r>
          </w:p>
        </w:tc>
        <w:tc>
          <w:tcPr>
            <w:tcW w:w="135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服务对象满意度指标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服务对象满意度</w:t>
            </w:r>
          </w:p>
        </w:tc>
        <w:tc>
          <w:tcPr>
            <w:tcW w:w="111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大于等于90%</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lang w:val="en-US" w:eastAsia="zh-CN"/>
              </w:rPr>
              <w:t>大于等于90%</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7400"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总分</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100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99.60</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bl>
    <w:p>
      <w:pPr>
        <w:widowControl/>
        <w:adjustRightInd/>
        <w:snapToGrid/>
        <w:spacing w:line="240" w:lineRule="auto"/>
        <w:ind w:firstLine="0" w:firstLineChars="0"/>
        <w:jc w:val="left"/>
        <w:rPr>
          <w:rFonts w:hint="default" w:ascii="黑体" w:hAnsi="黑体" w:eastAsia="黑体" w:cs="黑体"/>
          <w:lang w:val="en-US" w:eastAsia="zh-CN"/>
        </w:rPr>
      </w:pPr>
      <w:r>
        <w:br w:type="page"/>
      </w:r>
      <w:r>
        <w:rPr>
          <w:rFonts w:hint="eastAsia" w:ascii="黑体" w:hAnsi="黑体" w:eastAsia="黑体" w:cs="黑体"/>
        </w:rPr>
        <w:t>附件3</w:t>
      </w:r>
      <w:r>
        <w:rPr>
          <w:rFonts w:hint="eastAsia" w:ascii="黑体" w:hAnsi="黑体" w:eastAsia="黑体" w:cs="黑体"/>
          <w:lang w:val="en-US" w:eastAsia="zh-CN"/>
        </w:rPr>
        <w:t>-1</w:t>
      </w:r>
    </w:p>
    <w:p>
      <w:pPr>
        <w:pStyle w:val="6"/>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59"/>
        <w:gridCol w:w="1290"/>
        <w:gridCol w:w="1080"/>
        <w:gridCol w:w="1182"/>
        <w:gridCol w:w="1365"/>
        <w:gridCol w:w="504"/>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kern w:val="0"/>
                <w:sz w:val="21"/>
                <w:szCs w:val="21"/>
              </w:rPr>
              <w:t>业务工作经费</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61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湖南省农业农村厅</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795"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湖南省畜牧水产事务中心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50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eastAsia="zh-CN"/>
              </w:rPr>
            </w:pPr>
            <w:r>
              <w:rPr>
                <w:rFonts w:hint="eastAsia"/>
                <w:color w:val="000000"/>
                <w:kern w:val="0"/>
                <w:sz w:val="21"/>
                <w:szCs w:val="21"/>
                <w:lang w:val="en-US" w:eastAsia="zh-CN"/>
              </w:rPr>
              <w:t>55.00</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62.20</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62.20</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55.00</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55.00</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7.20</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7.20</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61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6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61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完成本年度执业兽医资格考试考务服务</w:t>
            </w:r>
          </w:p>
        </w:tc>
        <w:tc>
          <w:tcPr>
            <w:tcW w:w="416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5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完成本年度本省考试考务服务任务</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服务大于等于4000名考生</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共计4263名考生</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考试顺利举行</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顺利举行</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已顺利举行</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highlight w:val="none"/>
              </w:rPr>
            </w:pPr>
            <w:r>
              <w:rPr>
                <w:rFonts w:hint="eastAsia"/>
                <w:color w:val="000000"/>
                <w:kern w:val="0"/>
                <w:sz w:val="21"/>
                <w:szCs w:val="21"/>
                <w:highlight w:val="none"/>
              </w:rPr>
              <w:t>完成时间</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highlight w:val="none"/>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highlight w:val="none"/>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经费使用</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62.2万元内</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rPr>
            </w:pPr>
            <w:r>
              <w:rPr>
                <w:rFonts w:hint="eastAsia"/>
                <w:color w:val="000000"/>
                <w:kern w:val="0"/>
                <w:sz w:val="21"/>
                <w:szCs w:val="21"/>
                <w:lang w:val="en-US" w:eastAsia="zh-CN"/>
              </w:rPr>
              <w:t>62.2万元</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完成本年非税收入</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大于等于55万元</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62.19万元</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完成工作任务</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完成工作任务</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已完成</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9"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29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服务对象满意度</w:t>
            </w:r>
          </w:p>
        </w:tc>
        <w:tc>
          <w:tcPr>
            <w:tcW w:w="11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大于等于90%</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大于等于90%</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7056"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50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240" w:lineRule="exact"/>
        <w:ind w:firstLine="0" w:firstLineChars="0"/>
      </w:pPr>
    </w:p>
    <w:p>
      <w:pPr>
        <w:pStyle w:val="7"/>
        <w:ind w:firstLine="0" w:firstLineChars="0"/>
        <w:sectPr>
          <w:headerReference r:id="rId8" w:type="first"/>
          <w:footerReference r:id="rId11" w:type="first"/>
          <w:headerReference r:id="rId6" w:type="default"/>
          <w:footerReference r:id="rId9" w:type="default"/>
          <w:headerReference r:id="rId7" w:type="even"/>
          <w:footerReference r:id="rId10" w:type="even"/>
          <w:pgSz w:w="11906" w:h="16838"/>
          <w:pgMar w:top="1440" w:right="1800" w:bottom="1440" w:left="1800" w:header="851" w:footer="1588" w:gutter="0"/>
          <w:pgNumType w:fmt="decimal"/>
          <w:cols w:space="720" w:num="1"/>
          <w:titlePg/>
          <w:docGrid w:type="linesAndChars" w:linePitch="579" w:charSpace="0"/>
        </w:sectPr>
      </w:pPr>
    </w:p>
    <w:p>
      <w:pPr>
        <w:widowControl/>
        <w:adjustRightInd/>
        <w:snapToGrid/>
        <w:spacing w:line="240" w:lineRule="auto"/>
        <w:ind w:firstLine="0" w:firstLineChars="0"/>
        <w:jc w:val="left"/>
        <w:rPr>
          <w:rFonts w:hint="eastAsia" w:ascii="黑体" w:hAnsi="黑体" w:eastAsia="黑体" w:cs="黑体"/>
          <w:lang w:val="en-US" w:eastAsia="zh-CN"/>
        </w:rPr>
      </w:pPr>
      <w:r>
        <w:rPr>
          <w:rFonts w:hint="eastAsia" w:ascii="黑体" w:hAnsi="黑体" w:eastAsia="黑体" w:cs="黑体"/>
        </w:rPr>
        <w:t>附件3</w:t>
      </w:r>
      <w:r>
        <w:rPr>
          <w:rFonts w:hint="eastAsia" w:ascii="黑体" w:hAnsi="黑体" w:eastAsia="黑体" w:cs="黑体"/>
          <w:lang w:val="en-US" w:eastAsia="zh-CN"/>
        </w:rPr>
        <w:t>-2</w:t>
      </w:r>
    </w:p>
    <w:p>
      <w:pPr>
        <w:pStyle w:val="6"/>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109"/>
        <w:gridCol w:w="1076"/>
        <w:gridCol w:w="1146"/>
        <w:gridCol w:w="1205"/>
        <w:gridCol w:w="1130"/>
        <w:gridCol w:w="826"/>
        <w:gridCol w:w="871"/>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6"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kern w:val="0"/>
                <w:sz w:val="21"/>
                <w:szCs w:val="21"/>
              </w:rPr>
              <w:t>运行维护经费</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湖南省农业农村厅</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0"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湖南省畜牧水产事务中心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82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eastAsia="zh-CN"/>
              </w:rPr>
            </w:pPr>
            <w:r>
              <w:rPr>
                <w:rFonts w:hint="eastAsia"/>
                <w:color w:val="000000"/>
                <w:kern w:val="0"/>
                <w:sz w:val="21"/>
                <w:szCs w:val="21"/>
                <w:lang w:val="en-US" w:eastAsia="zh-CN"/>
              </w:rPr>
              <w:t>13.00</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13.00</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7.80</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13.00</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13.00</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7.80</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eastAsia="zh-CN"/>
              </w:rPr>
            </w:pPr>
            <w:r>
              <w:rPr>
                <w:rFonts w:hint="eastAsia"/>
                <w:color w:val="000000"/>
                <w:kern w:val="0"/>
                <w:sz w:val="21"/>
                <w:szCs w:val="21"/>
                <w:lang w:val="en-US" w:eastAsia="zh-CN"/>
              </w:rPr>
              <w:t>0.00</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0.00</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0.00</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4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5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完成本年度因公出国</w:t>
            </w:r>
            <w:r>
              <w:rPr>
                <w:rFonts w:hint="eastAsia"/>
                <w:color w:val="000000"/>
                <w:kern w:val="0"/>
                <w:sz w:val="21"/>
                <w:szCs w:val="21"/>
                <w:lang w:val="en-US" w:eastAsia="zh-CN"/>
              </w:rPr>
              <w:t>任务</w:t>
            </w:r>
            <w:r>
              <w:rPr>
                <w:color w:val="000000"/>
                <w:kern w:val="0"/>
                <w:sz w:val="21"/>
                <w:szCs w:val="21"/>
              </w:rPr>
              <w:t>　　</w:t>
            </w:r>
          </w:p>
        </w:tc>
        <w:tc>
          <w:tcPr>
            <w:tcW w:w="424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已完成本年度因公出国任务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7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7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因公出国次数</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大于等于1次</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1次</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出访国家个数</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大于等于1个</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2个</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rPr>
              <w:t>完成时间</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经费使用</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13万元内</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7.8万元</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vMerge w:val="restart"/>
            <w:tcBorders>
              <w:top w:val="single" w:color="auto" w:sz="4" w:space="0"/>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（30分）</w:t>
            </w:r>
          </w:p>
        </w:tc>
        <w:tc>
          <w:tcPr>
            <w:tcW w:w="107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交流国外先进养殖技术</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学习交流</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已完成</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交流国外环保养殖经验</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学习交流</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已完成</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09"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7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服务对象满意度</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大于等于90%</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大于等于90%</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674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96.00</w:t>
            </w:r>
          </w:p>
        </w:tc>
        <w:tc>
          <w:tcPr>
            <w:tcW w:w="14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240" w:lineRule="exact"/>
        <w:ind w:firstLine="0" w:firstLineChars="0"/>
      </w:pPr>
    </w:p>
    <w:p>
      <w:pPr>
        <w:pStyle w:val="7"/>
        <w:ind w:firstLine="0" w:firstLineChars="0"/>
        <w:sectPr>
          <w:headerReference r:id="rId14" w:type="first"/>
          <w:footerReference r:id="rId17" w:type="first"/>
          <w:headerReference r:id="rId12" w:type="default"/>
          <w:footerReference r:id="rId15" w:type="default"/>
          <w:headerReference r:id="rId13" w:type="even"/>
          <w:footerReference r:id="rId16" w:type="even"/>
          <w:pgSz w:w="11906" w:h="16838"/>
          <w:pgMar w:top="1440" w:right="1800" w:bottom="1440" w:left="1800" w:header="851" w:footer="1588" w:gutter="0"/>
          <w:pgNumType w:fmt="decimal"/>
          <w:cols w:space="720" w:num="1"/>
          <w:titlePg/>
          <w:docGrid w:type="linesAndChars" w:linePitch="579" w:charSpace="0"/>
        </w:sectPr>
      </w:pPr>
    </w:p>
    <w:p>
      <w:pPr>
        <w:widowControl/>
        <w:adjustRightInd/>
        <w:snapToGrid/>
        <w:spacing w:line="240" w:lineRule="auto"/>
        <w:ind w:firstLine="0" w:firstLineChars="0"/>
        <w:jc w:val="left"/>
        <w:rPr>
          <w:rFonts w:hint="eastAsia" w:ascii="黑体" w:hAnsi="黑体" w:eastAsia="黑体" w:cs="黑体"/>
          <w:lang w:eastAsia="zh-CN"/>
        </w:rPr>
      </w:pPr>
      <w:r>
        <w:rPr>
          <w:rFonts w:hint="eastAsia" w:ascii="黑体" w:hAnsi="黑体" w:eastAsia="黑体" w:cs="黑体"/>
        </w:rPr>
        <w:t>附件3-</w:t>
      </w:r>
      <w:r>
        <w:rPr>
          <w:rFonts w:hint="eastAsia" w:ascii="黑体" w:hAnsi="黑体" w:eastAsia="黑体" w:cs="黑体"/>
          <w:lang w:val="en-US" w:eastAsia="zh-CN"/>
        </w:rPr>
        <w:t>3</w:t>
      </w:r>
    </w:p>
    <w:p>
      <w:pPr>
        <w:pStyle w:val="6"/>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480"/>
        <w:gridCol w:w="1200"/>
        <w:gridCol w:w="1256"/>
        <w:gridCol w:w="731"/>
        <w:gridCol w:w="882"/>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kern w:val="0"/>
                <w:sz w:val="21"/>
                <w:szCs w:val="21"/>
              </w:rPr>
              <w:t>省级专项资金</w:t>
            </w:r>
            <w:r>
              <w:rPr>
                <w:rFonts w:hint="eastAsia"/>
                <w:kern w:val="0"/>
                <w:sz w:val="21"/>
                <w:szCs w:val="21"/>
                <w:lang w:eastAsia="zh-CN"/>
              </w:rPr>
              <w:t>（</w:t>
            </w:r>
            <w:r>
              <w:rPr>
                <w:rFonts w:hint="eastAsia"/>
                <w:kern w:val="0"/>
                <w:sz w:val="21"/>
                <w:szCs w:val="21"/>
                <w:lang w:val="en-US" w:eastAsia="zh-CN"/>
              </w:rPr>
              <w:t>现代农业发展专项</w:t>
            </w:r>
            <w:r>
              <w:rPr>
                <w:rFonts w:hint="eastAsia"/>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84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湖南省农业农村厅</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675"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湖南省畜牧水产事务中心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73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82"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eastAsia="zh-CN"/>
              </w:rPr>
            </w:pPr>
            <w:r>
              <w:rPr>
                <w:rFonts w:hint="eastAsia"/>
                <w:color w:val="000000"/>
                <w:kern w:val="0"/>
                <w:sz w:val="21"/>
                <w:szCs w:val="21"/>
                <w:lang w:val="en-US" w:eastAsia="zh-CN"/>
              </w:rPr>
              <w:t>1285.42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1410.37</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1345.37</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95.39%</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870.00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994.95</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945.94</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415.42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415.42</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399.43</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0.00</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0.00</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84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93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84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完成本年畜牧业、渔业相关管理、培训、采购及信息化工作，支持本省养殖产业发展</w:t>
            </w:r>
          </w:p>
        </w:tc>
        <w:tc>
          <w:tcPr>
            <w:tcW w:w="393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已完成本年度工作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耳标采购数量</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大于4000万套</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4036.97万套</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开展培训次数</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大于20次</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23次</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采购耳标及药品符合国家技术标准规范</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符合标准</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符合标准</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直连直报系统数据正常上报率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大于等于90%</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完成时间</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both"/>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both"/>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5</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5</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经费使用</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b/>
                <w:bCs/>
                <w:color w:val="000000"/>
                <w:kern w:val="0"/>
                <w:sz w:val="21"/>
                <w:szCs w:val="21"/>
                <w:lang w:val="en-US" w:eastAsia="zh-CN" w:bidi="ar-SA"/>
              </w:rPr>
            </w:pPr>
            <w:r>
              <w:rPr>
                <w:rFonts w:hint="eastAsia"/>
                <w:color w:val="000000"/>
                <w:kern w:val="0"/>
                <w:sz w:val="21"/>
                <w:szCs w:val="21"/>
                <w:lang w:val="en-US" w:eastAsia="zh-CN"/>
              </w:rPr>
              <w:t>1410.37万元内</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1345.37</w:t>
            </w:r>
            <w:r>
              <w:rPr>
                <w:rFonts w:hint="eastAsia"/>
                <w:color w:val="000000"/>
                <w:kern w:val="0"/>
                <w:sz w:val="21"/>
                <w:szCs w:val="21"/>
                <w:lang w:val="en-US" w:eastAsia="zh-CN"/>
              </w:rPr>
              <w:t>万元</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5</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5</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single" w:color="auto" w:sz="4" w:space="0"/>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提升畜牧业生产监测布局、数据上报质量</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完善提升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完善提升</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减轻家畜血吸虫病感染风险</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减轻风险</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减轻风险</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推广养殖新技术</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推广发展</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推广发展</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4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服务对象满意度</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大于等于90%</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大于等于90%</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7176"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99.54</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pStyle w:val="6"/>
        <w:spacing w:before="144" w:beforeLines="25" w:line="500" w:lineRule="exact"/>
        <w:jc w:val="left"/>
        <w:rPr>
          <w:rFonts w:hint="eastAsia" w:ascii="黑体" w:hAnsi="黑体" w:eastAsia="黑体" w:cs="黑体"/>
          <w:sz w:val="32"/>
          <w:szCs w:val="32"/>
        </w:rPr>
      </w:pPr>
    </w:p>
    <w:p>
      <w:pPr>
        <w:widowControl/>
        <w:adjustRightInd/>
        <w:snapToGrid/>
        <w:spacing w:line="240" w:lineRule="auto"/>
        <w:ind w:firstLine="0" w:firstLineChars="0"/>
        <w:jc w:val="left"/>
        <w:rPr>
          <w:rFonts w:hint="eastAsia" w:ascii="黑体" w:hAnsi="黑体" w:eastAsia="黑体" w:cs="黑体"/>
        </w:rPr>
      </w:pPr>
    </w:p>
    <w:p>
      <w:pPr>
        <w:widowControl/>
        <w:adjustRightInd/>
        <w:snapToGrid/>
        <w:spacing w:line="240" w:lineRule="auto"/>
        <w:ind w:firstLine="0" w:firstLineChars="0"/>
        <w:jc w:val="left"/>
        <w:rPr>
          <w:rFonts w:hint="eastAsia" w:ascii="黑体" w:hAnsi="黑体" w:eastAsia="黑体" w:cs="黑体"/>
        </w:rPr>
      </w:pPr>
    </w:p>
    <w:p>
      <w:pPr>
        <w:widowControl/>
        <w:adjustRightInd/>
        <w:snapToGrid/>
        <w:spacing w:line="240" w:lineRule="auto"/>
        <w:ind w:firstLine="0" w:firstLineChars="0"/>
        <w:jc w:val="left"/>
        <w:rPr>
          <w:rFonts w:hint="eastAsia" w:ascii="黑体" w:hAnsi="黑体" w:eastAsia="黑体" w:cs="黑体"/>
        </w:rPr>
      </w:pPr>
      <w:r>
        <w:rPr>
          <w:rFonts w:hint="eastAsia" w:ascii="黑体" w:hAnsi="黑体" w:eastAsia="黑体" w:cs="黑体"/>
        </w:rPr>
        <w:t>附件3-</w:t>
      </w:r>
      <w:r>
        <w:rPr>
          <w:rFonts w:hint="eastAsia" w:ascii="黑体" w:hAnsi="黑体" w:eastAsia="黑体" w:cs="黑体"/>
          <w:lang w:val="en-US" w:eastAsia="zh-CN"/>
        </w:rPr>
        <w:t>4</w:t>
      </w:r>
    </w:p>
    <w:p>
      <w:pPr>
        <w:pStyle w:val="6"/>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314"/>
        <w:gridCol w:w="1065"/>
        <w:gridCol w:w="1152"/>
        <w:gridCol w:w="1140"/>
        <w:gridCol w:w="729"/>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kern w:val="0"/>
                <w:sz w:val="21"/>
                <w:szCs w:val="21"/>
              </w:rPr>
              <w:t>其他事业类发展资金</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61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湖南省农业农村厅</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020"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湖南省畜牧水产事务中心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72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eastAsia="zh-CN"/>
              </w:rPr>
            </w:pPr>
            <w:r>
              <w:rPr>
                <w:rFonts w:hint="eastAsia"/>
                <w:color w:val="000000"/>
                <w:kern w:val="0"/>
                <w:sz w:val="21"/>
                <w:szCs w:val="21"/>
                <w:lang w:val="en-US" w:eastAsia="zh-CN"/>
              </w:rPr>
              <w:t>4735.50</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6144.50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6043.79</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98.36%</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4735.50</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5857.00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5756.30</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287.50</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287.50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rPr>
            </w:pPr>
            <w:r>
              <w:rPr>
                <w:rFonts w:hint="eastAsia"/>
                <w:color w:val="000000"/>
                <w:kern w:val="0"/>
                <w:sz w:val="21"/>
                <w:szCs w:val="21"/>
                <w:lang w:val="en-US" w:eastAsia="zh-CN"/>
              </w:rPr>
              <w:t>287.49</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0.00</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61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6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61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color w:val="000000"/>
                <w:kern w:val="0"/>
                <w:sz w:val="21"/>
                <w:szCs w:val="21"/>
              </w:rPr>
              <w:t>完成本年度办公设备购置、重大动物疫病疫苗采购</w:t>
            </w:r>
            <w:r>
              <w:rPr>
                <w:color w:val="000000"/>
                <w:kern w:val="0"/>
                <w:sz w:val="21"/>
                <w:szCs w:val="21"/>
              </w:rPr>
              <w:t>　</w:t>
            </w:r>
          </w:p>
        </w:tc>
        <w:tc>
          <w:tcPr>
            <w:tcW w:w="416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已完成</w:t>
            </w:r>
            <w:r>
              <w:rPr>
                <w:rFonts w:hint="eastAsia"/>
                <w:color w:val="000000"/>
                <w:kern w:val="0"/>
                <w:sz w:val="21"/>
                <w:szCs w:val="21"/>
              </w:rPr>
              <w:t>办公设备购置、重大动物疫病疫苗采购</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31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314"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采购电脑数量</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大于等于30台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32台</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314"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采购打印机数量</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大于等于30台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32台</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疫苗质量合格率</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等于100%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rPr>
              <w:t>完成时间</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val="en-US" w:eastAsia="zh-CN"/>
              </w:rPr>
              <w:t>2024年</w:t>
            </w:r>
            <w:r>
              <w:rPr>
                <w:rFonts w:hint="eastAsia"/>
                <w:color w:val="000000"/>
                <w:kern w:val="0"/>
                <w:sz w:val="21"/>
                <w:szCs w:val="21"/>
                <w:highlight w:val="none"/>
              </w:rPr>
              <w:t>12月</w:t>
            </w:r>
            <w:r>
              <w:rPr>
                <w:rFonts w:hint="eastAsia"/>
                <w:color w:val="000000"/>
                <w:kern w:val="0"/>
                <w:sz w:val="21"/>
                <w:szCs w:val="21"/>
                <w:highlight w:val="none"/>
                <w:lang w:val="en-US" w:eastAsia="zh-CN"/>
              </w:rPr>
              <w:t>31日</w:t>
            </w:r>
            <w:r>
              <w:rPr>
                <w:rFonts w:hint="eastAsia"/>
                <w:color w:val="000000"/>
                <w:kern w:val="0"/>
                <w:sz w:val="21"/>
                <w:szCs w:val="21"/>
                <w:highlight w:val="none"/>
              </w:rPr>
              <w:t>前</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经费使用</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6144.5万元内</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6043.79万元</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重大动物疫病</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不发生</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未发生</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保障机关工作正常运行</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正常运行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正常运行</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保障我省畜禽养殖健康持续稳定发展</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持续稳定发展</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持续稳定发展</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314"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服务对象满意度</w:t>
            </w:r>
          </w:p>
        </w:tc>
        <w:tc>
          <w:tcPr>
            <w:tcW w:w="11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大于等于90%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大于等于90%</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683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7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99.84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600" w:lineRule="exact"/>
        <w:ind w:left="0" w:leftChars="0" w:firstLine="0" w:firstLineChars="0"/>
        <w:rPr>
          <w:szCs w:val="32"/>
        </w:rPr>
      </w:pPr>
    </w:p>
    <w:p>
      <w:pPr>
        <w:jc w:val="left"/>
        <w:rPr>
          <w:rFonts w:ascii="Times New Roman" w:hAnsi="Times New Roman" w:cs="Times New Roman"/>
          <w:color w:val="000000"/>
          <w:kern w:val="0"/>
          <w:sz w:val="32"/>
          <w:szCs w:val="32"/>
        </w:rPr>
      </w:pPr>
    </w:p>
    <w:sectPr>
      <w:headerReference r:id="rId18" w:type="default"/>
      <w:footerReference r:id="rId19" w:type="default"/>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方正小标宋_GBK">
    <w:altName w:val="Arial Unicode MS"/>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auto"/>
    <w:pitch w:val="default"/>
    <w:sig w:usb0="FFFFFFFF" w:usb1="E9FFFFFF" w:usb2="0000003F" w:usb3="00000000" w:csb0="601F00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MVnvPCAQAAcAMAAA4AAAAAAAAAAQAgAAAAHgEAAGRycy9lMm9Eb2MueG1sUEsF&#10;BgAAAAAGAAYAWQEAAFIFAAAAAA==&#10;">
              <v:fill on="f" focussize="0,0"/>
              <v:stroke on="f"/>
              <v:imagedata o:title=""/>
              <o:lock v:ext="edit" aspectratio="f"/>
              <v:textbox inset="0mm,0mm,0mm,0mm" style="mso-fit-shape-to-text:t;">
                <w:txbxContent>
                  <w:p>
                    <w:pPr>
                      <w:pStyle w:val="9"/>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sKxjjCAQAAcAMAAA4AAAAAAAAAAQAgAAAAHgEAAGRycy9lMm9Eb2MueG1sUEsF&#10;BgAAAAAGAAYAWQEAAFIFAAAAAA==&#10;">
              <v:fill on="f" focussize="0,0"/>
              <v:stroke on="f"/>
              <v:imagedata o:title=""/>
              <o:lock v:ext="edit" aspectratio="f"/>
              <v:textbox inset="0mm,0mm,0mm,0mm" style="mso-fit-shape-to-text:t;">
                <w:txbxContent>
                  <w:p>
                    <w:pPr>
                      <w:pStyle w:val="9"/>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2</w:t>
    </w:r>
    <w:r>
      <w:rPr>
        <w:sz w:val="28"/>
        <w:szCs w:val="28"/>
      </w:rPr>
      <w:fldChar w:fldCharType="end"/>
    </w:r>
    <w:r>
      <w:rPr>
        <w:rStyle w:val="13"/>
        <w:rFonts w:hint="eastAsia"/>
        <w:sz w:val="28"/>
        <w:szCs w:val="28"/>
      </w:rPr>
      <w:t>—</w:t>
    </w:r>
  </w:p>
  <w:p>
    <w:pPr>
      <w:pStyle w:val="9"/>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9"/>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2</w:t>
    </w:r>
    <w:r>
      <w:rPr>
        <w:sz w:val="28"/>
        <w:szCs w:val="28"/>
      </w:rPr>
      <w:fldChar w:fldCharType="end"/>
    </w:r>
    <w:r>
      <w:rPr>
        <w:rStyle w:val="13"/>
        <w:rFonts w:hint="eastAsia"/>
        <w:sz w:val="28"/>
        <w:szCs w:val="28"/>
      </w:rPr>
      <w:t>—</w:t>
    </w:r>
  </w:p>
  <w:p>
    <w:pPr>
      <w:pStyle w:val="9"/>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0" w:firstLineChars="0"/>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9"/>
                      <w:ind w:firstLine="0" w:firstLineChars="0"/>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40791"/>
    <w:multiLevelType w:val="singleLevel"/>
    <w:tmpl w:val="0CA40791"/>
    <w:lvl w:ilvl="0" w:tentative="0">
      <w:start w:val="3"/>
      <w:numFmt w:val="chineseCounting"/>
      <w:suff w:val="nothing"/>
      <w:lvlText w:val="%1、"/>
      <w:lvlJc w:val="left"/>
      <w:rPr>
        <w:rFonts w:hint="eastAsia"/>
      </w:rPr>
    </w:lvl>
  </w:abstractNum>
  <w:abstractNum w:abstractNumId="1">
    <w:nsid w:val="0F47C5AF"/>
    <w:multiLevelType w:val="singleLevel"/>
    <w:tmpl w:val="0F47C5AF"/>
    <w:lvl w:ilvl="0" w:tentative="0">
      <w:start w:val="2"/>
      <w:numFmt w:val="chineseCounting"/>
      <w:suff w:val="nothing"/>
      <w:lvlText w:val="（%1）"/>
      <w:lvlJc w:val="left"/>
      <w:rPr>
        <w:rFonts w:hint="eastAsia"/>
      </w:rPr>
    </w:lvl>
  </w:abstractNum>
  <w:abstractNum w:abstractNumId="2">
    <w:nsid w:val="5B5D84FA"/>
    <w:multiLevelType w:val="singleLevel"/>
    <w:tmpl w:val="5B5D84FA"/>
    <w:lvl w:ilvl="0" w:tentative="0">
      <w:start w:val="2"/>
      <w:numFmt w:val="decimal"/>
      <w:suff w:val="nothing"/>
      <w:lvlText w:val="%1、"/>
      <w:lvlJc w:val="left"/>
    </w:lvl>
  </w:abstractNum>
  <w:abstractNum w:abstractNumId="3">
    <w:nsid w:val="60516E00"/>
    <w:multiLevelType w:val="singleLevel"/>
    <w:tmpl w:val="60516E00"/>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28B9"/>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B7098E"/>
    <w:rsid w:val="064204C4"/>
    <w:rsid w:val="08876D99"/>
    <w:rsid w:val="0E391347"/>
    <w:rsid w:val="11C50951"/>
    <w:rsid w:val="16A11490"/>
    <w:rsid w:val="181161B0"/>
    <w:rsid w:val="199B52BA"/>
    <w:rsid w:val="1C590213"/>
    <w:rsid w:val="1D0000B2"/>
    <w:rsid w:val="1D97DEFF"/>
    <w:rsid w:val="1DFF72E5"/>
    <w:rsid w:val="1EFC6F07"/>
    <w:rsid w:val="277D386F"/>
    <w:rsid w:val="29402819"/>
    <w:rsid w:val="2FDF85B8"/>
    <w:rsid w:val="2FFFEE04"/>
    <w:rsid w:val="34DF85B0"/>
    <w:rsid w:val="3B8F36BC"/>
    <w:rsid w:val="433430C7"/>
    <w:rsid w:val="491FF225"/>
    <w:rsid w:val="4B1918D4"/>
    <w:rsid w:val="4D7C0DB5"/>
    <w:rsid w:val="4FFD214C"/>
    <w:rsid w:val="51AA0765"/>
    <w:rsid w:val="53E65E4C"/>
    <w:rsid w:val="5777D4F5"/>
    <w:rsid w:val="57BB3B4A"/>
    <w:rsid w:val="59DD8326"/>
    <w:rsid w:val="5DEF592A"/>
    <w:rsid w:val="5FC6BB1E"/>
    <w:rsid w:val="5FF720F1"/>
    <w:rsid w:val="67FF5C0B"/>
    <w:rsid w:val="68626815"/>
    <w:rsid w:val="6C8A2C50"/>
    <w:rsid w:val="6EFC0924"/>
    <w:rsid w:val="6FB74722"/>
    <w:rsid w:val="6FEF8B7E"/>
    <w:rsid w:val="71A6591B"/>
    <w:rsid w:val="737D59BA"/>
    <w:rsid w:val="75F50502"/>
    <w:rsid w:val="77C37683"/>
    <w:rsid w:val="79D19834"/>
    <w:rsid w:val="79FF515B"/>
    <w:rsid w:val="7E9E1962"/>
    <w:rsid w:val="7E9F11B4"/>
    <w:rsid w:val="7F37EC1E"/>
    <w:rsid w:val="7F7DCD9D"/>
    <w:rsid w:val="7F970A6F"/>
    <w:rsid w:val="7FC1FFF3"/>
    <w:rsid w:val="7FC69637"/>
    <w:rsid w:val="7FDF8620"/>
    <w:rsid w:val="7FE61B03"/>
    <w:rsid w:val="7FE8C8F7"/>
    <w:rsid w:val="7FFB242F"/>
    <w:rsid w:val="7FFDB408"/>
    <w:rsid w:val="7FFE4EEB"/>
    <w:rsid w:val="95FB2B98"/>
    <w:rsid w:val="9A639BC2"/>
    <w:rsid w:val="9FF7D786"/>
    <w:rsid w:val="ABBFB23D"/>
    <w:rsid w:val="C3B4DA5A"/>
    <w:rsid w:val="CBFF70E0"/>
    <w:rsid w:val="CEDB393E"/>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basedOn w:val="1"/>
    <w:next w:val="1"/>
    <w:qFormat/>
    <w:uiPriority w:val="0"/>
    <w:pPr>
      <w:spacing w:line="700" w:lineRule="exact"/>
      <w:ind w:firstLine="0" w:firstLineChars="0"/>
      <w:jc w:val="center"/>
      <w:outlineLvl w:val="0"/>
    </w:pPr>
    <w:rPr>
      <w:rFonts w:ascii="Times New Roman" w:hAnsi="Times New Roman" w:eastAsia="方正小标宋简体"/>
      <w:bCs/>
      <w:kern w:val="44"/>
      <w:sz w:val="44"/>
      <w:szCs w:val="44"/>
    </w:rPr>
  </w:style>
  <w:style w:type="paragraph" w:styleId="7">
    <w:name w:val="heading 2"/>
    <w:basedOn w:val="1"/>
    <w:next w:val="1"/>
    <w:qFormat/>
    <w:uiPriority w:val="0"/>
    <w:pPr>
      <w:outlineLvl w:val="1"/>
    </w:pPr>
    <w:rPr>
      <w:rFonts w:ascii="Times New Roman" w:hAnsi="Times New Roman" w:eastAsia="黑体"/>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5"/>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3">
    <w:name w:val="page number"/>
    <w:basedOn w:val="12"/>
    <w:qFormat/>
    <w:uiPriority w:val="0"/>
  </w:style>
  <w:style w:type="character" w:customStyle="1" w:styleId="14">
    <w:name w:val="页眉 Char"/>
    <w:basedOn w:val="12"/>
    <w:link w:val="10"/>
    <w:qFormat/>
    <w:uiPriority w:val="99"/>
    <w:rPr>
      <w:sz w:val="18"/>
      <w:szCs w:val="18"/>
    </w:rPr>
  </w:style>
  <w:style w:type="character" w:customStyle="1" w:styleId="15">
    <w:name w:val="页脚 Char"/>
    <w:basedOn w:val="12"/>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8"/>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 w:type="paragraph" w:customStyle="1" w:styleId="22">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0</TotalTime>
  <ScaleCrop>false</ScaleCrop>
  <LinksUpToDate>false</LinksUpToDate>
  <CharactersWithSpaces>9786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lenovo</cp:lastModifiedBy>
  <cp:lastPrinted>2024-08-09T02:20:00Z</cp:lastPrinted>
  <dcterms:modified xsi:type="dcterms:W3CDTF">2025-09-16T13:47:34Z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