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jc w:val="center"/>
        <w:rPr>
          <w:rFonts w:ascii="Times New Roman" w:hAnsi="Times New Roman" w:cs="Times New Roman"/>
          <w:sz w:val="56"/>
          <w:szCs w:val="56"/>
        </w:rPr>
      </w:pPr>
    </w:p>
    <w:p>
      <w:pPr>
        <w:pStyle w:val="17"/>
        <w:jc w:val="center"/>
        <w:rPr>
          <w:rFonts w:ascii="Times New Roman" w:hAnsi="Times New Roman" w:cs="Times New Roman"/>
          <w:sz w:val="84"/>
          <w:szCs w:val="84"/>
        </w:rPr>
      </w:pPr>
    </w:p>
    <w:p>
      <w:pPr>
        <w:pStyle w:val="17"/>
        <w:jc w:val="center"/>
        <w:rPr>
          <w:rFonts w:ascii="Times New Roman" w:hAnsi="Times New Roman" w:cs="Times New Roman"/>
          <w:sz w:val="84"/>
          <w:szCs w:val="84"/>
        </w:rPr>
      </w:pPr>
    </w:p>
    <w:p>
      <w:pPr>
        <w:pStyle w:val="17"/>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pPr>
        <w:pStyle w:val="17"/>
        <w:jc w:val="center"/>
        <w:rPr>
          <w:rFonts w:ascii="Times New Roman" w:hAnsi="Times New Roman" w:eastAsia="方正小标宋简体" w:cs="Times New Roman"/>
          <w:sz w:val="72"/>
          <w:szCs w:val="72"/>
        </w:rPr>
      </w:pPr>
      <w:r>
        <w:rPr>
          <w:rFonts w:hint="eastAsia" w:ascii="Times New Roman" w:hAnsi="Times New Roman" w:eastAsia="方正小标宋简体" w:cs="Times New Roman"/>
          <w:sz w:val="72"/>
          <w:szCs w:val="72"/>
          <w:lang w:val="en-US" w:eastAsia="zh-CN"/>
        </w:rPr>
        <w:t>湖南省植保植检站</w:t>
      </w:r>
      <w:r>
        <w:rPr>
          <w:rFonts w:ascii="Times New Roman" w:hAnsi="Times New Roman" w:eastAsia="方正小标宋简体" w:cs="Times New Roman"/>
          <w:sz w:val="72"/>
          <w:szCs w:val="72"/>
        </w:rPr>
        <w:t>部门决算</w:t>
      </w:r>
    </w:p>
    <w:p>
      <w:pPr>
        <w:pStyle w:val="17"/>
        <w:jc w:val="center"/>
        <w:rPr>
          <w:rFonts w:ascii="Times New Roman" w:hAnsi="Times New Roman" w:eastAsia="方正小标宋_GBK" w:cs="Times New Roman"/>
          <w:sz w:val="56"/>
          <w:szCs w:val="56"/>
        </w:rPr>
      </w:pPr>
    </w:p>
    <w:p>
      <w:pPr>
        <w:pStyle w:val="17"/>
        <w:jc w:val="center"/>
        <w:rPr>
          <w:rFonts w:ascii="Times New Roman" w:hAnsi="Times New Roman" w:cs="Times New Roman"/>
          <w:sz w:val="56"/>
          <w:szCs w:val="56"/>
        </w:rPr>
      </w:pPr>
    </w:p>
    <w:p>
      <w:pPr>
        <w:pStyle w:val="17"/>
        <w:rPr>
          <w:rFonts w:ascii="Times New Roman" w:hAnsi="Times New Roman" w:cs="Times New Roman"/>
          <w:sz w:val="56"/>
          <w:szCs w:val="56"/>
        </w:rPr>
      </w:pPr>
    </w:p>
    <w:p>
      <w:pPr>
        <w:pStyle w:val="17"/>
        <w:jc w:val="center"/>
        <w:rPr>
          <w:rFonts w:ascii="Times New Roman" w:hAnsi="Times New Roman" w:cs="Times New Roman"/>
          <w:sz w:val="32"/>
          <w:szCs w:val="32"/>
        </w:rPr>
      </w:pPr>
    </w:p>
    <w:p>
      <w:pPr>
        <w:pStyle w:val="17"/>
        <w:jc w:val="center"/>
        <w:rPr>
          <w:rFonts w:ascii="Times New Roman" w:hAnsi="Times New Roman" w:cs="Times New Roman"/>
          <w:sz w:val="32"/>
          <w:szCs w:val="32"/>
        </w:rPr>
      </w:pPr>
    </w:p>
    <w:p>
      <w:pPr>
        <w:pStyle w:val="17"/>
        <w:jc w:val="center"/>
        <w:rPr>
          <w:rFonts w:ascii="Times New Roman" w:hAnsi="Times New Roman" w:cs="Times New Roman"/>
          <w:sz w:val="32"/>
          <w:szCs w:val="32"/>
        </w:rPr>
      </w:pPr>
    </w:p>
    <w:p>
      <w:pPr>
        <w:pStyle w:val="17"/>
        <w:jc w:val="center"/>
        <w:rPr>
          <w:rFonts w:ascii="Times New Roman" w:hAnsi="Times New Roman" w:cs="Times New Roman"/>
          <w:sz w:val="32"/>
          <w:szCs w:val="32"/>
        </w:rPr>
      </w:pPr>
    </w:p>
    <w:p>
      <w:pPr>
        <w:pStyle w:val="17"/>
        <w:jc w:val="center"/>
        <w:rPr>
          <w:rFonts w:ascii="Times New Roman" w:hAnsi="Times New Roman" w:cs="Times New Roman"/>
          <w:sz w:val="32"/>
          <w:szCs w:val="32"/>
        </w:rPr>
      </w:pPr>
    </w:p>
    <w:p>
      <w:pPr>
        <w:pStyle w:val="17"/>
        <w:jc w:val="center"/>
        <w:rPr>
          <w:rFonts w:ascii="Times New Roman" w:hAnsi="Times New Roman" w:cs="Times New Roman"/>
          <w:sz w:val="32"/>
          <w:szCs w:val="32"/>
        </w:rPr>
      </w:pPr>
    </w:p>
    <w:p>
      <w:pPr>
        <w:pStyle w:val="17"/>
        <w:spacing w:line="540" w:lineRule="exact"/>
        <w:jc w:val="center"/>
        <w:rPr>
          <w:rFonts w:ascii="Times New Roman" w:hAnsi="Times New Roman" w:cs="Times New Roman"/>
          <w:sz w:val="56"/>
          <w:szCs w:val="56"/>
        </w:rPr>
      </w:pPr>
    </w:p>
    <w:p>
      <w:pPr>
        <w:rPr>
          <w:rFonts w:ascii="Times New Roman" w:hAnsi="Times New Roman" w:cs="Times New Roman"/>
          <w:b/>
          <w:sz w:val="36"/>
          <w:szCs w:val="28"/>
        </w:rPr>
        <w:sectPr>
          <w:pgSz w:w="11906" w:h="16838"/>
          <w:pgMar w:top="1417" w:right="1588" w:bottom="1417" w:left="1588" w:header="851" w:footer="992" w:gutter="0"/>
          <w:cols w:space="425" w:num="1"/>
          <w:docGrid w:type="lines" w:linePitch="312" w:charSpace="0"/>
        </w:sectPr>
      </w:pPr>
    </w:p>
    <w:p>
      <w:pPr>
        <w:pStyle w:val="17"/>
        <w:spacing w:line="600" w:lineRule="exact"/>
        <w:jc w:val="both"/>
        <w:rPr>
          <w:rFonts w:ascii="Times New Roman" w:hAnsi="Times New Roman" w:cs="Times New Roman"/>
          <w:b/>
          <w:sz w:val="36"/>
          <w:szCs w:val="28"/>
        </w:rPr>
      </w:pPr>
    </w:p>
    <w:p>
      <w:pPr>
        <w:pStyle w:val="17"/>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pPr>
        <w:pStyle w:val="17"/>
        <w:spacing w:line="600" w:lineRule="exact"/>
        <w:jc w:val="center"/>
        <w:rPr>
          <w:rFonts w:ascii="Times New Roman" w:hAnsi="Times New Roman" w:cs="Times New Roman"/>
          <w:b/>
          <w:sz w:val="36"/>
          <w:szCs w:val="28"/>
        </w:rPr>
      </w:pPr>
    </w:p>
    <w:p>
      <w:pPr>
        <w:pStyle w:val="17"/>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val="en-US" w:eastAsia="zh-CN"/>
        </w:rPr>
        <w:t>湖南省植保植检站</w:t>
      </w:r>
      <w:r>
        <w:rPr>
          <w:rFonts w:ascii="Times New Roman" w:hAnsi="Times New Roman" w:cs="Times New Roman"/>
          <w:bCs/>
          <w:sz w:val="32"/>
          <w:szCs w:val="32"/>
        </w:rPr>
        <w:t>概况</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3" w:type="default"/>
          <w:pgSz w:w="11906" w:h="16838"/>
          <w:pgMar w:top="1417" w:right="1588" w:bottom="1417" w:left="1588" w:header="851" w:footer="992" w:gutter="0"/>
          <w:pgNumType w:start="1"/>
          <w:cols w:space="425" w:num="1"/>
          <w:docGrid w:type="lines" w:linePitch="312" w:charSpace="0"/>
        </w:sectPr>
      </w:pP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pPr>
        <w:pStyle w:val="17"/>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pPr>
        <w:pStyle w:val="17"/>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pPr>
        <w:pStyle w:val="17"/>
        <w:spacing w:line="600" w:lineRule="exact"/>
        <w:rPr>
          <w:rFonts w:ascii="Times New Roman" w:hAnsi="Times New Roman" w:cs="Times New Roman"/>
          <w:bCs/>
          <w:sz w:val="28"/>
          <w:szCs w:val="28"/>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jc w:val="center"/>
        <w:rPr>
          <w:rFonts w:ascii="Times New Roman" w:hAnsi="Times New Roman" w:cs="Times New Roman"/>
          <w:sz w:val="72"/>
          <w:szCs w:val="72"/>
        </w:rPr>
      </w:pPr>
    </w:p>
    <w:p>
      <w:pPr>
        <w:pStyle w:val="11"/>
        <w:rPr>
          <w:rFonts w:ascii="Times New Roman" w:hAnsi="Times New Roman" w:cs="Times New Roman"/>
        </w:rPr>
        <w:sectPr>
          <w:footerReference r:id="rId4" w:type="default"/>
          <w:pgSz w:w="11906" w:h="16838"/>
          <w:pgMar w:top="1417" w:right="1588" w:bottom="1417" w:left="1588" w:header="851" w:footer="992" w:gutter="0"/>
          <w:pgNumType w:start="1"/>
          <w:cols w:space="425" w:num="1"/>
          <w:docGrid w:type="lines" w:linePitch="312" w:charSpace="0"/>
        </w:sectPr>
      </w:pPr>
    </w:p>
    <w:p>
      <w:pPr>
        <w:rPr>
          <w:rFonts w:ascii="Times New Roman" w:hAnsi="Times New Roman" w:eastAsia="方正小标宋_GBK" w:cs="Times New Roman"/>
          <w:sz w:val="72"/>
          <w:szCs w:val="7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pPr>
        <w:pStyle w:val="17"/>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val="en-US" w:eastAsia="zh-CN"/>
        </w:rPr>
        <w:t>湖南省植保植检站</w:t>
      </w:r>
      <w:r>
        <w:rPr>
          <w:rFonts w:ascii="Times New Roman" w:hAnsi="Times New Roman" w:eastAsia="方正小标宋_GBK" w:cs="Times New Roman"/>
          <w:sz w:val="52"/>
          <w:szCs w:val="52"/>
        </w:rPr>
        <w:t>概况</w:t>
      </w:r>
    </w:p>
    <w:p>
      <w:pPr>
        <w:pStyle w:val="7"/>
        <w:ind w:left="0" w:leftChars="0" w:firstLine="0" w:firstLineChars="0"/>
        <w:rPr>
          <w:rFonts w:ascii="Times New Roman" w:hAnsi="Times New Roman" w:cs="Times New Roman"/>
        </w:rPr>
      </w:pPr>
    </w:p>
    <w:p>
      <w:pPr>
        <w:pStyle w:val="18"/>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pPr>
        <w:widowControl/>
        <w:spacing w:line="600" w:lineRule="exact"/>
        <w:ind w:firstLine="640" w:firstLineChars="200"/>
        <w:rPr>
          <w:rFonts w:hint="eastAsia" w:ascii="Times New Roman" w:hAnsi="Times New Roman" w:eastAsia="仿宋_GB2312" w:cs="仿宋_GB2312"/>
          <w:bCs/>
          <w:color w:val="auto"/>
          <w:kern w:val="0"/>
          <w:sz w:val="32"/>
          <w:szCs w:val="32"/>
        </w:rPr>
      </w:pPr>
      <w:r>
        <w:rPr>
          <w:rFonts w:hint="eastAsia" w:ascii="Times New Roman" w:hAnsi="Times New Roman" w:eastAsia="仿宋_GB2312" w:cs="仿宋_GB2312"/>
          <w:bCs/>
          <w:color w:val="auto"/>
          <w:kern w:val="0"/>
          <w:sz w:val="32"/>
          <w:szCs w:val="32"/>
        </w:rPr>
        <w:t>（一）研究拟定全省植保植检工作中长期规划，指导植保植检体系和队伍建设，组织并指导全省开展大面积农作物病虫草鼠防治工作。</w:t>
      </w:r>
    </w:p>
    <w:p>
      <w:pPr>
        <w:widowControl/>
        <w:spacing w:line="600" w:lineRule="exact"/>
        <w:ind w:firstLine="640" w:firstLineChars="200"/>
        <w:rPr>
          <w:rFonts w:hint="eastAsia" w:ascii="Times New Roman" w:hAnsi="Times New Roman" w:eastAsia="仿宋_GB2312" w:cs="仿宋_GB2312"/>
          <w:bCs/>
          <w:color w:val="auto"/>
          <w:kern w:val="0"/>
          <w:sz w:val="32"/>
          <w:szCs w:val="32"/>
        </w:rPr>
      </w:pPr>
      <w:r>
        <w:rPr>
          <w:rFonts w:hint="eastAsia" w:ascii="Times New Roman" w:hAnsi="Times New Roman" w:eastAsia="仿宋_GB2312" w:cs="仿宋_GB2312"/>
          <w:bCs/>
          <w:color w:val="auto"/>
          <w:kern w:val="0"/>
          <w:sz w:val="32"/>
          <w:szCs w:val="32"/>
        </w:rPr>
        <w:t>（二）承担全省专业性病虫测报体系规划、建设及相关业务管理，制定病虫草鼠调查测报办法，及时做出农业有害生物发生趋势预测，发布农业有害生物预报或灾情警报。</w:t>
      </w:r>
    </w:p>
    <w:p>
      <w:pPr>
        <w:widowControl/>
        <w:spacing w:line="600" w:lineRule="exact"/>
        <w:ind w:firstLine="640" w:firstLineChars="200"/>
        <w:rPr>
          <w:rFonts w:hint="eastAsia" w:ascii="Times New Roman" w:hAnsi="Times New Roman" w:eastAsia="仿宋_GB2312" w:cs="仿宋_GB2312"/>
          <w:bCs/>
          <w:color w:val="auto"/>
          <w:kern w:val="0"/>
          <w:sz w:val="32"/>
          <w:szCs w:val="32"/>
        </w:rPr>
      </w:pPr>
      <w:r>
        <w:rPr>
          <w:rFonts w:hint="eastAsia" w:ascii="Times New Roman" w:hAnsi="Times New Roman" w:eastAsia="仿宋_GB2312" w:cs="仿宋_GB2312"/>
          <w:bCs/>
          <w:color w:val="auto"/>
          <w:kern w:val="0"/>
          <w:sz w:val="32"/>
          <w:szCs w:val="32"/>
        </w:rPr>
        <w:t>（三）组织农作物病虫害防控与重大农业生物灾害控制。</w:t>
      </w:r>
    </w:p>
    <w:p>
      <w:pPr>
        <w:widowControl/>
        <w:spacing w:line="600" w:lineRule="exact"/>
        <w:ind w:firstLine="640" w:firstLineChars="200"/>
        <w:rPr>
          <w:rFonts w:hint="eastAsia" w:ascii="Times New Roman" w:hAnsi="Times New Roman" w:eastAsia="仿宋_GB2312" w:cs="仿宋_GB2312"/>
          <w:bCs/>
          <w:color w:val="auto"/>
          <w:kern w:val="0"/>
          <w:sz w:val="32"/>
          <w:szCs w:val="32"/>
        </w:rPr>
      </w:pPr>
      <w:r>
        <w:rPr>
          <w:rFonts w:hint="eastAsia" w:ascii="Times New Roman" w:hAnsi="Times New Roman" w:eastAsia="仿宋_GB2312" w:cs="仿宋_GB2312"/>
          <w:bCs/>
          <w:color w:val="auto"/>
          <w:kern w:val="0"/>
          <w:sz w:val="32"/>
          <w:szCs w:val="32"/>
        </w:rPr>
        <w:t>（四）组织贯彻植物检疫法律和法规</w:t>
      </w:r>
      <w:r>
        <w:rPr>
          <w:rFonts w:hint="eastAsia" w:ascii="Times New Roman" w:hAnsi="Times New Roman" w:eastAsia="仿宋_GB2312" w:cs="仿宋_GB2312"/>
          <w:bCs/>
          <w:color w:val="auto"/>
          <w:kern w:val="0"/>
          <w:sz w:val="32"/>
          <w:szCs w:val="32"/>
          <w:lang w:eastAsia="zh-CN"/>
        </w:rPr>
        <w:t>，</w:t>
      </w:r>
      <w:r>
        <w:rPr>
          <w:rFonts w:hint="eastAsia" w:ascii="Times New Roman" w:hAnsi="Times New Roman" w:eastAsia="仿宋_GB2312" w:cs="仿宋_GB2312"/>
          <w:bCs/>
          <w:color w:val="auto"/>
          <w:kern w:val="0"/>
          <w:sz w:val="32"/>
          <w:szCs w:val="32"/>
        </w:rPr>
        <w:t>承办检疫审批、检疫检验、签发证书、组织疫情普查，制定封锁和消灭措施。</w:t>
      </w:r>
    </w:p>
    <w:p>
      <w:pPr>
        <w:widowControl/>
        <w:spacing w:line="600" w:lineRule="exact"/>
        <w:ind w:firstLine="640" w:firstLineChars="200"/>
        <w:rPr>
          <w:rFonts w:hint="eastAsia" w:ascii="Times New Roman" w:hAnsi="Times New Roman" w:eastAsia="仿宋_GB2312" w:cs="仿宋_GB2312"/>
          <w:bCs/>
          <w:color w:val="auto"/>
          <w:kern w:val="0"/>
          <w:sz w:val="32"/>
          <w:szCs w:val="32"/>
        </w:rPr>
      </w:pPr>
      <w:r>
        <w:rPr>
          <w:rFonts w:hint="eastAsia" w:ascii="Times New Roman" w:hAnsi="Times New Roman" w:eastAsia="仿宋_GB2312" w:cs="仿宋_GB2312"/>
          <w:bCs/>
          <w:color w:val="auto"/>
          <w:kern w:val="0"/>
          <w:sz w:val="32"/>
          <w:szCs w:val="32"/>
        </w:rPr>
        <w:t>（五）负责植保新技术、新农药、新药械的试验示范、开发及推广应用，开展农药使用等专业技术培训及监督管理。</w:t>
      </w:r>
    </w:p>
    <w:p>
      <w:pPr>
        <w:widowControl/>
        <w:spacing w:line="600" w:lineRule="exact"/>
        <w:rPr>
          <w:rFonts w:hint="eastAsia" w:ascii="黑体" w:hAnsi="黑体" w:eastAsia="黑体" w:cs="黑体"/>
          <w:b w:val="0"/>
          <w:bCs/>
          <w:color w:val="auto"/>
          <w:kern w:val="0"/>
          <w:sz w:val="32"/>
          <w:szCs w:val="32"/>
        </w:rPr>
      </w:pPr>
      <w:r>
        <w:rPr>
          <w:rFonts w:hint="eastAsia" w:ascii="黑体" w:hAnsi="黑体" w:eastAsia="黑体" w:cs="黑体"/>
          <w:b w:val="0"/>
          <w:bCs/>
          <w:color w:val="auto"/>
          <w:kern w:val="0"/>
          <w:sz w:val="32"/>
          <w:szCs w:val="32"/>
        </w:rPr>
        <w:t>二、机构设置及决算单位构成</w:t>
      </w:r>
    </w:p>
    <w:p>
      <w:pPr>
        <w:ind w:firstLine="600"/>
        <w:jc w:val="left"/>
        <w:rPr>
          <w:rFonts w:asciiTheme="minorEastAsia" w:hAnsiTheme="minorEastAsia"/>
          <w:bCs/>
          <w:color w:val="auto"/>
          <w:kern w:val="0"/>
          <w:sz w:val="32"/>
          <w:szCs w:val="32"/>
        </w:rPr>
      </w:pPr>
      <w:r>
        <w:rPr>
          <w:rFonts w:hint="eastAsia" w:ascii="Times New Roman" w:hAnsi="Times New Roman" w:eastAsia="仿宋_GB2312" w:cs="仿宋_GB2312"/>
          <w:bCs/>
          <w:color w:val="auto"/>
          <w:kern w:val="0"/>
          <w:sz w:val="32"/>
          <w:szCs w:val="32"/>
        </w:rPr>
        <w:t>（一）内设机构设置。</w:t>
      </w:r>
      <w:r>
        <w:rPr>
          <w:rFonts w:hint="eastAsia" w:ascii="Times New Roman" w:hAnsi="Times New Roman" w:eastAsia="仿宋_GB2312" w:cs="仿宋_GB2312"/>
          <w:bCs/>
          <w:color w:val="auto"/>
          <w:kern w:val="0"/>
          <w:sz w:val="32"/>
          <w:szCs w:val="32"/>
          <w:lang w:val="en-US" w:eastAsia="zh-CN"/>
        </w:rPr>
        <w:t>湖南省植保植检站</w:t>
      </w:r>
      <w:r>
        <w:rPr>
          <w:rFonts w:hint="eastAsia" w:ascii="Times New Roman" w:hAnsi="Times New Roman" w:eastAsia="仿宋_GB2312" w:cs="仿宋_GB2312"/>
          <w:bCs/>
          <w:color w:val="auto"/>
          <w:kern w:val="0"/>
          <w:sz w:val="32"/>
          <w:szCs w:val="32"/>
        </w:rPr>
        <w:t>内设机构包括：</w:t>
      </w:r>
      <w:r>
        <w:rPr>
          <w:rFonts w:hint="eastAsia" w:ascii="Times New Roman" w:hAnsi="Times New Roman" w:eastAsia="仿宋_GB2312" w:cs="仿宋_GB2312"/>
          <w:bCs/>
          <w:color w:val="auto"/>
          <w:kern w:val="0"/>
          <w:sz w:val="32"/>
          <w:szCs w:val="32"/>
          <w:lang w:val="en-US" w:eastAsia="zh-CN"/>
        </w:rPr>
        <w:t>综合科、测报科、检疫科、防治科、计财科、药械科、经保科、信息科等8个科室（机构）</w:t>
      </w:r>
      <w:r>
        <w:rPr>
          <w:rFonts w:hint="eastAsia" w:asciiTheme="minorEastAsia" w:hAnsiTheme="minorEastAsia"/>
          <w:bCs/>
          <w:color w:val="auto"/>
          <w:kern w:val="0"/>
          <w:sz w:val="32"/>
          <w:szCs w:val="32"/>
        </w:rPr>
        <w:t>。</w:t>
      </w:r>
    </w:p>
    <w:p>
      <w:pPr>
        <w:widowControl/>
        <w:spacing w:line="600" w:lineRule="exact"/>
        <w:ind w:firstLine="640" w:firstLineChars="200"/>
        <w:rPr>
          <w:rFonts w:hint="eastAsia" w:ascii="Times New Roman" w:hAnsi="Times New Roman" w:eastAsia="仿宋_GB2312" w:cs="仿宋_GB2312"/>
          <w:bCs/>
          <w:color w:val="auto"/>
          <w:kern w:val="0"/>
          <w:sz w:val="32"/>
          <w:szCs w:val="32"/>
          <w:lang w:eastAsia="zh-CN"/>
        </w:rPr>
      </w:pPr>
      <w:r>
        <w:rPr>
          <w:rFonts w:hint="eastAsia" w:ascii="Times New Roman" w:hAnsi="Times New Roman" w:eastAsia="仿宋_GB2312" w:cs="仿宋_GB2312"/>
          <w:bCs/>
          <w:color w:val="auto"/>
          <w:kern w:val="0"/>
          <w:sz w:val="32"/>
          <w:szCs w:val="32"/>
        </w:rPr>
        <w:t>（二）决算单位构成。</w:t>
      </w:r>
      <w:r>
        <w:rPr>
          <w:rFonts w:hint="eastAsia" w:ascii="Times New Roman" w:hAnsi="Times New Roman" w:eastAsia="仿宋_GB2312" w:cs="仿宋_GB2312"/>
          <w:bCs/>
          <w:color w:val="auto"/>
          <w:kern w:val="0"/>
          <w:sz w:val="32"/>
          <w:szCs w:val="32"/>
          <w:lang w:val="en-US" w:eastAsia="zh-CN"/>
        </w:rPr>
        <w:t>湖南省植保植检站</w:t>
      </w:r>
      <w:r>
        <w:rPr>
          <w:rFonts w:hint="eastAsia" w:ascii="Times New Roman" w:hAnsi="Times New Roman" w:eastAsia="仿宋_GB2312" w:cs="仿宋_GB2312"/>
          <w:bCs/>
          <w:color w:val="auto"/>
          <w:kern w:val="0"/>
          <w:sz w:val="32"/>
          <w:szCs w:val="32"/>
        </w:rPr>
        <w:t>202</w:t>
      </w:r>
      <w:r>
        <w:rPr>
          <w:rFonts w:hint="eastAsia" w:ascii="Times New Roman" w:hAnsi="Times New Roman" w:eastAsia="仿宋_GB2312" w:cs="仿宋_GB2312"/>
          <w:bCs/>
          <w:color w:val="auto"/>
          <w:kern w:val="0"/>
          <w:sz w:val="32"/>
          <w:szCs w:val="32"/>
          <w:lang w:val="en-US" w:eastAsia="zh-CN"/>
        </w:rPr>
        <w:t>4</w:t>
      </w:r>
      <w:r>
        <w:rPr>
          <w:rFonts w:hint="eastAsia" w:ascii="Times New Roman" w:hAnsi="Times New Roman" w:eastAsia="仿宋_GB2312" w:cs="仿宋_GB2312"/>
          <w:bCs/>
          <w:color w:val="auto"/>
          <w:kern w:val="0"/>
          <w:sz w:val="32"/>
          <w:szCs w:val="32"/>
        </w:rPr>
        <w:t>年部门决算公开单位构成包括：</w:t>
      </w:r>
      <w:r>
        <w:rPr>
          <w:rFonts w:hint="eastAsia" w:ascii="Times New Roman" w:hAnsi="Times New Roman" w:eastAsia="仿宋_GB2312" w:cs="仿宋_GB2312"/>
          <w:bCs/>
          <w:color w:val="auto"/>
          <w:kern w:val="0"/>
          <w:sz w:val="32"/>
          <w:szCs w:val="32"/>
          <w:lang w:val="en-US" w:eastAsia="zh-CN"/>
        </w:rPr>
        <w:t>湖南省植保植检站</w:t>
      </w:r>
      <w:r>
        <w:rPr>
          <w:rFonts w:hint="eastAsia" w:ascii="Times New Roman" w:hAnsi="Times New Roman" w:eastAsia="仿宋_GB2312" w:cs="仿宋_GB2312"/>
          <w:bCs/>
          <w:color w:val="auto"/>
          <w:kern w:val="0"/>
          <w:sz w:val="32"/>
          <w:szCs w:val="32"/>
        </w:rPr>
        <w:t>本级</w:t>
      </w:r>
      <w:r>
        <w:rPr>
          <w:rFonts w:hint="eastAsia" w:ascii="Times New Roman" w:hAnsi="Times New Roman" w:eastAsia="仿宋_GB2312" w:cs="仿宋_GB2312"/>
          <w:bCs/>
          <w:color w:val="auto"/>
          <w:kern w:val="0"/>
          <w:sz w:val="32"/>
          <w:szCs w:val="32"/>
          <w:lang w:eastAsia="zh-CN"/>
        </w:rPr>
        <w:t>。</w:t>
      </w:r>
    </w:p>
    <w:p>
      <w:pPr>
        <w:jc w:val="left"/>
        <w:rPr>
          <w:rFonts w:ascii="Times New Roman" w:hAnsi="Times New Roman" w:eastAsia="仿宋_GB2312" w:cs="Times New Roman"/>
          <w:sz w:val="28"/>
          <w:szCs w:val="32"/>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jc w:val="center"/>
        <w:rPr>
          <w:rFonts w:ascii="Times New Roman" w:hAnsi="Times New Roman" w:eastAsia="黑体" w:cs="Times New Roman"/>
          <w:sz w:val="28"/>
          <w:szCs w:val="28"/>
        </w:rPr>
      </w:pPr>
    </w:p>
    <w:p>
      <w:pPr>
        <w:pStyle w:val="11"/>
        <w:rPr>
          <w:rFonts w:ascii="Times New Roman" w:hAnsi="Times New Roman" w:cs="Times New Roman"/>
        </w:rPr>
        <w:sectPr>
          <w:footerReference r:id="rId5" w:type="default"/>
          <w:pgSz w:w="11906" w:h="16838"/>
          <w:pgMar w:top="1417" w:right="1588" w:bottom="1417" w:left="1588" w:header="851" w:footer="992" w:gutter="0"/>
          <w:pgNumType w:start="1"/>
          <w:cols w:space="425" w:num="1"/>
          <w:docGrid w:type="lines" w:linePitch="312" w:charSpace="0"/>
        </w:sectPr>
      </w:pPr>
    </w:p>
    <w:p>
      <w:pPr>
        <w:pStyle w:val="17"/>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val="en-US" w:eastAsia="zh-CN" w:bidi="ar"/>
        </w:rPr>
        <w:t>湖南省植保植检</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p>
      <w:pPr>
        <w:widowControl/>
        <w:jc w:val="left"/>
        <w:textAlignment w:val="center"/>
        <w:rPr>
          <w:rFonts w:ascii="Times New Roman" w:hAnsi="Times New Roman" w:eastAsia="宋体" w:cs="Times New Roman"/>
          <w:color w:val="000000"/>
          <w:kern w:val="0"/>
          <w:sz w:val="24"/>
          <w:szCs w:val="24"/>
          <w:lang w:bidi="ar"/>
        </w:rPr>
      </w:pPr>
    </w:p>
    <w:tbl>
      <w:tblPr>
        <w:tblStyle w:val="12"/>
        <w:tblW w:w="139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092"/>
        <w:gridCol w:w="662"/>
        <w:gridCol w:w="1571"/>
        <w:gridCol w:w="4046"/>
        <w:gridCol w:w="561"/>
        <w:gridCol w:w="20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732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66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3,134.24</w:t>
            </w: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0.02</w:t>
            </w: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1,982.32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3,134.26</w:t>
            </w: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2,334.24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使用非财政拨款结余（含专用结余）</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1,795.96</w:t>
            </w: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2,595.96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9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6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5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4,930.22</w:t>
            </w:r>
          </w:p>
        </w:tc>
        <w:tc>
          <w:tcPr>
            <w:tcW w:w="404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6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205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4,930.22</w:t>
            </w:r>
          </w:p>
        </w:tc>
      </w:tr>
    </w:tbl>
    <w:p>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pPr>
        <w:rPr>
          <w:rFonts w:ascii="Times New Roman" w:hAnsi="Times New Roman" w:eastAsia="华文中宋" w:cs="Times New Roman"/>
          <w:color w:val="000000"/>
          <w:sz w:val="32"/>
          <w:szCs w:val="32"/>
        </w:rPr>
      </w:pPr>
      <w:r>
        <w:rPr>
          <w:rFonts w:ascii="Times New Roman" w:hAnsi="Times New Roman" w:eastAsia="华文中宋" w:cs="Times New Roman"/>
          <w:color w:val="000000"/>
          <w:sz w:val="32"/>
          <w:szCs w:val="32"/>
        </w:rPr>
        <w:br w:type="page"/>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pPr>
        <w:tabs>
          <w:tab w:val="left" w:pos="315"/>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公开02表</w:t>
      </w:r>
    </w:p>
    <w:p>
      <w:pPr>
        <w:tabs>
          <w:tab w:val="left" w:pos="630"/>
          <w:tab w:val="left" w:pos="2100"/>
          <w:tab w:val="left" w:pos="3895"/>
          <w:tab w:val="left" w:pos="5690"/>
          <w:tab w:val="left" w:pos="7485"/>
          <w:tab w:val="left" w:pos="9280"/>
          <w:tab w:val="left" w:pos="11075"/>
          <w:tab w:val="left" w:pos="12870"/>
        </w:tabs>
        <w:jc w:val="right"/>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部门：</w:t>
      </w:r>
      <w:r>
        <w:rPr>
          <w:rFonts w:hint="eastAsia" w:ascii="Times New Roman" w:hAnsi="Times New Roman" w:eastAsia="仿宋_GB2312" w:cs="Times New Roman"/>
          <w:color w:val="000000"/>
          <w:sz w:val="20"/>
          <w:szCs w:val="20"/>
          <w:lang w:val="en-US" w:eastAsia="zh-CN"/>
        </w:rPr>
        <w:t>湖南省植保植检站</w:t>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　</w:t>
      </w:r>
      <w:r>
        <w:rPr>
          <w:rFonts w:ascii="Times New Roman" w:hAnsi="Times New Roman" w:eastAsia="仿宋_GB2312" w:cs="Times New Roman"/>
          <w:color w:val="000000"/>
          <w:sz w:val="20"/>
          <w:szCs w:val="20"/>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rPr>
        <w:t>　</w:t>
      </w:r>
      <w:r>
        <w:rPr>
          <w:rFonts w:ascii="Times New Roman" w:hAnsi="Times New Roman" w:eastAsia="仿宋_GB2312" w:cs="Times New Roman"/>
          <w:sz w:val="24"/>
          <w:szCs w:val="24"/>
        </w:rPr>
        <w:tab/>
      </w:r>
      <w:r>
        <w:rPr>
          <w:rFonts w:ascii="Times New Roman" w:hAnsi="Times New Roman" w:eastAsia="仿宋_GB2312" w:cs="Times New Roman"/>
          <w:color w:val="000000"/>
          <w:sz w:val="20"/>
          <w:szCs w:val="20"/>
        </w:rPr>
        <w:t>单位：万元</w:t>
      </w:r>
    </w:p>
    <w:tbl>
      <w:tblPr>
        <w:tblStyle w:val="12"/>
        <w:tblW w:w="15563" w:type="dxa"/>
        <w:tblInd w:w="-50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431"/>
        <w:gridCol w:w="3603"/>
        <w:gridCol w:w="1650"/>
        <w:gridCol w:w="1650"/>
        <w:gridCol w:w="1649"/>
        <w:gridCol w:w="1405"/>
        <w:gridCol w:w="1325"/>
        <w:gridCol w:w="1649"/>
        <w:gridCol w:w="12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3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65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40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32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20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6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6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3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0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2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3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3,134.26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3,134.24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155.40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155.40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155.40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155.40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事业单位离退休</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82.40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82.40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行政单位医疗</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2101199</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其他行政事业单位医疗支出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2,758.86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2,758.84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2,758.86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2,758.84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748.86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748.84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1,908.00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1,908.00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bl>
    <w:p>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公开03表</w:t>
      </w:r>
    </w:p>
    <w:p>
      <w:pPr>
        <w:widowControl/>
        <w:tabs>
          <w:tab w:val="left" w:pos="1236"/>
          <w:tab w:val="left" w:pos="1499"/>
          <w:tab w:val="left" w:pos="2980"/>
          <w:tab w:val="left" w:pos="4932"/>
          <w:tab w:val="left" w:pos="6923"/>
          <w:tab w:val="left" w:pos="8914"/>
          <w:tab w:val="left" w:pos="10905"/>
          <w:tab w:val="left" w:pos="12896"/>
        </w:tabs>
        <w:jc w:val="righ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sz w:val="20"/>
          <w:szCs w:val="20"/>
          <w:lang w:val="en-US" w:eastAsia="zh-CN"/>
        </w:rPr>
        <w:t>湖南省植保植检站</w:t>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　</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color w:val="000000"/>
          <w:kern w:val="0"/>
          <w:sz w:val="20"/>
          <w:szCs w:val="20"/>
        </w:rPr>
        <w:t>单位：万元</w:t>
      </w:r>
    </w:p>
    <w:tbl>
      <w:tblPr>
        <w:tblStyle w:val="12"/>
        <w:tblW w:w="148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980"/>
        <w:gridCol w:w="3963"/>
        <w:gridCol w:w="1649"/>
        <w:gridCol w:w="1649"/>
        <w:gridCol w:w="1649"/>
        <w:gridCol w:w="1499"/>
        <w:gridCol w:w="1274"/>
        <w:gridCol w:w="11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94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49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27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18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396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96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96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2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8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94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9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7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18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94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2,334.24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972.18</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1,362.06</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b/>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50.54</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50.54</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50.54</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50.54</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151.39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151.39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151.39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151.39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事业单位离退休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78.39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78.39</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2101101</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行政单位医疗</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2101199</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其他行政事业单位医疗支出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1,982.32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670.80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1,311.52</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798.82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670.80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128.02</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670.80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670.80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120.22</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120.22</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21302</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林业和草原</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1,183.50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1,183.50</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2130299</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其他林业和草原支出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1,183.50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1,183.50</w:t>
            </w: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396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164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49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27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pPr>
        <w:widowControl/>
        <w:spacing w:line="400" w:lineRule="exact"/>
        <w:jc w:val="center"/>
        <w:textAlignment w:val="center"/>
        <w:rPr>
          <w:rFonts w:ascii="Times New Roman" w:hAnsi="Times New Roman" w:eastAsia="黑体"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pStyle w:val="11"/>
        <w:rPr>
          <w:rFonts w:ascii="Times New Roman" w:hAnsi="Times New Roman" w:eastAsia="黑体" w:cs="Times New Roman"/>
          <w:color w:val="000000"/>
          <w:kern w:val="0"/>
          <w:sz w:val="36"/>
          <w:szCs w:val="36"/>
          <w:lang w:bidi="ar"/>
        </w:rPr>
      </w:pPr>
    </w:p>
    <w:p>
      <w:pPr>
        <w:pStyle w:val="7"/>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公开04表</w:t>
      </w:r>
    </w:p>
    <w:p>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sz w:val="20"/>
          <w:szCs w:val="20"/>
          <w:lang w:val="en-US" w:eastAsia="zh-CN"/>
        </w:rPr>
        <w:t>湖南省植保植检站</w:t>
      </w:r>
      <w:r>
        <w:rPr>
          <w:rFonts w:ascii="Times New Roman" w:hAnsi="Times New Roman" w:eastAsia="仿宋_GB2312" w:cs="Times New Roman"/>
          <w:color w:val="000000"/>
          <w:kern w:val="0"/>
          <w:sz w:val="20"/>
          <w:szCs w:val="20"/>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kern w:val="0"/>
          <w:sz w:val="24"/>
          <w:szCs w:val="24"/>
        </w:rPr>
        <w:tab/>
      </w:r>
      <w:r>
        <w:rPr>
          <w:rFonts w:ascii="Times New Roman" w:hAnsi="Times New Roman" w:eastAsia="仿宋_GB2312" w:cs="Times New Roman"/>
          <w:kern w:val="0"/>
          <w:sz w:val="24"/>
          <w:szCs w:val="24"/>
        </w:rPr>
        <w:t>　</w:t>
      </w:r>
      <w:r>
        <w:rPr>
          <w:rFonts w:ascii="Times New Roman" w:hAnsi="Times New Roman" w:eastAsia="仿宋_GB2312" w:cs="Times New Roman"/>
          <w:color w:val="000000"/>
          <w:kern w:val="0"/>
          <w:sz w:val="20"/>
          <w:szCs w:val="20"/>
        </w:rPr>
        <w:t>单位：万元</w:t>
      </w:r>
    </w:p>
    <w:tbl>
      <w:tblPr>
        <w:tblStyle w:val="12"/>
        <w:tblW w:w="15500" w:type="dxa"/>
        <w:tblInd w:w="-53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512"/>
        <w:gridCol w:w="523"/>
        <w:gridCol w:w="1540"/>
        <w:gridCol w:w="4375"/>
        <w:gridCol w:w="471"/>
        <w:gridCol w:w="1110"/>
        <w:gridCol w:w="1504"/>
        <w:gridCol w:w="1097"/>
        <w:gridCol w:w="13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57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925"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351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4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37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7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0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09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36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35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3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0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0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3,134.24</w:t>
            </w: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50.54</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50.54</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151.39</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151.39</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1,982.32</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1,982.32</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3,134.24</w:t>
            </w: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2,334.24</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2,334.24</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1,795.96</w:t>
            </w: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2,595.96</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2,595.96</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1,795.96</w:t>
            </w: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5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52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4,930.20</w:t>
            </w:r>
          </w:p>
        </w:tc>
        <w:tc>
          <w:tcPr>
            <w:tcW w:w="43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4,930.20</w:t>
            </w:r>
          </w:p>
        </w:tc>
        <w:tc>
          <w:tcPr>
            <w:tcW w:w="150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4,930.20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pPr>
        <w:widowControl/>
        <w:jc w:val="center"/>
        <w:rPr>
          <w:rFonts w:ascii="Times New Roman" w:hAnsi="Times New Roman" w:eastAsia="方正小标宋_GBK" w:cs="Times New Roman"/>
          <w:kern w:val="0"/>
          <w:sz w:val="36"/>
          <w:szCs w:val="36"/>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 </w:t>
      </w:r>
      <w:r>
        <w:rPr>
          <w:rFonts w:hint="eastAsia" w:ascii="Times New Roman" w:hAnsi="Times New Roman" w:eastAsia="仿宋_GB2312" w:cs="Times New Roman"/>
          <w:color w:val="000000"/>
          <w:sz w:val="20"/>
          <w:szCs w:val="20"/>
          <w:lang w:val="en-US" w:eastAsia="zh-CN"/>
        </w:rPr>
        <w:t>湖南省植保植检站</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12"/>
        <w:tblW w:w="14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019"/>
        <w:gridCol w:w="5229"/>
        <w:gridCol w:w="2498"/>
        <w:gridCol w:w="2555"/>
        <w:gridCol w:w="23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724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7382"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功能分类科目编码</w:t>
            </w:r>
          </w:p>
        </w:tc>
        <w:tc>
          <w:tcPr>
            <w:tcW w:w="522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49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55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32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2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2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522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4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724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724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2,334.24</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972.18</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1,362.06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50.54</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50.54</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2050803</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培训支出</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50.54</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151.39</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151.39</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151.39</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151.39</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事业单位离退休</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78.39</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78.39</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73.00</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73.00</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78.00</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78.00</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78.00</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78.00</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2101101</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行政单位医疗</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43.00</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43.00</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2101103</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公务员医疗补助</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32.00</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32.00</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2101199</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其他行政事业单位医疗支出</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3.00</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1,982.32</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670.80</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1,311.52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798.82</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670.80</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128.02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670.80</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670.80</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120.22</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21302</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林业和草原</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1,183.50</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2130299</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其他林业和草原支出</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1,183.50</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1,183.50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52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住房公积金</w:t>
            </w:r>
          </w:p>
        </w:tc>
        <w:tc>
          <w:tcPr>
            <w:tcW w:w="24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255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72.00</w:t>
            </w:r>
          </w:p>
        </w:tc>
        <w:tc>
          <w:tcPr>
            <w:tcW w:w="232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bl>
    <w:p>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pPr>
        <w:widowControl/>
        <w:wordWrap w:val="0"/>
        <w:spacing w:line="240" w:lineRule="exact"/>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部门： </w:t>
      </w:r>
      <w:r>
        <w:rPr>
          <w:rFonts w:hint="eastAsia" w:ascii="Times New Roman" w:hAnsi="Times New Roman" w:eastAsia="仿宋_GB2312" w:cs="Times New Roman"/>
          <w:color w:val="000000"/>
          <w:sz w:val="20"/>
          <w:szCs w:val="20"/>
          <w:lang w:val="en-US" w:eastAsia="zh-CN"/>
        </w:rPr>
        <w:t>湖南省植保植检站</w:t>
      </w:r>
      <w:r>
        <w:rPr>
          <w:rFonts w:ascii="Times New Roman" w:hAnsi="Times New Roman" w:eastAsia="仿宋_GB2312" w:cs="Times New Roman"/>
          <w:color w:val="000000"/>
          <w:kern w:val="0"/>
          <w:szCs w:val="21"/>
        </w:rPr>
        <w:t xml:space="preserve">                                                                                                    公开06表</w:t>
      </w:r>
    </w:p>
    <w:p>
      <w:pPr>
        <w:widowControl/>
        <w:spacing w:line="240" w:lineRule="exact"/>
        <w:jc w:val="righ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单位：万元</w:t>
      </w:r>
    </w:p>
    <w:tbl>
      <w:tblPr>
        <w:tblStyle w:val="12"/>
        <w:tblW w:w="14627" w:type="dxa"/>
        <w:jc w:val="center"/>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tblPrEx>
          <w:tblCellMar>
            <w:top w:w="0" w:type="dxa"/>
            <w:left w:w="108" w:type="dxa"/>
            <w:bottom w:w="0" w:type="dxa"/>
            <w:right w:w="108" w:type="dxa"/>
          </w:tblCellMar>
        </w:tblPrEx>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788.17</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105.63</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204.36</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5.00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198.43</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5.26</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30702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127.99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34.40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73.00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1.37</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31005</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43.00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31006</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32.00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30209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8.90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5.00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72.00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30212</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30114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30213</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0.50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30199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0.39</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78.39</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1.62</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31013</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30302</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76.14</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0.37</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31019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30303</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30218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31021</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30304</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0.90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30224</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31022</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30305</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30225</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31099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30306</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30226</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30307</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30227</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39907</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30308</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30228</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18.00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39908</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30309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30229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39909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经常性赠与</w:t>
            </w:r>
          </w:p>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p>
            <w:pPr>
              <w:widowControl/>
              <w:jc w:val="left"/>
              <w:rPr>
                <w:rFonts w:ascii="Times New Roman" w:hAnsi="Times New Roman" w:eastAsia="仿宋_GB2312" w:cs="Times New Roman"/>
                <w:color w:val="000000"/>
                <w:kern w:val="0"/>
                <w:szCs w:val="20"/>
              </w:rPr>
            </w:pPr>
          </w:p>
          <w:tbl>
            <w:tblPr>
              <w:tblStyle w:val="12"/>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bl>
            <w:tblPr>
              <w:tblStyle w:val="12"/>
              <w:tblW w:w="3946" w:type="dxa"/>
              <w:tblInd w:w="0" w:type="dxa"/>
              <w:tblLayout w:type="fixed"/>
              <w:tblCellMar>
                <w:top w:w="0" w:type="dxa"/>
                <w:left w:w="108" w:type="dxa"/>
                <w:bottom w:w="0" w:type="dxa"/>
                <w:right w:w="108" w:type="dxa"/>
              </w:tblCellMar>
            </w:tblPr>
            <w:tblGrid>
              <w:gridCol w:w="3946"/>
            </w:tblGrid>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经常性赠与</w:t>
                  </w:r>
                </w:p>
              </w:tc>
            </w:tr>
            <w:tr>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资本性赠与</w:t>
                  </w:r>
                </w:p>
              </w:tc>
            </w:tr>
          </w:tbl>
          <w:p>
            <w:pPr>
              <w:widowControl/>
              <w:jc w:val="left"/>
              <w:rPr>
                <w:rFonts w:ascii="Times New Roman" w:hAnsi="Times New Roman" w:eastAsia="仿宋_GB2312" w:cs="Times New Roman"/>
                <w:color w:val="000000"/>
                <w:kern w:val="0"/>
                <w:szCs w:val="20"/>
              </w:rPr>
            </w:pP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30310</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30231</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5.00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39910</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30311</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30239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30.50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39999</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30399</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1.34</w:t>
            </w: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30240</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2850"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w:t>
            </w:r>
          </w:p>
        </w:tc>
        <w:tc>
          <w:tcPr>
            <w:tcW w:w="966"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c>
          <w:tcPr>
            <w:tcW w:w="1116"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30299</w:t>
            </w:r>
          </w:p>
        </w:tc>
        <w:tc>
          <w:tcPr>
            <w:tcW w:w="2018"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12.72</w:t>
            </w:r>
          </w:p>
        </w:tc>
        <w:tc>
          <w:tcPr>
            <w:tcW w:w="12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3517" w:type="dxa"/>
            <w:tcBorders>
              <w:top w:val="nil"/>
              <w:left w:val="nil"/>
              <w:bottom w:val="single" w:color="auto" w:sz="4" w:space="0"/>
              <w:right w:val="single" w:color="auto" w:sz="4" w:space="0"/>
            </w:tcBorders>
            <w:shd w:val="clear" w:color="auto" w:fill="auto"/>
            <w:noWrap/>
            <w:vAlign w:val="center"/>
          </w:tcPr>
          <w:p>
            <w:pPr>
              <w:widowControl/>
              <w:jc w:val="left"/>
              <w:rPr>
                <w:rFonts w:ascii="Times New Roman" w:hAnsi="Times New Roman" w:eastAsia="仿宋_GB2312" w:cs="Times New Roman"/>
                <w:color w:val="000000"/>
                <w:kern w:val="0"/>
                <w:szCs w:val="18"/>
              </w:rPr>
            </w:pPr>
            <w:r>
              <w:rPr>
                <w:rFonts w:ascii="Times New Roman" w:hAnsi="Times New Roman" w:eastAsia="仿宋_GB2312" w:cs="Times New Roman"/>
                <w:color w:val="000000"/>
                <w:kern w:val="0"/>
                <w:szCs w:val="18"/>
              </w:rPr>
              <w:t>　</w:t>
            </w:r>
          </w:p>
        </w:tc>
        <w:tc>
          <w:tcPr>
            <w:tcW w:w="929" w:type="dxa"/>
            <w:tcBorders>
              <w:top w:val="nil"/>
              <w:left w:val="nil"/>
              <w:bottom w:val="single" w:color="auto" w:sz="4" w:space="0"/>
              <w:right w:val="single" w:color="auto" w:sz="4" w:space="0"/>
            </w:tcBorders>
            <w:shd w:val="clear" w:color="auto" w:fill="auto"/>
            <w:noWrap/>
            <w:vAlign w:val="center"/>
          </w:tcPr>
          <w:p>
            <w:pPr>
              <w:jc w:val="right"/>
              <w:rPr>
                <w:rFonts w:ascii="Times New Roman" w:hAnsi="Times New Roman" w:eastAsia="仿宋_GB2312" w:cs="Times New Roman"/>
                <w:color w:val="000000"/>
                <w:kern w:val="0"/>
                <w:szCs w:val="20"/>
              </w:rPr>
            </w:pPr>
          </w:p>
        </w:tc>
      </w:tr>
      <w:tr>
        <w:tblPrEx>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人员经费合计</w:t>
            </w:r>
          </w:p>
        </w:tc>
        <w:tc>
          <w:tcPr>
            <w:tcW w:w="966"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20"/>
              </w:rPr>
            </w:pPr>
            <w:r>
              <w:rPr>
                <w:rFonts w:hint="eastAsia" w:ascii="宋体" w:hAnsi="宋体" w:eastAsia="宋体" w:cs="宋体"/>
                <w:i w:val="0"/>
                <w:color w:val="000000"/>
                <w:kern w:val="0"/>
                <w:sz w:val="22"/>
                <w:szCs w:val="22"/>
                <w:u w:val="none"/>
                <w:lang w:val="en-US" w:eastAsia="zh-CN" w:bidi="ar"/>
              </w:rPr>
              <w:t>866.56</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Times New Roman" w:hAnsi="Times New Roman" w:eastAsia="仿宋_GB2312" w:cs="Times New Roman"/>
                <w:color w:val="000000"/>
                <w:kern w:val="0"/>
                <w:szCs w:val="20"/>
              </w:rPr>
            </w:pPr>
            <w:r>
              <w:rPr>
                <w:rFonts w:ascii="Times New Roman" w:hAnsi="Times New Roman" w:eastAsia="仿宋_GB2312" w:cs="Times New Roman"/>
                <w:color w:val="000000"/>
                <w:kern w:val="0"/>
                <w:szCs w:val="20"/>
              </w:rPr>
              <w:t>公用经费合计</w:t>
            </w:r>
          </w:p>
        </w:tc>
        <w:tc>
          <w:tcPr>
            <w:tcW w:w="92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Times New Roman" w:hAnsi="Times New Roman" w:eastAsia="仿宋_GB2312" w:cs="Times New Roman"/>
                <w:color w:val="000000"/>
                <w:kern w:val="0"/>
                <w:szCs w:val="18"/>
              </w:rPr>
            </w:pPr>
            <w:r>
              <w:rPr>
                <w:rFonts w:hint="eastAsia" w:ascii="宋体" w:hAnsi="宋体" w:eastAsia="宋体" w:cs="宋体"/>
                <w:i w:val="0"/>
                <w:color w:val="000000"/>
                <w:kern w:val="0"/>
                <w:sz w:val="22"/>
                <w:szCs w:val="22"/>
                <w:u w:val="none"/>
                <w:lang w:val="en-US" w:eastAsia="zh-CN" w:bidi="ar"/>
              </w:rPr>
              <w:t>105.63</w:t>
            </w:r>
          </w:p>
        </w:tc>
      </w:tr>
    </w:tbl>
    <w:p>
      <w:pPr>
        <w:widowControl/>
        <w:jc w:val="left"/>
        <w:rPr>
          <w:rFonts w:ascii="Times New Roman" w:hAnsi="Times New Roman" w:eastAsia="仿宋_GB2312" w:cs="Times New Roman"/>
          <w:color w:val="000000"/>
          <w:kern w:val="0"/>
          <w:szCs w:val="24"/>
        </w:rPr>
      </w:pPr>
      <w:r>
        <w:rPr>
          <w:rFonts w:ascii="Times New Roman" w:hAnsi="Times New Roman" w:eastAsia="仿宋_GB2312" w:cs="Times New Roman"/>
          <w:color w:val="000000"/>
          <w:kern w:val="0"/>
          <w:szCs w:val="24"/>
        </w:rPr>
        <w:t>注：本表反映部门本年度一般公共预算财政拨款基本支出明细情况。</w:t>
      </w:r>
    </w:p>
    <w:p>
      <w:pPr>
        <w:widowControl/>
        <w:spacing w:line="400" w:lineRule="exact"/>
        <w:jc w:val="center"/>
        <w:textAlignment w:val="center"/>
        <w:rPr>
          <w:rFonts w:ascii="Times New Roman" w:hAnsi="Times New Roman" w:eastAsia="仿宋_GB2312"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公开07表</w:t>
      </w:r>
    </w:p>
    <w:p>
      <w:pPr>
        <w:widowControl/>
        <w:tabs>
          <w:tab w:val="left" w:pos="920"/>
          <w:tab w:val="left" w:pos="1157"/>
          <w:tab w:val="left" w:pos="2434"/>
          <w:tab w:val="left" w:pos="4352"/>
          <w:tab w:val="left" w:pos="6295"/>
          <w:tab w:val="left" w:pos="8214"/>
          <w:tab w:val="left" w:pos="10149"/>
          <w:tab w:val="left" w:pos="12067"/>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sz w:val="20"/>
          <w:szCs w:val="20"/>
          <w:lang w:val="en-US" w:eastAsia="zh-CN"/>
        </w:rPr>
        <w:t>湖南省植保植检站</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2"/>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20"/>
                <w:rFonts w:hint="default" w:ascii="Times New Roman" w:hAnsi="Times New Roman" w:eastAsia="仿宋_GB2312" w:cs="Times New Roman"/>
                <w:b/>
                <w:bCs/>
                <w:lang w:bidi="ar"/>
              </w:rPr>
              <w:t xml:space="preserve">   </w:t>
            </w:r>
            <w:r>
              <w:rPr>
                <w:rStyle w:val="21"/>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pPr>
        <w:widowControl/>
        <w:jc w:val="left"/>
        <w:textAlignment w:val="center"/>
        <w:rPr>
          <w:rFonts w:ascii="Times New Roman" w:hAnsi="Times New Roman" w:eastAsia="仿宋_GB2312" w:cs="Times New Roman"/>
          <w:color w:val="000000"/>
          <w:kern w:val="0"/>
          <w:sz w:val="24"/>
          <w:szCs w:val="24"/>
          <w:lang w:bidi="ar"/>
        </w:rPr>
      </w:pPr>
    </w:p>
    <w:p>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pPr>
        <w:widowControl/>
        <w:jc w:val="center"/>
        <w:rPr>
          <w:rFonts w:ascii="Times New Roman" w:hAnsi="Times New Roman" w:eastAsia="方正小标宋_GBK" w:cs="Times New Roman"/>
          <w:color w:val="000000"/>
          <w:kern w:val="0"/>
          <w:sz w:val="36"/>
          <w:szCs w:val="36"/>
        </w:rPr>
      </w:pPr>
    </w:p>
    <w:p>
      <w:pPr>
        <w:widowControl/>
        <w:spacing w:line="400" w:lineRule="exact"/>
        <w:textAlignment w:val="center"/>
        <w:rPr>
          <w:rFonts w:ascii="Times New Roman" w:hAnsi="Times New Roman" w:eastAsia="黑体" w:cs="Times New Roman"/>
          <w:color w:val="000000"/>
          <w:kern w:val="0"/>
          <w:sz w:val="36"/>
          <w:szCs w:val="36"/>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 xml:space="preserve">                                                                            公开08表</w:t>
      </w:r>
    </w:p>
    <w:p>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sz w:val="20"/>
          <w:szCs w:val="20"/>
          <w:lang w:val="en-US" w:eastAsia="zh-CN"/>
        </w:rPr>
        <w:t xml:space="preserve">湖南省植保植检站     </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hint="eastAsia" w:ascii="Times New Roman" w:hAnsi="Times New Roman" w:eastAsia="仿宋_GB2312" w:cs="Times New Roman"/>
          <w:color w:val="000000"/>
          <w:sz w:val="20"/>
          <w:szCs w:val="20"/>
          <w:lang w:val="en-US" w:eastAsia="zh-CN"/>
        </w:rPr>
        <w:t xml:space="preserve">    </w:t>
      </w:r>
      <w:r>
        <w:rPr>
          <w:rFonts w:ascii="Times New Roman" w:hAnsi="Times New Roman" w:eastAsia="仿宋_GB2312" w:cs="Times New Roman"/>
          <w:color w:val="000000"/>
          <w:kern w:val="0"/>
          <w:sz w:val="20"/>
          <w:szCs w:val="20"/>
          <w:lang w:bidi="ar"/>
        </w:rPr>
        <w:t>单位：万元</w:t>
      </w:r>
    </w:p>
    <w:tbl>
      <w:tblPr>
        <w:tblStyle w:val="12"/>
        <w:tblW w:w="14217" w:type="dxa"/>
        <w:tblInd w:w="0" w:type="dxa"/>
        <w:tblLayout w:type="fixed"/>
        <w:tblCellMar>
          <w:top w:w="0" w:type="dxa"/>
          <w:left w:w="108" w:type="dxa"/>
          <w:bottom w:w="0" w:type="dxa"/>
          <w:right w:w="108" w:type="dxa"/>
        </w:tblCellMar>
      </w:tblPr>
      <w:tblGrid>
        <w:gridCol w:w="3095"/>
        <w:gridCol w:w="3097"/>
        <w:gridCol w:w="1832"/>
        <w:gridCol w:w="3097"/>
        <w:gridCol w:w="3096"/>
      </w:tblGrid>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2"/>
                <w:rFonts w:hint="default" w:ascii="Times New Roman" w:hAnsi="Times New Roman" w:eastAsia="仿宋_GB2312" w:cs="Times New Roman"/>
                <w:b/>
                <w:bCs/>
                <w:lang w:bidi="ar"/>
              </w:rPr>
              <w:t>目</w:t>
            </w:r>
          </w:p>
        </w:tc>
        <w:tc>
          <w:tcPr>
            <w:tcW w:w="80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tblPrEx>
          <w:tblCellMar>
            <w:top w:w="0" w:type="dxa"/>
            <w:left w:w="108" w:type="dxa"/>
            <w:bottom w:w="0" w:type="dxa"/>
            <w:right w:w="108" w:type="dxa"/>
          </w:tblCellMar>
        </w:tblPrEx>
        <w:trPr>
          <w:trHeight w:val="312" w:hRule="exact"/>
        </w:trPr>
        <w:tc>
          <w:tcPr>
            <w:tcW w:w="3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30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3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tblPrEx>
          <w:tblCellMar>
            <w:top w:w="0" w:type="dxa"/>
            <w:left w:w="108" w:type="dxa"/>
            <w:bottom w:w="0" w:type="dxa"/>
            <w:right w:w="108" w:type="dxa"/>
          </w:tblCellMar>
        </w:tblPrEx>
        <w:trPr>
          <w:trHeight w:val="312" w:hRule="exac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312" w:hRule="atLeast"/>
        </w:trPr>
        <w:tc>
          <w:tcPr>
            <w:tcW w:w="3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1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tblPrEx>
          <w:tblCellMar>
            <w:top w:w="0" w:type="dxa"/>
            <w:left w:w="108" w:type="dxa"/>
            <w:bottom w:w="0" w:type="dxa"/>
            <w:right w:w="108" w:type="dxa"/>
          </w:tblCellMar>
        </w:tblPrEx>
        <w:trPr>
          <w:trHeight w:val="548" w:hRule="atLeast"/>
        </w:trPr>
        <w:tc>
          <w:tcPr>
            <w:tcW w:w="6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仿宋_GB2312"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0"/>
                <w:szCs w:val="20"/>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r>
        <w:tblPrEx>
          <w:tblCellMar>
            <w:top w:w="0" w:type="dxa"/>
            <w:left w:w="108" w:type="dxa"/>
            <w:bottom w:w="0" w:type="dxa"/>
            <w:right w:w="108" w:type="dxa"/>
          </w:tblCellMar>
        </w:tblPrEx>
        <w:trPr>
          <w:trHeight w:val="548" w:hRule="atLeast"/>
        </w:trPr>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18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c>
          <w:tcPr>
            <w:tcW w:w="309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Times New Roman" w:hAnsi="Times New Roman" w:eastAsia="宋体" w:cs="Times New Roman"/>
                <w:color w:val="000000"/>
                <w:sz w:val="24"/>
                <w:szCs w:val="24"/>
              </w:rPr>
            </w:pPr>
          </w:p>
        </w:tc>
      </w:tr>
    </w:tbl>
    <w:p>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pPr>
        <w:widowControl/>
        <w:jc w:val="left"/>
        <w:textAlignment w:val="center"/>
        <w:rPr>
          <w:rFonts w:ascii="Times New Roman" w:hAnsi="Times New Roman" w:eastAsia="宋体" w:cs="Times New Roman"/>
          <w:color w:val="000000"/>
          <w:kern w:val="0"/>
          <w:sz w:val="24"/>
          <w:szCs w:val="24"/>
          <w:lang w:bidi="ar"/>
        </w:rPr>
      </w:pPr>
    </w:p>
    <w:p>
      <w:pPr>
        <w:widowControl/>
        <w:jc w:val="left"/>
        <w:textAlignment w:val="center"/>
        <w:rPr>
          <w:rFonts w:ascii="Times New Roman" w:hAnsi="Times New Roman" w:eastAsia="楷体_GB2312" w:cs="Times New Roman"/>
          <w:color w:val="000000"/>
          <w:kern w:val="0"/>
          <w:sz w:val="24"/>
          <w:szCs w:val="24"/>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pPr>
        <w:widowControl/>
        <w:jc w:val="center"/>
        <w:rPr>
          <w:rFonts w:ascii="Times New Roman" w:hAnsi="Times New Roman" w:eastAsia="方正小标宋_GBK" w:cs="Times New Roman"/>
          <w:color w:val="000000"/>
          <w:kern w:val="0"/>
          <w:sz w:val="36"/>
          <w:szCs w:val="36"/>
        </w:rPr>
      </w:pPr>
    </w:p>
    <w:p>
      <w:pPr>
        <w:pStyle w:val="11"/>
        <w:spacing w:line="400" w:lineRule="exact"/>
        <w:rPr>
          <w:rFonts w:ascii="Times New Roman" w:hAnsi="Times New Roman" w:eastAsia="华文中宋" w:cs="Times New Roman"/>
          <w:color w:val="000000"/>
          <w:kern w:val="0"/>
          <w:sz w:val="32"/>
          <w:szCs w:val="32"/>
          <w:lang w:bidi="ar"/>
        </w:rPr>
      </w:pPr>
    </w:p>
    <w:p>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宋体"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仿宋_GB2312" w:cs="Times New Roman"/>
          <w:color w:val="000000"/>
          <w:sz w:val="20"/>
          <w:szCs w:val="20"/>
          <w:lang w:val="en-US" w:eastAsia="zh-CN"/>
        </w:rPr>
        <w:t>湖南省植保植检站</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单位：万元</w:t>
      </w:r>
    </w:p>
    <w:tbl>
      <w:tblPr>
        <w:tblStyle w:val="12"/>
        <w:tblW w:w="14544" w:type="dxa"/>
        <w:jc w:val="center"/>
        <w:tblLayout w:type="fixed"/>
        <w:tblCellMar>
          <w:top w:w="0" w:type="dxa"/>
          <w:left w:w="108" w:type="dxa"/>
          <w:bottom w:w="0" w:type="dxa"/>
          <w:right w:w="108" w:type="dxa"/>
        </w:tblCellMar>
      </w:tblPr>
      <w:tblGrid>
        <w:gridCol w:w="935"/>
        <w:gridCol w:w="1229"/>
        <w:gridCol w:w="1086"/>
        <w:gridCol w:w="1188"/>
        <w:gridCol w:w="1425"/>
        <w:gridCol w:w="1373"/>
        <w:gridCol w:w="1050"/>
        <w:gridCol w:w="1166"/>
        <w:gridCol w:w="1166"/>
        <w:gridCol w:w="1166"/>
        <w:gridCol w:w="1358"/>
        <w:gridCol w:w="1402"/>
      </w:tblGrid>
      <w:tr>
        <w:tblPrEx>
          <w:tblCellMar>
            <w:top w:w="0" w:type="dxa"/>
            <w:left w:w="108" w:type="dxa"/>
            <w:bottom w:w="0" w:type="dxa"/>
            <w:right w:w="108" w:type="dxa"/>
          </w:tblCellMar>
        </w:tblPrEx>
        <w:trPr>
          <w:trHeight w:val="606" w:hRule="atLeast"/>
          <w:jc w:val="center"/>
        </w:trPr>
        <w:tc>
          <w:tcPr>
            <w:tcW w:w="72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730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tblPrEx>
          <w:tblCellMar>
            <w:top w:w="0" w:type="dxa"/>
            <w:left w:w="108" w:type="dxa"/>
            <w:bottom w:w="0" w:type="dxa"/>
            <w:right w:w="108" w:type="dxa"/>
          </w:tblCellMar>
        </w:tblPrEx>
        <w:trPr>
          <w:trHeight w:val="495" w:hRule="atLeast"/>
          <w:jc w:val="center"/>
        </w:trPr>
        <w:tc>
          <w:tcPr>
            <w:tcW w:w="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2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3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10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11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36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tblPrEx>
          <w:tblCellMar>
            <w:top w:w="0" w:type="dxa"/>
            <w:left w:w="108" w:type="dxa"/>
            <w:bottom w:w="0" w:type="dxa"/>
            <w:right w:w="108" w:type="dxa"/>
          </w:tblCellMar>
        </w:tblPrEx>
        <w:trPr>
          <w:trHeight w:val="864" w:hRule="atLeast"/>
          <w:jc w:val="center"/>
        </w:trPr>
        <w:tc>
          <w:tcPr>
            <w:tcW w:w="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2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3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0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仿宋_GB2312" w:cs="Times New Roman"/>
                <w:color w:val="000000"/>
                <w:sz w:val="22"/>
              </w:rPr>
            </w:pPr>
          </w:p>
        </w:tc>
      </w:tr>
      <w:tr>
        <w:tblPrEx>
          <w:tblCellMar>
            <w:top w:w="0" w:type="dxa"/>
            <w:left w:w="108" w:type="dxa"/>
            <w:bottom w:w="0" w:type="dxa"/>
            <w:right w:w="108" w:type="dxa"/>
          </w:tblCellMar>
        </w:tblPrEx>
        <w:trPr>
          <w:trHeight w:val="614"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2</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3</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5</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8</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10</w:t>
            </w: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11</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Times New Roman" w:hAnsi="Times New Roman" w:eastAsia="仿宋_GB2312" w:cs="Times New Roman"/>
                <w:color w:val="000000"/>
                <w:sz w:val="22"/>
              </w:rPr>
            </w:pPr>
            <w:r>
              <w:rPr>
                <w:rFonts w:ascii="Times New Roman" w:hAnsi="Times New Roman" w:eastAsia="仿宋_GB2312" w:cs="Times New Roman"/>
                <w:color w:val="000000"/>
                <w:kern w:val="0"/>
                <w:sz w:val="22"/>
                <w:lang w:bidi="ar"/>
              </w:rPr>
              <w:t>12</w:t>
            </w:r>
          </w:p>
        </w:tc>
      </w:tr>
      <w:tr>
        <w:tblPrEx>
          <w:tblCellMar>
            <w:top w:w="0" w:type="dxa"/>
            <w:left w:w="108" w:type="dxa"/>
            <w:bottom w:w="0" w:type="dxa"/>
            <w:right w:w="108" w:type="dxa"/>
          </w:tblCellMar>
        </w:tblPrEx>
        <w:trPr>
          <w:trHeight w:val="579" w:hRule="atLeast"/>
          <w:jc w:val="center"/>
        </w:trPr>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5.50</w:t>
            </w:r>
          </w:p>
        </w:tc>
        <w:tc>
          <w:tcPr>
            <w:tcW w:w="12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5.00</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5.00</w:t>
            </w:r>
          </w:p>
        </w:tc>
        <w:tc>
          <w:tcPr>
            <w:tcW w:w="13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0.50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5.37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5.00</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ascii="Times New Roman" w:hAnsi="Times New Roman" w:eastAsia="仿宋_GB2312" w:cs="Times New Roman"/>
                <w:color w:val="000000"/>
                <w:sz w:val="22"/>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5.00</w:t>
            </w: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color w:val="000000"/>
                <w:sz w:val="22"/>
              </w:rPr>
            </w:pPr>
            <w:r>
              <w:rPr>
                <w:rFonts w:hint="eastAsia" w:ascii="宋体" w:hAnsi="宋体" w:eastAsia="宋体" w:cs="宋体"/>
                <w:i w:val="0"/>
                <w:color w:val="000000"/>
                <w:kern w:val="0"/>
                <w:sz w:val="22"/>
                <w:szCs w:val="22"/>
                <w:u w:val="none"/>
                <w:lang w:val="en-US" w:eastAsia="zh-CN" w:bidi="ar"/>
              </w:rPr>
              <w:t>0.37</w:t>
            </w:r>
          </w:p>
        </w:tc>
      </w:tr>
    </w:tbl>
    <w:p>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autoSpaceDE w:val="0"/>
        <w:autoSpaceDN w:val="0"/>
        <w:adjustRightInd w:val="0"/>
        <w:ind w:left="315" w:leftChars="150"/>
        <w:jc w:val="left"/>
        <w:rPr>
          <w:rFonts w:ascii="Times New Roman" w:hAnsi="Times New Roman" w:eastAsia="宋体" w:cs="Times New Roman"/>
          <w:kern w:val="0"/>
          <w:sz w:val="24"/>
          <w:szCs w:val="24"/>
        </w:rPr>
      </w:pPr>
    </w:p>
    <w:p>
      <w:pPr>
        <w:widowControl/>
        <w:rPr>
          <w:rFonts w:ascii="Times New Roman" w:hAnsi="Times New Roman" w:cs="Times New Roman"/>
          <w:sz w:val="72"/>
          <w:szCs w:val="72"/>
        </w:rPr>
        <w:sectPr>
          <w:pgSz w:w="16838" w:h="11906" w:orient="landscape"/>
          <w:pgMar w:top="1134" w:right="1417" w:bottom="1134" w:left="1417" w:header="851" w:footer="992" w:gutter="0"/>
          <w:cols w:space="425" w:num="1"/>
          <w:docGrid w:type="lines" w:linePitch="312" w:charSpace="0"/>
        </w:sectPr>
      </w:pPr>
      <w:r>
        <w:rPr>
          <w:rFonts w:ascii="Times New Roman" w:hAnsi="Times New Roman" w:eastAsia="黑体" w:cs="Times New Roman"/>
          <w:szCs w:val="21"/>
        </w:rPr>
        <w:br w:type="page"/>
      </w:r>
    </w:p>
    <w:p>
      <w:pPr>
        <w:pStyle w:val="17"/>
        <w:rPr>
          <w:rFonts w:ascii="Times New Roman" w:hAnsi="Times New Roman" w:cs="Times New Roman"/>
          <w:sz w:val="72"/>
          <w:szCs w:val="72"/>
        </w:rPr>
      </w:pPr>
    </w:p>
    <w:p>
      <w:pPr>
        <w:pStyle w:val="17"/>
        <w:rPr>
          <w:rFonts w:ascii="Times New Roman" w:hAnsi="Times New Roman" w:cs="Times New Roman"/>
          <w:sz w:val="72"/>
          <w:szCs w:val="72"/>
        </w:rPr>
      </w:pPr>
    </w:p>
    <w:p>
      <w:pPr>
        <w:pStyle w:val="17"/>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eastAsia="方正小标宋_GBK" w:cs="Times New Roman"/>
          <w:sz w:val="72"/>
          <w:szCs w:val="7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2024年度收、支总计</w:t>
      </w:r>
      <w:r>
        <w:rPr>
          <w:rFonts w:hint="eastAsia" w:ascii="Times New Roman" w:hAnsi="Times New Roman" w:eastAsia="仿宋_GB2312" w:cs="Times New Roman"/>
          <w:sz w:val="32"/>
          <w:szCs w:val="32"/>
          <w:lang w:val="en-US" w:eastAsia="zh-CN"/>
        </w:rPr>
        <w:t>4930.22</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1308.93</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20.98</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主要是因为</w:t>
      </w:r>
      <w:r>
        <w:rPr>
          <w:rFonts w:hint="eastAsia" w:ascii="Times New Roman" w:hAnsi="Times New Roman" w:eastAsia="仿宋_GB2312" w:cs="Times New Roman"/>
          <w:sz w:val="32"/>
          <w:szCs w:val="32"/>
          <w:highlight w:val="none"/>
          <w:lang w:val="en-US" w:eastAsia="zh-CN"/>
        </w:rPr>
        <w:t>年初结转结余减少。</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3134.26</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3134.24</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0.02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2334.24</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972.18</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41.65</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1362.06</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58.35</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rPr>
        <w:t>2024年度财政拨款收、支总计</w:t>
      </w:r>
      <w:r>
        <w:rPr>
          <w:rFonts w:hint="eastAsia" w:ascii="Times New Roman" w:hAnsi="Times New Roman" w:eastAsia="仿宋_GB2312" w:cs="Times New Roman"/>
          <w:sz w:val="32"/>
          <w:szCs w:val="32"/>
          <w:lang w:val="en-US" w:eastAsia="zh-CN"/>
        </w:rPr>
        <w:t>4930.20</w:t>
      </w:r>
      <w:r>
        <w:rPr>
          <w:rFonts w:ascii="Times New Roman" w:hAnsi="Times New Roman" w:eastAsia="仿宋_GB2312" w:cs="Times New Roman"/>
          <w:sz w:val="32"/>
          <w:szCs w:val="32"/>
        </w:rPr>
        <w:t>万元，与上年相比，减少</w:t>
      </w:r>
      <w:r>
        <w:rPr>
          <w:rFonts w:hint="eastAsia" w:ascii="Times New Roman" w:hAnsi="Times New Roman" w:eastAsia="仿宋_GB2312" w:cs="Times New Roman"/>
          <w:sz w:val="32"/>
          <w:szCs w:val="32"/>
          <w:lang w:val="en-US" w:eastAsia="zh-CN"/>
        </w:rPr>
        <w:t>1304.91</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降低</w:t>
      </w:r>
      <w:r>
        <w:rPr>
          <w:rFonts w:hint="eastAsia" w:ascii="Times New Roman" w:hAnsi="Times New Roman" w:eastAsia="仿宋_GB2312" w:cs="Times New Roman"/>
          <w:sz w:val="32"/>
          <w:szCs w:val="32"/>
          <w:lang w:val="en-US" w:eastAsia="zh-CN"/>
        </w:rPr>
        <w:t>20.93</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主要是因为</w:t>
      </w:r>
      <w:r>
        <w:rPr>
          <w:rFonts w:hint="eastAsia" w:ascii="Times New Roman" w:hAnsi="Times New Roman" w:eastAsia="仿宋_GB2312" w:cs="Times New Roman"/>
          <w:sz w:val="32"/>
          <w:szCs w:val="32"/>
          <w:highlight w:val="none"/>
          <w:lang w:val="en-US" w:eastAsia="zh-CN"/>
        </w:rPr>
        <w:t>年初结转结余减少。</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pPr>
        <w:pStyle w:val="17"/>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2334.24</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%，与上年相比，财政拨款支出减少</w:t>
      </w:r>
      <w:r>
        <w:rPr>
          <w:rFonts w:hint="eastAsia" w:ascii="Times New Roman" w:hAnsi="Times New Roman" w:eastAsia="仿宋_GB2312" w:cs="Times New Roman"/>
          <w:sz w:val="32"/>
          <w:szCs w:val="32"/>
          <w:lang w:val="en-US" w:eastAsia="zh-CN"/>
        </w:rPr>
        <w:t>339.78</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12.71</w:t>
      </w:r>
      <w:r>
        <w:rPr>
          <w:rFonts w:ascii="Times New Roman" w:hAnsi="Times New Roman" w:eastAsia="仿宋_GB2312" w:cs="Times New Roman"/>
          <w:sz w:val="32"/>
          <w:szCs w:val="32"/>
        </w:rPr>
        <w:t>%，主要是因为</w:t>
      </w:r>
      <w:r>
        <w:rPr>
          <w:rFonts w:hint="eastAsia" w:ascii="Times New Roman" w:hAnsi="Times New Roman" w:eastAsia="仿宋_GB2312" w:cs="Times New Roman"/>
          <w:sz w:val="32"/>
          <w:szCs w:val="32"/>
        </w:rPr>
        <w:t>藏粮于地藏粮于技专项</w:t>
      </w:r>
      <w:r>
        <w:rPr>
          <w:rFonts w:hint="eastAsia" w:ascii="Times New Roman" w:hAnsi="Times New Roman" w:eastAsia="仿宋_GB2312" w:cs="Times New Roman"/>
          <w:sz w:val="32"/>
          <w:szCs w:val="32"/>
          <w:lang w:val="en-US" w:eastAsia="zh-CN"/>
        </w:rPr>
        <w:t>资金支出减少。</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pPr>
        <w:pStyle w:val="17"/>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olor w:val="auto"/>
          <w:sz w:val="32"/>
          <w:szCs w:val="32"/>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2334.24</w:t>
      </w:r>
      <w:r>
        <w:rPr>
          <w:rFonts w:ascii="Times New Roman" w:hAnsi="Times New Roman" w:eastAsia="仿宋_GB2312" w:cs="Times New Roman"/>
          <w:sz w:val="32"/>
          <w:szCs w:val="32"/>
        </w:rPr>
        <w:t>万元，主要用于以下方面：</w:t>
      </w:r>
      <w:r>
        <w:rPr>
          <w:rFonts w:hint="eastAsia" w:ascii="Times New Roman" w:hAnsi="Times New Roman" w:eastAsia="仿宋_GB2312"/>
          <w:color w:val="auto"/>
          <w:sz w:val="32"/>
          <w:szCs w:val="32"/>
          <w:lang w:val="en-US" w:eastAsia="zh-CN"/>
        </w:rPr>
        <w:t>教育</w:t>
      </w:r>
      <w:r>
        <w:rPr>
          <w:rFonts w:hint="eastAsia" w:ascii="Times New Roman" w:hAnsi="Times New Roman" w:eastAsia="仿宋_GB2312"/>
          <w:color w:val="auto"/>
          <w:sz w:val="32"/>
          <w:szCs w:val="32"/>
        </w:rPr>
        <w:t>（类）支出</w:t>
      </w:r>
      <w:r>
        <w:rPr>
          <w:rFonts w:hint="eastAsia" w:ascii="Times New Roman" w:hAnsi="Times New Roman" w:eastAsia="仿宋_GB2312"/>
          <w:color w:val="auto"/>
          <w:sz w:val="32"/>
          <w:szCs w:val="32"/>
          <w:lang w:val="en-US" w:eastAsia="zh-CN"/>
        </w:rPr>
        <w:t>50.54</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2.17</w:t>
      </w:r>
      <w:r>
        <w:rPr>
          <w:rFonts w:hint="eastAsia" w:ascii="Times New Roman" w:hAnsi="Times New Roman" w:eastAsia="仿宋_GB2312"/>
          <w:color w:val="auto"/>
          <w:sz w:val="32"/>
          <w:szCs w:val="32"/>
        </w:rPr>
        <w:t>%；社会保障和就业（类）支出</w:t>
      </w:r>
      <w:r>
        <w:rPr>
          <w:rFonts w:hint="eastAsia" w:ascii="Times New Roman" w:hAnsi="Times New Roman" w:eastAsia="仿宋_GB2312"/>
          <w:color w:val="auto"/>
          <w:sz w:val="32"/>
          <w:szCs w:val="32"/>
          <w:lang w:val="en-US" w:eastAsia="zh-CN"/>
        </w:rPr>
        <w:t>151.39</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6.49</w:t>
      </w:r>
      <w:r>
        <w:rPr>
          <w:rFonts w:hint="eastAsia" w:ascii="Times New Roman" w:hAnsi="Times New Roman" w:eastAsia="仿宋_GB2312"/>
          <w:color w:val="auto"/>
          <w:sz w:val="32"/>
          <w:szCs w:val="32"/>
        </w:rPr>
        <w:t>%；卫生健康（类）支出</w:t>
      </w:r>
      <w:r>
        <w:rPr>
          <w:rFonts w:hint="eastAsia" w:ascii="Times New Roman" w:hAnsi="Times New Roman" w:eastAsia="仿宋_GB2312"/>
          <w:color w:val="auto"/>
          <w:sz w:val="32"/>
          <w:szCs w:val="32"/>
          <w:lang w:val="en-US" w:eastAsia="zh-CN"/>
        </w:rPr>
        <w:t>78.00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3.34</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；农林水</w:t>
      </w:r>
      <w:r>
        <w:rPr>
          <w:rFonts w:hint="eastAsia" w:ascii="Times New Roman" w:hAnsi="Times New Roman" w:eastAsia="仿宋_GB2312"/>
          <w:color w:val="auto"/>
          <w:sz w:val="32"/>
          <w:szCs w:val="32"/>
        </w:rPr>
        <w:t>（类）支出</w:t>
      </w:r>
      <w:r>
        <w:rPr>
          <w:rFonts w:hint="eastAsia" w:ascii="Times New Roman" w:hAnsi="Times New Roman" w:eastAsia="仿宋_GB2312"/>
          <w:color w:val="auto"/>
          <w:sz w:val="32"/>
          <w:szCs w:val="32"/>
          <w:lang w:val="en-US" w:eastAsia="zh-CN"/>
        </w:rPr>
        <w:t>1982.32</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84.92</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；住房保障</w:t>
      </w:r>
      <w:r>
        <w:rPr>
          <w:rFonts w:hint="eastAsia" w:ascii="Times New Roman" w:hAnsi="Times New Roman" w:eastAsia="仿宋_GB2312"/>
          <w:color w:val="auto"/>
          <w:sz w:val="32"/>
          <w:szCs w:val="32"/>
        </w:rPr>
        <w:t>（类）支出</w:t>
      </w:r>
      <w:r>
        <w:rPr>
          <w:rFonts w:hint="eastAsia" w:ascii="Times New Roman" w:hAnsi="Times New Roman" w:eastAsia="仿宋_GB2312"/>
          <w:color w:val="auto"/>
          <w:sz w:val="32"/>
          <w:szCs w:val="32"/>
          <w:lang w:val="en-US" w:eastAsia="zh-CN"/>
        </w:rPr>
        <w:t>72.00</w:t>
      </w:r>
      <w:r>
        <w:rPr>
          <w:rFonts w:hint="eastAsia" w:ascii="Times New Roman" w:hAnsi="Times New Roman" w:eastAsia="仿宋_GB2312"/>
          <w:color w:val="auto"/>
          <w:sz w:val="32"/>
          <w:szCs w:val="32"/>
        </w:rPr>
        <w:t>万元，占</w:t>
      </w:r>
      <w:r>
        <w:rPr>
          <w:rFonts w:hint="eastAsia" w:ascii="Times New Roman" w:hAnsi="Times New Roman" w:eastAsia="仿宋_GB2312"/>
          <w:color w:val="auto"/>
          <w:sz w:val="32"/>
          <w:szCs w:val="32"/>
          <w:lang w:val="en-US" w:eastAsia="zh-CN"/>
        </w:rPr>
        <w:t>84.92</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2971.40</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2334.24</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78.56</w:t>
      </w:r>
      <w:r>
        <w:rPr>
          <w:rFonts w:ascii="Times New Roman" w:hAnsi="Times New Roman" w:eastAsia="仿宋_GB2312" w:cs="Times New Roman"/>
          <w:sz w:val="32"/>
          <w:szCs w:val="32"/>
        </w:rPr>
        <w:t>%，其中：</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1、</w:t>
      </w:r>
      <w:r>
        <w:rPr>
          <w:rFonts w:hint="eastAsia" w:ascii="Times New Roman" w:hAnsi="Times New Roman" w:eastAsia="仿宋_GB2312"/>
          <w:color w:val="auto"/>
          <w:sz w:val="32"/>
          <w:szCs w:val="32"/>
          <w:lang w:val="en-US" w:eastAsia="zh-CN"/>
        </w:rPr>
        <w:t>教育支出</w:t>
      </w:r>
      <w:r>
        <w:rPr>
          <w:rFonts w:hint="eastAsia" w:ascii="Times New Roman" w:hAnsi="Times New Roman" w:eastAsia="仿宋_GB2312"/>
          <w:color w:val="auto"/>
          <w:sz w:val="32"/>
          <w:szCs w:val="32"/>
        </w:rPr>
        <w:t>（类）进修及培训（款）培训支出（项）。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70.00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50.54</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72.20</w:t>
      </w:r>
      <w:r>
        <w:rPr>
          <w:rFonts w:hint="eastAsia" w:ascii="Times New Roman" w:hAnsi="Times New Roman" w:eastAsia="仿宋_GB2312"/>
          <w:color w:val="auto"/>
          <w:sz w:val="32"/>
          <w:szCs w:val="32"/>
        </w:rPr>
        <w:t>%，决算数</w:t>
      </w:r>
      <w:r>
        <w:rPr>
          <w:rFonts w:hint="eastAsia" w:ascii="Times New Roman" w:hAnsi="Times New Roman" w:eastAsia="仿宋_GB2312"/>
          <w:color w:val="auto"/>
          <w:sz w:val="32"/>
          <w:szCs w:val="32"/>
          <w:lang w:val="en-US" w:eastAsia="zh-CN"/>
        </w:rPr>
        <w:t>小</w:t>
      </w:r>
      <w:r>
        <w:rPr>
          <w:rFonts w:hint="eastAsia" w:ascii="Times New Roman" w:hAnsi="Times New Roman" w:eastAsia="仿宋_GB2312"/>
          <w:color w:val="auto"/>
          <w:sz w:val="32"/>
          <w:szCs w:val="32"/>
        </w:rPr>
        <w:t>于年初预算数的主要原因是：</w:t>
      </w:r>
      <w:r>
        <w:rPr>
          <w:rFonts w:hint="eastAsia" w:ascii="Times New Roman" w:hAnsi="Times New Roman" w:eastAsia="仿宋_GB2312"/>
          <w:color w:val="auto"/>
          <w:sz w:val="32"/>
          <w:szCs w:val="32"/>
          <w:lang w:val="en-US" w:eastAsia="zh-CN"/>
        </w:rPr>
        <w:t>项目跨年实施。</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2、</w:t>
      </w:r>
      <w:r>
        <w:rPr>
          <w:rFonts w:hint="eastAsia" w:ascii="Times New Roman" w:hAnsi="Times New Roman" w:eastAsia="仿宋_GB2312"/>
          <w:color w:val="auto"/>
          <w:sz w:val="32"/>
          <w:szCs w:val="32"/>
        </w:rPr>
        <w:t>社会保障和就业</w:t>
      </w:r>
      <w:r>
        <w:rPr>
          <w:rFonts w:hint="eastAsia" w:ascii="Times New Roman" w:hAnsi="Times New Roman" w:eastAsia="仿宋_GB2312"/>
          <w:color w:val="auto"/>
          <w:sz w:val="32"/>
          <w:szCs w:val="32"/>
          <w:lang w:val="en-US" w:eastAsia="zh-CN"/>
        </w:rPr>
        <w:t>支出</w:t>
      </w:r>
      <w:r>
        <w:rPr>
          <w:rFonts w:hint="eastAsia" w:ascii="Times New Roman" w:hAnsi="Times New Roman" w:eastAsia="仿宋_GB2312"/>
          <w:color w:val="auto"/>
          <w:sz w:val="32"/>
          <w:szCs w:val="32"/>
        </w:rPr>
        <w:t>（类）行政事业单位养老</w:t>
      </w:r>
      <w:r>
        <w:rPr>
          <w:rFonts w:hint="eastAsia" w:ascii="Times New Roman" w:hAnsi="Times New Roman" w:eastAsia="仿宋_GB2312"/>
          <w:color w:val="auto"/>
          <w:sz w:val="32"/>
          <w:szCs w:val="32"/>
          <w:lang w:val="en-US" w:eastAsia="zh-CN"/>
        </w:rPr>
        <w:t>支出</w:t>
      </w:r>
      <w:r>
        <w:rPr>
          <w:rFonts w:hint="eastAsia" w:ascii="Times New Roman" w:hAnsi="Times New Roman" w:eastAsia="仿宋_GB2312"/>
          <w:color w:val="auto"/>
          <w:sz w:val="32"/>
          <w:szCs w:val="32"/>
        </w:rPr>
        <w:t>（款）事业单位离退休（项）。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82.40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78.39</w:t>
      </w:r>
      <w:r>
        <w:rPr>
          <w:rFonts w:hint="eastAsia" w:ascii="Times New Roman" w:hAnsi="Times New Roman" w:eastAsia="仿宋_GB2312"/>
          <w:color w:val="auto"/>
          <w:sz w:val="32"/>
          <w:szCs w:val="32"/>
        </w:rPr>
        <w:t>元，完成年初预算的</w:t>
      </w:r>
      <w:r>
        <w:rPr>
          <w:rFonts w:hint="eastAsia" w:ascii="Times New Roman" w:hAnsi="Times New Roman" w:eastAsia="仿宋_GB2312"/>
          <w:color w:val="auto"/>
          <w:sz w:val="32"/>
          <w:szCs w:val="32"/>
          <w:lang w:val="en-US" w:eastAsia="zh-CN"/>
        </w:rPr>
        <w:t>95.14</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w:t>
      </w:r>
      <w:r>
        <w:rPr>
          <w:rFonts w:hint="eastAsia" w:ascii="Times New Roman" w:hAnsi="Times New Roman" w:eastAsia="仿宋_GB2312"/>
          <w:color w:val="auto"/>
          <w:sz w:val="32"/>
          <w:szCs w:val="32"/>
        </w:rPr>
        <w:t>决算数小于年初预算数的主要原因是：</w:t>
      </w:r>
      <w:r>
        <w:rPr>
          <w:rFonts w:hint="eastAsia" w:ascii="Times New Roman" w:hAnsi="Times New Roman" w:eastAsia="仿宋_GB2312"/>
          <w:color w:val="auto"/>
          <w:sz w:val="32"/>
          <w:szCs w:val="32"/>
          <w:lang w:val="en-US" w:eastAsia="zh-CN"/>
        </w:rPr>
        <w:t>人员经费有结余。</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社会保障和就业</w:t>
      </w:r>
      <w:r>
        <w:rPr>
          <w:rFonts w:hint="eastAsia" w:ascii="Times New Roman" w:hAnsi="Times New Roman" w:eastAsia="仿宋_GB2312"/>
          <w:color w:val="auto"/>
          <w:sz w:val="32"/>
          <w:szCs w:val="32"/>
          <w:lang w:val="en-US" w:eastAsia="zh-CN"/>
        </w:rPr>
        <w:t>支出</w:t>
      </w:r>
      <w:r>
        <w:rPr>
          <w:rFonts w:hint="eastAsia" w:ascii="Times New Roman" w:hAnsi="Times New Roman" w:eastAsia="仿宋_GB2312"/>
          <w:color w:val="auto"/>
          <w:sz w:val="32"/>
          <w:szCs w:val="32"/>
        </w:rPr>
        <w:t>（类）行政事业单位养老</w:t>
      </w:r>
      <w:r>
        <w:rPr>
          <w:rFonts w:hint="eastAsia" w:ascii="Times New Roman" w:hAnsi="Times New Roman" w:eastAsia="仿宋_GB2312"/>
          <w:color w:val="auto"/>
          <w:sz w:val="32"/>
          <w:szCs w:val="32"/>
          <w:lang w:val="en-US" w:eastAsia="zh-CN"/>
        </w:rPr>
        <w:t>支出</w:t>
      </w:r>
      <w:r>
        <w:rPr>
          <w:rFonts w:hint="eastAsia" w:ascii="Times New Roman" w:hAnsi="Times New Roman" w:eastAsia="仿宋_GB2312"/>
          <w:color w:val="auto"/>
          <w:sz w:val="32"/>
          <w:szCs w:val="32"/>
        </w:rPr>
        <w:t>（款）机关事业单位基本养老保险缴费</w:t>
      </w:r>
      <w:r>
        <w:rPr>
          <w:rFonts w:hint="eastAsia" w:ascii="Times New Roman" w:hAnsi="Times New Roman" w:eastAsia="仿宋_GB2312"/>
          <w:color w:val="auto"/>
          <w:sz w:val="32"/>
          <w:szCs w:val="32"/>
          <w:lang w:val="en-US" w:eastAsia="zh-CN"/>
        </w:rPr>
        <w:t>支出</w:t>
      </w:r>
      <w:r>
        <w:rPr>
          <w:rFonts w:hint="eastAsia" w:ascii="Times New Roman" w:hAnsi="Times New Roman" w:eastAsia="仿宋_GB2312"/>
          <w:color w:val="auto"/>
          <w:sz w:val="32"/>
          <w:szCs w:val="32"/>
        </w:rPr>
        <w:t>（项）。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73.00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73.00</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、卫生健康</w:t>
      </w:r>
      <w:r>
        <w:rPr>
          <w:rFonts w:hint="eastAsia" w:ascii="Times New Roman" w:hAnsi="Times New Roman" w:eastAsia="仿宋_GB2312"/>
          <w:color w:val="auto"/>
          <w:sz w:val="32"/>
          <w:szCs w:val="32"/>
          <w:lang w:val="en-US" w:eastAsia="zh-CN"/>
        </w:rPr>
        <w:t>支出</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类）行政事业单位医疗（款）行政单位医疗（项）。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43.00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43.00</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5</w:t>
      </w:r>
      <w:r>
        <w:rPr>
          <w:rFonts w:hint="eastAsia" w:ascii="Times New Roman" w:hAnsi="Times New Roman" w:eastAsia="仿宋_GB2312"/>
          <w:color w:val="auto"/>
          <w:sz w:val="32"/>
          <w:szCs w:val="32"/>
        </w:rPr>
        <w:t>、卫生健康</w:t>
      </w:r>
      <w:r>
        <w:rPr>
          <w:rFonts w:hint="eastAsia" w:ascii="Times New Roman" w:hAnsi="Times New Roman" w:eastAsia="仿宋_GB2312"/>
          <w:color w:val="auto"/>
          <w:sz w:val="32"/>
          <w:szCs w:val="32"/>
          <w:lang w:val="en-US" w:eastAsia="zh-CN"/>
        </w:rPr>
        <w:t>支出</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类）行政事业单位医疗（款）公务员医疗补助（项）。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32.00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32.00</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6</w:t>
      </w:r>
      <w:r>
        <w:rPr>
          <w:rFonts w:hint="eastAsia" w:ascii="Times New Roman" w:hAnsi="Times New Roman" w:eastAsia="仿宋_GB2312"/>
          <w:color w:val="auto"/>
          <w:sz w:val="32"/>
          <w:szCs w:val="32"/>
        </w:rPr>
        <w:t>、卫生健康</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类）行政事业单位医疗（款）其他行政事业单位医疗支出（项）。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3.00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3.00</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7</w:t>
      </w:r>
      <w:r>
        <w:rPr>
          <w:rFonts w:hint="eastAsia" w:ascii="Times New Roman" w:hAnsi="Times New Roman" w:eastAsia="仿宋_GB2312"/>
          <w:color w:val="auto"/>
          <w:sz w:val="32"/>
          <w:szCs w:val="32"/>
        </w:rPr>
        <w:t>、农林水支出</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类）农业农村（款）</w:t>
      </w:r>
      <w:r>
        <w:rPr>
          <w:rFonts w:hint="eastAsia" w:ascii="Times New Roman" w:hAnsi="Times New Roman" w:eastAsia="仿宋_GB2312"/>
          <w:color w:val="auto"/>
          <w:sz w:val="32"/>
          <w:szCs w:val="32"/>
          <w:lang w:val="en-US" w:eastAsia="zh-CN"/>
        </w:rPr>
        <w:t>行政运行</w:t>
      </w:r>
      <w:r>
        <w:rPr>
          <w:rFonts w:hint="eastAsia" w:ascii="Times New Roman" w:hAnsi="Times New Roman" w:eastAsia="仿宋_GB2312"/>
          <w:color w:val="auto"/>
          <w:sz w:val="32"/>
          <w:szCs w:val="32"/>
        </w:rPr>
        <w:t>（项）。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698.04</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670.80</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96.10</w:t>
      </w:r>
      <w:r>
        <w:rPr>
          <w:rFonts w:hint="eastAsia" w:ascii="Times New Roman" w:hAnsi="Times New Roman" w:eastAsia="仿宋_GB2312"/>
          <w:color w:val="auto"/>
          <w:sz w:val="32"/>
          <w:szCs w:val="32"/>
        </w:rPr>
        <w:t>%，决算数小于年初预算数的主要原因是：</w:t>
      </w:r>
      <w:r>
        <w:rPr>
          <w:rFonts w:hint="eastAsia" w:ascii="Times New Roman" w:hAnsi="Times New Roman" w:eastAsia="仿宋_GB2312"/>
          <w:color w:val="auto"/>
          <w:sz w:val="32"/>
          <w:szCs w:val="32"/>
          <w:lang w:val="en-US" w:eastAsia="zh-CN"/>
        </w:rPr>
        <w:t>人员经费年终有结余。</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8</w:t>
      </w:r>
      <w:r>
        <w:rPr>
          <w:rFonts w:hint="eastAsia" w:ascii="Times New Roman" w:hAnsi="Times New Roman" w:eastAsia="仿宋_GB2312"/>
          <w:color w:val="auto"/>
          <w:sz w:val="32"/>
          <w:szCs w:val="32"/>
        </w:rPr>
        <w:t>、农林水支出</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类）农业农村（款）农业生产发展（项）。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167.76</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120.22</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71.67</w:t>
      </w:r>
      <w:r>
        <w:rPr>
          <w:rFonts w:hint="eastAsia" w:ascii="Times New Roman" w:hAnsi="Times New Roman" w:eastAsia="仿宋_GB2312"/>
          <w:color w:val="auto"/>
          <w:sz w:val="32"/>
          <w:szCs w:val="32"/>
        </w:rPr>
        <w:t>%，决算数小于年初预算数的主要原因是：</w:t>
      </w:r>
      <w:r>
        <w:rPr>
          <w:rFonts w:hint="eastAsia" w:ascii="Times New Roman" w:hAnsi="Times New Roman" w:eastAsia="仿宋_GB2312"/>
          <w:color w:val="auto"/>
          <w:sz w:val="32"/>
          <w:szCs w:val="32"/>
          <w:lang w:val="en-US" w:eastAsia="zh-CN"/>
        </w:rPr>
        <w:t>项目跨年实施。</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9</w:t>
      </w:r>
      <w:r>
        <w:rPr>
          <w:rFonts w:hint="eastAsia" w:ascii="Times New Roman" w:hAnsi="Times New Roman" w:eastAsia="仿宋_GB2312"/>
          <w:color w:val="auto"/>
          <w:sz w:val="32"/>
          <w:szCs w:val="32"/>
        </w:rPr>
        <w:t>、农林水支出</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类）农业农村（款）其他农业农村支出（项）。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7.80</w:t>
      </w:r>
      <w:r>
        <w:rPr>
          <w:rFonts w:hint="eastAsia" w:ascii="Times New Roman" w:hAnsi="Times New Roman" w:eastAsia="仿宋_GB2312"/>
          <w:color w:val="auto"/>
          <w:sz w:val="32"/>
          <w:szCs w:val="32"/>
        </w:rPr>
        <w:t>万元，决算数</w:t>
      </w:r>
      <w:r>
        <w:rPr>
          <w:rFonts w:hint="eastAsia" w:ascii="Times New Roman" w:hAnsi="Times New Roman" w:eastAsia="仿宋_GB2312"/>
          <w:color w:val="auto"/>
          <w:sz w:val="32"/>
          <w:szCs w:val="32"/>
          <w:lang w:val="en-US" w:eastAsia="zh-CN"/>
        </w:rPr>
        <w:t>大</w:t>
      </w:r>
      <w:r>
        <w:rPr>
          <w:rFonts w:hint="eastAsia" w:ascii="Times New Roman" w:hAnsi="Times New Roman" w:eastAsia="仿宋_GB2312"/>
          <w:color w:val="auto"/>
          <w:sz w:val="32"/>
          <w:szCs w:val="32"/>
        </w:rPr>
        <w:t>于年初预算数的主要原因是：</w:t>
      </w:r>
      <w:r>
        <w:rPr>
          <w:rFonts w:hint="eastAsia" w:ascii="Times New Roman" w:hAnsi="Times New Roman" w:eastAsia="仿宋_GB2312"/>
          <w:color w:val="auto"/>
          <w:sz w:val="32"/>
          <w:szCs w:val="32"/>
          <w:lang w:val="en-US" w:eastAsia="zh-CN"/>
        </w:rPr>
        <w:t>年中追加农业专项（种子工程和动植物保护能力提升方向）2024年中央预算内基建资金。</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10</w:t>
      </w:r>
      <w:r>
        <w:rPr>
          <w:rFonts w:hint="eastAsia" w:ascii="Times New Roman" w:hAnsi="Times New Roman" w:eastAsia="仿宋_GB2312"/>
          <w:color w:val="auto"/>
          <w:sz w:val="32"/>
          <w:szCs w:val="32"/>
        </w:rPr>
        <w:t>、农林水支出</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类）林业和草原（款）其他林业和草原支出（项）。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1730.20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1183.50</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68.41</w:t>
      </w:r>
      <w:r>
        <w:rPr>
          <w:rFonts w:hint="eastAsia" w:ascii="Times New Roman" w:hAnsi="Times New Roman" w:eastAsia="仿宋_GB2312"/>
          <w:color w:val="auto"/>
          <w:sz w:val="32"/>
          <w:szCs w:val="32"/>
        </w:rPr>
        <w:t>%，决算数小于年初预算数的主要原因是：</w:t>
      </w:r>
      <w:r>
        <w:rPr>
          <w:rFonts w:hint="eastAsia" w:ascii="Times New Roman" w:hAnsi="Times New Roman" w:eastAsia="仿宋_GB2312"/>
          <w:color w:val="auto"/>
          <w:sz w:val="32"/>
          <w:szCs w:val="32"/>
          <w:lang w:val="en-US" w:eastAsia="zh-CN"/>
        </w:rPr>
        <w:t>项目跨年实施。</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color w:val="auto"/>
          <w:sz w:val="32"/>
          <w:szCs w:val="32"/>
        </w:rPr>
      </w:pPr>
      <w:r>
        <w:rPr>
          <w:rFonts w:hint="eastAsia" w:ascii="Times New Roman" w:hAnsi="Times New Roman" w:eastAsia="仿宋_GB2312"/>
          <w:color w:val="auto"/>
          <w:sz w:val="32"/>
          <w:szCs w:val="32"/>
          <w:lang w:val="en-US" w:eastAsia="zh-CN"/>
        </w:rPr>
        <w:t>11</w:t>
      </w:r>
      <w:r>
        <w:rPr>
          <w:rFonts w:hint="eastAsia" w:ascii="Times New Roman" w:hAnsi="Times New Roman" w:eastAsia="仿宋_GB2312"/>
          <w:color w:val="auto"/>
          <w:sz w:val="32"/>
          <w:szCs w:val="32"/>
        </w:rPr>
        <w:t>、住房保障支出</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rPr>
        <w:t>类）住房改革支出（款）住房公积金（项）。</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color w:val="auto"/>
          <w:sz w:val="32"/>
          <w:szCs w:val="32"/>
        </w:rPr>
        <w:t>年初预算为</w:t>
      </w:r>
      <w:r>
        <w:rPr>
          <w:rFonts w:hint="eastAsia" w:ascii="Times New Roman" w:hAnsi="Times New Roman" w:eastAsia="仿宋_GB2312"/>
          <w:color w:val="auto"/>
          <w:sz w:val="32"/>
          <w:szCs w:val="32"/>
          <w:lang w:val="en-US" w:eastAsia="zh-CN"/>
        </w:rPr>
        <w:t>72.00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72.00</w:t>
      </w:r>
      <w:r>
        <w:rPr>
          <w:rFonts w:hint="eastAsia" w:ascii="Times New Roman" w:hAnsi="Times New Roman" w:eastAsia="仿宋_GB2312"/>
          <w:color w:val="auto"/>
          <w:sz w:val="32"/>
          <w:szCs w:val="32"/>
        </w:rPr>
        <w:t>万元，完成年初预算的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eastAsia="zh-CN"/>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972.18</w:t>
      </w:r>
      <w:r>
        <w:rPr>
          <w:rFonts w:ascii="Times New Roman" w:hAnsi="Times New Roman" w:eastAsia="仿宋_GB2312" w:cs="Times New Roman"/>
          <w:sz w:val="32"/>
          <w:szCs w:val="32"/>
        </w:rPr>
        <w:t>万元，其中：</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sz w:val="32"/>
          <w:szCs w:val="32"/>
          <w:lang w:val="en-US" w:eastAsia="zh-CN"/>
        </w:rPr>
        <w:t>866.56</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89.14</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主要包括基本工资、津贴补贴、奖金、伙食补助费</w:t>
      </w:r>
      <w:r>
        <w:rPr>
          <w:rFonts w:hint="eastAsia" w:ascii="Times New Roman" w:hAnsi="Times New Roman" w:eastAsia="仿宋_GB2312" w:cs="Times New Roman"/>
          <w:sz w:val="32"/>
          <w:szCs w:val="32"/>
          <w:lang w:eastAsia="zh-CN"/>
        </w:rPr>
        <w:t>、机关事业单位基本养老保险缴费、职工基本医疗保险缴费、住房公积金、退休费</w:t>
      </w:r>
      <w:r>
        <w:rPr>
          <w:rFonts w:hint="eastAsia" w:ascii="Times New Roman" w:hAnsi="Times New Roman" w:eastAsia="仿宋_GB2312" w:cs="Times New Roman"/>
          <w:sz w:val="32"/>
          <w:szCs w:val="32"/>
          <w:lang w:val="en-US" w:eastAsia="zh-CN"/>
        </w:rPr>
        <w:t>等</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105.63</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10.87</w:t>
      </w:r>
      <w:r>
        <w:rPr>
          <w:rFonts w:ascii="Times New Roman" w:hAnsi="Times New Roman" w:eastAsia="仿宋_GB2312" w:cs="Times New Roman"/>
          <w:sz w:val="32"/>
          <w:szCs w:val="32"/>
        </w:rPr>
        <w:t>%，主要包括办公费、印刷费、</w:t>
      </w:r>
      <w:r>
        <w:rPr>
          <w:rFonts w:hint="eastAsia" w:ascii="Times New Roman" w:hAnsi="Times New Roman" w:eastAsia="仿宋_GB2312" w:cs="Times New Roman"/>
          <w:sz w:val="32"/>
          <w:szCs w:val="32"/>
          <w:lang w:val="en-US" w:eastAsia="zh-CN"/>
        </w:rPr>
        <w:t>邮电费、物业管理费、差旅费、会议费、劳务费、工会经费、劳务费、公务用车运行维护费、其他交通费用、其他商品和服务支出等</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5.50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5.37</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97.64</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0.20</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3.87</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小</w:t>
      </w:r>
      <w:r>
        <w:rPr>
          <w:rFonts w:ascii="Times New Roman" w:hAnsi="Times New Roman" w:eastAsia="仿宋_GB2312" w:cs="Times New Roman"/>
          <w:sz w:val="32"/>
          <w:szCs w:val="32"/>
          <w:highlight w:val="none"/>
        </w:rPr>
        <w:t>于</w:t>
      </w:r>
      <w:r>
        <w:rPr>
          <w:rFonts w:ascii="Times New Roman" w:hAnsi="Times New Roman" w:eastAsia="仿宋_GB2312" w:cs="Times New Roman"/>
          <w:sz w:val="32"/>
          <w:szCs w:val="32"/>
        </w:rPr>
        <w:t>预算数的主要原因是</w:t>
      </w:r>
      <w:r>
        <w:rPr>
          <w:rFonts w:hint="eastAsia" w:ascii="Times New Roman" w:hAnsi="Times New Roman" w:eastAsia="仿宋_GB2312"/>
          <w:color w:val="auto"/>
          <w:sz w:val="32"/>
          <w:szCs w:val="32"/>
          <w:lang w:eastAsia="zh-CN"/>
        </w:rPr>
        <w:t>单位厉行节约，</w:t>
      </w:r>
      <w:r>
        <w:rPr>
          <w:rFonts w:hint="eastAsia" w:ascii="Times New Roman" w:hAnsi="Times New Roman" w:eastAsia="仿宋_GB2312"/>
          <w:color w:val="auto"/>
          <w:sz w:val="32"/>
          <w:szCs w:val="32"/>
          <w:lang w:val="en-US" w:eastAsia="zh-CN"/>
        </w:rPr>
        <w:t>控制“</w:t>
      </w:r>
      <w:r>
        <w:rPr>
          <w:rFonts w:hint="eastAsia" w:ascii="Times New Roman" w:hAnsi="Times New Roman" w:eastAsia="仿宋_GB2312"/>
          <w:color w:val="auto"/>
          <w:sz w:val="32"/>
          <w:szCs w:val="32"/>
          <w:lang w:eastAsia="zh-CN"/>
        </w:rPr>
        <w:t>三公”经费</w:t>
      </w:r>
      <w:r>
        <w:rPr>
          <w:rFonts w:hint="eastAsia" w:ascii="Times New Roman" w:hAnsi="Times New Roman" w:eastAsia="仿宋_GB2312"/>
          <w:color w:val="auto"/>
          <w:sz w:val="32"/>
          <w:szCs w:val="32"/>
          <w:lang w:val="en-US" w:eastAsia="zh-CN"/>
        </w:rPr>
        <w:t>支出在预算内支出</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大</w:t>
      </w:r>
      <w:r>
        <w:rPr>
          <w:rFonts w:ascii="Times New Roman" w:hAnsi="Times New Roman" w:eastAsia="仿宋_GB2312" w:cs="Times New Roman"/>
          <w:sz w:val="32"/>
          <w:szCs w:val="32"/>
        </w:rPr>
        <w:t>于上年数的主要原因是</w:t>
      </w:r>
      <w:r>
        <w:rPr>
          <w:rFonts w:hint="eastAsia" w:ascii="Times New Roman" w:hAnsi="Times New Roman" w:eastAsia="仿宋_GB2312" w:cs="Times New Roman"/>
          <w:sz w:val="32"/>
          <w:szCs w:val="32"/>
          <w:lang w:val="en-US" w:eastAsia="zh-CN"/>
        </w:rPr>
        <w:t>因公出差任务有增加，公务用车运行维护费用有所增加</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（二）“三公”经费财政拨款支出决算具体情况说明</w:t>
      </w:r>
    </w:p>
    <w:p>
      <w:pPr>
        <w:pStyle w:val="17"/>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eastAsia="zh-CN"/>
        </w:rPr>
      </w:pPr>
      <w:r>
        <w:rPr>
          <w:rFonts w:ascii="Times New Roman" w:hAnsi="Times New Roman" w:eastAsia="仿宋_GB2312" w:cs="Times New Roman"/>
          <w:sz w:val="32"/>
          <w:szCs w:val="32"/>
        </w:rPr>
        <w:t>1.</w:t>
      </w:r>
      <w:r>
        <w:rPr>
          <w:rFonts w:hint="eastAsia" w:ascii="Times New Roman" w:hAnsi="Times New Roman" w:eastAsia="仿宋_GB2312"/>
          <w:color w:val="auto"/>
          <w:sz w:val="32"/>
          <w:szCs w:val="32"/>
        </w:rPr>
        <w:t>因公出国（境）费支出预算为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万元，与上年相比</w:t>
      </w:r>
      <w:r>
        <w:rPr>
          <w:rFonts w:hint="eastAsia" w:ascii="Times New Roman" w:hAnsi="Times New Roman" w:eastAsia="仿宋_GB2312"/>
          <w:color w:val="auto"/>
          <w:sz w:val="32"/>
          <w:szCs w:val="32"/>
          <w:lang w:val="en-US" w:eastAsia="zh-CN"/>
        </w:rPr>
        <w:t>无增减</w:t>
      </w:r>
      <w:r>
        <w:rPr>
          <w:rFonts w:hint="eastAsia" w:ascii="Times New Roman" w:hAnsi="Times New Roman" w:eastAsia="仿宋_GB2312"/>
          <w:color w:val="auto"/>
          <w:sz w:val="32"/>
          <w:szCs w:val="32"/>
        </w:rPr>
        <w:t>。</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pPr>
        <w:pStyle w:val="17"/>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w:t>
      </w:r>
      <w:r>
        <w:rPr>
          <w:rFonts w:hint="eastAsia" w:ascii="Times New Roman" w:hAnsi="Times New Roman" w:eastAsia="仿宋_GB2312"/>
          <w:color w:val="auto"/>
          <w:sz w:val="32"/>
          <w:szCs w:val="32"/>
        </w:rPr>
        <w:t>公务用车购置费支出预算为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万元，支出决算为</w:t>
      </w:r>
      <w:r>
        <w:rPr>
          <w:rFonts w:hint="eastAsia" w:ascii="Times New Roman" w:hAnsi="Times New Roman" w:eastAsia="仿宋_GB2312"/>
          <w:color w:val="auto"/>
          <w:sz w:val="32"/>
          <w:szCs w:val="32"/>
          <w:lang w:val="en-US" w:eastAsia="zh-CN"/>
        </w:rPr>
        <w:t>0</w:t>
      </w:r>
      <w:r>
        <w:rPr>
          <w:rFonts w:hint="eastAsia" w:ascii="Times New Roman" w:hAnsi="Times New Roman" w:eastAsia="仿宋_GB2312"/>
          <w:color w:val="auto"/>
          <w:sz w:val="32"/>
          <w:szCs w:val="32"/>
        </w:rPr>
        <w:t>万元，与上年相比</w:t>
      </w:r>
      <w:r>
        <w:rPr>
          <w:rFonts w:hint="eastAsia" w:ascii="Times New Roman" w:hAnsi="Times New Roman" w:eastAsia="仿宋_GB2312"/>
          <w:color w:val="auto"/>
          <w:sz w:val="32"/>
          <w:szCs w:val="32"/>
          <w:lang w:val="en-US" w:eastAsia="zh-CN"/>
        </w:rPr>
        <w:t>无增减</w:t>
      </w:r>
      <w:r>
        <w:rPr>
          <w:rFonts w:ascii="Times New Roman" w:hAnsi="Times New Roman" w:eastAsia="仿宋_GB2312" w:cs="Times New Roman"/>
          <w:sz w:val="32"/>
          <w:szCs w:val="32"/>
        </w:rPr>
        <w:t>。单位本级更新公务用车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5.00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5.00</w:t>
      </w:r>
      <w:r>
        <w:rPr>
          <w:rFonts w:ascii="Times New Roman" w:hAnsi="Times New Roman" w:eastAsia="仿宋_GB2312" w:cs="Times New Roman"/>
          <w:sz w:val="32"/>
          <w:szCs w:val="32"/>
        </w:rPr>
        <w:t>万元，</w:t>
      </w:r>
      <w:r>
        <w:rPr>
          <w:rFonts w:hint="eastAsia" w:ascii="Times New Roman" w:hAnsi="Times New Roman" w:eastAsia="仿宋_GB2312"/>
          <w:color w:val="auto"/>
          <w:sz w:val="32"/>
          <w:szCs w:val="32"/>
        </w:rPr>
        <w:t>主要是公务用车辆燃油</w:t>
      </w:r>
      <w:r>
        <w:rPr>
          <w:rFonts w:ascii="Times New Roman" w:hAnsi="Times New Roman" w:eastAsia="仿宋_GB2312"/>
          <w:color w:val="auto"/>
          <w:sz w:val="32"/>
          <w:szCs w:val="32"/>
        </w:rPr>
        <w:t>费</w:t>
      </w:r>
      <w:r>
        <w:rPr>
          <w:rFonts w:hint="eastAsia" w:ascii="Times New Roman" w:hAnsi="Times New Roman" w:eastAsia="仿宋_GB2312"/>
          <w:color w:val="auto"/>
          <w:sz w:val="32"/>
          <w:szCs w:val="32"/>
        </w:rPr>
        <w:t>、</w:t>
      </w:r>
      <w:r>
        <w:rPr>
          <w:rFonts w:ascii="Times New Roman" w:hAnsi="Times New Roman" w:eastAsia="仿宋_GB2312"/>
          <w:color w:val="auto"/>
          <w:sz w:val="32"/>
          <w:szCs w:val="32"/>
        </w:rPr>
        <w:t>维修保养费</w:t>
      </w:r>
      <w:r>
        <w:rPr>
          <w:rFonts w:hint="eastAsia" w:ascii="Times New Roman" w:hAnsi="Times New Roman" w:eastAsia="仿宋_GB2312"/>
          <w:color w:val="auto"/>
          <w:sz w:val="32"/>
          <w:szCs w:val="32"/>
        </w:rPr>
        <w:t>、</w:t>
      </w:r>
      <w:r>
        <w:rPr>
          <w:rFonts w:ascii="Times New Roman" w:hAnsi="Times New Roman" w:eastAsia="仿宋_GB2312"/>
          <w:color w:val="auto"/>
          <w:sz w:val="32"/>
          <w:szCs w:val="32"/>
        </w:rPr>
        <w:t>保险费</w:t>
      </w:r>
      <w:r>
        <w:rPr>
          <w:rFonts w:hint="eastAsia" w:ascii="Times New Roman" w:hAnsi="Times New Roman" w:eastAsia="仿宋_GB2312"/>
          <w:color w:val="auto"/>
          <w:sz w:val="32"/>
          <w:szCs w:val="32"/>
        </w:rPr>
        <w:t>、过路过桥费支出</w:t>
      </w:r>
      <w:r>
        <w:rPr>
          <w:rFonts w:ascii="Times New Roman" w:hAnsi="Times New Roman" w:eastAsia="仿宋_GB2312" w:cs="Times New Roman"/>
          <w:sz w:val="32"/>
          <w:szCs w:val="32"/>
        </w:rPr>
        <w:t>，完成预算的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0.14</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2.88</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val="en-US" w:eastAsia="zh-CN"/>
        </w:rPr>
        <w:t>因公出差任务有增加</w:t>
      </w: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3.公务接待费支出预算为</w:t>
      </w:r>
      <w:r>
        <w:rPr>
          <w:rFonts w:hint="eastAsia" w:ascii="Times New Roman" w:hAnsi="Times New Roman" w:eastAsia="仿宋_GB2312" w:cs="Times New Roman"/>
          <w:sz w:val="32"/>
          <w:szCs w:val="32"/>
          <w:lang w:val="en-US" w:eastAsia="zh-CN"/>
        </w:rPr>
        <w:t>0.50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0.37</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74.00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0.06</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19.35%</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小</w:t>
      </w:r>
      <w:r>
        <w:rPr>
          <w:rFonts w:ascii="Times New Roman" w:hAnsi="Times New Roman" w:eastAsia="仿宋_GB2312" w:cs="Times New Roman"/>
          <w:sz w:val="32"/>
          <w:szCs w:val="32"/>
        </w:rPr>
        <w:t>于预算数的主要原因是</w:t>
      </w:r>
      <w:r>
        <w:rPr>
          <w:rFonts w:hint="eastAsia" w:ascii="Times New Roman" w:hAnsi="Times New Roman" w:eastAsia="仿宋_GB2312"/>
          <w:color w:val="auto"/>
          <w:sz w:val="32"/>
          <w:szCs w:val="32"/>
          <w:lang w:eastAsia="zh-CN"/>
        </w:rPr>
        <w:t>单位厉行节约，</w:t>
      </w:r>
      <w:r>
        <w:rPr>
          <w:rFonts w:hint="eastAsia" w:ascii="Times New Roman" w:hAnsi="Times New Roman" w:eastAsia="仿宋_GB2312"/>
          <w:color w:val="auto"/>
          <w:sz w:val="32"/>
          <w:szCs w:val="32"/>
          <w:lang w:val="en-US" w:eastAsia="zh-CN"/>
        </w:rPr>
        <w:t>控制“</w:t>
      </w:r>
      <w:r>
        <w:rPr>
          <w:rFonts w:hint="eastAsia" w:ascii="Times New Roman" w:hAnsi="Times New Roman" w:eastAsia="仿宋_GB2312"/>
          <w:color w:val="auto"/>
          <w:sz w:val="32"/>
          <w:szCs w:val="32"/>
          <w:lang w:eastAsia="zh-CN"/>
        </w:rPr>
        <w:t>三公”经费</w:t>
      </w:r>
      <w:r>
        <w:rPr>
          <w:rFonts w:hint="eastAsia" w:ascii="Times New Roman" w:hAnsi="Times New Roman" w:eastAsia="仿宋_GB2312"/>
          <w:color w:val="auto"/>
          <w:sz w:val="32"/>
          <w:szCs w:val="32"/>
          <w:lang w:val="en-US" w:eastAsia="zh-CN"/>
        </w:rPr>
        <w:t>支出在预算内支出</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olor w:val="auto"/>
          <w:sz w:val="32"/>
          <w:szCs w:val="32"/>
          <w:lang w:val="en-US" w:eastAsia="zh-CN"/>
        </w:rPr>
        <w:t>市县植保植检植检部门间工作联系有所增加，接待团组和人数较上年有所增长</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8</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30</w:t>
      </w:r>
      <w:r>
        <w:rPr>
          <w:rFonts w:ascii="Times New Roman" w:hAnsi="Times New Roman" w:eastAsia="仿宋_GB2312" w:cs="Times New Roman"/>
          <w:sz w:val="32"/>
          <w:szCs w:val="32"/>
        </w:rPr>
        <w:t>人次，主要是</w:t>
      </w:r>
      <w:r>
        <w:rPr>
          <w:rFonts w:hint="eastAsia" w:ascii="Times New Roman" w:hAnsi="Times New Roman" w:eastAsia="仿宋_GB2312"/>
          <w:color w:val="auto"/>
          <w:sz w:val="32"/>
          <w:szCs w:val="32"/>
          <w:lang w:val="en-US" w:eastAsia="zh-CN"/>
        </w:rPr>
        <w:t>各市县植保植检植检部门间工作联系</w:t>
      </w:r>
      <w:r>
        <w:rPr>
          <w:rFonts w:hint="eastAsia" w:ascii="Times New Roman" w:hAnsi="Times New Roman" w:eastAsia="仿宋_GB2312"/>
          <w:color w:val="auto"/>
          <w:sz w:val="32"/>
          <w:szCs w:val="32"/>
        </w:rPr>
        <w:t>发生的接待支出</w:t>
      </w:r>
      <w:r>
        <w:rPr>
          <w:rFonts w:ascii="Times New Roman" w:hAnsi="Times New Roman" w:eastAsia="仿宋_GB2312" w:cs="Times New Roman"/>
          <w:sz w:val="32"/>
          <w:szCs w:val="32"/>
        </w:rPr>
        <w:t>。</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pPr>
        <w:pStyle w:val="17"/>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本</w:t>
      </w:r>
      <w:r>
        <w:rPr>
          <w:rFonts w:ascii="Times New Roman" w:hAnsi="Times New Roman" w:eastAsia="仿宋_GB2312" w:cs="Times New Roman"/>
          <w:sz w:val="32"/>
          <w:szCs w:val="32"/>
        </w:rPr>
        <w:t>单位无政府性基金收支</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pPr>
        <w:pStyle w:val="17"/>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lang w:val="en-US" w:eastAsia="zh-CN"/>
        </w:rPr>
      </w:pPr>
      <w:r>
        <w:rPr>
          <w:rFonts w:ascii="Times New Roman" w:hAnsi="Times New Roman" w:eastAsia="仿宋_GB2312" w:cs="Times New Roman"/>
          <w:sz w:val="32"/>
          <w:szCs w:val="32"/>
        </w:rPr>
        <w:t>本部门2024年度机关运行经费支出</w:t>
      </w:r>
      <w:r>
        <w:rPr>
          <w:rFonts w:hint="eastAsia" w:ascii="Times New Roman" w:hAnsi="Times New Roman" w:eastAsia="仿宋_GB2312" w:cs="Times New Roman"/>
          <w:sz w:val="32"/>
          <w:szCs w:val="32"/>
          <w:lang w:val="en-US" w:eastAsia="zh-CN"/>
        </w:rPr>
        <w:t>105.6</w:t>
      </w:r>
      <w:r>
        <w:rPr>
          <w:rFonts w:ascii="Times New Roman" w:hAnsi="Times New Roman" w:eastAsia="仿宋_GB2312" w:cs="Times New Roman"/>
          <w:sz w:val="32"/>
          <w:szCs w:val="32"/>
        </w:rPr>
        <w:t>万元，比年初预算数</w:t>
      </w:r>
      <w:r>
        <w:rPr>
          <w:rFonts w:hint="eastAsia" w:ascii="Times New Roman" w:hAnsi="Times New Roman" w:eastAsia="仿宋_GB2312" w:cs="Times New Roman"/>
          <w:sz w:val="32"/>
          <w:szCs w:val="32"/>
          <w:lang w:val="en-US" w:eastAsia="zh-CN"/>
        </w:rPr>
        <w:t>减少6.41</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4.87</w:t>
      </w:r>
      <w:r>
        <w:rPr>
          <w:rFonts w:ascii="Times New Roman" w:hAnsi="Times New Roman" w:eastAsia="仿宋_GB2312" w:cs="Times New Roman"/>
          <w:sz w:val="32"/>
          <w:szCs w:val="32"/>
        </w:rPr>
        <w:t>%。主要原因是：</w:t>
      </w:r>
      <w:r>
        <w:rPr>
          <w:rFonts w:hint="eastAsia" w:ascii="Times New Roman" w:hAnsi="Times New Roman" w:eastAsia="仿宋_GB2312"/>
          <w:color w:val="auto"/>
          <w:sz w:val="32"/>
          <w:szCs w:val="32"/>
          <w:lang w:val="en-US" w:eastAsia="zh-CN"/>
        </w:rPr>
        <w:t>厉行节约，大力压减各项运行经费开支。</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十、一般性支出情况说明</w:t>
      </w:r>
    </w:p>
    <w:p>
      <w:pPr>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2024年本部门开支会议费</w:t>
      </w:r>
      <w:r>
        <w:rPr>
          <w:rFonts w:hint="eastAsia" w:ascii="Times New Roman" w:hAnsi="Times New Roman" w:eastAsia="仿宋_GB2312" w:cs="Times New Roman"/>
          <w:sz w:val="32"/>
          <w:szCs w:val="32"/>
          <w:lang w:val="en-US" w:eastAsia="zh-CN"/>
        </w:rPr>
        <w:t>1.62</w:t>
      </w:r>
      <w:r>
        <w:rPr>
          <w:rFonts w:ascii="Times New Roman" w:hAnsi="Times New Roman" w:eastAsia="仿宋_GB2312" w:cs="Times New Roman"/>
          <w:sz w:val="32"/>
          <w:szCs w:val="32"/>
        </w:rPr>
        <w:t>万元，用于召开</w:t>
      </w:r>
      <w:r>
        <w:rPr>
          <w:rFonts w:hint="eastAsia" w:ascii="Times New Roman" w:hAnsi="Times New Roman" w:eastAsia="仿宋_GB2312" w:cs="Times New Roman"/>
          <w:sz w:val="32"/>
          <w:szCs w:val="32"/>
          <w:lang w:val="en-US" w:eastAsia="zh-CN"/>
        </w:rPr>
        <w:t>全省种植业工作会议</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33</w:t>
      </w:r>
      <w:r>
        <w:rPr>
          <w:rFonts w:ascii="Times New Roman" w:hAnsi="Times New Roman" w:eastAsia="仿宋_GB2312" w:cs="Times New Roman"/>
          <w:sz w:val="32"/>
          <w:szCs w:val="32"/>
        </w:rPr>
        <w:t>人，内容为为</w:t>
      </w:r>
      <w:r>
        <w:rPr>
          <w:rFonts w:hint="eastAsia" w:ascii="Times New Roman" w:hAnsi="Times New Roman" w:eastAsia="仿宋_GB2312" w:cs="Times New Roman"/>
          <w:sz w:val="32"/>
          <w:szCs w:val="32"/>
        </w:rPr>
        <w:t>贯彻落实中央一号文件、中央农村工作会议、全国农业农村厅局长会议、省委农村工作会议和全省农业农村局长会议精神,总结交流2023年种植业生产情况，研究部署2024年种植业重点工作，确保完成全年粮食和重要农产品生产目标任务</w:t>
      </w:r>
      <w:r>
        <w:rPr>
          <w:rFonts w:hint="eastAsia" w:ascii="Times New Roman" w:hAnsi="Times New Roman" w:eastAsia="仿宋_GB2312" w:cs="Times New Roman"/>
          <w:sz w:val="32"/>
          <w:szCs w:val="32"/>
          <w:lang w:eastAsia="zh-CN"/>
        </w:rPr>
        <w:t>。</w:t>
      </w:r>
    </w:p>
    <w:p>
      <w:pPr>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开支培训费</w:t>
      </w:r>
      <w:r>
        <w:rPr>
          <w:rFonts w:hint="eastAsia" w:ascii="Times New Roman" w:hAnsi="Times New Roman" w:eastAsia="仿宋_GB2312" w:cs="Times New Roman"/>
          <w:sz w:val="32"/>
          <w:szCs w:val="32"/>
          <w:lang w:val="en-US" w:eastAsia="zh-CN"/>
        </w:rPr>
        <w:t>50.54</w:t>
      </w:r>
      <w:r>
        <w:rPr>
          <w:rFonts w:ascii="Times New Roman" w:hAnsi="Times New Roman" w:eastAsia="仿宋_GB2312" w:cs="Times New Roman"/>
          <w:sz w:val="32"/>
          <w:szCs w:val="32"/>
        </w:rPr>
        <w:t>万元，用于开展</w:t>
      </w:r>
      <w:r>
        <w:rPr>
          <w:rFonts w:hint="eastAsia" w:ascii="Times New Roman" w:hAnsi="Times New Roman" w:eastAsia="仿宋_GB2312" w:cs="Times New Roman"/>
          <w:sz w:val="32"/>
          <w:szCs w:val="32"/>
          <w:lang w:val="en-US" w:eastAsia="zh-CN"/>
        </w:rPr>
        <w:t>下列</w:t>
      </w:r>
      <w:r>
        <w:rPr>
          <w:rFonts w:ascii="Times New Roman" w:hAnsi="Times New Roman" w:eastAsia="仿宋_GB2312" w:cs="Times New Roman"/>
          <w:sz w:val="32"/>
          <w:szCs w:val="32"/>
        </w:rPr>
        <w:t>培训</w:t>
      </w:r>
      <w:r>
        <w:rPr>
          <w:rFonts w:hint="eastAsia" w:ascii="Times New Roman" w:hAnsi="Times New Roman" w:eastAsia="仿宋_GB2312" w:cs="Times New Roman"/>
          <w:sz w:val="32"/>
          <w:szCs w:val="32"/>
          <w:lang w:eastAsia="zh-CN"/>
        </w:rPr>
        <w:t>：</w:t>
      </w:r>
    </w:p>
    <w:p>
      <w:pPr>
        <w:numPr>
          <w:ilvl w:val="0"/>
          <w:numId w:val="0"/>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1、全省油菜病虫害综合防控现场观摩培训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86</w:t>
      </w:r>
      <w:r>
        <w:rPr>
          <w:rFonts w:ascii="Times New Roman" w:hAnsi="Times New Roman" w:eastAsia="仿宋_GB2312" w:cs="Times New Roman"/>
          <w:sz w:val="32"/>
          <w:szCs w:val="32"/>
        </w:rPr>
        <w:t>人，</w:t>
      </w:r>
      <w:r>
        <w:rPr>
          <w:rFonts w:hint="eastAsia" w:ascii="Times New Roman" w:hAnsi="Times New Roman" w:eastAsia="仿宋_GB2312" w:cs="Times New Roman"/>
          <w:sz w:val="32"/>
          <w:szCs w:val="32"/>
          <w:lang w:val="en-US" w:eastAsia="zh-CN"/>
        </w:rPr>
        <w:t>金额5.33万元，</w:t>
      </w:r>
      <w:r>
        <w:rPr>
          <w:rFonts w:ascii="Times New Roman" w:hAnsi="Times New Roman" w:eastAsia="仿宋_GB2312" w:cs="Times New Roman"/>
          <w:sz w:val="32"/>
          <w:szCs w:val="32"/>
        </w:rPr>
        <w:t>内容为</w:t>
      </w:r>
      <w:r>
        <w:rPr>
          <w:rFonts w:hint="eastAsia" w:ascii="Times New Roman" w:hAnsi="Times New Roman" w:eastAsia="仿宋_GB2312" w:cs="Times New Roman"/>
          <w:sz w:val="32"/>
          <w:szCs w:val="32"/>
        </w:rPr>
        <w:t>观摩衡南县油菜病虫害绿色防控与统防统治融合推进现场</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传达全国油菜大面积单产提升暨病虫害统防统治现场会精神</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开展油菜重大病虫害防控技术、油菜根肿病抗性品种选择培训</w:t>
      </w:r>
      <w:r>
        <w:rPr>
          <w:rFonts w:hint="eastAsia" w:ascii="Times New Roman" w:hAnsi="Times New Roman" w:eastAsia="仿宋_GB2312" w:cs="Times New Roman"/>
          <w:sz w:val="32"/>
          <w:szCs w:val="32"/>
          <w:lang w:eastAsia="zh-CN"/>
        </w:rPr>
        <w:t>。</w:t>
      </w:r>
    </w:p>
    <w:p>
      <w:pPr>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2、全省柑橘黄龙病防控技术培训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147</w:t>
      </w:r>
      <w:r>
        <w:rPr>
          <w:rFonts w:ascii="Times New Roman" w:hAnsi="Times New Roman" w:eastAsia="仿宋_GB2312" w:cs="Times New Roman"/>
          <w:sz w:val="32"/>
          <w:szCs w:val="32"/>
        </w:rPr>
        <w:t>人，</w:t>
      </w:r>
      <w:r>
        <w:rPr>
          <w:rFonts w:hint="eastAsia" w:ascii="Times New Roman" w:hAnsi="Times New Roman" w:eastAsia="仿宋_GB2312" w:cs="Times New Roman"/>
          <w:sz w:val="32"/>
          <w:szCs w:val="32"/>
          <w:lang w:val="en-US" w:eastAsia="zh-CN"/>
        </w:rPr>
        <w:t>金额9.37万元，</w:t>
      </w:r>
      <w:r>
        <w:rPr>
          <w:rFonts w:ascii="Times New Roman" w:hAnsi="Times New Roman" w:eastAsia="仿宋_GB2312" w:cs="Times New Roman"/>
          <w:sz w:val="32"/>
          <w:szCs w:val="32"/>
        </w:rPr>
        <w:t>内容为</w:t>
      </w:r>
      <w:r>
        <w:rPr>
          <w:rFonts w:hint="eastAsia" w:ascii="Times New Roman" w:hAnsi="Times New Roman" w:eastAsia="仿宋_GB2312" w:cs="Times New Roman"/>
          <w:sz w:val="32"/>
          <w:szCs w:val="32"/>
        </w:rPr>
        <w:t>观摩柑橘黄龙病综合防控示范基地，总结交流柑橘黄龙病防控工作取得的经验，部署安排下阶段柑橘黄龙病防控工作专家专题讲座。</w:t>
      </w:r>
    </w:p>
    <w:p>
      <w:pPr>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3、全省植保系统短视频拍摄制作培训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59</w:t>
      </w:r>
      <w:r>
        <w:rPr>
          <w:rFonts w:ascii="Times New Roman" w:hAnsi="Times New Roman" w:eastAsia="仿宋_GB2312" w:cs="Times New Roman"/>
          <w:sz w:val="32"/>
          <w:szCs w:val="32"/>
        </w:rPr>
        <w:t>人，</w:t>
      </w:r>
      <w:r>
        <w:rPr>
          <w:rFonts w:hint="eastAsia" w:ascii="Times New Roman" w:hAnsi="Times New Roman" w:eastAsia="仿宋_GB2312" w:cs="Times New Roman"/>
          <w:sz w:val="32"/>
          <w:szCs w:val="32"/>
          <w:lang w:val="en-US" w:eastAsia="zh-CN"/>
        </w:rPr>
        <w:t>金额10.18万元，</w:t>
      </w:r>
      <w:r>
        <w:rPr>
          <w:rFonts w:ascii="Times New Roman" w:hAnsi="Times New Roman" w:eastAsia="仿宋_GB2312" w:cs="Times New Roman"/>
          <w:sz w:val="32"/>
          <w:szCs w:val="32"/>
        </w:rPr>
        <w:t>内容为</w:t>
      </w:r>
      <w:r>
        <w:rPr>
          <w:rFonts w:hint="eastAsia" w:ascii="Times New Roman" w:hAnsi="Times New Roman" w:eastAsia="仿宋_GB2312" w:cs="Times New Roman"/>
          <w:sz w:val="32"/>
          <w:szCs w:val="32"/>
        </w:rPr>
        <w:t>植保短视频推广的重要意义与现状解析</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植保短视频文案创作</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剧情类植保短视频拍摄脚本撰写</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短视频拍摄技巧</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短视频剪辑教学</w:t>
      </w:r>
      <w:r>
        <w:rPr>
          <w:rFonts w:hint="eastAsia" w:ascii="Times New Roman" w:hAnsi="Times New Roman" w:eastAsia="仿宋_GB2312" w:cs="Times New Roman"/>
          <w:sz w:val="32"/>
          <w:szCs w:val="32"/>
          <w:lang w:val="en-US" w:eastAsia="zh-CN"/>
        </w:rPr>
        <w:t>及</w:t>
      </w:r>
      <w:r>
        <w:rPr>
          <w:rFonts w:hint="eastAsia" w:ascii="Times New Roman" w:hAnsi="Times New Roman" w:eastAsia="仿宋_GB2312" w:cs="Times New Roman"/>
          <w:sz w:val="32"/>
          <w:szCs w:val="32"/>
        </w:rPr>
        <w:t>实训。</w:t>
      </w:r>
    </w:p>
    <w:p>
      <w:pPr>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4、专业化统防统治再推进暨农药减量增效服务组织负责人培训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34</w:t>
      </w:r>
      <w:r>
        <w:rPr>
          <w:rFonts w:ascii="Times New Roman" w:hAnsi="Times New Roman" w:eastAsia="仿宋_GB2312" w:cs="Times New Roman"/>
          <w:sz w:val="32"/>
          <w:szCs w:val="32"/>
        </w:rPr>
        <w:t>人，</w:t>
      </w:r>
      <w:r>
        <w:rPr>
          <w:rFonts w:hint="eastAsia" w:ascii="Times New Roman" w:hAnsi="Times New Roman" w:eastAsia="仿宋_GB2312" w:cs="Times New Roman"/>
          <w:sz w:val="32"/>
          <w:szCs w:val="32"/>
          <w:lang w:val="en-US" w:eastAsia="zh-CN"/>
        </w:rPr>
        <w:t>金额0.78万元，</w:t>
      </w:r>
      <w:r>
        <w:rPr>
          <w:rFonts w:ascii="Times New Roman" w:hAnsi="Times New Roman" w:eastAsia="仿宋_GB2312" w:cs="Times New Roman"/>
          <w:sz w:val="32"/>
          <w:szCs w:val="32"/>
        </w:rPr>
        <w:t>内容为</w:t>
      </w:r>
      <w:r>
        <w:rPr>
          <w:rFonts w:hint="eastAsia" w:ascii="Times New Roman" w:hAnsi="Times New Roman" w:eastAsia="仿宋_GB2312" w:cs="Times New Roman"/>
          <w:sz w:val="32"/>
          <w:szCs w:val="32"/>
        </w:rPr>
        <w:t>农药减量增效技术培训</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交流近年来农作物病虫害专业化统防统治发展成效、存在问题和对策建议</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交流农作物重大病虫疫情区域应急防控暨统防统治服务中心建设项目的初步建设思路。</w:t>
      </w:r>
    </w:p>
    <w:p>
      <w:pPr>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5、全省褐家鼠等农区鼠种普查培训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57</w:t>
      </w:r>
      <w:r>
        <w:rPr>
          <w:rFonts w:ascii="Times New Roman" w:hAnsi="Times New Roman" w:eastAsia="仿宋_GB2312" w:cs="Times New Roman"/>
          <w:sz w:val="32"/>
          <w:szCs w:val="32"/>
        </w:rPr>
        <w:t>人，</w:t>
      </w:r>
      <w:r>
        <w:rPr>
          <w:rFonts w:hint="eastAsia" w:ascii="Times New Roman" w:hAnsi="Times New Roman" w:eastAsia="仿宋_GB2312" w:cs="Times New Roman"/>
          <w:sz w:val="32"/>
          <w:szCs w:val="32"/>
          <w:lang w:val="en-US" w:eastAsia="zh-CN"/>
        </w:rPr>
        <w:t>金额4.20万元，</w:t>
      </w:r>
      <w:r>
        <w:rPr>
          <w:rFonts w:ascii="Times New Roman" w:hAnsi="Times New Roman" w:eastAsia="仿宋_GB2312" w:cs="Times New Roman"/>
          <w:sz w:val="32"/>
          <w:szCs w:val="32"/>
        </w:rPr>
        <w:t>内容为</w:t>
      </w:r>
      <w:r>
        <w:rPr>
          <w:rFonts w:hint="eastAsia" w:ascii="Times New Roman" w:hAnsi="Times New Roman" w:eastAsia="仿宋_GB2312" w:cs="Times New Roman"/>
          <w:sz w:val="32"/>
          <w:szCs w:val="32"/>
        </w:rPr>
        <w:t>农区鼠害监测技术规范、农区鼠害智能监测技术、我省农区常见鼠种识别、鼠类解剖、鼠情调查表填报等</w:t>
      </w:r>
      <w:r>
        <w:rPr>
          <w:rFonts w:hint="eastAsia" w:ascii="Times New Roman" w:hAnsi="Times New Roman" w:eastAsia="仿宋_GB2312" w:cs="Times New Roman"/>
          <w:sz w:val="32"/>
          <w:szCs w:val="32"/>
          <w:lang w:eastAsia="zh-CN"/>
        </w:rPr>
        <w:t>。</w:t>
      </w:r>
    </w:p>
    <w:p>
      <w:pPr>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6、2024年下半年主要农作物病虫害发生趋势分析会商会暨秋粮作物重大病虫防控现场观摩培训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57</w:t>
      </w:r>
      <w:r>
        <w:rPr>
          <w:rFonts w:ascii="Times New Roman" w:hAnsi="Times New Roman" w:eastAsia="仿宋_GB2312" w:cs="Times New Roman"/>
          <w:sz w:val="32"/>
          <w:szCs w:val="32"/>
        </w:rPr>
        <w:t>人，</w:t>
      </w:r>
      <w:r>
        <w:rPr>
          <w:rFonts w:hint="eastAsia" w:ascii="Times New Roman" w:hAnsi="Times New Roman" w:eastAsia="仿宋_GB2312" w:cs="Times New Roman"/>
          <w:sz w:val="32"/>
          <w:szCs w:val="32"/>
          <w:lang w:val="en-US" w:eastAsia="zh-CN"/>
        </w:rPr>
        <w:t>金额4.99万元，</w:t>
      </w:r>
      <w:r>
        <w:rPr>
          <w:rFonts w:ascii="Times New Roman" w:hAnsi="Times New Roman" w:eastAsia="仿宋_GB2312" w:cs="Times New Roman"/>
          <w:sz w:val="32"/>
          <w:szCs w:val="32"/>
        </w:rPr>
        <w:t>内容为</w:t>
      </w:r>
      <w:r>
        <w:rPr>
          <w:rFonts w:hint="eastAsia" w:ascii="Times New Roman" w:hAnsi="Times New Roman" w:eastAsia="仿宋_GB2312" w:cs="Times New Roman"/>
          <w:sz w:val="32"/>
          <w:szCs w:val="32"/>
        </w:rPr>
        <w:t>交流上半年主要农作物重大病虫害发生防控情况，分析会商下半年主要农作物重大病虫害发生趋势</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开展农业气象知识、粮食作物重大病虫害防控技术培训</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观摩桃源县水稻病虫害发生防控现场</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部署推进农作物病虫害监测、秋粮作物重大病虫害防控、病虫害绿色防控与统防统治融合示范创建工作</w:t>
      </w:r>
      <w:r>
        <w:rPr>
          <w:rFonts w:hint="eastAsia" w:ascii="Times New Roman" w:hAnsi="Times New Roman" w:eastAsia="仿宋_GB2312" w:cs="Times New Roman"/>
          <w:sz w:val="32"/>
          <w:szCs w:val="32"/>
          <w:lang w:eastAsia="zh-CN"/>
        </w:rPr>
        <w:t>。</w:t>
      </w:r>
    </w:p>
    <w:p>
      <w:pPr>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lang w:eastAsia="zh-CN"/>
        </w:rPr>
        <w:t>全省柑橘病虫害绿色防控与统防统治融合推进暨柑橘病虫害防控植保贡献率评价现场</w:t>
      </w:r>
      <w:r>
        <w:rPr>
          <w:rFonts w:hint="eastAsia" w:ascii="Times New Roman" w:hAnsi="Times New Roman" w:eastAsia="仿宋_GB2312" w:cs="Times New Roman"/>
          <w:sz w:val="32"/>
          <w:szCs w:val="32"/>
          <w:lang w:val="en-US" w:eastAsia="zh-CN"/>
        </w:rPr>
        <w:t>培训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77</w:t>
      </w:r>
      <w:r>
        <w:rPr>
          <w:rFonts w:ascii="Times New Roman" w:hAnsi="Times New Roman" w:eastAsia="仿宋_GB2312" w:cs="Times New Roman"/>
          <w:sz w:val="32"/>
          <w:szCs w:val="32"/>
        </w:rPr>
        <w:t>人，</w:t>
      </w:r>
      <w:r>
        <w:rPr>
          <w:rFonts w:hint="eastAsia" w:ascii="Times New Roman" w:hAnsi="Times New Roman" w:eastAsia="仿宋_GB2312" w:cs="Times New Roman"/>
          <w:sz w:val="32"/>
          <w:szCs w:val="32"/>
          <w:lang w:val="en-US" w:eastAsia="zh-CN"/>
        </w:rPr>
        <w:t>金额4.33万元，</w:t>
      </w:r>
      <w:r>
        <w:rPr>
          <w:rFonts w:ascii="Times New Roman" w:hAnsi="Times New Roman" w:eastAsia="仿宋_GB2312" w:cs="Times New Roman"/>
          <w:sz w:val="32"/>
          <w:szCs w:val="32"/>
        </w:rPr>
        <w:t>内容为</w:t>
      </w:r>
      <w:r>
        <w:rPr>
          <w:rFonts w:hint="eastAsia" w:ascii="Times New Roman" w:hAnsi="Times New Roman" w:eastAsia="仿宋_GB2312" w:cs="Times New Roman"/>
          <w:sz w:val="32"/>
          <w:szCs w:val="32"/>
        </w:rPr>
        <w:t>观摩柑橘病虫害绿色防控与统防统治融合推进现场柑橘病虫害防控植保贡献率评价试验现场、番茄潜叶蛾发生为害现场</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慈利县、芷江县交流柑橘病虫害植保贡献率评价工作</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柑橘主要病虫害发生及绿色防控技术培训</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部署经济作物病虫害防控工作</w:t>
      </w:r>
      <w:r>
        <w:rPr>
          <w:rFonts w:hint="eastAsia" w:ascii="Times New Roman" w:hAnsi="Times New Roman" w:eastAsia="仿宋_GB2312" w:cs="Times New Roman"/>
          <w:sz w:val="32"/>
          <w:szCs w:val="32"/>
          <w:lang w:eastAsia="zh-CN"/>
        </w:rPr>
        <w:t>。</w:t>
      </w:r>
    </w:p>
    <w:p>
      <w:pPr>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lang w:eastAsia="zh-CN"/>
        </w:rPr>
        <w:t>湖南省农作物病虫害专业化统防统治服务组织负责人能力提升</w:t>
      </w:r>
      <w:r>
        <w:rPr>
          <w:rFonts w:hint="eastAsia" w:ascii="Times New Roman" w:hAnsi="Times New Roman" w:eastAsia="仿宋_GB2312" w:cs="Times New Roman"/>
          <w:sz w:val="32"/>
          <w:szCs w:val="32"/>
          <w:lang w:val="en-US" w:eastAsia="zh-CN"/>
        </w:rPr>
        <w:t>培训</w:t>
      </w:r>
      <w:r>
        <w:rPr>
          <w:rFonts w:ascii="Times New Roman" w:hAnsi="Times New Roman" w:eastAsia="仿宋_GB2312" w:cs="Times New Roman"/>
          <w:sz w:val="32"/>
          <w:szCs w:val="32"/>
        </w:rPr>
        <w:t>，人数</w:t>
      </w:r>
      <w:r>
        <w:rPr>
          <w:rFonts w:hint="eastAsia" w:ascii="Times New Roman" w:hAnsi="Times New Roman" w:eastAsia="仿宋_GB2312" w:cs="Times New Roman"/>
          <w:sz w:val="32"/>
          <w:szCs w:val="32"/>
          <w:lang w:val="en-US" w:eastAsia="zh-CN"/>
        </w:rPr>
        <w:t>129</w:t>
      </w:r>
      <w:r>
        <w:rPr>
          <w:rFonts w:ascii="Times New Roman" w:hAnsi="Times New Roman" w:eastAsia="仿宋_GB2312" w:cs="Times New Roman"/>
          <w:sz w:val="32"/>
          <w:szCs w:val="32"/>
        </w:rPr>
        <w:t>人，</w:t>
      </w:r>
      <w:r>
        <w:rPr>
          <w:rFonts w:hint="eastAsia" w:ascii="Times New Roman" w:hAnsi="Times New Roman" w:eastAsia="仿宋_GB2312" w:cs="Times New Roman"/>
          <w:sz w:val="32"/>
          <w:szCs w:val="32"/>
          <w:lang w:val="en-US" w:eastAsia="zh-CN"/>
        </w:rPr>
        <w:t>金额11.36万元，</w:t>
      </w:r>
      <w:r>
        <w:rPr>
          <w:rFonts w:ascii="Times New Roman" w:hAnsi="Times New Roman" w:eastAsia="仿宋_GB2312" w:cs="Times New Roman"/>
          <w:sz w:val="32"/>
          <w:szCs w:val="32"/>
        </w:rPr>
        <w:t>内容为</w:t>
      </w:r>
      <w:r>
        <w:rPr>
          <w:rFonts w:hint="eastAsia" w:ascii="Times New Roman" w:hAnsi="Times New Roman" w:eastAsia="仿宋_GB2312" w:cs="Times New Roman"/>
          <w:sz w:val="32"/>
          <w:szCs w:val="32"/>
        </w:rPr>
        <w:t>我省专业化统防统治现状与再推进思路</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植保无人机等先进施药设备应用技术</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农作物病虫害防治减药增效技术</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专业化统防统治组织内部管理和发展思路</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专业化统防统治好经验好做法交流</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植保新产品新技术交流</w:t>
      </w:r>
      <w:r>
        <w:rPr>
          <w:rFonts w:hint="eastAsia" w:ascii="Times New Roman" w:hAnsi="Times New Roman" w:eastAsia="仿宋_GB2312" w:cs="Times New Roman"/>
          <w:sz w:val="32"/>
          <w:szCs w:val="32"/>
          <w:lang w:eastAsia="zh-CN"/>
        </w:rPr>
        <w:t>。</w:t>
      </w:r>
    </w:p>
    <w:p>
      <w:pPr>
        <w:numPr>
          <w:ilvl w:val="0"/>
          <w:numId w:val="0"/>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未</w:t>
      </w:r>
      <w:r>
        <w:rPr>
          <w:rFonts w:ascii="Times New Roman" w:hAnsi="Times New Roman" w:eastAsia="仿宋_GB2312" w:cs="Times New Roman"/>
          <w:sz w:val="32"/>
          <w:szCs w:val="32"/>
        </w:rPr>
        <w:t>举办节庆、晚会、论坛、赛事活动。</w:t>
      </w:r>
    </w:p>
    <w:p>
      <w:pPr>
        <w:pStyle w:val="17"/>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十一、关于政府采购支出说明</w:t>
      </w:r>
    </w:p>
    <w:p>
      <w:pPr>
        <w:pStyle w:val="17"/>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1179.35</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1179.35</w:t>
      </w:r>
      <w:r>
        <w:rPr>
          <w:rFonts w:ascii="Times New Roman" w:hAnsi="Times New Roman" w:eastAsia="仿宋_GB2312" w:cs="Times New Roman"/>
          <w:sz w:val="32"/>
          <w:szCs w:val="32"/>
        </w:rPr>
        <w:t xml:space="preserve"> 万元、政府采购工程支出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1179.35</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688.54</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58.38</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w:t>
      </w:r>
    </w:p>
    <w:p>
      <w:pPr>
        <w:pStyle w:val="17"/>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pPr>
        <w:pStyle w:val="17"/>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截至2024年12月31日，部门（单位）共有车辆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辆，其中，副部（省）级及以上领导用车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辆、主要负责人用车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辆、机要通信用车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辆、应急保障用车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辆、执法执勤用车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辆、特种专业技术用车</w:t>
      </w:r>
      <w:r>
        <w:rPr>
          <w:rFonts w:hint="eastAsia" w:ascii="Times New Roman" w:hAnsi="Times New Roman" w:eastAsia="仿宋_GB2312" w:cs="Times New Roman"/>
          <w:color w:val="auto"/>
          <w:sz w:val="32"/>
          <w:szCs w:val="32"/>
          <w:lang w:val="en-US" w:eastAsia="zh-CN"/>
        </w:rPr>
        <w:t>1</w:t>
      </w:r>
      <w:r>
        <w:rPr>
          <w:rFonts w:ascii="Times New Roman" w:hAnsi="Times New Roman" w:eastAsia="仿宋_GB2312" w:cs="Times New Roman"/>
          <w:color w:val="auto"/>
          <w:sz w:val="32"/>
          <w:szCs w:val="32"/>
        </w:rPr>
        <w:t>辆、离退休干部服务用车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辆、其他用车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辆；单位价值100万元以上设备（不含车辆）</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台（套）。</w:t>
      </w:r>
    </w:p>
    <w:p>
      <w:pPr>
        <w:pStyle w:val="17"/>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十三、关于</w:t>
      </w:r>
      <w:r>
        <w:rPr>
          <w:rFonts w:ascii="Times New Roman" w:hAnsi="Times New Roman" w:eastAsia="仿宋_GB2312" w:cs="Times New Roman"/>
          <w:color w:val="auto"/>
          <w:sz w:val="32"/>
          <w:szCs w:val="32"/>
        </w:rPr>
        <w:t>2024</w:t>
      </w:r>
      <w:r>
        <w:rPr>
          <w:rFonts w:ascii="Times New Roman" w:hAnsi="Times New Roman" w:cs="Times New Roman"/>
          <w:bCs/>
          <w:color w:val="auto"/>
          <w:sz w:val="32"/>
          <w:szCs w:val="32"/>
        </w:rPr>
        <w:t>年度预算绩效情况的说明</w:t>
      </w:r>
    </w:p>
    <w:p>
      <w:pPr>
        <w:overflowPunct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楷体_GB2312" w:cs="Times New Roman"/>
          <w:b/>
          <w:bCs/>
          <w:sz w:val="32"/>
          <w:szCs w:val="32"/>
        </w:rPr>
        <w:t>（一）绩效评价工作开展情况。</w:t>
      </w:r>
      <w:r>
        <w:rPr>
          <w:rFonts w:ascii="Times New Roman" w:hAnsi="Times New Roman" w:eastAsia="仿宋_GB2312" w:cs="Times New Roman"/>
          <w:b/>
          <w:bCs/>
          <w:kern w:val="0"/>
          <w:sz w:val="32"/>
          <w:szCs w:val="32"/>
        </w:rPr>
        <w:t>一是绩效自评开展情况。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1362.06</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1362.06</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58.36</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万元。</w:t>
      </w:r>
    </w:p>
    <w:p>
      <w:pPr>
        <w:keepNext w:val="0"/>
        <w:keepLines w:val="0"/>
        <w:pageBreakBefore w:val="0"/>
        <w:kinsoku/>
        <w:wordWrap/>
        <w:overflowPunct/>
        <w:topLinePunct w:val="0"/>
        <w:bidi w:val="0"/>
        <w:snapToGrid w:val="0"/>
        <w:spacing w:line="560" w:lineRule="exact"/>
        <w:ind w:firstLine="640" w:firstLineChars="200"/>
        <w:jc w:val="both"/>
        <w:rPr>
          <w:rFonts w:ascii="Times New Roman" w:hAnsi="Times New Roman" w:eastAsia="仿宋_GB2312" w:cs="Times New Roman"/>
          <w:bCs/>
          <w:sz w:val="32"/>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4930.20</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2334.24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47.35</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94.74</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w:t>
      </w:r>
      <w:r>
        <w:rPr>
          <w:rFonts w:hint="eastAsia" w:ascii="仿宋_GB2312" w:hAnsi="仿宋_GB2312" w:eastAsia="仿宋_GB2312" w:cs="仿宋_GB2312"/>
          <w:bCs/>
          <w:sz w:val="32"/>
          <w:szCs w:val="32"/>
          <w:lang w:val="en-US" w:eastAsia="zh-CN"/>
        </w:rPr>
        <w:t>一是</w:t>
      </w:r>
      <w:r>
        <w:rPr>
          <w:rFonts w:hint="eastAsia" w:ascii="仿宋_GB2312" w:hAnsi="仿宋_GB2312" w:eastAsia="仿宋_GB2312" w:cs="仿宋_GB2312"/>
          <w:bCs/>
          <w:sz w:val="32"/>
          <w:szCs w:val="32"/>
        </w:rPr>
        <w:t>织密病虫监测网络，重大病虫监测预警能力进一步提升。</w:t>
      </w:r>
      <w:r>
        <w:rPr>
          <w:rFonts w:eastAsia="仿宋_GB2312"/>
          <w:bCs/>
          <w:sz w:val="32"/>
          <w:szCs w:val="32"/>
        </w:rPr>
        <w:t>依托</w:t>
      </w:r>
      <w:r>
        <w:rPr>
          <w:rFonts w:hint="eastAsia" w:eastAsia="仿宋_GB2312"/>
          <w:bCs/>
          <w:sz w:val="32"/>
          <w:szCs w:val="32"/>
        </w:rPr>
        <w:t>国家</w:t>
      </w:r>
      <w:r>
        <w:rPr>
          <w:rFonts w:eastAsia="仿宋_GB2312"/>
          <w:bCs/>
          <w:sz w:val="32"/>
          <w:szCs w:val="32"/>
        </w:rPr>
        <w:t>动植物保护能力提升工程等项目</w:t>
      </w:r>
      <w:r>
        <w:rPr>
          <w:rFonts w:hint="eastAsia" w:eastAsia="仿宋_GB2312"/>
          <w:bCs/>
          <w:sz w:val="32"/>
          <w:szCs w:val="32"/>
        </w:rPr>
        <w:t>建立健全全省病虫监测预警网络。截至2024年底，</w:t>
      </w:r>
      <w:r>
        <w:rPr>
          <w:rFonts w:eastAsia="仿宋_GB2312"/>
          <w:bCs/>
          <w:sz w:val="32"/>
          <w:szCs w:val="32"/>
        </w:rPr>
        <w:t>全省</w:t>
      </w:r>
      <w:r>
        <w:rPr>
          <w:rFonts w:hint="eastAsia" w:eastAsia="仿宋_GB2312"/>
          <w:bCs/>
          <w:sz w:val="32"/>
          <w:szCs w:val="32"/>
        </w:rPr>
        <w:t>已在</w:t>
      </w:r>
      <w:r>
        <w:rPr>
          <w:rFonts w:eastAsia="仿宋_GB2312"/>
          <w:bCs/>
          <w:sz w:val="32"/>
          <w:szCs w:val="32"/>
        </w:rPr>
        <w:t>36个县</w:t>
      </w:r>
      <w:r>
        <w:rPr>
          <w:rFonts w:hint="eastAsia" w:eastAsia="仿宋_GB2312"/>
          <w:bCs/>
          <w:sz w:val="32"/>
          <w:szCs w:val="32"/>
        </w:rPr>
        <w:t>建成150多个省级田间监测点，另有11个县在建，9个县在建设前期准备，加上各县市布设的监测点，全省农作物病虫害监测网络进一步健全，重大病虫预警能力进一步提升。全省病虫情报短期预报准</w:t>
      </w:r>
      <w:r>
        <w:rPr>
          <w:rFonts w:eastAsia="仿宋_GB2312"/>
          <w:kern w:val="0"/>
          <w:sz w:val="32"/>
          <w:szCs w:val="32"/>
        </w:rPr>
        <w:t>确率达到95%以上，中、长期预报准确率90%以上，为</w:t>
      </w:r>
      <w:r>
        <w:rPr>
          <w:rFonts w:eastAsia="仿宋_GB2312"/>
          <w:bCs/>
          <w:sz w:val="32"/>
          <w:szCs w:val="32"/>
        </w:rPr>
        <w:t>农作物病虫害科学防控奠定了坚实基础。</w:t>
      </w:r>
      <w:r>
        <w:rPr>
          <w:rFonts w:hint="eastAsia" w:ascii="仿宋_GB2312" w:hAnsi="仿宋_GB2312" w:eastAsia="仿宋_GB2312" w:cs="仿宋_GB2312"/>
          <w:bCs/>
          <w:sz w:val="32"/>
          <w:szCs w:val="32"/>
          <w:lang w:val="en-US" w:eastAsia="zh-CN"/>
        </w:rPr>
        <w:t>二是</w:t>
      </w:r>
      <w:r>
        <w:rPr>
          <w:rFonts w:hint="eastAsia" w:ascii="仿宋_GB2312" w:hAnsi="仿宋_GB2312" w:eastAsia="仿宋_GB2312" w:cs="仿宋_GB2312"/>
          <w:bCs/>
          <w:sz w:val="32"/>
          <w:szCs w:val="32"/>
        </w:rPr>
        <w:t>抓好大面积防控和应急防控，减损增产成效显著。</w:t>
      </w:r>
      <w:r>
        <w:rPr>
          <w:rFonts w:hint="eastAsia" w:ascii="仿宋_GB2312" w:hAnsi="仿宋_GB2312" w:eastAsia="仿宋_GB2312" w:cs="仿宋_GB2312"/>
          <w:color w:val="000000"/>
          <w:sz w:val="32"/>
          <w:szCs w:val="32"/>
          <w:shd w:val="clear" w:color="auto" w:fill="FFFFFF"/>
        </w:rPr>
        <w:t>积极发挥公共植保体系的公益服务作用、专业化服务组织的防控主</w:t>
      </w:r>
      <w:r>
        <w:rPr>
          <w:rFonts w:eastAsia="仿宋_GB2312"/>
          <w:color w:val="000000"/>
          <w:sz w:val="32"/>
          <w:szCs w:val="32"/>
          <w:shd w:val="clear" w:color="auto" w:fill="FFFFFF"/>
        </w:rPr>
        <w:t>体作用</w:t>
      </w:r>
      <w:r>
        <w:rPr>
          <w:rFonts w:hint="eastAsia" w:eastAsia="仿宋_GB2312"/>
          <w:color w:val="000000"/>
          <w:sz w:val="32"/>
          <w:szCs w:val="32"/>
          <w:shd w:val="clear" w:color="auto" w:fill="FFFFFF"/>
        </w:rPr>
        <w:t>和</w:t>
      </w:r>
      <w:r>
        <w:rPr>
          <w:rFonts w:eastAsia="仿宋_GB2312"/>
          <w:color w:val="000000"/>
          <w:sz w:val="32"/>
          <w:szCs w:val="32"/>
          <w:shd w:val="clear" w:color="auto" w:fill="FFFFFF"/>
        </w:rPr>
        <w:t>科研院所的智库支撑作用</w:t>
      </w:r>
      <w:r>
        <w:rPr>
          <w:rFonts w:hint="eastAsia" w:eastAsia="仿宋_GB2312"/>
          <w:color w:val="000000"/>
          <w:sz w:val="32"/>
          <w:szCs w:val="32"/>
          <w:shd w:val="clear" w:color="auto" w:fill="FFFFFF"/>
        </w:rPr>
        <w:t>，</w:t>
      </w:r>
      <w:r>
        <w:rPr>
          <w:rFonts w:hint="eastAsia" w:eastAsia="仿宋_GB2312"/>
          <w:sz w:val="32"/>
          <w:szCs w:val="32"/>
        </w:rPr>
        <w:t>抓实抓好农作物病虫害大面积防控，及时组织开展应急防治</w:t>
      </w:r>
      <w:r>
        <w:rPr>
          <w:rFonts w:eastAsia="仿宋_GB2312"/>
          <w:sz w:val="32"/>
          <w:szCs w:val="32"/>
        </w:rPr>
        <w:t>。</w:t>
      </w:r>
      <w:r>
        <w:rPr>
          <w:rFonts w:hint="eastAsia" w:eastAsia="仿宋_GB2312"/>
          <w:sz w:val="32"/>
          <w:szCs w:val="32"/>
        </w:rPr>
        <w:t>据植保专业统计，2024年，全省主要农作物病虫草鼠害发生面积5.03亿亩次、防治面积5.8亿亩次，通过有效防治，累计挽回</w:t>
      </w:r>
      <w:r>
        <w:rPr>
          <w:rFonts w:hint="eastAsia" w:eastAsia="仿宋_GB2312"/>
          <w:color w:val="000000"/>
          <w:sz w:val="32"/>
          <w:szCs w:val="32"/>
          <w:shd w:val="clear" w:color="auto" w:fill="FFFFFF"/>
        </w:rPr>
        <w:t>粮食损失58</w:t>
      </w:r>
      <w:r>
        <w:rPr>
          <w:rFonts w:hint="eastAsia" w:eastAsia="仿宋_GB2312"/>
          <w:color w:val="000000"/>
          <w:sz w:val="32"/>
          <w:szCs w:val="32"/>
          <w:shd w:val="clear" w:color="auto" w:fill="FFFFFF"/>
          <w:lang w:val="en-US" w:eastAsia="zh-CN"/>
        </w:rPr>
        <w:t>9</w:t>
      </w:r>
      <w:r>
        <w:rPr>
          <w:rFonts w:hint="eastAsia" w:eastAsia="仿宋_GB2312"/>
          <w:color w:val="000000"/>
          <w:sz w:val="32"/>
          <w:szCs w:val="32"/>
          <w:shd w:val="clear" w:color="auto" w:fill="FFFFFF"/>
        </w:rPr>
        <w:t>万吨、挽回油料损失36.7万吨</w:t>
      </w:r>
      <w:r>
        <w:rPr>
          <w:rFonts w:hint="eastAsia" w:eastAsia="仿宋_GB2312"/>
          <w:color w:val="000000"/>
          <w:sz w:val="32"/>
          <w:szCs w:val="32"/>
          <w:shd w:val="clear" w:color="auto" w:fill="FFFFFF"/>
          <w:lang w:eastAsia="zh-CN"/>
        </w:rPr>
        <w:t>、</w:t>
      </w:r>
      <w:r>
        <w:rPr>
          <w:rFonts w:hint="eastAsia" w:eastAsia="仿宋_GB2312"/>
          <w:color w:val="000000"/>
          <w:sz w:val="32"/>
          <w:szCs w:val="32"/>
          <w:shd w:val="clear" w:color="auto" w:fill="FFFFFF"/>
        </w:rPr>
        <w:t>挽回</w:t>
      </w:r>
      <w:r>
        <w:rPr>
          <w:rFonts w:hint="eastAsia" w:eastAsia="仿宋_GB2312"/>
          <w:color w:val="000000"/>
          <w:sz w:val="32"/>
          <w:szCs w:val="32"/>
          <w:shd w:val="clear" w:color="auto" w:fill="FFFFFF"/>
          <w:lang w:eastAsia="zh-CN"/>
        </w:rPr>
        <w:t>蔬菜</w:t>
      </w:r>
      <w:r>
        <w:rPr>
          <w:rFonts w:hint="eastAsia" w:eastAsia="仿宋_GB2312"/>
          <w:color w:val="000000"/>
          <w:sz w:val="32"/>
          <w:szCs w:val="32"/>
          <w:shd w:val="clear" w:color="auto" w:fill="FFFFFF"/>
        </w:rPr>
        <w:t>损失</w:t>
      </w:r>
      <w:r>
        <w:rPr>
          <w:rFonts w:hint="eastAsia" w:eastAsia="仿宋_GB2312"/>
          <w:color w:val="000000"/>
          <w:sz w:val="32"/>
          <w:szCs w:val="32"/>
          <w:shd w:val="clear" w:color="auto" w:fill="FFFFFF"/>
          <w:lang w:eastAsia="zh-CN"/>
        </w:rPr>
        <w:t>160.7万吨</w:t>
      </w:r>
      <w:r>
        <w:rPr>
          <w:rFonts w:hint="eastAsia" w:eastAsia="仿宋_GB2312"/>
          <w:color w:val="000000"/>
          <w:sz w:val="32"/>
          <w:szCs w:val="32"/>
          <w:shd w:val="clear" w:color="auto" w:fill="FFFFFF"/>
        </w:rPr>
        <w:t>。据</w:t>
      </w:r>
      <w:r>
        <w:rPr>
          <w:rFonts w:eastAsia="仿宋_GB2312"/>
          <w:color w:val="000000"/>
          <w:sz w:val="32"/>
          <w:szCs w:val="32"/>
          <w:shd w:val="clear" w:color="auto" w:fill="FFFFFF"/>
        </w:rPr>
        <w:t>30个县开展</w:t>
      </w:r>
      <w:r>
        <w:rPr>
          <w:rFonts w:hint="eastAsia" w:eastAsia="仿宋_GB2312"/>
          <w:color w:val="000000"/>
          <w:sz w:val="32"/>
          <w:szCs w:val="32"/>
          <w:shd w:val="clear" w:color="auto" w:fill="FFFFFF"/>
        </w:rPr>
        <w:t>的农作物</w:t>
      </w:r>
      <w:r>
        <w:rPr>
          <w:rFonts w:eastAsia="仿宋_GB2312"/>
          <w:color w:val="000000"/>
          <w:sz w:val="32"/>
          <w:szCs w:val="32"/>
          <w:shd w:val="clear" w:color="auto" w:fill="FFFFFF"/>
        </w:rPr>
        <w:t>病虫</w:t>
      </w:r>
      <w:r>
        <w:rPr>
          <w:rFonts w:hint="eastAsia" w:eastAsia="仿宋_GB2312"/>
          <w:color w:val="000000"/>
          <w:sz w:val="32"/>
          <w:szCs w:val="32"/>
          <w:shd w:val="clear" w:color="auto" w:fill="FFFFFF"/>
        </w:rPr>
        <w:t>草</w:t>
      </w:r>
      <w:r>
        <w:rPr>
          <w:rFonts w:eastAsia="仿宋_GB2312"/>
          <w:color w:val="000000"/>
          <w:sz w:val="32"/>
          <w:szCs w:val="32"/>
          <w:shd w:val="clear" w:color="auto" w:fill="FFFFFF"/>
        </w:rPr>
        <w:t>害防控效果暨植保贡献率评价</w:t>
      </w:r>
      <w:r>
        <w:rPr>
          <w:rFonts w:hint="eastAsia" w:eastAsia="仿宋_GB2312"/>
          <w:color w:val="000000"/>
          <w:sz w:val="32"/>
          <w:szCs w:val="32"/>
          <w:shd w:val="clear" w:color="auto" w:fill="FFFFFF"/>
        </w:rPr>
        <w:t>试验测算，2024年我省</w:t>
      </w:r>
      <w:r>
        <w:rPr>
          <w:rFonts w:eastAsia="仿宋_GB2312"/>
          <w:color w:val="000000"/>
          <w:sz w:val="32"/>
          <w:szCs w:val="32"/>
          <w:shd w:val="clear" w:color="auto" w:fill="FFFFFF"/>
        </w:rPr>
        <w:t>水稻病虫草害防控植保贡献率为39.23%</w:t>
      </w:r>
      <w:r>
        <w:rPr>
          <w:rFonts w:hint="eastAsia" w:eastAsia="仿宋_GB2312"/>
          <w:color w:val="000000"/>
          <w:sz w:val="32"/>
          <w:szCs w:val="32"/>
          <w:shd w:val="clear" w:color="auto" w:fill="FFFFFF"/>
        </w:rPr>
        <w:t>、油菜为</w:t>
      </w:r>
      <w:r>
        <w:rPr>
          <w:rFonts w:eastAsia="仿宋_GB2312"/>
          <w:color w:val="000000"/>
          <w:sz w:val="32"/>
          <w:szCs w:val="32"/>
          <w:shd w:val="clear" w:color="auto" w:fill="FFFFFF"/>
        </w:rPr>
        <w:t>46.94%</w:t>
      </w:r>
      <w:r>
        <w:rPr>
          <w:rFonts w:hint="eastAsia" w:eastAsia="仿宋_GB2312"/>
          <w:color w:val="000000"/>
          <w:sz w:val="32"/>
          <w:szCs w:val="32"/>
          <w:shd w:val="clear" w:color="auto" w:fill="FFFFFF"/>
        </w:rPr>
        <w:t>、玉米为37.61%，柑橘为23.45%。植保防灾减灾和减损增产成效显著。</w:t>
      </w:r>
      <w:r>
        <w:rPr>
          <w:rFonts w:hint="eastAsia" w:ascii="仿宋_GB2312" w:hAnsi="仿宋_GB2312" w:eastAsia="仿宋_GB2312" w:cs="仿宋_GB2312"/>
          <w:bCs/>
          <w:sz w:val="32"/>
          <w:szCs w:val="32"/>
          <w:lang w:val="en-US" w:eastAsia="zh-CN"/>
        </w:rPr>
        <w:t>三是</w:t>
      </w:r>
      <w:r>
        <w:rPr>
          <w:rFonts w:hint="eastAsia" w:ascii="仿宋_GB2312" w:hAnsi="仿宋_GB2312" w:eastAsia="仿宋_GB2312" w:cs="仿宋_GB2312"/>
          <w:bCs/>
          <w:sz w:val="32"/>
          <w:szCs w:val="32"/>
        </w:rPr>
        <w:t>融合推进绿色防控与统防统治，病虫防治组织化程度和科学化水平进一步提升。</w:t>
      </w:r>
      <w:r>
        <w:rPr>
          <w:rFonts w:eastAsia="仿宋_GB2312"/>
          <w:bCs/>
          <w:sz w:val="32"/>
          <w:szCs w:val="32"/>
        </w:rPr>
        <w:t>以装备精良、管理规范、年服务面积万亩以上的专业化防治组织为重点，将绿色防控措施纳入统防统治服务内容，促进绿色防控与统防统治融合发展。2024年，</w:t>
      </w:r>
      <w:r>
        <w:rPr>
          <w:rFonts w:eastAsia="仿宋_GB2312"/>
          <w:color w:val="000000"/>
          <w:sz w:val="32"/>
          <w:szCs w:val="32"/>
        </w:rPr>
        <w:t>全省分层级、分作物创建绿色防控示范区1413个</w:t>
      </w:r>
      <w:r>
        <w:rPr>
          <w:rFonts w:hint="eastAsia" w:eastAsia="仿宋_GB2312"/>
          <w:color w:val="000000"/>
          <w:sz w:val="32"/>
          <w:szCs w:val="32"/>
        </w:rPr>
        <w:t>；各</w:t>
      </w:r>
      <w:r>
        <w:rPr>
          <w:rFonts w:hint="eastAsia" w:eastAsia="仿宋_GB2312"/>
          <w:bCs/>
          <w:sz w:val="32"/>
          <w:szCs w:val="32"/>
        </w:rPr>
        <w:t>级专业化</w:t>
      </w:r>
      <w:r>
        <w:rPr>
          <w:rFonts w:eastAsia="仿宋_GB2312"/>
          <w:bCs/>
          <w:sz w:val="32"/>
          <w:szCs w:val="32"/>
        </w:rPr>
        <w:t>服务组织达2596家，其中经登记注册的1646家，获省站授权的878家，植保无人机保有量达到13641台；主要粮食作物统防统治覆盖率达到53.67%，高出全国均值6</w:t>
      </w:r>
      <w:r>
        <w:rPr>
          <w:rFonts w:hint="eastAsia" w:eastAsia="仿宋_GB2312"/>
          <w:bCs/>
          <w:sz w:val="32"/>
          <w:szCs w:val="32"/>
        </w:rPr>
        <w:t>.3个百分点</w:t>
      </w:r>
      <w:r>
        <w:rPr>
          <w:rFonts w:eastAsia="仿宋_GB2312"/>
          <w:bCs/>
          <w:sz w:val="32"/>
          <w:szCs w:val="32"/>
        </w:rPr>
        <w:t>，主要农作物绿色防控覆盖率达到54</w:t>
      </w:r>
      <w:r>
        <w:rPr>
          <w:rFonts w:hint="eastAsia" w:eastAsia="仿宋_GB2312"/>
          <w:bCs/>
          <w:sz w:val="32"/>
          <w:szCs w:val="32"/>
        </w:rPr>
        <w:t>.69</w:t>
      </w:r>
      <w:r>
        <w:rPr>
          <w:rFonts w:eastAsia="仿宋_GB2312"/>
          <w:bCs/>
          <w:sz w:val="32"/>
          <w:szCs w:val="32"/>
        </w:rPr>
        <w:t>%</w:t>
      </w:r>
      <w:r>
        <w:rPr>
          <w:rFonts w:hint="eastAsia" w:eastAsia="仿宋_GB2312"/>
          <w:bCs/>
          <w:sz w:val="32"/>
          <w:szCs w:val="32"/>
          <w:lang w:eastAsia="zh-CN"/>
        </w:rPr>
        <w:t>，</w:t>
      </w:r>
      <w:r>
        <w:rPr>
          <w:rFonts w:eastAsia="仿宋_GB2312"/>
          <w:bCs/>
          <w:sz w:val="32"/>
          <w:szCs w:val="32"/>
        </w:rPr>
        <w:t>分别较上年提升1.67个百分点和2</w:t>
      </w:r>
      <w:r>
        <w:rPr>
          <w:rFonts w:hint="eastAsia" w:eastAsia="仿宋_GB2312"/>
          <w:bCs/>
          <w:sz w:val="32"/>
          <w:szCs w:val="32"/>
        </w:rPr>
        <w:t>.53</w:t>
      </w:r>
      <w:r>
        <w:rPr>
          <w:rFonts w:eastAsia="仿宋_GB2312"/>
          <w:bCs/>
          <w:sz w:val="32"/>
          <w:szCs w:val="32"/>
        </w:rPr>
        <w:t>个百分点</w:t>
      </w:r>
      <w:r>
        <w:rPr>
          <w:rFonts w:hint="eastAsia" w:eastAsia="仿宋_GB2312"/>
          <w:bCs/>
          <w:sz w:val="32"/>
          <w:szCs w:val="32"/>
        </w:rPr>
        <w:t>，防控组织化程度和科学化水平进一步提升。</w:t>
      </w:r>
      <w:r>
        <w:rPr>
          <w:rFonts w:hint="eastAsia" w:ascii="仿宋_GB2312" w:hAnsi="仿宋_GB2312" w:eastAsia="仿宋_GB2312" w:cs="仿宋_GB2312"/>
          <w:bCs/>
          <w:sz w:val="32"/>
          <w:szCs w:val="32"/>
          <w:lang w:val="en-US" w:eastAsia="zh-CN"/>
        </w:rPr>
        <w:t>四是</w:t>
      </w:r>
      <w:r>
        <w:rPr>
          <w:rFonts w:hint="eastAsia" w:ascii="仿宋_GB2312" w:hAnsi="仿宋_GB2312" w:eastAsia="仿宋_GB2312" w:cs="仿宋_GB2312"/>
          <w:bCs/>
          <w:sz w:val="32"/>
          <w:szCs w:val="32"/>
        </w:rPr>
        <w:t>严格检疫监管，重大植物疫情扩散蔓延得到有效遏制。</w:t>
      </w:r>
      <w:r>
        <w:rPr>
          <w:rFonts w:eastAsia="仿宋_GB2312"/>
          <w:sz w:val="32"/>
          <w:szCs w:val="32"/>
        </w:rPr>
        <w:t>制定印发《柑橘黄龙病防控工作三年行动方案（2024-2026年）》，</w:t>
      </w:r>
      <w:r>
        <w:rPr>
          <w:rFonts w:hint="eastAsia" w:eastAsia="仿宋_GB2312"/>
          <w:bCs/>
          <w:sz w:val="32"/>
          <w:szCs w:val="32"/>
        </w:rPr>
        <w:t>加强</w:t>
      </w:r>
      <w:r>
        <w:rPr>
          <w:rFonts w:eastAsia="仿宋_GB2312"/>
          <w:sz w:val="32"/>
          <w:szCs w:val="32"/>
        </w:rPr>
        <w:t>柑橘黄龙病、</w:t>
      </w:r>
      <w:r>
        <w:rPr>
          <w:rFonts w:eastAsia="仿宋_GB2312"/>
          <w:bCs/>
          <w:sz w:val="32"/>
          <w:szCs w:val="32"/>
        </w:rPr>
        <w:t>红</w:t>
      </w:r>
      <w:r>
        <w:rPr>
          <w:rFonts w:eastAsia="仿宋_GB2312"/>
          <w:sz w:val="32"/>
          <w:szCs w:val="32"/>
        </w:rPr>
        <w:t>火蚁等</w:t>
      </w:r>
      <w:r>
        <w:rPr>
          <w:rFonts w:hint="eastAsia" w:eastAsia="仿宋_GB2312"/>
          <w:sz w:val="32"/>
          <w:szCs w:val="32"/>
        </w:rPr>
        <w:t>重大植物</w:t>
      </w:r>
      <w:r>
        <w:rPr>
          <w:rFonts w:eastAsia="仿宋_GB2312"/>
          <w:sz w:val="32"/>
          <w:szCs w:val="32"/>
        </w:rPr>
        <w:t>疫情</w:t>
      </w:r>
      <w:r>
        <w:rPr>
          <w:rFonts w:hint="eastAsia" w:eastAsia="仿宋_GB2312"/>
          <w:sz w:val="32"/>
          <w:szCs w:val="32"/>
        </w:rPr>
        <w:t>阻截</w:t>
      </w:r>
      <w:r>
        <w:rPr>
          <w:rFonts w:eastAsia="仿宋_GB2312"/>
          <w:sz w:val="32"/>
          <w:szCs w:val="32"/>
        </w:rPr>
        <w:t>防控。严格产地检疫和调运检疫，强化疫情源头风险管控。今年以来，</w:t>
      </w:r>
      <w:r>
        <w:rPr>
          <w:rFonts w:hint="eastAsia" w:eastAsia="仿宋_GB2312"/>
          <w:sz w:val="32"/>
          <w:szCs w:val="32"/>
        </w:rPr>
        <w:t>省站</w:t>
      </w:r>
      <w:r>
        <w:rPr>
          <w:rFonts w:eastAsia="仿宋_GB2312"/>
          <w:sz w:val="32"/>
          <w:szCs w:val="32"/>
        </w:rPr>
        <w:t>共受理从国（境）外引进种子、苗木检疫审批29批次，全省各级植物检疫机构通过全国植物检疫平台签发产地检疫合格证1290批次，植物检疫证书15769批次，有效守护了我省疫情防护大门。</w:t>
      </w:r>
      <w:r>
        <w:rPr>
          <w:rFonts w:hint="eastAsia" w:ascii="仿宋_GB2312" w:hAnsi="仿宋_GB2312" w:eastAsia="仿宋_GB2312" w:cs="仿宋_GB2312"/>
          <w:bCs/>
          <w:sz w:val="32"/>
          <w:szCs w:val="32"/>
          <w:lang w:val="en-US" w:eastAsia="zh-CN"/>
        </w:rPr>
        <w:t>五是</w:t>
      </w:r>
      <w:r>
        <w:rPr>
          <w:rFonts w:hint="eastAsia" w:ascii="仿宋_GB2312" w:hAnsi="仿宋_GB2312" w:eastAsia="仿宋_GB2312" w:cs="仿宋_GB2312"/>
          <w:bCs/>
          <w:sz w:val="32"/>
          <w:szCs w:val="32"/>
        </w:rPr>
        <w:t>抓实“五新同步”，化学农药使用量持续实现负增长。</w:t>
      </w:r>
      <w:r>
        <w:rPr>
          <w:rFonts w:hint="eastAsia" w:ascii="仿宋_GB2312" w:hAnsi="仿宋_GB2312" w:eastAsia="仿宋_GB2312" w:cs="仿宋_GB2312"/>
          <w:color w:val="000000"/>
          <w:sz w:val="32"/>
          <w:szCs w:val="32"/>
        </w:rPr>
        <w:t>坚</w:t>
      </w:r>
      <w:r>
        <w:rPr>
          <w:rFonts w:eastAsia="仿宋_GB2312"/>
          <w:color w:val="000000"/>
          <w:sz w:val="32"/>
          <w:szCs w:val="32"/>
        </w:rPr>
        <w:t>持以农作物病虫害防控新测报、新药剂、新药械、新技术、新方式“五新同步”为抓手，持续推进化学农药减量增效。统筹落实“三棵菜”治理，大力推进食用农产品“治违禁、控药残、促提升”三年行动；积极开展植保无人机等新技术、新产品试验示范；多形式、多途径开展科学安全用药培训，普及应用农药减量技术</w:t>
      </w:r>
      <w:r>
        <w:rPr>
          <w:rFonts w:hint="eastAsia" w:eastAsia="仿宋_GB2312"/>
          <w:color w:val="000000"/>
          <w:sz w:val="32"/>
          <w:szCs w:val="32"/>
        </w:rPr>
        <w:t>。</w:t>
      </w:r>
      <w:r>
        <w:rPr>
          <w:rFonts w:eastAsia="仿宋_GB2312"/>
          <w:color w:val="000000"/>
          <w:sz w:val="32"/>
          <w:szCs w:val="32"/>
        </w:rPr>
        <w:t>2024年</w:t>
      </w:r>
      <w:r>
        <w:rPr>
          <w:rFonts w:hint="eastAsia" w:eastAsia="仿宋_GB2312"/>
          <w:color w:val="000000"/>
          <w:sz w:val="32"/>
          <w:szCs w:val="32"/>
        </w:rPr>
        <w:t>，我省</w:t>
      </w:r>
      <w:r>
        <w:rPr>
          <w:rFonts w:eastAsia="仿宋_GB2312"/>
          <w:color w:val="000000"/>
          <w:sz w:val="32"/>
          <w:szCs w:val="32"/>
        </w:rPr>
        <w:t>水稻等主要粮食作物化学农药使用强度（单位播种面积化学农药使用折百量，下同）比上年减少2%，果菜茶等经济作物化学农药使用强度比上年减少4%，全省化学农药使用量连续9年实现负增长。</w:t>
      </w:r>
    </w:p>
    <w:p>
      <w:pPr>
        <w:pStyle w:val="17"/>
        <w:overflowPunct w:val="0"/>
        <w:autoSpaceDE/>
        <w:autoSpaceDN/>
        <w:spacing w:line="600" w:lineRule="exact"/>
        <w:ind w:firstLine="640" w:firstLineChars="200"/>
        <w:jc w:val="both"/>
        <w:rPr>
          <w:rFonts w:hint="default" w:ascii="仿宋_GB2312" w:hAnsi="仿宋_GB2312" w:eastAsia="仿宋_GB2312" w:cs="仿宋_GB2312"/>
          <w:sz w:val="32"/>
          <w:szCs w:val="32"/>
          <w:highlight w:val="yellow"/>
          <w:lang w:val="en-US" w:eastAsia="zh-CN"/>
        </w:rPr>
      </w:pPr>
      <w:r>
        <w:rPr>
          <w:rFonts w:ascii="Times New Roman" w:hAnsi="Times New Roman" w:eastAsia="楷体_GB2312" w:cs="Times New Roman"/>
          <w:b/>
          <w:bCs/>
          <w:color w:val="auto"/>
          <w:kern w:val="2"/>
          <w:sz w:val="32"/>
          <w:szCs w:val="32"/>
        </w:rPr>
        <w:t>（三）评价结果应用情况。</w:t>
      </w:r>
      <w:r>
        <w:rPr>
          <w:rFonts w:hint="eastAsia" w:ascii="仿宋_GB2312" w:hAnsi="仿宋_GB2312" w:eastAsia="仿宋_GB2312" w:cs="仿宋_GB2312"/>
          <w:sz w:val="32"/>
          <w:szCs w:val="32"/>
          <w:highlight w:val="none"/>
          <w:lang w:val="en-US" w:eastAsia="zh-CN"/>
        </w:rPr>
        <w:t>绩效</w:t>
      </w:r>
      <w:r>
        <w:rPr>
          <w:rFonts w:hint="default" w:ascii="仿宋_GB2312" w:hAnsi="仿宋_GB2312" w:eastAsia="仿宋_GB2312" w:cs="仿宋_GB2312"/>
          <w:sz w:val="32"/>
          <w:szCs w:val="32"/>
          <w:highlight w:val="none"/>
          <w:lang w:val="en-US" w:eastAsia="zh-CN"/>
        </w:rPr>
        <w:t>自评结果拟应用</w:t>
      </w:r>
      <w:r>
        <w:rPr>
          <w:rFonts w:hint="eastAsia" w:ascii="仿宋_GB2312" w:hAnsi="仿宋_GB2312" w:eastAsia="仿宋_GB2312" w:cs="仿宋_GB2312"/>
          <w:sz w:val="32"/>
          <w:szCs w:val="32"/>
          <w:highlight w:val="none"/>
          <w:lang w:val="en-US" w:eastAsia="zh-CN"/>
        </w:rPr>
        <w:t>于</w:t>
      </w:r>
      <w:r>
        <w:rPr>
          <w:rFonts w:hint="eastAsia" w:ascii="Times New Roman" w:hAnsi="Times New Roman" w:eastAsia="仿宋_GB2312" w:cs="Times New Roman"/>
          <w:color w:val="auto"/>
          <w:sz w:val="32"/>
          <w:szCs w:val="32"/>
          <w:highlight w:val="none"/>
        </w:rPr>
        <w:t>优化支出结构，重点向绩效评价得分高、实施效果好的项目倾斜，压减或取消绩效评价中发现问题或效果不明显的支出内容。加强项目前期论证，提升资金分配精准度，确保支出结构更贴合实际需求与绩效目标。</w:t>
      </w: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bookmarkStart w:id="3" w:name="_GoBack"/>
      <w:bookmarkEnd w:id="3"/>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pPr>
        <w:widowControl/>
        <w:jc w:val="left"/>
        <w:rPr>
          <w:rFonts w:ascii="Times New Roman" w:hAnsi="Times New Roman" w:cs="Times New Roman"/>
          <w:color w:val="000000"/>
          <w:kern w:val="0"/>
          <w:sz w:val="32"/>
          <w:szCs w:val="32"/>
        </w:rPr>
      </w:pPr>
    </w:p>
    <w:p>
      <w:pPr>
        <w:pStyle w:val="17"/>
        <w:ind w:firstLine="600" w:firstLineChars="20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一、</w:t>
      </w:r>
      <w:r>
        <w:rPr>
          <w:rFonts w:hint="eastAsia" w:ascii="Times New Roman" w:hAnsi="仿宋" w:eastAsia="仿宋" w:cs="Times New Roman"/>
          <w:color w:val="000000" w:themeColor="text1"/>
          <w:sz w:val="30"/>
          <w:szCs w:val="30"/>
          <w14:textFill>
            <w14:solidFill>
              <w14:schemeClr w14:val="tx1"/>
            </w14:solidFill>
          </w14:textFill>
        </w:rPr>
        <w:t>基</w:t>
      </w:r>
      <w:r>
        <w:rPr>
          <w:rFonts w:ascii="Times New Roman" w:hAnsi="仿宋" w:eastAsia="仿宋" w:cs="Times New Roman"/>
          <w:color w:val="000000" w:themeColor="text1"/>
          <w:sz w:val="30"/>
          <w:szCs w:val="30"/>
          <w14:textFill>
            <w14:solidFill>
              <w14:schemeClr w14:val="tx1"/>
            </w14:solidFill>
          </w14:textFill>
        </w:rPr>
        <w:t>本支出：指为保障机构正常运转、完成日常工作任务而 发生的各项支出，包括人员支出和公用支出。</w:t>
      </w:r>
    </w:p>
    <w:p>
      <w:pPr>
        <w:pStyle w:val="17"/>
        <w:ind w:firstLine="450" w:firstLineChars="150"/>
        <w:rPr>
          <w:rFonts w:ascii="Times New Roman" w:hAnsi="仿宋" w:eastAsia="仿宋" w:cs="Times New Roman"/>
          <w:color w:val="000000" w:themeColor="text1"/>
          <w:sz w:val="30"/>
          <w:szCs w:val="3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二、</w:t>
      </w:r>
      <w:r>
        <w:rPr>
          <w:rFonts w:ascii="Times New Roman" w:hAnsi="仿宋" w:eastAsia="仿宋" w:cs="Times New Roman"/>
          <w:color w:val="000000" w:themeColor="text1"/>
          <w:sz w:val="30"/>
          <w:szCs w:val="30"/>
          <w14:textFill>
            <w14:solidFill>
              <w14:schemeClr w14:val="tx1"/>
            </w14:solidFill>
          </w14:textFill>
        </w:rPr>
        <w:t xml:space="preserve"> 项目支出：指在基本支出以外为完成相关行政任务和事业 发展目标所发生的各项支出。 </w:t>
      </w:r>
    </w:p>
    <w:p>
      <w:pPr>
        <w:pStyle w:val="17"/>
        <w:ind w:firstLine="600" w:firstLineChars="200"/>
        <w:rPr>
          <w:rFonts w:ascii="仿宋" w:hAnsi="仿宋" w:eastAsia="仿宋"/>
          <w:bCs/>
          <w:sz w:val="32"/>
          <w:szCs w:val="32"/>
        </w:rPr>
      </w:pPr>
      <w:r>
        <w:rPr>
          <w:rFonts w:hint="eastAsia" w:ascii="Times New Roman" w:hAnsi="仿宋" w:eastAsia="仿宋" w:cs="Times New Roman"/>
          <w:color w:val="000000" w:themeColor="text1"/>
          <w:sz w:val="30"/>
          <w:szCs w:val="30"/>
          <w:lang w:val="en-US" w:eastAsia="zh-CN"/>
          <w14:textFill>
            <w14:solidFill>
              <w14:schemeClr w14:val="tx1"/>
            </w14:solidFill>
          </w14:textFill>
        </w:rPr>
        <w:t>三、</w:t>
      </w:r>
      <w:r>
        <w:rPr>
          <w:rFonts w:ascii="Times New Roman" w:hAnsi="仿宋" w:eastAsia="仿宋" w:cs="Times New Roman"/>
          <w:color w:val="000000" w:themeColor="text1"/>
          <w:sz w:val="30"/>
          <w:szCs w:val="30"/>
          <w14:textFill>
            <w14:solidFill>
              <w14:schemeClr w14:val="tx1"/>
            </w14:solidFill>
          </w14:textFill>
        </w:rPr>
        <w:t>“</w:t>
      </w:r>
      <w:r>
        <w:rPr>
          <w:rFonts w:hint="eastAsia" w:ascii="仿宋" w:hAnsi="仿宋" w:eastAsia="仿宋" w:cs="黑体"/>
          <w:bCs/>
          <w:color w:val="000000"/>
          <w:kern w:val="0"/>
          <w:sz w:val="32"/>
          <w:szCs w:val="32"/>
          <w:lang w:val="en-US" w:eastAsia="zh-CN" w:bidi="ar-SA"/>
        </w:rPr>
        <w:t>“三公”经费:纳入省财政预算管理的“三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widowControl/>
        <w:ind w:firstLine="600" w:firstLineChars="200"/>
        <w:jc w:val="left"/>
        <w:rPr>
          <w:rFonts w:ascii="黑体" w:eastAsia="黑体" w:cs="黑体"/>
          <w:color w:val="000000" w:themeColor="text1"/>
          <w:kern w:val="0"/>
          <w:sz w:val="70"/>
          <w:szCs w:val="70"/>
          <w14:textFill>
            <w14:solidFill>
              <w14:schemeClr w14:val="tx1"/>
            </w14:solidFill>
          </w14:textFill>
        </w:rPr>
      </w:pPr>
      <w:r>
        <w:rPr>
          <w:rFonts w:hint="eastAsia" w:ascii="Times New Roman" w:hAnsi="仿宋" w:eastAsia="仿宋" w:cs="Times New Roman"/>
          <w:color w:val="000000" w:themeColor="text1"/>
          <w:sz w:val="30"/>
          <w:szCs w:val="30"/>
          <w:lang w:val="en-US" w:eastAsia="zh-CN"/>
          <w14:textFill>
            <w14:solidFill>
              <w14:schemeClr w14:val="tx1"/>
            </w14:solidFill>
          </w14:textFill>
        </w:rPr>
        <w:t>四、</w:t>
      </w:r>
      <w:r>
        <w:rPr>
          <w:rFonts w:ascii="Times New Roman" w:hAnsi="仿宋" w:eastAsia="仿宋" w:cs="Times New Roman"/>
          <w:color w:val="000000" w:themeColor="text1"/>
          <w:sz w:val="30"/>
          <w:szCs w:val="30"/>
          <w14:textFill>
            <w14:solidFill>
              <w14:schemeClr w14:val="tx1"/>
            </w14:solidFill>
          </w14:textFill>
        </w:rPr>
        <w:t>机关运行经费：是指各部门的公用经费，包括办公及印刷 费、邮电费、差旅费、会议费、福利费、日常维修费、专用材 料及一般设备购置费、办公用房水电费、办公用房取暖费、办公用房物业管理费、公务用车运行维护费以及其他费用。</w:t>
      </w: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both"/>
        <w:rPr>
          <w:rFonts w:ascii="Times New Roman" w:hAnsi="Times New Roman" w:cs="Times New Roman"/>
          <w:sz w:val="72"/>
          <w:szCs w:val="72"/>
        </w:rPr>
      </w:pPr>
    </w:p>
    <w:p>
      <w:pPr>
        <w:pStyle w:val="17"/>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第五部分   附 件</w:t>
      </w:r>
    </w:p>
    <w:p>
      <w:pPr>
        <w:rPr>
          <w:rFonts w:ascii="Times New Roman" w:hAnsi="Times New Roman" w:cs="Times New Roman"/>
          <w:sz w:val="72"/>
          <w:szCs w:val="72"/>
        </w:rPr>
      </w:pPr>
    </w:p>
    <w:p>
      <w:pPr>
        <w:pStyle w:val="17"/>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一、</w:t>
      </w:r>
      <w:r>
        <w:rPr>
          <w:rFonts w:ascii="Times New Roman" w:hAnsi="Times New Roman" w:eastAsia="仿宋_GB2312" w:cs="Times New Roman"/>
          <w:sz w:val="32"/>
          <w:szCs w:val="32"/>
        </w:rPr>
        <w:t>2024年度单位整体支出绩效自评报告。</w:t>
      </w:r>
    </w:p>
    <w:p>
      <w:pPr>
        <w:pStyle w:val="17"/>
        <w:spacing w:line="600" w:lineRule="exact"/>
        <w:ind w:firstLine="640" w:firstLineChars="200"/>
        <w:rPr>
          <w:rFonts w:ascii="Times New Roman" w:hAnsi="Times New Roman" w:eastAsia="仿宋_GB2312" w:cs="Times New Roman"/>
          <w:sz w:val="32"/>
          <w:szCs w:val="3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pStyle w:val="17"/>
        <w:jc w:val="center"/>
        <w:rPr>
          <w:rFonts w:ascii="Times New Roman" w:hAnsi="Times New Roman" w:cs="Times New Roman"/>
          <w:sz w:val="72"/>
          <w:szCs w:val="72"/>
        </w:rPr>
      </w:pPr>
    </w:p>
    <w:p>
      <w:pPr>
        <w:ind w:firstLine="0" w:firstLineChars="0"/>
        <w:jc w:val="center"/>
        <w:rPr>
          <w:rFonts w:eastAsia="方正小标宋_GBK"/>
          <w:sz w:val="48"/>
          <w:szCs w:val="48"/>
        </w:rPr>
      </w:pPr>
      <w:r>
        <w:rPr>
          <w:rFonts w:hint="eastAsia" w:eastAsia="方正小标宋_GBK"/>
          <w:sz w:val="48"/>
          <w:szCs w:val="48"/>
          <w:lang w:val="en-US" w:eastAsia="zh-CN"/>
        </w:rPr>
        <w:t>2024</w:t>
      </w:r>
      <w:r>
        <w:rPr>
          <w:rFonts w:eastAsia="方正小标宋_GBK"/>
          <w:sz w:val="48"/>
          <w:szCs w:val="48"/>
        </w:rPr>
        <w:t>年度</w:t>
      </w:r>
      <w:r>
        <w:rPr>
          <w:rFonts w:hint="eastAsia" w:eastAsia="方正小标宋_GBK"/>
          <w:sz w:val="48"/>
          <w:szCs w:val="48"/>
          <w:lang w:val="en-US" w:eastAsia="zh-CN"/>
        </w:rPr>
        <w:t>湖南省植保植检站</w:t>
      </w:r>
      <w:r>
        <w:rPr>
          <w:rFonts w:eastAsia="方正小标宋_GBK"/>
          <w:sz w:val="48"/>
          <w:szCs w:val="48"/>
        </w:rPr>
        <w:t>整体支出</w:t>
      </w:r>
    </w:p>
    <w:p>
      <w:pPr>
        <w:ind w:firstLine="0" w:firstLineChars="0"/>
        <w:jc w:val="center"/>
        <w:rPr>
          <w:rFonts w:eastAsia="方正小标宋_GBK"/>
          <w:sz w:val="48"/>
          <w:szCs w:val="48"/>
        </w:rPr>
      </w:pPr>
      <w:r>
        <w:rPr>
          <w:rFonts w:eastAsia="方正小标宋_GBK"/>
          <w:sz w:val="48"/>
          <w:szCs w:val="48"/>
        </w:rPr>
        <w:t>绩效自评报告</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 w:val="44"/>
          <w:szCs w:val="44"/>
        </w:rPr>
      </w:pPr>
      <w:r>
        <w:rPr>
          <w:rFonts w:eastAsia="黑体"/>
          <w:sz w:val="44"/>
          <w:szCs w:val="44"/>
        </w:rPr>
        <w:t xml:space="preserve"> </w:t>
      </w:r>
    </w:p>
    <w:p>
      <w:pPr>
        <w:ind w:firstLine="0" w:firstLineChars="0"/>
        <w:jc w:val="center"/>
        <w:rPr>
          <w:rFonts w:eastAsia="黑体"/>
          <w:sz w:val="44"/>
          <w:szCs w:val="44"/>
        </w:rPr>
      </w:pPr>
      <w:r>
        <w:rPr>
          <w:rFonts w:eastAsia="黑体"/>
          <w:sz w:val="44"/>
          <w:szCs w:val="44"/>
        </w:rPr>
        <w:t xml:space="preserve"> </w:t>
      </w:r>
    </w:p>
    <w:p>
      <w:pPr>
        <w:ind w:firstLine="0" w:firstLineChars="0"/>
        <w:jc w:val="center"/>
        <w:rPr>
          <w:rFonts w:eastAsia="黑体"/>
          <w:sz w:val="44"/>
          <w:szCs w:val="44"/>
        </w:rPr>
      </w:pPr>
      <w:r>
        <w:rPr>
          <w:rFonts w:eastAsia="黑体"/>
          <w:sz w:val="44"/>
          <w:szCs w:val="44"/>
        </w:rPr>
        <w:t xml:space="preserve"> </w:t>
      </w:r>
    </w:p>
    <w:p>
      <w:pPr>
        <w:ind w:firstLine="0" w:firstLineChars="0"/>
        <w:jc w:val="center"/>
        <w:rPr>
          <w:rFonts w:hint="default" w:eastAsia="黑体"/>
          <w:sz w:val="36"/>
          <w:szCs w:val="36"/>
          <w:lang w:val="en-US" w:eastAsia="zh-CN"/>
        </w:rPr>
      </w:pPr>
      <w:r>
        <w:rPr>
          <w:rFonts w:eastAsia="黑体"/>
          <w:sz w:val="36"/>
          <w:szCs w:val="36"/>
        </w:rPr>
        <w:t>单位名称（盖章）：</w:t>
      </w:r>
      <w:r>
        <w:rPr>
          <w:rFonts w:hint="eastAsia" w:eastAsia="黑体"/>
          <w:sz w:val="36"/>
          <w:szCs w:val="36"/>
          <w:lang w:val="en-US" w:eastAsia="zh-CN"/>
        </w:rPr>
        <w:t>湖南省植保植检站</w:t>
      </w:r>
    </w:p>
    <w:p>
      <w:pPr>
        <w:ind w:firstLine="0" w:firstLineChars="0"/>
        <w:jc w:val="center"/>
        <w:rPr>
          <w:rFonts w:eastAsia="黑体"/>
          <w:sz w:val="36"/>
          <w:szCs w:val="36"/>
        </w:rPr>
      </w:pPr>
      <w:r>
        <w:rPr>
          <w:rFonts w:eastAsia="黑体"/>
          <w:sz w:val="36"/>
          <w:szCs w:val="36"/>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ind w:firstLine="0" w:firstLineChars="0"/>
        <w:jc w:val="center"/>
        <w:rPr>
          <w:rFonts w:eastAsia="黑体"/>
          <w:szCs w:val="32"/>
        </w:rPr>
      </w:pPr>
      <w:r>
        <w:rPr>
          <w:rFonts w:eastAsia="黑体"/>
          <w:szCs w:val="32"/>
        </w:rPr>
        <w:t xml:space="preserve"> </w:t>
      </w:r>
    </w:p>
    <w:p>
      <w:pPr>
        <w:pStyle w:val="4"/>
        <w:keepNext w:val="0"/>
        <w:keepLines w:val="0"/>
        <w:pageBreakBefore w:val="0"/>
        <w:kinsoku/>
        <w:wordWrap/>
        <w:overflowPunct/>
        <w:topLinePunct w:val="0"/>
        <w:bidi w:val="0"/>
        <w:spacing w:line="570" w:lineRule="atLeast"/>
        <w:ind w:firstLine="640"/>
        <w:jc w:val="both"/>
        <w:rPr>
          <w:sz w:val="32"/>
          <w:szCs w:val="32"/>
        </w:rPr>
      </w:pPr>
      <w:r>
        <w:rPr>
          <w:rFonts w:eastAsia="仿宋_GB2312"/>
        </w:rPr>
        <w:br w:type="page"/>
      </w:r>
      <w:r>
        <w:rPr>
          <w:sz w:val="32"/>
          <w:szCs w:val="32"/>
        </w:rPr>
        <w:t>一、基本情况</w:t>
      </w:r>
    </w:p>
    <w:p>
      <w:pPr>
        <w:keepNext w:val="0"/>
        <w:keepLines w:val="0"/>
        <w:pageBreakBefore w:val="0"/>
        <w:kinsoku/>
        <w:wordWrap/>
        <w:overflowPunct/>
        <w:topLinePunct w:val="0"/>
        <w:bidi w:val="0"/>
        <w:spacing w:line="570" w:lineRule="atLeast"/>
        <w:ind w:firstLine="643"/>
        <w:jc w:val="both"/>
        <w:rPr>
          <w:rFonts w:eastAsia="楷体_GB2312"/>
          <w:b/>
          <w:sz w:val="32"/>
          <w:szCs w:val="32"/>
        </w:rPr>
      </w:pPr>
      <w:r>
        <w:rPr>
          <w:rFonts w:eastAsia="楷体_GB2312"/>
          <w:b/>
          <w:sz w:val="32"/>
          <w:szCs w:val="32"/>
        </w:rPr>
        <w:t>（一）单位基本情况</w:t>
      </w:r>
    </w:p>
    <w:p>
      <w:pPr>
        <w:keepNext w:val="0"/>
        <w:keepLines w:val="0"/>
        <w:pageBreakBefore w:val="0"/>
        <w:widowControl/>
        <w:kinsoku/>
        <w:wordWrap/>
        <w:overflowPunct/>
        <w:topLinePunct w:val="0"/>
        <w:bidi w:val="0"/>
        <w:ind w:firstLine="640" w:firstLineChars="200"/>
        <w:jc w:val="both"/>
        <w:rPr>
          <w:rFonts w:hint="eastAsia" w:ascii="仿宋_GB2312" w:hAnsi="Times New Roman" w:eastAsia="仿宋_GB2312"/>
          <w:color w:val="000000"/>
          <w:kern w:val="0"/>
          <w:sz w:val="32"/>
          <w:szCs w:val="32"/>
        </w:rPr>
      </w:pPr>
      <w:r>
        <w:rPr>
          <w:rFonts w:hint="eastAsia" w:eastAsia="仿宋_GB2312"/>
          <w:sz w:val="32"/>
          <w:szCs w:val="32"/>
        </w:rPr>
        <w:t>湖南省植保植检站</w:t>
      </w:r>
      <w:r>
        <w:rPr>
          <w:rFonts w:hint="eastAsia" w:ascii="仿宋_GB2312" w:hAnsi="Times New Roman" w:eastAsia="仿宋_GB2312"/>
          <w:color w:val="000000"/>
          <w:kern w:val="0"/>
          <w:sz w:val="32"/>
          <w:szCs w:val="32"/>
        </w:rPr>
        <w:t>于1974年9月9日经中共湖南省委组织部（湘组</w:t>
      </w:r>
      <w:r>
        <w:rPr>
          <w:rFonts w:hint="eastAsia" w:ascii="宋体" w:hAnsi="宋体" w:eastAsia="宋体" w:cs="宋体"/>
          <w:color w:val="000000"/>
          <w:kern w:val="0"/>
          <w:sz w:val="32"/>
          <w:szCs w:val="32"/>
        </w:rPr>
        <w:t>〔</w:t>
      </w:r>
      <w:r>
        <w:rPr>
          <w:rFonts w:hint="eastAsia" w:ascii="宋体" w:hAnsi="宋体" w:cs="宋体"/>
          <w:color w:val="000000"/>
          <w:kern w:val="0"/>
          <w:sz w:val="32"/>
          <w:szCs w:val="32"/>
          <w:lang w:val="en-US" w:eastAsia="zh-CN"/>
        </w:rPr>
        <w:t>74</w:t>
      </w:r>
      <w:r>
        <w:rPr>
          <w:rFonts w:hint="eastAsia" w:ascii="宋体" w:hAnsi="宋体" w:eastAsia="宋体" w:cs="宋体"/>
          <w:color w:val="000000"/>
          <w:kern w:val="0"/>
          <w:sz w:val="32"/>
          <w:szCs w:val="32"/>
        </w:rPr>
        <w:t>〕</w:t>
      </w:r>
      <w:r>
        <w:rPr>
          <w:rFonts w:hint="eastAsia" w:ascii="仿宋_GB2312" w:hAnsi="Times New Roman" w:eastAsia="仿宋_GB2312"/>
          <w:color w:val="000000"/>
          <w:kern w:val="0"/>
          <w:sz w:val="32"/>
          <w:szCs w:val="32"/>
        </w:rPr>
        <w:t>19号）批准正式成立，现隶属于湖南省农业农村厅，为正处级全额预算参照公务员法管理事业单位（预算编码258006），主要承担：</w:t>
      </w:r>
      <w:r>
        <w:rPr>
          <w:rFonts w:hint="eastAsia" w:eastAsia="仿宋_GB2312"/>
          <w:sz w:val="32"/>
          <w:szCs w:val="32"/>
          <w:highlight w:val="none"/>
          <w:u w:val="none"/>
        </w:rPr>
        <w:t>研究拟定全省植保植检工作中长期规划，指导植保植检体系和队伍建设，组织并指导全省开展大面积农作物病虫草鼠防治工作；承担全省专业性病虫测报体系规划、建设及相关业务管理，制定病虫草鼠调查测报办法，及时做出农业有害生物发生趋势预测，发布农业有害生物预报或灾情警报；组织农作物病虫害防控与重大农业生物灾害控制；组织贯彻植物检疫法律和法规，承办检疫审批、检疫检验、签发证书、组织疫情普查，制定封锁和消灭措施；负责植保新技术、新农药、新药械的试验示范、开发及推广应用，开展农药使用等专业技术培训及监督管理。</w:t>
      </w:r>
    </w:p>
    <w:p>
      <w:pPr>
        <w:keepNext w:val="0"/>
        <w:keepLines w:val="0"/>
        <w:pageBreakBefore w:val="0"/>
        <w:kinsoku/>
        <w:wordWrap/>
        <w:overflowPunct/>
        <w:topLinePunct w:val="0"/>
        <w:bidi w:val="0"/>
        <w:spacing w:line="600" w:lineRule="exact"/>
        <w:ind w:firstLine="600"/>
        <w:jc w:val="both"/>
        <w:rPr>
          <w:rFonts w:hint="eastAsia" w:eastAsia="仿宋_GB2312"/>
          <w:sz w:val="32"/>
          <w:szCs w:val="32"/>
        </w:rPr>
      </w:pPr>
      <w:r>
        <w:rPr>
          <w:rFonts w:hint="eastAsia" w:eastAsia="仿宋_GB2312"/>
          <w:sz w:val="32"/>
          <w:szCs w:val="32"/>
        </w:rPr>
        <w:t>内设有综合科、测报科、检疫科、防治科、计财科、药械科、经保科、信息科等8个科室。</w:t>
      </w:r>
      <w:r>
        <w:rPr>
          <w:rFonts w:hint="eastAsia"/>
          <w:sz w:val="32"/>
          <w:szCs w:val="32"/>
          <w:lang w:val="en-US" w:eastAsia="zh-CN"/>
        </w:rPr>
        <w:t>截至2024年12月31日，</w:t>
      </w:r>
      <w:r>
        <w:rPr>
          <w:rFonts w:hint="eastAsia" w:ascii="仿宋_GB2312" w:hAnsi="Times New Roman" w:eastAsia="仿宋_GB2312"/>
          <w:color w:val="000000"/>
          <w:kern w:val="0"/>
          <w:sz w:val="32"/>
          <w:szCs w:val="32"/>
        </w:rPr>
        <w:t>人员编制为40名，编制内实有在职人员35人、退休人员2</w:t>
      </w:r>
      <w:r>
        <w:rPr>
          <w:rFonts w:hint="eastAsia" w:ascii="仿宋_GB2312" w:hAnsi="Times New Roman" w:eastAsia="仿宋_GB2312"/>
          <w:color w:val="000000"/>
          <w:kern w:val="0"/>
          <w:sz w:val="32"/>
          <w:szCs w:val="32"/>
          <w:lang w:val="en-US" w:eastAsia="zh-CN"/>
        </w:rPr>
        <w:t>0</w:t>
      </w:r>
      <w:r>
        <w:rPr>
          <w:rFonts w:hint="eastAsia" w:ascii="仿宋_GB2312" w:hAnsi="Times New Roman" w:eastAsia="仿宋_GB2312"/>
          <w:color w:val="000000"/>
          <w:kern w:val="0"/>
          <w:sz w:val="32"/>
          <w:szCs w:val="32"/>
        </w:rPr>
        <w:t>人。</w:t>
      </w:r>
    </w:p>
    <w:p>
      <w:pPr>
        <w:keepNext w:val="0"/>
        <w:keepLines w:val="0"/>
        <w:pageBreakBefore w:val="0"/>
        <w:kinsoku/>
        <w:wordWrap/>
        <w:overflowPunct/>
        <w:topLinePunct w:val="0"/>
        <w:bidi w:val="0"/>
        <w:spacing w:line="570" w:lineRule="atLeast"/>
        <w:ind w:firstLine="643"/>
        <w:jc w:val="both"/>
        <w:rPr>
          <w:rFonts w:eastAsia="楷体_GB2312"/>
          <w:b/>
          <w:sz w:val="32"/>
          <w:szCs w:val="32"/>
        </w:rPr>
      </w:pPr>
      <w:r>
        <w:rPr>
          <w:rFonts w:eastAsia="楷体_GB2312"/>
          <w:b/>
          <w:sz w:val="32"/>
          <w:szCs w:val="32"/>
        </w:rPr>
        <w:t>（二）单位年度整体支出绩效目标，省级专项资金绩效目标、其他项目支出（除省级专项资金以外）绩效目标</w:t>
      </w:r>
    </w:p>
    <w:p>
      <w:pPr>
        <w:keepNext w:val="0"/>
        <w:keepLines w:val="0"/>
        <w:pageBreakBefore w:val="0"/>
        <w:kinsoku/>
        <w:wordWrap/>
        <w:overflowPunct/>
        <w:topLinePunct w:val="0"/>
        <w:bidi w:val="0"/>
        <w:spacing w:line="560" w:lineRule="atLeast"/>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度整体支出绩效目标为通过构建湖南省“互联网+植保”信息化平台，培育打造新时代植保专业技能团队、更新换代植保专业设施设备、创新植保交流活动开展，特别是针对植保各项重点工作内容采取有效促进手段和措施，确保各项植保工作任务圆满完成以及植保政策得到贯彻执行，从而全面提升湖南植保防灾减灾能力，有效控制病虫危害损失，实现农药使用量负增长，为全省农业生产提供服务与保障。</w:t>
      </w:r>
    </w:p>
    <w:p>
      <w:pPr>
        <w:keepNext w:val="0"/>
        <w:keepLines w:val="0"/>
        <w:pageBreakBefore w:val="0"/>
        <w:kinsoku/>
        <w:wordWrap/>
        <w:overflowPunct/>
        <w:topLinePunct w:val="0"/>
        <w:bidi w:val="0"/>
        <w:spacing w:line="600" w:lineRule="exact"/>
        <w:ind w:firstLine="600"/>
        <w:jc w:val="both"/>
        <w:rPr>
          <w:rFonts w:hint="eastAsia" w:eastAsia="仿宋_GB2312"/>
          <w:sz w:val="32"/>
          <w:szCs w:val="32"/>
          <w:lang w:val="en-US" w:eastAsia="zh-CN"/>
        </w:rPr>
      </w:pPr>
      <w:r>
        <w:rPr>
          <w:rFonts w:hint="default" w:eastAsia="仿宋_GB2312"/>
          <w:sz w:val="32"/>
          <w:szCs w:val="32"/>
          <w:lang w:val="en-US" w:eastAsia="zh-CN"/>
        </w:rPr>
        <w:t>省级专项资金绩效目标</w:t>
      </w:r>
      <w:r>
        <w:rPr>
          <w:rFonts w:hint="eastAsia" w:eastAsia="仿宋_GB2312"/>
          <w:sz w:val="32"/>
          <w:szCs w:val="32"/>
          <w:lang w:val="en-US" w:eastAsia="zh-CN"/>
        </w:rPr>
        <w:t>是通过植保专业技术培训，提升全省植保专业技术人员的执业能力和水平；完成2024年早稻集中育秧督导工作任务，实现全省化学农药使用量的减少目标达成，更新换代植保专业设备设施进行，提升工作效率。实现农作物病虫害远程监测、诊断，及时发布病虫害防控信息，及时组织病虫害防控与防治。全面提升湖南植保防灾减灾能力，有效控制病虫危害损失，为全省农业生产提供服务和保障。</w:t>
      </w:r>
    </w:p>
    <w:p>
      <w:pPr>
        <w:keepNext w:val="0"/>
        <w:keepLines w:val="0"/>
        <w:pageBreakBefore w:val="0"/>
        <w:kinsoku/>
        <w:wordWrap/>
        <w:overflowPunct/>
        <w:topLinePunct w:val="0"/>
        <w:bidi w:val="0"/>
        <w:spacing w:line="600" w:lineRule="exact"/>
        <w:ind w:firstLine="600"/>
        <w:jc w:val="both"/>
        <w:rPr>
          <w:rFonts w:hint="default" w:eastAsia="仿宋_GB2312"/>
          <w:sz w:val="32"/>
          <w:szCs w:val="32"/>
          <w:lang w:val="en-US" w:eastAsia="zh-CN"/>
        </w:rPr>
      </w:pPr>
      <w:r>
        <w:rPr>
          <w:rFonts w:hint="default" w:eastAsia="仿宋_GB2312"/>
          <w:sz w:val="32"/>
          <w:szCs w:val="32"/>
          <w:lang w:val="en-US" w:eastAsia="zh-CN"/>
        </w:rPr>
        <w:t>其他项目支出（除省级专项资金以外）绩效目标</w:t>
      </w:r>
      <w:r>
        <w:rPr>
          <w:rFonts w:hint="eastAsia" w:eastAsia="仿宋_GB2312"/>
          <w:sz w:val="32"/>
          <w:szCs w:val="32"/>
          <w:lang w:val="en-US" w:eastAsia="zh-CN"/>
        </w:rPr>
        <w:t>是在宁乡市、湘乡市、祁东县、洞口县、芷江县、中方县、龙山县、桑植县、鼎城区、临湘市、浏阳市11个县（市区）建设县级（重点）监测点11个，乡镇监测点39个，实现病虫监测工作自动化、信息化。</w:t>
      </w:r>
    </w:p>
    <w:p>
      <w:pPr>
        <w:pStyle w:val="23"/>
        <w:keepNext w:val="0"/>
        <w:keepLines w:val="0"/>
        <w:pageBreakBefore w:val="0"/>
        <w:kinsoku/>
        <w:wordWrap/>
        <w:overflowPunct/>
        <w:topLinePunct w:val="0"/>
        <w:bidi w:val="0"/>
        <w:snapToGrid w:val="0"/>
        <w:spacing w:line="570" w:lineRule="atLeast"/>
        <w:ind w:firstLine="640"/>
        <w:jc w:val="both"/>
        <w:rPr>
          <w:rFonts w:ascii="Times New Roman" w:hAnsi="Times New Roman" w:eastAsia="黑体"/>
          <w:sz w:val="32"/>
          <w:szCs w:val="32"/>
        </w:rPr>
      </w:pPr>
      <w:r>
        <w:rPr>
          <w:rFonts w:ascii="Times New Roman" w:hAnsi="Times New Roman" w:eastAsia="黑体"/>
          <w:sz w:val="32"/>
          <w:szCs w:val="32"/>
        </w:rPr>
        <w:t>二、一般公共预算支出情况</w:t>
      </w:r>
    </w:p>
    <w:p>
      <w:pPr>
        <w:pStyle w:val="23"/>
        <w:keepNext w:val="0"/>
        <w:keepLines w:val="0"/>
        <w:pageBreakBefore w:val="0"/>
        <w:kinsoku/>
        <w:wordWrap/>
        <w:overflowPunct/>
        <w:topLinePunct w:val="0"/>
        <w:bidi w:val="0"/>
        <w:snapToGrid w:val="0"/>
        <w:spacing w:line="570" w:lineRule="atLeast"/>
        <w:ind w:firstLine="643"/>
        <w:jc w:val="both"/>
        <w:rPr>
          <w:rFonts w:ascii="Times New Roman" w:hAnsi="Times New Roman" w:eastAsia="楷体_GB2312"/>
          <w:b/>
          <w:sz w:val="32"/>
          <w:szCs w:val="32"/>
        </w:rPr>
      </w:pPr>
      <w:r>
        <w:rPr>
          <w:rFonts w:ascii="Times New Roman" w:hAnsi="Times New Roman" w:eastAsia="楷体_GB2312"/>
          <w:b/>
          <w:sz w:val="32"/>
          <w:szCs w:val="32"/>
        </w:rPr>
        <w:t>（一）基本支出情况</w:t>
      </w:r>
    </w:p>
    <w:p>
      <w:pPr>
        <w:keepNext w:val="0"/>
        <w:keepLines w:val="0"/>
        <w:pageBreakBefore w:val="0"/>
        <w:kinsoku/>
        <w:wordWrap/>
        <w:overflowPunct/>
        <w:topLinePunct w:val="0"/>
        <w:bidi w:val="0"/>
        <w:spacing w:line="560" w:lineRule="atLeast"/>
        <w:ind w:firstLine="64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年基本支出</w:t>
      </w:r>
      <w:r>
        <w:rPr>
          <w:rFonts w:hint="eastAsia" w:ascii="仿宋_GB2312" w:hAnsi="仿宋_GB2312" w:cs="仿宋_GB2312"/>
          <w:sz w:val="32"/>
          <w:szCs w:val="32"/>
          <w:lang w:val="en-US" w:eastAsia="zh-CN"/>
        </w:rPr>
        <w:t>1054.26</w:t>
      </w:r>
      <w:r>
        <w:rPr>
          <w:rFonts w:hint="eastAsia" w:ascii="仿宋_GB2312" w:hAnsi="仿宋_GB2312" w:eastAsia="仿宋_GB2312" w:cs="仿宋_GB2312"/>
          <w:sz w:val="32"/>
          <w:szCs w:val="32"/>
          <w:lang w:val="en-US" w:eastAsia="zh-CN"/>
        </w:rPr>
        <w:t>万元，其中</w:t>
      </w:r>
      <w:r>
        <w:rPr>
          <w:rFonts w:hint="eastAsia" w:ascii="仿宋_GB2312" w:hAnsi="仿宋_GB2312" w:eastAsia="仿宋_GB2312" w:cs="仿宋_GB2312"/>
          <w:sz w:val="32"/>
          <w:szCs w:val="32"/>
        </w:rPr>
        <w:t>人员经费</w:t>
      </w:r>
      <w:r>
        <w:rPr>
          <w:rFonts w:hint="eastAsia" w:ascii="仿宋_GB2312" w:hAnsi="仿宋_GB2312" w:cs="仿宋_GB2312"/>
          <w:sz w:val="32"/>
          <w:szCs w:val="32"/>
          <w:lang w:val="en-US" w:eastAsia="zh-CN"/>
        </w:rPr>
        <w:t>943.22</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89.</w:t>
      </w:r>
      <w:r>
        <w:rPr>
          <w:rFonts w:hint="eastAsia" w:ascii="仿宋_GB2312" w:hAnsi="仿宋_GB2312" w:cs="仿宋_GB2312"/>
          <w:sz w:val="32"/>
          <w:szCs w:val="32"/>
          <w:lang w:val="en-US" w:eastAsia="zh-CN"/>
        </w:rPr>
        <w:t>47</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机关事业单位基本养老保险缴费、住房公积金、公务员医疗补助缴费、职工基本医疗保险缴费、退休费、奖励金等</w:t>
      </w:r>
      <w:r>
        <w:rPr>
          <w:rFonts w:hint="eastAsia" w:ascii="仿宋_GB2312" w:hAnsi="仿宋_GB2312" w:eastAsia="仿宋_GB2312" w:cs="仿宋_GB2312"/>
          <w:sz w:val="32"/>
          <w:szCs w:val="32"/>
          <w:lang w:eastAsia="zh-CN"/>
        </w:rPr>
        <w:t>。</w:t>
      </w:r>
    </w:p>
    <w:p>
      <w:pPr>
        <w:keepNext w:val="0"/>
        <w:keepLines w:val="0"/>
        <w:pageBreakBefore w:val="0"/>
        <w:kinsoku/>
        <w:wordWrap/>
        <w:overflowPunct/>
        <w:topLinePunct w:val="0"/>
        <w:bidi w:val="0"/>
        <w:spacing w:line="560" w:lineRule="atLeast"/>
        <w:ind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公用经费</w:t>
      </w:r>
      <w:r>
        <w:rPr>
          <w:rFonts w:hint="default" w:ascii="仿宋_GB2312" w:hAnsi="仿宋_GB2312" w:eastAsia="仿宋_GB2312" w:cs="仿宋_GB2312"/>
          <w:sz w:val="32"/>
          <w:szCs w:val="32"/>
        </w:rPr>
        <w:t>1</w:t>
      </w:r>
      <w:r>
        <w:rPr>
          <w:rFonts w:hint="eastAsia" w:ascii="仿宋_GB2312" w:hAnsi="仿宋_GB2312" w:cs="仿宋_GB2312"/>
          <w:sz w:val="32"/>
          <w:szCs w:val="32"/>
          <w:lang w:val="en-US" w:eastAsia="zh-CN"/>
        </w:rPr>
        <w:t>11.04</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10.</w:t>
      </w:r>
      <w:r>
        <w:rPr>
          <w:rFonts w:hint="eastAsia" w:ascii="仿宋_GB2312" w:hAnsi="仿宋_GB2312" w:cs="仿宋_GB2312"/>
          <w:sz w:val="32"/>
          <w:szCs w:val="32"/>
          <w:lang w:val="en-US" w:eastAsia="zh-CN"/>
        </w:rPr>
        <w:t>53</w:t>
      </w:r>
      <w:r>
        <w:rPr>
          <w:rFonts w:hint="eastAsia" w:ascii="仿宋_GB2312" w:hAnsi="仿宋_GB2312" w:eastAsia="仿宋_GB2312" w:cs="仿宋_GB2312"/>
          <w:sz w:val="32"/>
          <w:szCs w:val="32"/>
        </w:rPr>
        <w:t>%，主要包括办公费、印刷费</w:t>
      </w:r>
      <w:r>
        <w:rPr>
          <w:rFonts w:hint="eastAsia" w:ascii="仿宋_GB2312" w:hAnsi="仿宋_GB2312" w:eastAsia="仿宋_GB2312" w:cs="仿宋_GB2312"/>
          <w:sz w:val="32"/>
          <w:szCs w:val="32"/>
          <w:lang w:val="en-US" w:eastAsia="zh-CN"/>
        </w:rPr>
        <w:t>、邮电费、物业管理费、会议费、工会经费、福利费、公务用车运行维护费、其他交通费、其他商品和服务支出等</w:t>
      </w:r>
      <w:r>
        <w:rPr>
          <w:rFonts w:hint="eastAsia" w:ascii="仿宋_GB2312" w:hAnsi="仿宋_GB2312" w:eastAsia="仿宋_GB2312" w:cs="仿宋_GB2312"/>
          <w:sz w:val="32"/>
          <w:szCs w:val="32"/>
        </w:rPr>
        <w:t>。</w:t>
      </w:r>
    </w:p>
    <w:p>
      <w:pPr>
        <w:pStyle w:val="17"/>
        <w:keepNext w:val="0"/>
        <w:keepLines w:val="0"/>
        <w:pageBreakBefore w:val="0"/>
        <w:widowControl w:val="0"/>
        <w:kinsoku/>
        <w:wordWrap/>
        <w:overflowPunct/>
        <w:topLinePunct w:val="0"/>
        <w:bidi w:val="0"/>
        <w:snapToGrid/>
        <w:spacing w:line="600" w:lineRule="exact"/>
        <w:ind w:firstLine="800" w:firstLineChars="25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“三公”经费支出预算为</w:t>
      </w:r>
      <w:r>
        <w:rPr>
          <w:rFonts w:hint="eastAsia" w:ascii="Times New Roman" w:hAnsi="Times New Roman" w:eastAsia="仿宋_GB2312"/>
          <w:sz w:val="32"/>
          <w:szCs w:val="32"/>
          <w:lang w:val="en-US" w:eastAsia="zh-CN"/>
        </w:rPr>
        <w:t>5.50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5.37</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97.64</w:t>
      </w:r>
      <w:r>
        <w:rPr>
          <w:rFonts w:hint="eastAsia" w:ascii="Times New Roman" w:hAnsi="Times New Roman" w:eastAsia="仿宋_GB2312"/>
          <w:sz w:val="32"/>
          <w:szCs w:val="32"/>
        </w:rPr>
        <w:t>%，其中：</w:t>
      </w:r>
    </w:p>
    <w:p>
      <w:pPr>
        <w:pStyle w:val="17"/>
        <w:keepNext w:val="0"/>
        <w:keepLines w:val="0"/>
        <w:pageBreakBefore w:val="0"/>
        <w:widowControl w:val="0"/>
        <w:kinsoku/>
        <w:wordWrap/>
        <w:overflowPunct/>
        <w:topLinePunct w:val="0"/>
        <w:bidi w:val="0"/>
        <w:snapToGrid/>
        <w:spacing w:line="600" w:lineRule="exact"/>
        <w:ind w:firstLine="800" w:firstLineChars="250"/>
        <w:jc w:val="both"/>
        <w:textAlignment w:val="auto"/>
        <w:rPr>
          <w:rFonts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0.50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0.37</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74.00</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eastAsia="zh-CN"/>
        </w:rPr>
        <w:t>单位厉行节约，压减三公经费</w:t>
      </w:r>
      <w:r>
        <w:rPr>
          <w:rFonts w:hint="eastAsia" w:ascii="Times New Roman" w:hAnsi="Times New Roman" w:eastAsia="仿宋_GB2312"/>
          <w:sz w:val="32"/>
          <w:szCs w:val="32"/>
        </w:rPr>
        <w:t>。</w:t>
      </w:r>
    </w:p>
    <w:p>
      <w:pPr>
        <w:pStyle w:val="17"/>
        <w:keepNext w:val="0"/>
        <w:keepLines w:val="0"/>
        <w:pageBreakBefore w:val="0"/>
        <w:widowControl w:val="0"/>
        <w:kinsoku/>
        <w:wordWrap/>
        <w:overflowPunct/>
        <w:topLinePunct w:val="0"/>
        <w:bidi w:val="0"/>
        <w:snapToGrid/>
        <w:spacing w:line="600" w:lineRule="exact"/>
        <w:ind w:firstLine="800" w:firstLineChars="250"/>
        <w:jc w:val="both"/>
        <w:textAlignment w:val="auto"/>
        <w:rPr>
          <w:rFonts w:ascii="Times New Roman" w:hAnsi="Times New Roman" w:eastAsia="楷体_GB2312"/>
          <w:b/>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5.00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5.00</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100.00</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等于</w:t>
      </w:r>
      <w:r>
        <w:rPr>
          <w:rFonts w:hint="eastAsia" w:ascii="Times New Roman" w:hAnsi="Times New Roman" w:eastAsia="仿宋_GB2312"/>
          <w:sz w:val="32"/>
          <w:szCs w:val="32"/>
        </w:rPr>
        <w:t>预算数</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资金利用率高。</w:t>
      </w:r>
    </w:p>
    <w:p>
      <w:pPr>
        <w:pStyle w:val="23"/>
        <w:keepNext w:val="0"/>
        <w:keepLines w:val="0"/>
        <w:pageBreakBefore w:val="0"/>
        <w:kinsoku/>
        <w:wordWrap/>
        <w:overflowPunct/>
        <w:topLinePunct w:val="0"/>
        <w:bidi w:val="0"/>
        <w:snapToGrid w:val="0"/>
        <w:spacing w:line="570" w:lineRule="atLeast"/>
        <w:ind w:firstLine="643"/>
        <w:jc w:val="both"/>
        <w:rPr>
          <w:rFonts w:ascii="Times New Roman" w:hAnsi="Times New Roman" w:eastAsia="楷体_GB2312"/>
          <w:b/>
          <w:sz w:val="32"/>
          <w:szCs w:val="32"/>
        </w:rPr>
      </w:pPr>
      <w:r>
        <w:rPr>
          <w:rFonts w:ascii="Times New Roman" w:hAnsi="Times New Roman" w:eastAsia="楷体_GB2312"/>
          <w:b/>
          <w:sz w:val="32"/>
          <w:szCs w:val="32"/>
        </w:rPr>
        <w:t>（二）项目支出情况</w:t>
      </w:r>
    </w:p>
    <w:p>
      <w:pPr>
        <w:pStyle w:val="4"/>
        <w:keepNext w:val="0"/>
        <w:keepLines w:val="0"/>
        <w:pageBreakBefore w:val="0"/>
        <w:kinsoku/>
        <w:wordWrap/>
        <w:overflowPunct/>
        <w:topLinePunct w:val="0"/>
        <w:bidi w:val="0"/>
        <w:spacing w:line="560" w:lineRule="atLeast"/>
        <w:ind w:firstLine="64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省级专项资金全年预算237.76万元，全年执行数为170.78万元，执行率71.83%。</w:t>
      </w:r>
    </w:p>
    <w:p>
      <w:pPr>
        <w:pStyle w:val="4"/>
        <w:keepNext w:val="0"/>
        <w:keepLines w:val="0"/>
        <w:pageBreakBefore w:val="0"/>
        <w:kinsoku/>
        <w:wordWrap/>
        <w:overflowPunct/>
        <w:topLinePunct w:val="0"/>
        <w:bidi w:val="0"/>
        <w:spacing w:line="560" w:lineRule="atLeast"/>
        <w:ind w:firstLine="64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（1）现代农业农村发展专项-植保专项培训经费支出预算70.00万元，支出决算50.54万元，资金用于开展植保培训，进而培育打造新时代植保专业技术团队，提升全省植保专业技术人员的执业能力和水平；</w:t>
      </w:r>
    </w:p>
    <w:p>
      <w:pPr>
        <w:pStyle w:val="4"/>
        <w:keepNext w:val="0"/>
        <w:keepLines w:val="0"/>
        <w:pageBreakBefore w:val="0"/>
        <w:kinsoku/>
        <w:wordWrap/>
        <w:overflowPunct/>
        <w:topLinePunct w:val="0"/>
        <w:bidi w:val="0"/>
        <w:spacing w:line="560" w:lineRule="atLeast"/>
        <w:ind w:firstLine="64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（2）现代农业发展-种植产业发展-春耕生产工作经费-1(2023结转)支出预算9.00万元，支出决算1.87万元，资金用于完成早稻集中育秧督导工作任务，确保春耕生产达到预期目标；</w:t>
      </w:r>
    </w:p>
    <w:p>
      <w:pPr>
        <w:pStyle w:val="4"/>
        <w:keepNext w:val="0"/>
        <w:keepLines w:val="0"/>
        <w:pageBreakBefore w:val="0"/>
        <w:kinsoku/>
        <w:wordWrap/>
        <w:overflowPunct/>
        <w:topLinePunct w:val="0"/>
        <w:bidi w:val="0"/>
        <w:spacing w:line="560" w:lineRule="atLeast"/>
        <w:ind w:firstLine="64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现代农业发展-种植产业发展-农药减量工作经费-1-1(2023结转)支出预算23.87万元，支出决算15.37万元，资金用于推广绿色防控技术、精心专业化统防统治开展等项工作，实现全省化学农药使用量的减少目标达成；</w:t>
      </w:r>
    </w:p>
    <w:p>
      <w:pPr>
        <w:pStyle w:val="4"/>
        <w:keepNext w:val="0"/>
        <w:keepLines w:val="0"/>
        <w:pageBreakBefore w:val="0"/>
        <w:kinsoku/>
        <w:wordWrap/>
        <w:overflowPunct/>
        <w:topLinePunct w:val="0"/>
        <w:bidi w:val="0"/>
        <w:spacing w:line="560" w:lineRule="atLeast"/>
        <w:ind w:firstLine="64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现代农业农村发展专项-植保重点工作推进经费支出预算52.60万元，支出决算36.57万元，资金用于各项植保重点工作，通过调研、指导、督查等工作，确保各项植保工作任务圆满完成以及植保政策得到贯彻执行，全面提升湖南植保防灾减灾能力，有效控制病虫危害损失，为全省农业生产提供服务于保障；</w:t>
      </w:r>
    </w:p>
    <w:p>
      <w:pPr>
        <w:pStyle w:val="4"/>
        <w:keepNext w:val="0"/>
        <w:keepLines w:val="0"/>
        <w:pageBreakBefore w:val="0"/>
        <w:kinsoku/>
        <w:wordWrap/>
        <w:overflowPunct/>
        <w:topLinePunct w:val="0"/>
        <w:bidi w:val="0"/>
        <w:spacing w:line="560" w:lineRule="atLeast"/>
        <w:ind w:firstLine="64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现代农业发展-植保信息化建设(2023结转)支出预算6.93万元，支出决算6.93万元，资金用于维护湖南省“互联网＋植保”信息化平台、实现农作物病虫害远程监测、诊断，及时发布病虫害防控信息，及时组织病虫害防控与防治，从而提高全省病虫害防控能力与水平；</w:t>
      </w:r>
    </w:p>
    <w:p>
      <w:pPr>
        <w:pStyle w:val="4"/>
        <w:keepNext w:val="0"/>
        <w:keepLines w:val="0"/>
        <w:pageBreakBefore w:val="0"/>
        <w:kinsoku/>
        <w:wordWrap/>
        <w:overflowPunct/>
        <w:topLinePunct w:val="0"/>
        <w:bidi w:val="0"/>
        <w:spacing w:line="560" w:lineRule="atLeast"/>
        <w:ind w:firstLine="64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（6）现代农业发展-植保创新活动经费(2023结转)支出预算9.58万元，支出决算6.94万元，资金用于开展植保创新活动，提升全站人员植保专业知识等；</w:t>
      </w:r>
    </w:p>
    <w:p>
      <w:pPr>
        <w:pStyle w:val="4"/>
        <w:keepNext w:val="0"/>
        <w:keepLines w:val="0"/>
        <w:pageBreakBefore w:val="0"/>
        <w:kinsoku/>
        <w:wordWrap/>
        <w:overflowPunct/>
        <w:topLinePunct w:val="0"/>
        <w:bidi w:val="0"/>
        <w:spacing w:line="560" w:lineRule="atLeast"/>
        <w:ind w:firstLine="64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（7）现代农业农村发展专项-植保设备购置经费支出预算13.00万元，支出决算12.99万元，资金用于更新植保专业设备设施，提升工作效率；</w:t>
      </w:r>
    </w:p>
    <w:p>
      <w:pPr>
        <w:pStyle w:val="4"/>
        <w:keepNext w:val="0"/>
        <w:keepLines w:val="0"/>
        <w:pageBreakBefore w:val="0"/>
        <w:kinsoku/>
        <w:wordWrap/>
        <w:overflowPunct/>
        <w:topLinePunct w:val="0"/>
        <w:bidi w:val="0"/>
        <w:spacing w:line="560" w:lineRule="atLeast"/>
        <w:ind w:firstLine="64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（8）现代农业农村发展专项-春耕生产工作经费支出预算12.00万元，支出决算2.63万元，资金用于完成早稻集中育秧督导工作任务，确保春耕生产达到预期目标；</w:t>
      </w:r>
    </w:p>
    <w:p>
      <w:pPr>
        <w:pStyle w:val="4"/>
        <w:keepNext w:val="0"/>
        <w:keepLines w:val="0"/>
        <w:pageBreakBefore w:val="0"/>
        <w:kinsoku/>
        <w:wordWrap/>
        <w:overflowPunct/>
        <w:topLinePunct w:val="0"/>
        <w:bidi w:val="0"/>
        <w:spacing w:line="560" w:lineRule="atLeast"/>
        <w:ind w:firstLine="64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9）现代农业农村发展专项-植保信息化建设支出预算20.00万元，支出决算18.56万元，资金用于维护湖南省“互联网＋植保”信息化平台、实现农作物病虫害远程监测、诊断，及时发布病虫害防控信息，及时组织病虫害防控与防治，从而提高全省病虫害防控能力与水平；</w:t>
      </w:r>
    </w:p>
    <w:p>
      <w:pPr>
        <w:pStyle w:val="4"/>
        <w:keepNext w:val="0"/>
        <w:keepLines w:val="0"/>
        <w:pageBreakBefore w:val="0"/>
        <w:kinsoku/>
        <w:wordWrap/>
        <w:overflowPunct/>
        <w:topLinePunct w:val="0"/>
        <w:bidi w:val="0"/>
        <w:spacing w:line="560" w:lineRule="atLeast"/>
        <w:ind w:firstLine="64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（10）现代农业发展－检疫执法着装费支出预算0.40万元，支出决算0.00万元，资金用于为在编在岗检疫执法人员配置执法制服，使我省植物检疫执法实现标准化；</w:t>
      </w:r>
    </w:p>
    <w:p>
      <w:pPr>
        <w:pStyle w:val="4"/>
        <w:keepNext w:val="0"/>
        <w:keepLines w:val="0"/>
        <w:pageBreakBefore w:val="0"/>
        <w:kinsoku/>
        <w:wordWrap/>
        <w:overflowPunct/>
        <w:topLinePunct w:val="0"/>
        <w:bidi w:val="0"/>
        <w:spacing w:line="560" w:lineRule="atLeast"/>
        <w:ind w:firstLine="64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11）现代农业发展-植保重点工作推进经费(2023结转)支出预算16.04万元，支出决算16.04万元，资金用于各项植保重点工作，通过调研、指导、督查等工作，确保各项植保工作任务圆满完成以及植保政策得到贯彻执行，全面提升湖南植保防灾减灾能力，有效控制病虫危害损失，为全省农业生产提供服务于保障；</w:t>
      </w:r>
    </w:p>
    <w:p>
      <w:pPr>
        <w:pStyle w:val="4"/>
        <w:keepNext w:val="0"/>
        <w:keepLines w:val="0"/>
        <w:pageBreakBefore w:val="0"/>
        <w:kinsoku/>
        <w:wordWrap/>
        <w:overflowPunct/>
        <w:topLinePunct w:val="0"/>
        <w:bidi w:val="0"/>
        <w:spacing w:line="560" w:lineRule="atLeast"/>
        <w:ind w:firstLine="64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（12）现代农业农村发展专项-农药减量工作经费支出预算4.00万元，支出决算2.00万元，资金用于推广绿色防控技术、精心专业化统防统治开展等项工作，实现全省化学农药使用量的减少目标达成；</w:t>
      </w:r>
    </w:p>
    <w:p>
      <w:pPr>
        <w:pStyle w:val="4"/>
        <w:keepNext w:val="0"/>
        <w:keepLines w:val="0"/>
        <w:pageBreakBefore w:val="0"/>
        <w:kinsoku/>
        <w:wordWrap/>
        <w:overflowPunct/>
        <w:topLinePunct w:val="0"/>
        <w:bidi w:val="0"/>
        <w:spacing w:line="560" w:lineRule="atLeast"/>
        <w:ind w:firstLine="64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（13）现代农业发展-植保设备购置经费(2023结转)支出预算0.34万元，支出决算0.34万元，资金用于更新植保专业设备设施，提升工作效率。</w:t>
      </w:r>
    </w:p>
    <w:p>
      <w:pPr>
        <w:keepNext w:val="0"/>
        <w:keepLines w:val="0"/>
        <w:pageBreakBefore w:val="0"/>
        <w:kinsoku/>
        <w:wordWrap/>
        <w:overflowPunct/>
        <w:topLinePunct w:val="0"/>
        <w:bidi w:val="0"/>
        <w:spacing w:line="600" w:lineRule="exact"/>
        <w:ind w:firstLine="600"/>
        <w:jc w:val="both"/>
        <w:rPr>
          <w:rFonts w:hint="default" w:eastAsia="仿宋_GB2312"/>
          <w:sz w:val="32"/>
          <w:szCs w:val="32"/>
          <w:lang w:val="en-US" w:eastAsia="zh-CN"/>
        </w:rPr>
      </w:pPr>
      <w:r>
        <w:rPr>
          <w:rFonts w:hint="default" w:eastAsia="仿宋_GB2312"/>
          <w:sz w:val="32"/>
          <w:szCs w:val="32"/>
          <w:lang w:val="en-US" w:eastAsia="zh-CN"/>
        </w:rPr>
        <w:t>除省级专项资金以外的其他项目</w:t>
      </w:r>
      <w:r>
        <w:rPr>
          <w:rFonts w:hint="eastAsia" w:eastAsia="仿宋_GB2312"/>
          <w:sz w:val="32"/>
          <w:szCs w:val="32"/>
          <w:lang w:val="en-US" w:eastAsia="zh-CN"/>
        </w:rPr>
        <w:t>全年预算数3638.20万元，全年执行数1191.30万元，执行率为32.74%。其中2023年藏粮于地藏粮于技专项（现代种业提升工程和动植物保护能力提升工程方向）(2023结转)支出预算1730.20万元，支出决算1183.50万元，该项目资金用于建设2023年度全国农作物病虫疫情监测湖南分中心（省级）田间监测点，该项目采购的工程物资于2024年底到达安装点，完成了初步验收，已支付80%的合同款，根据合同约定，完成最终验收程序后，支出剩余20%的合同款。农业专项（种子工程和动植物保护能力提升方向）2024年中央预算内基建资金支出预算1908.00万元，支出决算7.80万元，该项目资金用于建设2024年度全国农作物病虫疫情监测湖南分中心（省级）田间监测点，项目资金于项目建设期第一年（2024年）全额下达，但是按照项目进度批复，该</w:t>
      </w:r>
      <w:r>
        <w:rPr>
          <w:rFonts w:hint="default" w:eastAsia="仿宋_GB2312"/>
          <w:sz w:val="32"/>
          <w:szCs w:val="32"/>
          <w:lang w:val="en-US" w:eastAsia="zh-CN"/>
        </w:rPr>
        <w:t>建设期为二年，第一年为项目筹备期，费用发生较少，项目建设费用支出主要发生在第二年</w:t>
      </w:r>
      <w:r>
        <w:rPr>
          <w:rFonts w:hint="eastAsia" w:eastAsia="仿宋_GB2312"/>
          <w:sz w:val="32"/>
          <w:szCs w:val="32"/>
          <w:lang w:val="en-US" w:eastAsia="zh-CN"/>
        </w:rPr>
        <w:t>，因此导致总体支出率较低。</w:t>
      </w:r>
    </w:p>
    <w:p>
      <w:pPr>
        <w:pStyle w:val="23"/>
        <w:keepNext w:val="0"/>
        <w:keepLines w:val="0"/>
        <w:pageBreakBefore w:val="0"/>
        <w:kinsoku/>
        <w:wordWrap/>
        <w:overflowPunct/>
        <w:topLinePunct w:val="0"/>
        <w:bidi w:val="0"/>
        <w:snapToGrid w:val="0"/>
        <w:spacing w:line="570" w:lineRule="atLeast"/>
        <w:ind w:firstLine="640"/>
        <w:jc w:val="both"/>
        <w:rPr>
          <w:rFonts w:ascii="Times New Roman" w:hAnsi="Times New Roman" w:eastAsia="黑体"/>
          <w:sz w:val="32"/>
          <w:szCs w:val="32"/>
        </w:rPr>
      </w:pPr>
      <w:r>
        <w:rPr>
          <w:rFonts w:ascii="Times New Roman" w:hAnsi="Times New Roman" w:eastAsia="黑体"/>
          <w:sz w:val="32"/>
          <w:szCs w:val="32"/>
        </w:rPr>
        <w:t>三、政府性基金预算支出情况</w:t>
      </w:r>
    </w:p>
    <w:p>
      <w:pPr>
        <w:pStyle w:val="23"/>
        <w:keepNext w:val="0"/>
        <w:keepLines w:val="0"/>
        <w:pageBreakBefore w:val="0"/>
        <w:kinsoku/>
        <w:wordWrap/>
        <w:overflowPunct/>
        <w:topLinePunct w:val="0"/>
        <w:bidi w:val="0"/>
        <w:snapToGrid w:val="0"/>
        <w:spacing w:line="570" w:lineRule="atLeas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本单位无</w:t>
      </w:r>
      <w:r>
        <w:rPr>
          <w:rFonts w:hint="eastAsia" w:ascii="仿宋_GB2312" w:hAnsi="仿宋_GB2312" w:eastAsia="仿宋_GB2312" w:cs="仿宋_GB2312"/>
          <w:b w:val="0"/>
          <w:bCs w:val="0"/>
          <w:sz w:val="32"/>
          <w:szCs w:val="32"/>
        </w:rPr>
        <w:t>政府性基金预算</w:t>
      </w:r>
    </w:p>
    <w:p>
      <w:pPr>
        <w:pStyle w:val="23"/>
        <w:keepNext w:val="0"/>
        <w:keepLines w:val="0"/>
        <w:pageBreakBefore w:val="0"/>
        <w:kinsoku/>
        <w:wordWrap/>
        <w:overflowPunct/>
        <w:topLinePunct w:val="0"/>
        <w:bidi w:val="0"/>
        <w:snapToGrid w:val="0"/>
        <w:spacing w:line="570" w:lineRule="atLeast"/>
        <w:ind w:firstLine="640"/>
        <w:jc w:val="both"/>
        <w:rPr>
          <w:rFonts w:ascii="Times New Roman" w:hAnsi="Times New Roman" w:eastAsia="黑体"/>
          <w:sz w:val="32"/>
          <w:szCs w:val="32"/>
        </w:rPr>
      </w:pPr>
      <w:r>
        <w:rPr>
          <w:rFonts w:ascii="Times New Roman" w:hAnsi="Times New Roman" w:eastAsia="黑体"/>
          <w:sz w:val="32"/>
          <w:szCs w:val="32"/>
        </w:rPr>
        <w:t>四、国有资本经营预算支出情况</w:t>
      </w:r>
    </w:p>
    <w:p>
      <w:pPr>
        <w:pStyle w:val="23"/>
        <w:keepNext w:val="0"/>
        <w:keepLines w:val="0"/>
        <w:pageBreakBefore w:val="0"/>
        <w:kinsoku/>
        <w:wordWrap/>
        <w:overflowPunct/>
        <w:topLinePunct w:val="0"/>
        <w:bidi w:val="0"/>
        <w:snapToGrid w:val="0"/>
        <w:spacing w:line="570" w:lineRule="atLeast"/>
        <w:ind w:firstLine="64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本单位无国有资本经营预算</w:t>
      </w:r>
    </w:p>
    <w:p>
      <w:pPr>
        <w:pStyle w:val="23"/>
        <w:keepNext w:val="0"/>
        <w:keepLines w:val="0"/>
        <w:pageBreakBefore w:val="0"/>
        <w:kinsoku/>
        <w:wordWrap/>
        <w:overflowPunct/>
        <w:topLinePunct w:val="0"/>
        <w:bidi w:val="0"/>
        <w:snapToGrid w:val="0"/>
        <w:spacing w:line="570" w:lineRule="atLeast"/>
        <w:ind w:firstLine="640"/>
        <w:jc w:val="both"/>
        <w:rPr>
          <w:rFonts w:ascii="Times New Roman" w:hAnsi="Times New Roman" w:eastAsia="黑体"/>
          <w:sz w:val="32"/>
          <w:szCs w:val="32"/>
        </w:rPr>
      </w:pPr>
      <w:r>
        <w:rPr>
          <w:rFonts w:ascii="Times New Roman" w:hAnsi="Times New Roman" w:eastAsia="黑体"/>
          <w:sz w:val="32"/>
          <w:szCs w:val="32"/>
        </w:rPr>
        <w:t>五、社会保险基金预算支出情况</w:t>
      </w:r>
    </w:p>
    <w:p>
      <w:pPr>
        <w:pStyle w:val="23"/>
        <w:keepNext w:val="0"/>
        <w:keepLines w:val="0"/>
        <w:pageBreakBefore w:val="0"/>
        <w:kinsoku/>
        <w:wordWrap/>
        <w:overflowPunct/>
        <w:topLinePunct w:val="0"/>
        <w:bidi w:val="0"/>
        <w:snapToGrid w:val="0"/>
        <w:spacing w:line="570" w:lineRule="atLeast"/>
        <w:ind w:firstLine="64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本单位无社会保险基金预算</w:t>
      </w:r>
    </w:p>
    <w:p>
      <w:pPr>
        <w:keepNext w:val="0"/>
        <w:keepLines w:val="0"/>
        <w:pageBreakBefore w:val="0"/>
        <w:kinsoku/>
        <w:wordWrap/>
        <w:overflowPunct/>
        <w:topLinePunct w:val="0"/>
        <w:bidi w:val="0"/>
        <w:spacing w:line="570" w:lineRule="atLeast"/>
        <w:ind w:firstLine="640"/>
        <w:jc w:val="both"/>
        <w:rPr>
          <w:rFonts w:eastAsia="黑体"/>
          <w:sz w:val="32"/>
          <w:szCs w:val="32"/>
        </w:rPr>
      </w:pPr>
      <w:r>
        <w:rPr>
          <w:rFonts w:eastAsia="黑体"/>
          <w:sz w:val="32"/>
          <w:szCs w:val="32"/>
        </w:rPr>
        <w:t>六、部门整体支出绩效情况</w:t>
      </w:r>
    </w:p>
    <w:p>
      <w:pPr>
        <w:pStyle w:val="17"/>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2024年，持续加强基层植保体系建设，融合推进病虫害专业化统防统治与绿色防控，及时开展应急处置，确保了全省农作物病虫危害损失率控制在5%以内，化学农药使用量实现</w:t>
      </w:r>
      <w:r>
        <w:rPr>
          <w:rFonts w:hint="eastAsia" w:ascii="Times New Roman" w:hAnsi="Times New Roman" w:eastAsia="仿宋_GB2312"/>
          <w:color w:val="000000"/>
          <w:sz w:val="32"/>
          <w:szCs w:val="32"/>
        </w:rPr>
        <w:t>持续</w:t>
      </w:r>
      <w:r>
        <w:rPr>
          <w:rFonts w:ascii="Times New Roman" w:hAnsi="Times New Roman" w:eastAsia="仿宋_GB2312"/>
          <w:color w:val="000000"/>
          <w:sz w:val="32"/>
          <w:szCs w:val="32"/>
        </w:rPr>
        <w:t>负增长，有力的保障了农业生产、农产品质量和农业生态环境安全</w:t>
      </w:r>
      <w:r>
        <w:rPr>
          <w:rFonts w:hint="eastAsia" w:ascii="Times New Roman" w:hAnsi="Times New Roman" w:eastAsia="仿宋_GB2312"/>
          <w:color w:val="000000"/>
          <w:sz w:val="32"/>
          <w:szCs w:val="32"/>
          <w:lang w:eastAsia="zh-CN"/>
        </w:rPr>
        <w:t>。</w:t>
      </w:r>
    </w:p>
    <w:p>
      <w:pPr>
        <w:pStyle w:val="17"/>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Times New Roman" w:hAnsi="Times New Roman" w:eastAsia="仿宋_GB2312"/>
          <w:sz w:val="32"/>
          <w:szCs w:val="32"/>
        </w:rPr>
      </w:pP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1</w:t>
      </w:r>
      <w:r>
        <w:rPr>
          <w:rFonts w:hint="eastAsia" w:ascii="Times New Roman" w:hAnsi="Times New Roman" w:eastAsia="仿宋_GB2312"/>
          <w:color w:val="000000"/>
          <w:sz w:val="32"/>
          <w:szCs w:val="32"/>
          <w:lang w:eastAsia="zh-CN"/>
        </w:rPr>
        <w:t>）</w:t>
      </w:r>
      <w:r>
        <w:rPr>
          <w:rFonts w:hint="eastAsia" w:ascii="Times New Roman" w:hAnsi="Times New Roman" w:eastAsia="仿宋_GB2312"/>
          <w:sz w:val="32"/>
          <w:szCs w:val="32"/>
        </w:rPr>
        <w:t>运行成本</w:t>
      </w:r>
    </w:p>
    <w:p>
      <w:pPr>
        <w:pStyle w:val="17"/>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both"/>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全年预算数4930.20万元，决算数2334.24万元，执行率47.35%，我单位全年整体支出控制在预算范围内。</w:t>
      </w:r>
    </w:p>
    <w:p>
      <w:pPr>
        <w:pStyle w:val="17"/>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Times New Roman" w:hAnsi="Times New Roman" w:eastAsia="仿宋_GB2312"/>
          <w:sz w:val="32"/>
          <w:szCs w:val="32"/>
          <w:highlight w:val="none"/>
        </w:rPr>
      </w:pP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rPr>
        <w:t>管理效率</w:t>
      </w:r>
    </w:p>
    <w:p>
      <w:pPr>
        <w:keepNext w:val="0"/>
        <w:keepLines w:val="0"/>
        <w:pageBreakBefore w:val="0"/>
        <w:widowControl/>
        <w:kinsoku/>
        <w:wordWrap/>
        <w:overflowPunct/>
        <w:topLinePunct w:val="0"/>
        <w:bidi w:val="0"/>
        <w:spacing w:line="600" w:lineRule="exact"/>
        <w:ind w:firstLine="643"/>
        <w:jc w:val="both"/>
        <w:textAlignment w:val="baseline"/>
        <w:rPr>
          <w:rFonts w:eastAsia="仿宋_GB2312"/>
          <w:sz w:val="32"/>
          <w:szCs w:val="32"/>
          <w:shd w:val="clear" w:color="auto" w:fill="FFFFFF"/>
        </w:rPr>
      </w:pPr>
      <w:r>
        <w:rPr>
          <w:rFonts w:eastAsia="仿宋_GB2312"/>
          <w:bCs/>
          <w:sz w:val="32"/>
          <w:szCs w:val="32"/>
        </w:rPr>
        <w:t>今年以来，</w:t>
      </w:r>
      <w:r>
        <w:rPr>
          <w:rFonts w:hint="eastAsia" w:eastAsia="仿宋_GB2312"/>
          <w:bCs/>
          <w:sz w:val="32"/>
          <w:szCs w:val="32"/>
        </w:rPr>
        <w:t>在继续推动各地配齐配强植保人员的基础上，</w:t>
      </w:r>
      <w:r>
        <w:rPr>
          <w:rFonts w:eastAsia="仿宋_GB2312"/>
          <w:bCs/>
          <w:sz w:val="32"/>
          <w:szCs w:val="32"/>
        </w:rPr>
        <w:t>我站</w:t>
      </w:r>
      <w:r>
        <w:rPr>
          <w:rFonts w:eastAsia="仿宋_GB2312"/>
          <w:sz w:val="32"/>
          <w:szCs w:val="32"/>
        </w:rPr>
        <w:t>根据</w:t>
      </w:r>
      <w:r>
        <w:rPr>
          <w:rFonts w:hint="eastAsia" w:eastAsia="仿宋_GB2312"/>
          <w:sz w:val="32"/>
          <w:szCs w:val="32"/>
        </w:rPr>
        <w:t>全省</w:t>
      </w:r>
      <w:r>
        <w:rPr>
          <w:rFonts w:eastAsia="仿宋_GB2312"/>
          <w:sz w:val="32"/>
          <w:szCs w:val="32"/>
        </w:rPr>
        <w:t>农作物种植布局和病虫害发生防控情况，结合行业发展和管理</w:t>
      </w:r>
      <w:r>
        <w:rPr>
          <w:rFonts w:hint="eastAsia" w:eastAsia="仿宋_GB2312"/>
          <w:sz w:val="32"/>
          <w:szCs w:val="32"/>
        </w:rPr>
        <w:t>工作</w:t>
      </w:r>
      <w:r>
        <w:rPr>
          <w:rFonts w:eastAsia="仿宋_GB2312"/>
          <w:sz w:val="32"/>
          <w:szCs w:val="32"/>
        </w:rPr>
        <w:t>需要</w:t>
      </w:r>
      <w:r>
        <w:rPr>
          <w:rFonts w:eastAsia="仿宋_GB2312"/>
          <w:bCs/>
          <w:sz w:val="32"/>
          <w:szCs w:val="32"/>
        </w:rPr>
        <w:t>，分湘东、湘南、湘西、湘北、湘中5个片区</w:t>
      </w:r>
      <w:r>
        <w:rPr>
          <w:rFonts w:hint="eastAsia" w:eastAsia="仿宋_GB2312"/>
          <w:bCs/>
          <w:sz w:val="32"/>
          <w:szCs w:val="32"/>
        </w:rPr>
        <w:t>，</w:t>
      </w:r>
      <w:r>
        <w:rPr>
          <w:rFonts w:eastAsia="仿宋_GB2312"/>
          <w:bCs/>
          <w:sz w:val="32"/>
          <w:szCs w:val="32"/>
        </w:rPr>
        <w:t>对</w:t>
      </w:r>
      <w:r>
        <w:rPr>
          <w:rFonts w:hint="eastAsia" w:eastAsia="仿宋_GB2312"/>
          <w:bCs/>
          <w:sz w:val="32"/>
          <w:szCs w:val="32"/>
        </w:rPr>
        <w:t>全</w:t>
      </w:r>
      <w:r>
        <w:rPr>
          <w:rFonts w:eastAsia="仿宋_GB2312"/>
          <w:bCs/>
          <w:sz w:val="32"/>
          <w:szCs w:val="32"/>
        </w:rPr>
        <w:t>省500余名业务</w:t>
      </w:r>
      <w:r>
        <w:rPr>
          <w:rFonts w:hint="eastAsia" w:eastAsia="仿宋_GB2312"/>
          <w:bCs/>
          <w:sz w:val="32"/>
          <w:szCs w:val="32"/>
        </w:rPr>
        <w:t>骨干</w:t>
      </w:r>
      <w:r>
        <w:rPr>
          <w:rFonts w:eastAsia="仿宋_GB2312"/>
          <w:bCs/>
          <w:sz w:val="32"/>
          <w:szCs w:val="32"/>
        </w:rPr>
        <w:t>开展了轮训</w:t>
      </w:r>
      <w:r>
        <w:rPr>
          <w:rFonts w:hint="eastAsia" w:eastAsia="仿宋_GB2312"/>
          <w:bCs/>
          <w:sz w:val="32"/>
          <w:szCs w:val="32"/>
        </w:rPr>
        <w:t>，</w:t>
      </w:r>
      <w:r>
        <w:rPr>
          <w:rFonts w:hint="eastAsia" w:eastAsia="仿宋_GB2312"/>
          <w:sz w:val="32"/>
          <w:szCs w:val="32"/>
        </w:rPr>
        <w:t>有力</w:t>
      </w:r>
      <w:r>
        <w:rPr>
          <w:rFonts w:hint="eastAsia" w:eastAsia="仿宋_GB2312"/>
          <w:sz w:val="32"/>
          <w:szCs w:val="32"/>
          <w:lang w:eastAsia="zh-CN"/>
        </w:rPr>
        <w:t>的</w:t>
      </w:r>
      <w:r>
        <w:rPr>
          <w:rFonts w:hint="eastAsia" w:eastAsia="仿宋_GB2312"/>
          <w:sz w:val="32"/>
          <w:szCs w:val="32"/>
        </w:rPr>
        <w:t>提升了市、县植保人员的</w:t>
      </w:r>
      <w:r>
        <w:rPr>
          <w:rFonts w:eastAsia="仿宋_GB2312"/>
          <w:sz w:val="32"/>
          <w:szCs w:val="32"/>
        </w:rPr>
        <w:t>能力素质和业务水平</w:t>
      </w:r>
      <w:r>
        <w:rPr>
          <w:rFonts w:hint="eastAsia" w:eastAsia="仿宋_GB2312"/>
          <w:sz w:val="32"/>
          <w:szCs w:val="32"/>
        </w:rPr>
        <w:t>，植保防灾减灾基础得到进一步夯实</w:t>
      </w:r>
      <w:r>
        <w:rPr>
          <w:rFonts w:eastAsia="仿宋_GB2312"/>
          <w:sz w:val="32"/>
          <w:szCs w:val="32"/>
        </w:rPr>
        <w:t>。</w:t>
      </w:r>
    </w:p>
    <w:p>
      <w:pPr>
        <w:pStyle w:val="17"/>
        <w:keepNext w:val="0"/>
        <w:keepLines w:val="0"/>
        <w:pageBreakBefore w:val="0"/>
        <w:widowControl w:val="0"/>
        <w:numPr>
          <w:ilvl w:val="0"/>
          <w:numId w:val="1"/>
        </w:numPr>
        <w:kinsoku/>
        <w:wordWrap/>
        <w:overflowPunct/>
        <w:topLinePunct w:val="0"/>
        <w:bidi w:val="0"/>
        <w:snapToGrid/>
        <w:spacing w:line="600" w:lineRule="exact"/>
        <w:ind w:firstLine="640" w:firstLineChars="200"/>
        <w:jc w:val="both"/>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履职效能</w:t>
      </w:r>
    </w:p>
    <w:p>
      <w:pPr>
        <w:keepNext w:val="0"/>
        <w:keepLines w:val="0"/>
        <w:pageBreakBefore w:val="0"/>
        <w:kinsoku/>
        <w:wordWrap/>
        <w:overflowPunct/>
        <w:topLinePunct w:val="0"/>
        <w:bidi w:val="0"/>
        <w:snapToGrid w:val="0"/>
        <w:spacing w:line="560" w:lineRule="exact"/>
        <w:ind w:firstLine="640" w:firstLineChars="200"/>
        <w:jc w:val="both"/>
        <w:rPr>
          <w:rFonts w:eastAsia="仿宋_GB2312"/>
          <w:bCs/>
          <w:sz w:val="32"/>
          <w:szCs w:val="32"/>
        </w:rPr>
      </w:pPr>
      <w:r>
        <w:rPr>
          <w:rFonts w:hint="eastAsia" w:ascii="仿宋_GB2312" w:hAnsi="仿宋_GB2312" w:eastAsia="仿宋_GB2312" w:cs="仿宋_GB2312"/>
          <w:bCs/>
          <w:sz w:val="32"/>
          <w:szCs w:val="32"/>
          <w:lang w:val="en-US" w:eastAsia="zh-CN"/>
        </w:rPr>
        <w:t>一是</w:t>
      </w:r>
      <w:r>
        <w:rPr>
          <w:rFonts w:hint="eastAsia" w:ascii="仿宋_GB2312" w:hAnsi="仿宋_GB2312" w:eastAsia="仿宋_GB2312" w:cs="仿宋_GB2312"/>
          <w:bCs/>
          <w:sz w:val="32"/>
          <w:szCs w:val="32"/>
        </w:rPr>
        <w:t>织密病虫监测网络，重大病虫监测预警能力进一步提升。</w:t>
      </w:r>
      <w:r>
        <w:rPr>
          <w:rFonts w:eastAsia="仿宋_GB2312"/>
          <w:bCs/>
          <w:sz w:val="32"/>
          <w:szCs w:val="32"/>
        </w:rPr>
        <w:t>依托</w:t>
      </w:r>
      <w:r>
        <w:rPr>
          <w:rFonts w:hint="eastAsia" w:eastAsia="仿宋_GB2312"/>
          <w:bCs/>
          <w:sz w:val="32"/>
          <w:szCs w:val="32"/>
        </w:rPr>
        <w:t>国家</w:t>
      </w:r>
      <w:r>
        <w:rPr>
          <w:rFonts w:eastAsia="仿宋_GB2312"/>
          <w:bCs/>
          <w:sz w:val="32"/>
          <w:szCs w:val="32"/>
        </w:rPr>
        <w:t>动植物保护能力提升工程等项目</w:t>
      </w:r>
      <w:r>
        <w:rPr>
          <w:rFonts w:hint="eastAsia" w:eastAsia="仿宋_GB2312"/>
          <w:bCs/>
          <w:sz w:val="32"/>
          <w:szCs w:val="32"/>
        </w:rPr>
        <w:t>建立健全全省病虫监测预警网络。截至2024年底，</w:t>
      </w:r>
      <w:r>
        <w:rPr>
          <w:rFonts w:eastAsia="仿宋_GB2312"/>
          <w:bCs/>
          <w:sz w:val="32"/>
          <w:szCs w:val="32"/>
        </w:rPr>
        <w:t>全省</w:t>
      </w:r>
      <w:r>
        <w:rPr>
          <w:rFonts w:hint="eastAsia" w:eastAsia="仿宋_GB2312"/>
          <w:bCs/>
          <w:sz w:val="32"/>
          <w:szCs w:val="32"/>
        </w:rPr>
        <w:t>已在</w:t>
      </w:r>
      <w:r>
        <w:rPr>
          <w:rFonts w:eastAsia="仿宋_GB2312"/>
          <w:bCs/>
          <w:sz w:val="32"/>
          <w:szCs w:val="32"/>
        </w:rPr>
        <w:t>36个县</w:t>
      </w:r>
      <w:r>
        <w:rPr>
          <w:rFonts w:hint="eastAsia" w:eastAsia="仿宋_GB2312"/>
          <w:bCs/>
          <w:sz w:val="32"/>
          <w:szCs w:val="32"/>
        </w:rPr>
        <w:t>建成150多个省级田间监测点，另有11个县在建，9个县在建设前期准备，加上各县市布设的监测点，全省农作物病虫害监测网络进一步健全，重大病虫预警能力进一步提升。全省病虫情报短期预报准</w:t>
      </w:r>
      <w:r>
        <w:rPr>
          <w:rFonts w:eastAsia="仿宋_GB2312"/>
          <w:kern w:val="0"/>
          <w:sz w:val="32"/>
          <w:szCs w:val="32"/>
        </w:rPr>
        <w:t>确率达到95%以上，中、长期预报准确率90%以上，为</w:t>
      </w:r>
      <w:r>
        <w:rPr>
          <w:rFonts w:eastAsia="仿宋_GB2312"/>
          <w:bCs/>
          <w:sz w:val="32"/>
          <w:szCs w:val="32"/>
        </w:rPr>
        <w:t>农作物病虫害科学防控奠定了坚实基础。</w:t>
      </w:r>
    </w:p>
    <w:p>
      <w:pPr>
        <w:keepNext w:val="0"/>
        <w:keepLines w:val="0"/>
        <w:pageBreakBefore w:val="0"/>
        <w:kinsoku/>
        <w:wordWrap/>
        <w:overflowPunct/>
        <w:topLinePunct w:val="0"/>
        <w:bidi w:val="0"/>
        <w:snapToGrid w:val="0"/>
        <w:spacing w:line="560" w:lineRule="exact"/>
        <w:ind w:firstLine="640" w:firstLineChars="200"/>
        <w:jc w:val="both"/>
        <w:rPr>
          <w:rFonts w:eastAsia="仿宋_GB2312"/>
          <w:color w:val="000000"/>
          <w:sz w:val="32"/>
          <w:szCs w:val="32"/>
          <w:shd w:val="clear" w:color="auto" w:fill="FFFFFF"/>
        </w:rPr>
      </w:pPr>
      <w:r>
        <w:rPr>
          <w:rFonts w:hint="eastAsia" w:ascii="仿宋_GB2312" w:hAnsi="仿宋_GB2312" w:eastAsia="仿宋_GB2312" w:cs="仿宋_GB2312"/>
          <w:bCs/>
          <w:sz w:val="32"/>
          <w:szCs w:val="32"/>
          <w:lang w:val="en-US" w:eastAsia="zh-CN"/>
        </w:rPr>
        <w:t>二是</w:t>
      </w:r>
      <w:r>
        <w:rPr>
          <w:rFonts w:hint="eastAsia" w:ascii="仿宋_GB2312" w:hAnsi="仿宋_GB2312" w:eastAsia="仿宋_GB2312" w:cs="仿宋_GB2312"/>
          <w:bCs/>
          <w:sz w:val="32"/>
          <w:szCs w:val="32"/>
        </w:rPr>
        <w:t>抓好大面积防控和应急防控，减损增产成效显著。</w:t>
      </w:r>
      <w:r>
        <w:rPr>
          <w:rFonts w:hint="eastAsia" w:ascii="仿宋_GB2312" w:hAnsi="仿宋_GB2312" w:eastAsia="仿宋_GB2312" w:cs="仿宋_GB2312"/>
          <w:color w:val="000000"/>
          <w:sz w:val="32"/>
          <w:szCs w:val="32"/>
          <w:shd w:val="clear" w:color="auto" w:fill="FFFFFF"/>
        </w:rPr>
        <w:t>积极发挥公共植保体系的公益服务作用、专业化服务组织的防控主</w:t>
      </w:r>
      <w:r>
        <w:rPr>
          <w:rFonts w:eastAsia="仿宋_GB2312"/>
          <w:color w:val="000000"/>
          <w:sz w:val="32"/>
          <w:szCs w:val="32"/>
          <w:shd w:val="clear" w:color="auto" w:fill="FFFFFF"/>
        </w:rPr>
        <w:t>体作用</w:t>
      </w:r>
      <w:r>
        <w:rPr>
          <w:rFonts w:hint="eastAsia" w:eastAsia="仿宋_GB2312"/>
          <w:color w:val="000000"/>
          <w:sz w:val="32"/>
          <w:szCs w:val="32"/>
          <w:shd w:val="clear" w:color="auto" w:fill="FFFFFF"/>
        </w:rPr>
        <w:t>和</w:t>
      </w:r>
      <w:r>
        <w:rPr>
          <w:rFonts w:eastAsia="仿宋_GB2312"/>
          <w:color w:val="000000"/>
          <w:sz w:val="32"/>
          <w:szCs w:val="32"/>
          <w:shd w:val="clear" w:color="auto" w:fill="FFFFFF"/>
        </w:rPr>
        <w:t>科研院所的智库支撑作用</w:t>
      </w:r>
      <w:r>
        <w:rPr>
          <w:rFonts w:hint="eastAsia" w:eastAsia="仿宋_GB2312"/>
          <w:color w:val="000000"/>
          <w:sz w:val="32"/>
          <w:szCs w:val="32"/>
          <w:shd w:val="clear" w:color="auto" w:fill="FFFFFF"/>
        </w:rPr>
        <w:t>，</w:t>
      </w:r>
      <w:r>
        <w:rPr>
          <w:rFonts w:hint="eastAsia" w:eastAsia="仿宋_GB2312"/>
          <w:sz w:val="32"/>
          <w:szCs w:val="32"/>
        </w:rPr>
        <w:t>抓实抓好农作物病虫害大面积防控，及时组织开展应急防治</w:t>
      </w:r>
      <w:r>
        <w:rPr>
          <w:rFonts w:eastAsia="仿宋_GB2312"/>
          <w:sz w:val="32"/>
          <w:szCs w:val="32"/>
        </w:rPr>
        <w:t>。</w:t>
      </w:r>
      <w:r>
        <w:rPr>
          <w:rFonts w:hint="eastAsia" w:eastAsia="仿宋_GB2312"/>
          <w:sz w:val="32"/>
          <w:szCs w:val="32"/>
        </w:rPr>
        <w:t>据植保专业统计，2024年，全省主要农作物病虫草鼠害发生面积5.03亿亩次、防治面积5.8亿亩次，通过有效防治，累计挽回</w:t>
      </w:r>
      <w:r>
        <w:rPr>
          <w:rFonts w:hint="eastAsia" w:eastAsia="仿宋_GB2312"/>
          <w:color w:val="000000"/>
          <w:sz w:val="32"/>
          <w:szCs w:val="32"/>
          <w:shd w:val="clear" w:color="auto" w:fill="FFFFFF"/>
        </w:rPr>
        <w:t>粮食损失58</w:t>
      </w:r>
      <w:r>
        <w:rPr>
          <w:rFonts w:hint="eastAsia" w:eastAsia="仿宋_GB2312"/>
          <w:color w:val="000000"/>
          <w:sz w:val="32"/>
          <w:szCs w:val="32"/>
          <w:shd w:val="clear" w:color="auto" w:fill="FFFFFF"/>
          <w:lang w:val="en-US" w:eastAsia="zh-CN"/>
        </w:rPr>
        <w:t>9</w:t>
      </w:r>
      <w:r>
        <w:rPr>
          <w:rFonts w:hint="eastAsia" w:eastAsia="仿宋_GB2312"/>
          <w:color w:val="000000"/>
          <w:sz w:val="32"/>
          <w:szCs w:val="32"/>
          <w:shd w:val="clear" w:color="auto" w:fill="FFFFFF"/>
        </w:rPr>
        <w:t>万吨、挽回油料损失36.7万吨</w:t>
      </w:r>
      <w:r>
        <w:rPr>
          <w:rFonts w:hint="eastAsia" w:eastAsia="仿宋_GB2312"/>
          <w:color w:val="000000"/>
          <w:sz w:val="32"/>
          <w:szCs w:val="32"/>
          <w:shd w:val="clear" w:color="auto" w:fill="FFFFFF"/>
          <w:lang w:eastAsia="zh-CN"/>
        </w:rPr>
        <w:t>、</w:t>
      </w:r>
      <w:r>
        <w:rPr>
          <w:rFonts w:hint="eastAsia" w:eastAsia="仿宋_GB2312"/>
          <w:color w:val="000000"/>
          <w:sz w:val="32"/>
          <w:szCs w:val="32"/>
          <w:shd w:val="clear" w:color="auto" w:fill="FFFFFF"/>
        </w:rPr>
        <w:t>挽回</w:t>
      </w:r>
      <w:r>
        <w:rPr>
          <w:rFonts w:hint="eastAsia" w:eastAsia="仿宋_GB2312"/>
          <w:color w:val="000000"/>
          <w:sz w:val="32"/>
          <w:szCs w:val="32"/>
          <w:shd w:val="clear" w:color="auto" w:fill="FFFFFF"/>
          <w:lang w:eastAsia="zh-CN"/>
        </w:rPr>
        <w:t>蔬菜</w:t>
      </w:r>
      <w:r>
        <w:rPr>
          <w:rFonts w:hint="eastAsia" w:eastAsia="仿宋_GB2312"/>
          <w:color w:val="000000"/>
          <w:sz w:val="32"/>
          <w:szCs w:val="32"/>
          <w:shd w:val="clear" w:color="auto" w:fill="FFFFFF"/>
        </w:rPr>
        <w:t>损失</w:t>
      </w:r>
      <w:r>
        <w:rPr>
          <w:rFonts w:hint="eastAsia" w:eastAsia="仿宋_GB2312"/>
          <w:color w:val="000000"/>
          <w:sz w:val="32"/>
          <w:szCs w:val="32"/>
          <w:shd w:val="clear" w:color="auto" w:fill="FFFFFF"/>
          <w:lang w:eastAsia="zh-CN"/>
        </w:rPr>
        <w:t>160.7万吨</w:t>
      </w:r>
      <w:r>
        <w:rPr>
          <w:rFonts w:hint="eastAsia" w:eastAsia="仿宋_GB2312"/>
          <w:color w:val="000000"/>
          <w:sz w:val="32"/>
          <w:szCs w:val="32"/>
          <w:shd w:val="clear" w:color="auto" w:fill="FFFFFF"/>
        </w:rPr>
        <w:t>。据</w:t>
      </w:r>
      <w:r>
        <w:rPr>
          <w:rFonts w:eastAsia="仿宋_GB2312"/>
          <w:color w:val="000000"/>
          <w:sz w:val="32"/>
          <w:szCs w:val="32"/>
          <w:shd w:val="clear" w:color="auto" w:fill="FFFFFF"/>
        </w:rPr>
        <w:t>30个县开展</w:t>
      </w:r>
      <w:r>
        <w:rPr>
          <w:rFonts w:hint="eastAsia" w:eastAsia="仿宋_GB2312"/>
          <w:color w:val="000000"/>
          <w:sz w:val="32"/>
          <w:szCs w:val="32"/>
          <w:shd w:val="clear" w:color="auto" w:fill="FFFFFF"/>
        </w:rPr>
        <w:t>的农作物</w:t>
      </w:r>
      <w:r>
        <w:rPr>
          <w:rFonts w:eastAsia="仿宋_GB2312"/>
          <w:color w:val="000000"/>
          <w:sz w:val="32"/>
          <w:szCs w:val="32"/>
          <w:shd w:val="clear" w:color="auto" w:fill="FFFFFF"/>
        </w:rPr>
        <w:t>病虫</w:t>
      </w:r>
      <w:r>
        <w:rPr>
          <w:rFonts w:hint="eastAsia" w:eastAsia="仿宋_GB2312"/>
          <w:color w:val="000000"/>
          <w:sz w:val="32"/>
          <w:szCs w:val="32"/>
          <w:shd w:val="clear" w:color="auto" w:fill="FFFFFF"/>
        </w:rPr>
        <w:t>草</w:t>
      </w:r>
      <w:r>
        <w:rPr>
          <w:rFonts w:eastAsia="仿宋_GB2312"/>
          <w:color w:val="000000"/>
          <w:sz w:val="32"/>
          <w:szCs w:val="32"/>
          <w:shd w:val="clear" w:color="auto" w:fill="FFFFFF"/>
        </w:rPr>
        <w:t>害防控效果暨植保贡献率评价</w:t>
      </w:r>
      <w:r>
        <w:rPr>
          <w:rFonts w:hint="eastAsia" w:eastAsia="仿宋_GB2312"/>
          <w:color w:val="000000"/>
          <w:sz w:val="32"/>
          <w:szCs w:val="32"/>
          <w:shd w:val="clear" w:color="auto" w:fill="FFFFFF"/>
        </w:rPr>
        <w:t>试验测算，2024年我省</w:t>
      </w:r>
      <w:r>
        <w:rPr>
          <w:rFonts w:eastAsia="仿宋_GB2312"/>
          <w:color w:val="000000"/>
          <w:sz w:val="32"/>
          <w:szCs w:val="32"/>
          <w:shd w:val="clear" w:color="auto" w:fill="FFFFFF"/>
        </w:rPr>
        <w:t>水稻病虫草害防控植保贡献率为39.23%</w:t>
      </w:r>
      <w:r>
        <w:rPr>
          <w:rFonts w:hint="eastAsia" w:eastAsia="仿宋_GB2312"/>
          <w:color w:val="000000"/>
          <w:sz w:val="32"/>
          <w:szCs w:val="32"/>
          <w:shd w:val="clear" w:color="auto" w:fill="FFFFFF"/>
        </w:rPr>
        <w:t>、油菜为</w:t>
      </w:r>
      <w:r>
        <w:rPr>
          <w:rFonts w:eastAsia="仿宋_GB2312"/>
          <w:color w:val="000000"/>
          <w:sz w:val="32"/>
          <w:szCs w:val="32"/>
          <w:shd w:val="clear" w:color="auto" w:fill="FFFFFF"/>
        </w:rPr>
        <w:t>46.94%</w:t>
      </w:r>
      <w:r>
        <w:rPr>
          <w:rFonts w:hint="eastAsia" w:eastAsia="仿宋_GB2312"/>
          <w:color w:val="000000"/>
          <w:sz w:val="32"/>
          <w:szCs w:val="32"/>
          <w:shd w:val="clear" w:color="auto" w:fill="FFFFFF"/>
        </w:rPr>
        <w:t>、玉米为37.61%，柑橘为23.45%。植保防灾减灾和减损增产成效显著。</w:t>
      </w:r>
    </w:p>
    <w:p>
      <w:pPr>
        <w:keepNext w:val="0"/>
        <w:keepLines w:val="0"/>
        <w:pageBreakBefore w:val="0"/>
        <w:kinsoku/>
        <w:wordWrap/>
        <w:overflowPunct/>
        <w:topLinePunct w:val="0"/>
        <w:bidi w:val="0"/>
        <w:snapToGrid w:val="0"/>
        <w:spacing w:line="560" w:lineRule="exact"/>
        <w:ind w:firstLine="640" w:firstLineChars="200"/>
        <w:jc w:val="both"/>
        <w:rPr>
          <w:sz w:val="32"/>
          <w:szCs w:val="32"/>
        </w:rPr>
      </w:pPr>
      <w:r>
        <w:rPr>
          <w:rFonts w:hint="eastAsia" w:ascii="仿宋_GB2312" w:hAnsi="仿宋_GB2312" w:eastAsia="仿宋_GB2312" w:cs="仿宋_GB2312"/>
          <w:bCs/>
          <w:sz w:val="32"/>
          <w:szCs w:val="32"/>
          <w:lang w:val="en-US" w:eastAsia="zh-CN"/>
        </w:rPr>
        <w:t>三是</w:t>
      </w:r>
      <w:r>
        <w:rPr>
          <w:rFonts w:hint="eastAsia" w:ascii="仿宋_GB2312" w:hAnsi="仿宋_GB2312" w:eastAsia="仿宋_GB2312" w:cs="仿宋_GB2312"/>
          <w:bCs/>
          <w:sz w:val="32"/>
          <w:szCs w:val="32"/>
        </w:rPr>
        <w:t>融合推进绿色防控与统防统治，病虫防治组织化程度和科学化水平进一步提升。</w:t>
      </w:r>
      <w:r>
        <w:rPr>
          <w:rFonts w:eastAsia="仿宋_GB2312"/>
          <w:bCs/>
          <w:sz w:val="32"/>
          <w:szCs w:val="32"/>
        </w:rPr>
        <w:t>以装备精良、管理规范、年服务面积万亩以上的专业化防治组织为重点，将绿色防控措施纳入统防统治服务内容，促进绿色防控与统防统治融合发展。2024年，</w:t>
      </w:r>
      <w:r>
        <w:rPr>
          <w:rFonts w:eastAsia="仿宋_GB2312"/>
          <w:color w:val="000000"/>
          <w:sz w:val="32"/>
          <w:szCs w:val="32"/>
        </w:rPr>
        <w:t>全省分层级、分作物创建绿色防控示范区1413个</w:t>
      </w:r>
      <w:r>
        <w:rPr>
          <w:rFonts w:hint="eastAsia" w:eastAsia="仿宋_GB2312"/>
          <w:color w:val="000000"/>
          <w:sz w:val="32"/>
          <w:szCs w:val="32"/>
        </w:rPr>
        <w:t>；各</w:t>
      </w:r>
      <w:r>
        <w:rPr>
          <w:rFonts w:hint="eastAsia" w:eastAsia="仿宋_GB2312"/>
          <w:bCs/>
          <w:sz w:val="32"/>
          <w:szCs w:val="32"/>
        </w:rPr>
        <w:t>级专业化</w:t>
      </w:r>
      <w:r>
        <w:rPr>
          <w:rFonts w:eastAsia="仿宋_GB2312"/>
          <w:bCs/>
          <w:sz w:val="32"/>
          <w:szCs w:val="32"/>
        </w:rPr>
        <w:t>服务组织达2596家，其中经登记注册的1646家，获省站授权的878家，植保无人机保有量达到13641台；主要粮食作物统防统治覆盖率达到53.67%，高出全国均值6</w:t>
      </w:r>
      <w:r>
        <w:rPr>
          <w:rFonts w:hint="eastAsia" w:eastAsia="仿宋_GB2312"/>
          <w:bCs/>
          <w:sz w:val="32"/>
          <w:szCs w:val="32"/>
        </w:rPr>
        <w:t>.3个百分点</w:t>
      </w:r>
      <w:r>
        <w:rPr>
          <w:rFonts w:eastAsia="仿宋_GB2312"/>
          <w:bCs/>
          <w:sz w:val="32"/>
          <w:szCs w:val="32"/>
        </w:rPr>
        <w:t>，主要农作物绿色防控覆盖率达到54</w:t>
      </w:r>
      <w:r>
        <w:rPr>
          <w:rFonts w:hint="eastAsia" w:eastAsia="仿宋_GB2312"/>
          <w:bCs/>
          <w:sz w:val="32"/>
          <w:szCs w:val="32"/>
        </w:rPr>
        <w:t>.69</w:t>
      </w:r>
      <w:r>
        <w:rPr>
          <w:rFonts w:eastAsia="仿宋_GB2312"/>
          <w:bCs/>
          <w:sz w:val="32"/>
          <w:szCs w:val="32"/>
        </w:rPr>
        <w:t>%</w:t>
      </w:r>
      <w:r>
        <w:rPr>
          <w:rFonts w:hint="eastAsia" w:eastAsia="仿宋_GB2312"/>
          <w:bCs/>
          <w:sz w:val="32"/>
          <w:szCs w:val="32"/>
          <w:lang w:eastAsia="zh-CN"/>
        </w:rPr>
        <w:t>，</w:t>
      </w:r>
      <w:r>
        <w:rPr>
          <w:rFonts w:eastAsia="仿宋_GB2312"/>
          <w:bCs/>
          <w:sz w:val="32"/>
          <w:szCs w:val="32"/>
        </w:rPr>
        <w:t>分别较上年提升1.67个百分点和2</w:t>
      </w:r>
      <w:r>
        <w:rPr>
          <w:rFonts w:hint="eastAsia" w:eastAsia="仿宋_GB2312"/>
          <w:bCs/>
          <w:sz w:val="32"/>
          <w:szCs w:val="32"/>
        </w:rPr>
        <w:t>.53</w:t>
      </w:r>
      <w:r>
        <w:rPr>
          <w:rFonts w:eastAsia="仿宋_GB2312"/>
          <w:bCs/>
          <w:sz w:val="32"/>
          <w:szCs w:val="32"/>
        </w:rPr>
        <w:t>个百分点</w:t>
      </w:r>
      <w:r>
        <w:rPr>
          <w:rFonts w:hint="eastAsia" w:eastAsia="仿宋_GB2312"/>
          <w:bCs/>
          <w:sz w:val="32"/>
          <w:szCs w:val="32"/>
        </w:rPr>
        <w:t>，防控组织化程度和科学化水平进一步提升。</w:t>
      </w:r>
    </w:p>
    <w:p>
      <w:pPr>
        <w:keepNext w:val="0"/>
        <w:keepLines w:val="0"/>
        <w:pageBreakBefore w:val="0"/>
        <w:kinsoku/>
        <w:wordWrap/>
        <w:overflowPunct/>
        <w:topLinePunct w:val="0"/>
        <w:bidi w:val="0"/>
        <w:snapToGrid w:val="0"/>
        <w:spacing w:line="560" w:lineRule="exact"/>
        <w:ind w:firstLine="640" w:firstLineChars="200"/>
        <w:jc w:val="both"/>
        <w:rPr>
          <w:rFonts w:eastAsia="仿宋_GB2312"/>
          <w:sz w:val="32"/>
          <w:szCs w:val="32"/>
        </w:rPr>
      </w:pPr>
      <w:r>
        <w:rPr>
          <w:rFonts w:hint="eastAsia" w:ascii="仿宋_GB2312" w:hAnsi="仿宋_GB2312" w:eastAsia="仿宋_GB2312" w:cs="仿宋_GB2312"/>
          <w:bCs/>
          <w:sz w:val="32"/>
          <w:szCs w:val="32"/>
          <w:lang w:val="en-US" w:eastAsia="zh-CN"/>
        </w:rPr>
        <w:t>四是</w:t>
      </w:r>
      <w:r>
        <w:rPr>
          <w:rFonts w:hint="eastAsia" w:ascii="仿宋_GB2312" w:hAnsi="仿宋_GB2312" w:eastAsia="仿宋_GB2312" w:cs="仿宋_GB2312"/>
          <w:bCs/>
          <w:sz w:val="32"/>
          <w:szCs w:val="32"/>
        </w:rPr>
        <w:t>严格检疫监管，重大植物疫情扩散蔓延得到有效遏制。</w:t>
      </w:r>
      <w:r>
        <w:rPr>
          <w:rFonts w:eastAsia="仿宋_GB2312"/>
          <w:sz w:val="32"/>
          <w:szCs w:val="32"/>
        </w:rPr>
        <w:t>制定印发《柑橘黄龙病防控工作三年行动方案（2024-2026年）》，</w:t>
      </w:r>
      <w:r>
        <w:rPr>
          <w:rFonts w:hint="eastAsia" w:eastAsia="仿宋_GB2312"/>
          <w:bCs/>
          <w:sz w:val="32"/>
          <w:szCs w:val="32"/>
        </w:rPr>
        <w:t>加强</w:t>
      </w:r>
      <w:r>
        <w:rPr>
          <w:rFonts w:eastAsia="仿宋_GB2312"/>
          <w:sz w:val="32"/>
          <w:szCs w:val="32"/>
        </w:rPr>
        <w:t>柑橘黄龙病、</w:t>
      </w:r>
      <w:r>
        <w:rPr>
          <w:rFonts w:eastAsia="仿宋_GB2312"/>
          <w:bCs/>
          <w:sz w:val="32"/>
          <w:szCs w:val="32"/>
        </w:rPr>
        <w:t>红</w:t>
      </w:r>
      <w:r>
        <w:rPr>
          <w:rFonts w:eastAsia="仿宋_GB2312"/>
          <w:sz w:val="32"/>
          <w:szCs w:val="32"/>
        </w:rPr>
        <w:t>火蚁等</w:t>
      </w:r>
      <w:r>
        <w:rPr>
          <w:rFonts w:hint="eastAsia" w:eastAsia="仿宋_GB2312"/>
          <w:sz w:val="32"/>
          <w:szCs w:val="32"/>
        </w:rPr>
        <w:t>重大植物</w:t>
      </w:r>
      <w:r>
        <w:rPr>
          <w:rFonts w:eastAsia="仿宋_GB2312"/>
          <w:sz w:val="32"/>
          <w:szCs w:val="32"/>
        </w:rPr>
        <w:t>疫情</w:t>
      </w:r>
      <w:r>
        <w:rPr>
          <w:rFonts w:hint="eastAsia" w:eastAsia="仿宋_GB2312"/>
          <w:sz w:val="32"/>
          <w:szCs w:val="32"/>
        </w:rPr>
        <w:t>阻截</w:t>
      </w:r>
      <w:r>
        <w:rPr>
          <w:rFonts w:eastAsia="仿宋_GB2312"/>
          <w:sz w:val="32"/>
          <w:szCs w:val="32"/>
        </w:rPr>
        <w:t>防控。严格产地检疫和调运检疫，强化疫情源头风险管控。今年以来，</w:t>
      </w:r>
      <w:r>
        <w:rPr>
          <w:rFonts w:hint="eastAsia" w:eastAsia="仿宋_GB2312"/>
          <w:sz w:val="32"/>
          <w:szCs w:val="32"/>
        </w:rPr>
        <w:t>省站</w:t>
      </w:r>
      <w:r>
        <w:rPr>
          <w:rFonts w:eastAsia="仿宋_GB2312"/>
          <w:sz w:val="32"/>
          <w:szCs w:val="32"/>
        </w:rPr>
        <w:t>共受理从国（境）外引进种子、苗木检疫审批29批次，全省各级植物检疫机构通过全国植物检疫平台签发产地检疫合格证1290批次，植物检疫证书15769批次，有效守护了我省疫情防护大门。</w:t>
      </w:r>
    </w:p>
    <w:p>
      <w:pPr>
        <w:keepNext w:val="0"/>
        <w:keepLines w:val="0"/>
        <w:pageBreakBefore w:val="0"/>
        <w:kinsoku/>
        <w:wordWrap/>
        <w:overflowPunct/>
        <w:topLinePunct w:val="0"/>
        <w:bidi w:val="0"/>
        <w:snapToGrid w:val="0"/>
        <w:spacing w:line="560" w:lineRule="exact"/>
        <w:ind w:firstLine="640" w:firstLineChars="200"/>
        <w:jc w:val="both"/>
        <w:rPr>
          <w:rFonts w:eastAsia="仿宋_GB2312"/>
          <w:color w:val="000000"/>
          <w:sz w:val="32"/>
          <w:szCs w:val="32"/>
        </w:rPr>
      </w:pPr>
      <w:r>
        <w:rPr>
          <w:rFonts w:hint="eastAsia" w:ascii="仿宋_GB2312" w:hAnsi="仿宋_GB2312" w:eastAsia="仿宋_GB2312" w:cs="仿宋_GB2312"/>
          <w:bCs/>
          <w:sz w:val="32"/>
          <w:szCs w:val="32"/>
          <w:lang w:val="en-US" w:eastAsia="zh-CN"/>
        </w:rPr>
        <w:t>五是</w:t>
      </w:r>
      <w:r>
        <w:rPr>
          <w:rFonts w:hint="eastAsia" w:ascii="仿宋_GB2312" w:hAnsi="仿宋_GB2312" w:eastAsia="仿宋_GB2312" w:cs="仿宋_GB2312"/>
          <w:bCs/>
          <w:sz w:val="32"/>
          <w:szCs w:val="32"/>
        </w:rPr>
        <w:t>抓实“五新同步”，化学农药使用量持续实现负增长。</w:t>
      </w:r>
      <w:r>
        <w:rPr>
          <w:rFonts w:hint="eastAsia" w:ascii="仿宋_GB2312" w:hAnsi="仿宋_GB2312" w:eastAsia="仿宋_GB2312" w:cs="仿宋_GB2312"/>
          <w:color w:val="000000"/>
          <w:sz w:val="32"/>
          <w:szCs w:val="32"/>
        </w:rPr>
        <w:t>坚</w:t>
      </w:r>
      <w:r>
        <w:rPr>
          <w:rFonts w:eastAsia="仿宋_GB2312"/>
          <w:color w:val="000000"/>
          <w:sz w:val="32"/>
          <w:szCs w:val="32"/>
        </w:rPr>
        <w:t>持以农作物病虫害防控新测报、新药剂、新药械、新技术、新方式“五新同步”为抓手，持续推进化学农药减量增效。统筹落实“三棵菜”治理，大力推进食用农产品“治违禁、控药残、促提升”三年行动；积极开展植保无人机等新技术、新产品试验示范；多形式、多途径开展科学安全用药培训，普及应用农药减量技术</w:t>
      </w:r>
      <w:r>
        <w:rPr>
          <w:rFonts w:hint="eastAsia" w:eastAsia="仿宋_GB2312"/>
          <w:color w:val="000000"/>
          <w:sz w:val="32"/>
          <w:szCs w:val="32"/>
        </w:rPr>
        <w:t>。</w:t>
      </w:r>
      <w:r>
        <w:rPr>
          <w:rFonts w:eastAsia="仿宋_GB2312"/>
          <w:color w:val="000000"/>
          <w:sz w:val="32"/>
          <w:szCs w:val="32"/>
        </w:rPr>
        <w:t>2024年</w:t>
      </w:r>
      <w:r>
        <w:rPr>
          <w:rFonts w:hint="eastAsia" w:eastAsia="仿宋_GB2312"/>
          <w:color w:val="000000"/>
          <w:sz w:val="32"/>
          <w:szCs w:val="32"/>
        </w:rPr>
        <w:t>，我省</w:t>
      </w:r>
      <w:r>
        <w:rPr>
          <w:rFonts w:eastAsia="仿宋_GB2312"/>
          <w:color w:val="000000"/>
          <w:sz w:val="32"/>
          <w:szCs w:val="32"/>
        </w:rPr>
        <w:t>水稻等主要粮食作物化学农药使用强度（单位播种面积化学农药使用折百量，下同）比上年减少2%，果菜茶等经济作物化学农药使用强度比上年减少4%，全省化学农药使用量连续9年实现负增长。</w:t>
      </w:r>
    </w:p>
    <w:p>
      <w:pPr>
        <w:pStyle w:val="17"/>
        <w:keepNext w:val="0"/>
        <w:keepLines w:val="0"/>
        <w:pageBreakBefore w:val="0"/>
        <w:widowControl w:val="0"/>
        <w:numPr>
          <w:ilvl w:val="0"/>
          <w:numId w:val="1"/>
        </w:numPr>
        <w:kinsoku/>
        <w:wordWrap/>
        <w:overflowPunct/>
        <w:topLinePunct w:val="0"/>
        <w:bidi w:val="0"/>
        <w:snapToGrid/>
        <w:spacing w:line="600" w:lineRule="exact"/>
        <w:ind w:left="0" w:leftChars="0" w:firstLine="640" w:firstLineChars="200"/>
        <w:jc w:val="both"/>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社会效应</w:t>
      </w:r>
    </w:p>
    <w:p>
      <w:pPr>
        <w:keepNext w:val="0"/>
        <w:keepLines w:val="0"/>
        <w:pageBreakBefore w:val="0"/>
        <w:kinsoku/>
        <w:wordWrap/>
        <w:overflowPunct/>
        <w:topLinePunct w:val="0"/>
        <w:bidi w:val="0"/>
        <w:snapToGrid w:val="0"/>
        <w:spacing w:line="560" w:lineRule="exact"/>
        <w:ind w:firstLine="640" w:firstLineChars="200"/>
        <w:jc w:val="both"/>
        <w:rPr>
          <w:rFonts w:eastAsia="楷体_GB2312"/>
          <w:b/>
          <w:snapToGrid w:val="0"/>
          <w:kern w:val="0"/>
          <w:sz w:val="32"/>
          <w:szCs w:val="32"/>
        </w:rPr>
      </w:pPr>
      <w:r>
        <w:rPr>
          <w:rFonts w:eastAsia="仿宋_GB2312"/>
          <w:sz w:val="32"/>
          <w:szCs w:val="32"/>
        </w:rPr>
        <w:t>充分利用湖南植保植检信息网、湖南植保微信公众号等自有媒体宣传平台加强植保信息服务，配合省政府将全省病虫情报查询服务作为特色公共服务接入“湘易办”超级移动端，推进病虫信息进村入户。加强对</w:t>
      </w:r>
      <w:r>
        <w:rPr>
          <w:rFonts w:hint="eastAsia" w:eastAsia="仿宋_GB2312"/>
          <w:sz w:val="32"/>
          <w:szCs w:val="32"/>
        </w:rPr>
        <w:t>全省</w:t>
      </w:r>
      <w:r>
        <w:rPr>
          <w:rFonts w:eastAsia="仿宋_GB2312"/>
          <w:sz w:val="32"/>
          <w:szCs w:val="32"/>
        </w:rPr>
        <w:t>植保重点工作、重大活动、先进典型等的宣传报道，营造全社会关注支持农作物重大病虫监测防控良好氛围。举办《植保课堂》在线培训8期，为植保工作人员和农户及时提供技术指导。</w:t>
      </w:r>
    </w:p>
    <w:p>
      <w:pPr>
        <w:pStyle w:val="23"/>
        <w:keepNext w:val="0"/>
        <w:keepLines w:val="0"/>
        <w:pageBreakBefore w:val="0"/>
        <w:kinsoku/>
        <w:wordWrap/>
        <w:overflowPunct/>
        <w:topLinePunct w:val="0"/>
        <w:bidi w:val="0"/>
        <w:snapToGrid w:val="0"/>
        <w:spacing w:line="570" w:lineRule="atLeast"/>
        <w:ind w:firstLine="640"/>
        <w:jc w:val="both"/>
        <w:rPr>
          <w:rFonts w:ascii="Times New Roman" w:hAnsi="Times New Roman" w:eastAsia="黑体"/>
          <w:sz w:val="32"/>
          <w:szCs w:val="32"/>
        </w:rPr>
      </w:pPr>
      <w:r>
        <w:rPr>
          <w:rFonts w:ascii="Times New Roman" w:hAnsi="Times New Roman" w:eastAsia="黑体"/>
          <w:sz w:val="32"/>
          <w:szCs w:val="32"/>
        </w:rPr>
        <w:t>七、存在的问题及原因分析</w:t>
      </w:r>
    </w:p>
    <w:p>
      <w:pPr>
        <w:pStyle w:val="17"/>
        <w:keepNext w:val="0"/>
        <w:keepLines w:val="0"/>
        <w:pageBreakBefore w:val="0"/>
        <w:widowControl w:val="0"/>
        <w:kinsoku/>
        <w:wordWrap/>
        <w:overflowPunct/>
        <w:topLinePunct w:val="0"/>
        <w:bidi w:val="0"/>
        <w:snapToGrid/>
        <w:spacing w:line="600" w:lineRule="exact"/>
        <w:ind w:firstLine="800" w:firstLineChars="250"/>
        <w:jc w:val="both"/>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我单位预算执行率有待提高，主要原因是</w:t>
      </w:r>
      <w:r>
        <w:rPr>
          <w:rFonts w:hint="eastAsia" w:ascii="仿宋_GB2312" w:hAnsi="仿宋_GB2312" w:eastAsia="仿宋_GB2312" w:cs="仿宋_GB2312"/>
          <w:sz w:val="32"/>
          <w:szCs w:val="32"/>
          <w:lang w:val="en-US" w:eastAsia="zh-CN"/>
        </w:rPr>
        <w:t>中央基建投资项目资金于第一年全额下达，但是按照项目进度批复，该</w:t>
      </w:r>
      <w:r>
        <w:rPr>
          <w:rFonts w:hint="default" w:ascii="仿宋_GB2312" w:hAnsi="仿宋_GB2312" w:eastAsia="仿宋_GB2312" w:cs="仿宋_GB2312"/>
          <w:sz w:val="32"/>
          <w:szCs w:val="32"/>
          <w:lang w:val="en-US" w:eastAsia="zh-CN"/>
        </w:rPr>
        <w:t>建设期为二年，第一年为项目筹备期，费用发生较少，项目建设费用支出主要发生在第二年</w:t>
      </w:r>
      <w:r>
        <w:rPr>
          <w:rFonts w:hint="eastAsia" w:ascii="仿宋_GB2312" w:hAnsi="仿宋_GB2312" w:eastAsia="仿宋_GB2312" w:cs="仿宋_GB2312"/>
          <w:sz w:val="32"/>
          <w:szCs w:val="32"/>
          <w:lang w:val="en-US" w:eastAsia="zh-CN"/>
        </w:rPr>
        <w:t>，因此导致第一年预算执行率偏低的情况。</w:t>
      </w:r>
    </w:p>
    <w:p>
      <w:pPr>
        <w:keepNext w:val="0"/>
        <w:keepLines w:val="0"/>
        <w:pageBreakBefore w:val="0"/>
        <w:kinsoku/>
        <w:wordWrap/>
        <w:overflowPunct/>
        <w:topLinePunct w:val="0"/>
        <w:bidi w:val="0"/>
        <w:spacing w:line="600" w:lineRule="exact"/>
        <w:ind w:firstLine="640"/>
        <w:jc w:val="both"/>
        <w:rPr>
          <w:rFonts w:eastAsia="黑体"/>
          <w:sz w:val="32"/>
          <w:szCs w:val="32"/>
        </w:rPr>
      </w:pPr>
      <w:r>
        <w:rPr>
          <w:rFonts w:eastAsia="黑体"/>
          <w:sz w:val="32"/>
          <w:szCs w:val="32"/>
        </w:rPr>
        <w:t>八、下一步改进措施</w:t>
      </w:r>
    </w:p>
    <w:p>
      <w:pPr>
        <w:keepNext w:val="0"/>
        <w:keepLines w:val="0"/>
        <w:pageBreakBefore w:val="0"/>
        <w:kinsoku/>
        <w:wordWrap/>
        <w:overflowPunct/>
        <w:topLinePunct w:val="0"/>
        <w:bidi w:val="0"/>
        <w:spacing w:line="600" w:lineRule="exact"/>
        <w:ind w:firstLine="640" w:firstLineChars="200"/>
        <w:jc w:val="both"/>
        <w:rPr>
          <w:rFonts w:eastAsia="黑体"/>
          <w:sz w:val="32"/>
          <w:szCs w:val="32"/>
        </w:rPr>
      </w:pPr>
      <w:r>
        <w:rPr>
          <w:rFonts w:hint="default" w:ascii="仿宋_GB2312" w:hAnsi="仿宋_GB2312" w:eastAsia="仿宋_GB2312" w:cs="仿宋_GB2312"/>
          <w:sz w:val="32"/>
          <w:szCs w:val="32"/>
          <w:lang w:val="en-US" w:eastAsia="zh-CN"/>
        </w:rPr>
        <w:t>制定了“行政推动加快项目实施进度，及时完成项目建设资金支付”的整改措施。</w:t>
      </w:r>
      <w:r>
        <w:rPr>
          <w:rFonts w:hint="eastAsia" w:ascii="仿宋_GB2312" w:hAnsi="仿宋_GB2312" w:eastAsia="仿宋_GB2312" w:cs="仿宋_GB2312"/>
          <w:sz w:val="32"/>
          <w:szCs w:val="32"/>
          <w:lang w:val="en-US" w:eastAsia="zh-CN"/>
        </w:rPr>
        <w:t>一是</w:t>
      </w:r>
      <w:r>
        <w:rPr>
          <w:rFonts w:hint="eastAsia" w:ascii="仿宋" w:hAnsi="仿宋" w:eastAsia="仿宋"/>
          <w:color w:val="auto"/>
          <w:kern w:val="0"/>
          <w:sz w:val="32"/>
          <w:szCs w:val="32"/>
        </w:rPr>
        <w:t>定期对项目实施和预算执行情况进行跟踪，及时掌握项目进度、发现问题和解决问题，按计划推进项目实施</w:t>
      </w:r>
      <w:r>
        <w:rPr>
          <w:rFonts w:hint="eastAsia" w:ascii="仿宋" w:hAnsi="仿宋" w:eastAsia="仿宋" w:cs="仿宋"/>
          <w:color w:val="auto"/>
          <w:sz w:val="32"/>
          <w:szCs w:val="32"/>
          <w:lang w:val="en-US" w:eastAsia="zh-CN"/>
        </w:rPr>
        <w:t>；二是</w:t>
      </w:r>
      <w:r>
        <w:rPr>
          <w:rFonts w:hint="eastAsia" w:ascii="Times New Roman" w:hAnsi="Times New Roman" w:eastAsia="仿宋_GB2312"/>
          <w:sz w:val="32"/>
          <w:szCs w:val="32"/>
          <w:lang w:val="en-US" w:eastAsia="zh-CN"/>
        </w:rPr>
        <w:t>项目实施后督促按计划推进，完工后及时按程序验收，及时支付项目款，进一步提高我单位的预算执行率。</w:t>
      </w:r>
    </w:p>
    <w:p>
      <w:pPr>
        <w:keepNext w:val="0"/>
        <w:keepLines w:val="0"/>
        <w:pageBreakBefore w:val="0"/>
        <w:kinsoku/>
        <w:wordWrap/>
        <w:overflowPunct/>
        <w:topLinePunct w:val="0"/>
        <w:bidi w:val="0"/>
        <w:spacing w:line="600" w:lineRule="exact"/>
        <w:ind w:firstLine="640"/>
        <w:jc w:val="both"/>
        <w:rPr>
          <w:rFonts w:eastAsia="黑体"/>
          <w:sz w:val="32"/>
          <w:szCs w:val="32"/>
        </w:rPr>
      </w:pPr>
      <w:r>
        <w:rPr>
          <w:rFonts w:eastAsia="黑体"/>
          <w:sz w:val="32"/>
          <w:szCs w:val="32"/>
        </w:rPr>
        <w:t>九、绩效自评结果拟应用和公开情况</w:t>
      </w:r>
    </w:p>
    <w:p>
      <w:pPr>
        <w:keepNext w:val="0"/>
        <w:keepLines w:val="0"/>
        <w:pageBreakBefore w:val="0"/>
        <w:kinsoku/>
        <w:wordWrap/>
        <w:overflowPunct/>
        <w:topLinePunct w:val="0"/>
        <w:bidi w:val="0"/>
        <w:spacing w:line="600" w:lineRule="exact"/>
        <w:ind w:firstLine="640" w:firstLineChars="200"/>
        <w:jc w:val="both"/>
        <w:rPr>
          <w:rFonts w:hint="eastAsia" w:ascii="仿宋" w:hAnsi="仿宋" w:eastAsia="仿宋"/>
          <w:color w:val="auto"/>
          <w:kern w:val="0"/>
          <w:sz w:val="32"/>
          <w:szCs w:val="32"/>
          <w:lang w:val="en-US" w:eastAsia="zh-CN"/>
        </w:rPr>
      </w:pPr>
      <w:r>
        <w:rPr>
          <w:rFonts w:hint="eastAsia" w:ascii="仿宋" w:hAnsi="仿宋" w:eastAsia="仿宋"/>
          <w:color w:val="auto"/>
          <w:kern w:val="0"/>
          <w:sz w:val="32"/>
          <w:szCs w:val="32"/>
          <w:lang w:val="en-US" w:eastAsia="zh-CN"/>
        </w:rPr>
        <w:t>绩效</w:t>
      </w:r>
      <w:r>
        <w:rPr>
          <w:rFonts w:hint="default" w:ascii="仿宋" w:hAnsi="仿宋" w:eastAsia="仿宋"/>
          <w:color w:val="auto"/>
          <w:kern w:val="0"/>
          <w:sz w:val="32"/>
          <w:szCs w:val="32"/>
          <w:lang w:val="en-US" w:eastAsia="zh-CN"/>
        </w:rPr>
        <w:t>自评结果拟应用</w:t>
      </w:r>
      <w:r>
        <w:rPr>
          <w:rFonts w:hint="eastAsia" w:ascii="仿宋" w:hAnsi="仿宋" w:eastAsia="仿宋"/>
          <w:color w:val="auto"/>
          <w:kern w:val="0"/>
          <w:sz w:val="32"/>
          <w:szCs w:val="32"/>
          <w:lang w:val="en-US" w:eastAsia="zh-CN"/>
        </w:rPr>
        <w:t>于优化以后年度预算编制、</w:t>
      </w:r>
      <w:r>
        <w:rPr>
          <w:rFonts w:hint="default" w:ascii="仿宋" w:hAnsi="仿宋" w:eastAsia="仿宋"/>
          <w:color w:val="auto"/>
          <w:kern w:val="0"/>
          <w:sz w:val="32"/>
          <w:szCs w:val="32"/>
          <w:lang w:val="en-US" w:eastAsia="zh-CN"/>
        </w:rPr>
        <w:t>强化项目管理</w:t>
      </w:r>
      <w:r>
        <w:rPr>
          <w:rFonts w:hint="eastAsia" w:ascii="仿宋" w:hAnsi="仿宋" w:eastAsia="仿宋"/>
          <w:color w:val="auto"/>
          <w:kern w:val="0"/>
          <w:sz w:val="32"/>
          <w:szCs w:val="32"/>
          <w:lang w:val="en-US" w:eastAsia="zh-CN"/>
        </w:rPr>
        <w:t>、</w:t>
      </w:r>
      <w:r>
        <w:rPr>
          <w:rFonts w:hint="default" w:ascii="仿宋" w:hAnsi="仿宋" w:eastAsia="仿宋"/>
          <w:color w:val="auto"/>
          <w:kern w:val="0"/>
          <w:sz w:val="32"/>
          <w:szCs w:val="32"/>
          <w:lang w:val="en-US" w:eastAsia="zh-CN"/>
        </w:rPr>
        <w:t>提升协同效能</w:t>
      </w:r>
      <w:r>
        <w:rPr>
          <w:rFonts w:hint="eastAsia" w:ascii="仿宋" w:hAnsi="仿宋" w:eastAsia="仿宋"/>
          <w:color w:val="auto"/>
          <w:kern w:val="0"/>
          <w:sz w:val="32"/>
          <w:szCs w:val="32"/>
          <w:lang w:val="en-US" w:eastAsia="zh-CN"/>
        </w:rPr>
        <w:t>方面。向湖南省农业农村厅报送完整自评报告及自评表，在规定时间内通过湖南省农业农村厅官网向社会公开自评结果。</w:t>
      </w:r>
    </w:p>
    <w:p>
      <w:pPr>
        <w:keepNext w:val="0"/>
        <w:keepLines w:val="0"/>
        <w:pageBreakBefore w:val="0"/>
        <w:kinsoku/>
        <w:wordWrap/>
        <w:overflowPunct/>
        <w:topLinePunct w:val="0"/>
        <w:bidi w:val="0"/>
        <w:spacing w:line="600" w:lineRule="exact"/>
        <w:ind w:firstLine="640"/>
        <w:jc w:val="both"/>
        <w:rPr>
          <w:rFonts w:eastAsia="黑体"/>
          <w:sz w:val="32"/>
          <w:szCs w:val="32"/>
        </w:rPr>
      </w:pPr>
      <w:r>
        <w:rPr>
          <w:rFonts w:hint="eastAsia" w:eastAsia="黑体"/>
          <w:sz w:val="32"/>
          <w:szCs w:val="32"/>
          <w:lang w:val="en-US" w:eastAsia="zh-CN"/>
        </w:rPr>
        <w:t>十、</w:t>
      </w:r>
      <w:r>
        <w:rPr>
          <w:rFonts w:eastAsia="黑体"/>
          <w:sz w:val="32"/>
          <w:szCs w:val="32"/>
        </w:rPr>
        <w:t>其他需要说明的情况</w:t>
      </w:r>
    </w:p>
    <w:p>
      <w:pPr>
        <w:keepNext w:val="0"/>
        <w:keepLines w:val="0"/>
        <w:pageBreakBefore w:val="0"/>
        <w:kinsoku/>
        <w:wordWrap/>
        <w:overflowPunct/>
        <w:topLinePunct w:val="0"/>
        <w:bidi w:val="0"/>
        <w:spacing w:line="600" w:lineRule="exact"/>
        <w:ind w:firstLine="640" w:firstLineChars="200"/>
        <w:jc w:val="both"/>
        <w:rPr>
          <w:rFonts w:hint="default" w:ascii="仿宋" w:hAnsi="仿宋" w:eastAsia="仿宋"/>
          <w:color w:val="auto"/>
          <w:kern w:val="0"/>
          <w:sz w:val="32"/>
          <w:szCs w:val="32"/>
          <w:lang w:val="en-US" w:eastAsia="zh-CN"/>
        </w:rPr>
      </w:pPr>
      <w:r>
        <w:rPr>
          <w:rFonts w:hint="eastAsia" w:ascii="仿宋" w:hAnsi="仿宋" w:eastAsia="仿宋"/>
          <w:color w:val="auto"/>
          <w:kern w:val="0"/>
          <w:sz w:val="32"/>
          <w:szCs w:val="32"/>
          <w:lang w:val="en-US" w:eastAsia="zh-CN"/>
        </w:rPr>
        <w:t>无</w:t>
      </w:r>
    </w:p>
    <w:p>
      <w:pPr>
        <w:keepNext w:val="0"/>
        <w:keepLines w:val="0"/>
        <w:pageBreakBefore w:val="0"/>
        <w:kinsoku/>
        <w:wordWrap/>
        <w:overflowPunct/>
        <w:topLinePunct w:val="0"/>
        <w:bidi w:val="0"/>
        <w:spacing w:line="600" w:lineRule="exact"/>
        <w:ind w:firstLine="640" w:firstLineChars="200"/>
        <w:jc w:val="both"/>
        <w:rPr>
          <w:rFonts w:hint="eastAsia" w:ascii="仿宋" w:hAnsi="仿宋" w:eastAsia="仿宋"/>
          <w:color w:val="auto"/>
          <w:kern w:val="0"/>
          <w:sz w:val="32"/>
          <w:szCs w:val="32"/>
          <w:lang w:val="en-US" w:eastAsia="zh-CN"/>
        </w:rPr>
      </w:pPr>
    </w:p>
    <w:p>
      <w:pPr>
        <w:keepNext w:val="0"/>
        <w:keepLines w:val="0"/>
        <w:pageBreakBefore w:val="0"/>
        <w:kinsoku/>
        <w:wordWrap/>
        <w:overflowPunct/>
        <w:topLinePunct w:val="0"/>
        <w:bidi w:val="0"/>
        <w:spacing w:line="600" w:lineRule="exact"/>
        <w:ind w:firstLine="640" w:firstLineChars="200"/>
        <w:jc w:val="both"/>
        <w:rPr>
          <w:rFonts w:hint="eastAsia" w:ascii="仿宋" w:hAnsi="仿宋" w:eastAsia="仿宋"/>
          <w:color w:val="auto"/>
          <w:kern w:val="0"/>
          <w:sz w:val="32"/>
          <w:szCs w:val="32"/>
          <w:lang w:val="en-US" w:eastAsia="zh-CN"/>
        </w:rPr>
      </w:pPr>
      <w:r>
        <w:rPr>
          <w:rFonts w:hint="eastAsia" w:ascii="仿宋" w:hAnsi="仿宋" w:eastAsia="仿宋"/>
          <w:color w:val="auto"/>
          <w:kern w:val="0"/>
          <w:sz w:val="32"/>
          <w:szCs w:val="32"/>
          <w:lang w:val="en-US" w:eastAsia="zh-CN"/>
        </w:rPr>
        <w:t>附件：</w:t>
      </w:r>
    </w:p>
    <w:p>
      <w:pPr>
        <w:keepNext w:val="0"/>
        <w:keepLines w:val="0"/>
        <w:pageBreakBefore w:val="0"/>
        <w:kinsoku/>
        <w:wordWrap/>
        <w:overflowPunct/>
        <w:topLinePunct w:val="0"/>
        <w:bidi w:val="0"/>
        <w:spacing w:line="600" w:lineRule="exact"/>
        <w:ind w:firstLine="640" w:firstLineChars="200"/>
        <w:jc w:val="both"/>
        <w:rPr>
          <w:rFonts w:hint="eastAsia" w:ascii="仿宋" w:hAnsi="仿宋" w:eastAsia="仿宋"/>
          <w:color w:val="auto"/>
          <w:kern w:val="0"/>
          <w:sz w:val="32"/>
          <w:szCs w:val="32"/>
          <w:lang w:val="en-US" w:eastAsia="zh-CN"/>
        </w:rPr>
      </w:pPr>
      <w:r>
        <w:rPr>
          <w:rFonts w:hint="eastAsia" w:ascii="仿宋" w:hAnsi="仿宋" w:eastAsia="仿宋"/>
          <w:color w:val="auto"/>
          <w:kern w:val="0"/>
          <w:sz w:val="32"/>
          <w:szCs w:val="32"/>
          <w:lang w:val="en-US" w:eastAsia="zh-CN"/>
        </w:rPr>
        <w:t>1、部门整体支出绩效评价基础数据表</w:t>
      </w:r>
    </w:p>
    <w:p>
      <w:pPr>
        <w:keepNext w:val="0"/>
        <w:keepLines w:val="0"/>
        <w:pageBreakBefore w:val="0"/>
        <w:kinsoku/>
        <w:wordWrap/>
        <w:overflowPunct/>
        <w:topLinePunct w:val="0"/>
        <w:bidi w:val="0"/>
        <w:spacing w:line="600" w:lineRule="exact"/>
        <w:ind w:firstLine="640" w:firstLineChars="200"/>
        <w:jc w:val="both"/>
        <w:rPr>
          <w:rFonts w:hint="eastAsia" w:ascii="仿宋" w:hAnsi="仿宋" w:eastAsia="仿宋"/>
          <w:color w:val="auto"/>
          <w:kern w:val="0"/>
          <w:sz w:val="32"/>
          <w:szCs w:val="32"/>
          <w:lang w:val="en-US" w:eastAsia="zh-CN"/>
        </w:rPr>
      </w:pPr>
      <w:r>
        <w:rPr>
          <w:rFonts w:hint="eastAsia" w:ascii="仿宋" w:hAnsi="仿宋" w:eastAsia="仿宋"/>
          <w:color w:val="auto"/>
          <w:kern w:val="0"/>
          <w:sz w:val="32"/>
          <w:szCs w:val="32"/>
          <w:lang w:val="en-US" w:eastAsia="zh-CN"/>
        </w:rPr>
        <w:t>2、部门整体支出绩效自评表</w:t>
      </w:r>
    </w:p>
    <w:p>
      <w:pPr>
        <w:keepNext w:val="0"/>
        <w:keepLines w:val="0"/>
        <w:pageBreakBefore w:val="0"/>
        <w:kinsoku/>
        <w:wordWrap/>
        <w:overflowPunct/>
        <w:topLinePunct w:val="0"/>
        <w:bidi w:val="0"/>
        <w:spacing w:line="600" w:lineRule="exact"/>
        <w:ind w:firstLine="640" w:firstLineChars="200"/>
        <w:jc w:val="both"/>
        <w:rPr>
          <w:rFonts w:hint="eastAsia" w:ascii="仿宋" w:hAnsi="仿宋" w:eastAsia="仿宋"/>
          <w:color w:val="auto"/>
          <w:kern w:val="0"/>
          <w:sz w:val="32"/>
          <w:szCs w:val="32"/>
          <w:lang w:val="en-US" w:eastAsia="zh-CN"/>
        </w:rPr>
      </w:pPr>
      <w:r>
        <w:rPr>
          <w:rFonts w:hint="eastAsia" w:ascii="仿宋" w:hAnsi="仿宋" w:eastAsia="仿宋"/>
          <w:color w:val="auto"/>
          <w:kern w:val="0"/>
          <w:sz w:val="32"/>
          <w:szCs w:val="32"/>
          <w:lang w:val="en-US" w:eastAsia="zh-CN"/>
        </w:rPr>
        <w:t>3、项目支出绩效自评表（省级专项）</w:t>
      </w:r>
    </w:p>
    <w:p>
      <w:pPr>
        <w:keepNext w:val="0"/>
        <w:keepLines w:val="0"/>
        <w:pageBreakBefore w:val="0"/>
        <w:kinsoku/>
        <w:wordWrap/>
        <w:overflowPunct/>
        <w:topLinePunct w:val="0"/>
        <w:bidi w:val="0"/>
        <w:spacing w:line="600" w:lineRule="exact"/>
        <w:ind w:firstLine="640" w:firstLineChars="200"/>
        <w:jc w:val="both"/>
        <w:rPr>
          <w:rFonts w:hint="eastAsia" w:ascii="仿宋" w:hAnsi="仿宋" w:eastAsia="仿宋"/>
          <w:color w:val="auto"/>
          <w:kern w:val="0"/>
          <w:sz w:val="32"/>
          <w:szCs w:val="32"/>
          <w:lang w:val="en-US" w:eastAsia="zh-CN"/>
        </w:rPr>
      </w:pPr>
      <w:r>
        <w:rPr>
          <w:rFonts w:hint="eastAsia" w:ascii="仿宋" w:hAnsi="仿宋" w:eastAsia="仿宋"/>
          <w:color w:val="auto"/>
          <w:kern w:val="0"/>
          <w:sz w:val="32"/>
          <w:szCs w:val="32"/>
          <w:lang w:val="en-US" w:eastAsia="zh-CN"/>
        </w:rPr>
        <w:t>4、项目支出绩效自评表（其他事业类发展资金）</w:t>
      </w:r>
    </w:p>
    <w:p>
      <w:pPr>
        <w:pStyle w:val="2"/>
        <w:rPr>
          <w:rFonts w:hint="eastAsia" w:ascii="仿宋" w:hAnsi="仿宋" w:eastAsia="仿宋"/>
          <w:color w:val="auto"/>
          <w:kern w:val="0"/>
          <w:sz w:val="32"/>
          <w:szCs w:val="32"/>
          <w:lang w:val="en-US" w:eastAsia="zh-CN"/>
        </w:rPr>
      </w:pPr>
    </w:p>
    <w:p>
      <w:pPr>
        <w:rPr>
          <w:rFonts w:hint="eastAsia" w:ascii="仿宋" w:hAnsi="仿宋" w:eastAsia="仿宋"/>
          <w:color w:val="auto"/>
          <w:kern w:val="0"/>
          <w:sz w:val="32"/>
          <w:szCs w:val="32"/>
          <w:lang w:val="en-US" w:eastAsia="zh-CN"/>
        </w:rPr>
      </w:pPr>
    </w:p>
    <w:p>
      <w:pPr>
        <w:pStyle w:val="2"/>
        <w:rPr>
          <w:rFonts w:hint="eastAsia" w:ascii="仿宋" w:hAnsi="仿宋" w:eastAsia="仿宋"/>
          <w:color w:val="auto"/>
          <w:kern w:val="0"/>
          <w:sz w:val="32"/>
          <w:szCs w:val="32"/>
          <w:lang w:val="en-US" w:eastAsia="zh-CN"/>
        </w:rPr>
      </w:pPr>
    </w:p>
    <w:p>
      <w:pPr>
        <w:rPr>
          <w:rFonts w:hint="eastAsia" w:ascii="仿宋" w:hAnsi="仿宋" w:eastAsia="仿宋"/>
          <w:color w:val="auto"/>
          <w:kern w:val="0"/>
          <w:sz w:val="32"/>
          <w:szCs w:val="32"/>
          <w:lang w:val="en-US" w:eastAsia="zh-CN"/>
        </w:rPr>
      </w:pPr>
    </w:p>
    <w:p>
      <w:pPr>
        <w:pStyle w:val="2"/>
        <w:rPr>
          <w:rFonts w:hint="eastAsia" w:ascii="仿宋" w:hAnsi="仿宋" w:eastAsia="仿宋"/>
          <w:color w:val="auto"/>
          <w:kern w:val="0"/>
          <w:sz w:val="32"/>
          <w:szCs w:val="32"/>
          <w:lang w:val="en-US" w:eastAsia="zh-CN"/>
        </w:rPr>
      </w:pPr>
    </w:p>
    <w:p>
      <w:pPr>
        <w:rPr>
          <w:rFonts w:hint="eastAsia" w:ascii="仿宋" w:hAnsi="仿宋" w:eastAsia="仿宋"/>
          <w:color w:val="auto"/>
          <w:kern w:val="0"/>
          <w:sz w:val="32"/>
          <w:szCs w:val="32"/>
          <w:lang w:val="en-US" w:eastAsia="zh-CN"/>
        </w:rPr>
      </w:pPr>
    </w:p>
    <w:p>
      <w:pPr>
        <w:pStyle w:val="2"/>
        <w:rPr>
          <w:rFonts w:hint="eastAsia" w:ascii="仿宋" w:hAnsi="仿宋" w:eastAsia="仿宋"/>
          <w:color w:val="auto"/>
          <w:kern w:val="0"/>
          <w:sz w:val="32"/>
          <w:szCs w:val="32"/>
          <w:lang w:val="en-US" w:eastAsia="zh-CN"/>
        </w:rPr>
      </w:pPr>
    </w:p>
    <w:p>
      <w:pPr>
        <w:rPr>
          <w:rFonts w:hint="eastAsia" w:ascii="仿宋" w:hAnsi="仿宋" w:eastAsia="仿宋"/>
          <w:color w:val="auto"/>
          <w:kern w:val="0"/>
          <w:sz w:val="32"/>
          <w:szCs w:val="32"/>
          <w:lang w:val="en-US" w:eastAsia="zh-CN"/>
        </w:rPr>
      </w:pPr>
    </w:p>
    <w:p>
      <w:pPr>
        <w:pStyle w:val="2"/>
        <w:rPr>
          <w:rFonts w:hint="eastAsia" w:ascii="仿宋" w:hAnsi="仿宋" w:eastAsia="仿宋"/>
          <w:color w:val="auto"/>
          <w:kern w:val="0"/>
          <w:sz w:val="32"/>
          <w:szCs w:val="32"/>
          <w:lang w:val="en-US" w:eastAsia="zh-CN"/>
        </w:rPr>
      </w:pPr>
    </w:p>
    <w:p>
      <w:pPr>
        <w:rPr>
          <w:rFonts w:hint="eastAsia" w:ascii="仿宋" w:hAnsi="仿宋" w:eastAsia="仿宋"/>
          <w:color w:val="auto"/>
          <w:kern w:val="0"/>
          <w:sz w:val="32"/>
          <w:szCs w:val="32"/>
          <w:lang w:val="en-US" w:eastAsia="zh-CN"/>
        </w:rPr>
      </w:pPr>
    </w:p>
    <w:p>
      <w:pPr>
        <w:pStyle w:val="2"/>
        <w:rPr>
          <w:rFonts w:hint="eastAsia" w:ascii="仿宋" w:hAnsi="仿宋" w:eastAsia="仿宋"/>
          <w:color w:val="auto"/>
          <w:kern w:val="0"/>
          <w:sz w:val="32"/>
          <w:szCs w:val="32"/>
          <w:lang w:val="en-US" w:eastAsia="zh-CN"/>
        </w:rPr>
      </w:pPr>
    </w:p>
    <w:p>
      <w:pPr>
        <w:rPr>
          <w:rFonts w:hint="eastAsia" w:ascii="仿宋" w:hAnsi="仿宋" w:eastAsia="仿宋"/>
          <w:color w:val="auto"/>
          <w:kern w:val="0"/>
          <w:sz w:val="32"/>
          <w:szCs w:val="32"/>
          <w:lang w:val="en-US" w:eastAsia="zh-CN"/>
        </w:rPr>
      </w:pPr>
    </w:p>
    <w:p>
      <w:pPr>
        <w:pStyle w:val="2"/>
        <w:rPr>
          <w:rFonts w:hint="eastAsia" w:ascii="仿宋" w:hAnsi="仿宋" w:eastAsia="仿宋"/>
          <w:color w:val="auto"/>
          <w:kern w:val="0"/>
          <w:sz w:val="32"/>
          <w:szCs w:val="32"/>
          <w:lang w:val="en-US" w:eastAsia="zh-CN"/>
        </w:rPr>
      </w:pPr>
    </w:p>
    <w:p>
      <w:pPr>
        <w:rPr>
          <w:rFonts w:hint="eastAsia" w:ascii="仿宋" w:hAnsi="仿宋" w:eastAsia="仿宋"/>
          <w:color w:val="auto"/>
          <w:kern w:val="0"/>
          <w:sz w:val="32"/>
          <w:szCs w:val="32"/>
          <w:lang w:val="en-US" w:eastAsia="zh-CN"/>
        </w:rPr>
      </w:pPr>
    </w:p>
    <w:p>
      <w:pPr>
        <w:pStyle w:val="2"/>
        <w:rPr>
          <w:rFonts w:hint="eastAsia" w:ascii="仿宋" w:hAnsi="仿宋" w:eastAsia="仿宋"/>
          <w:color w:val="auto"/>
          <w:kern w:val="0"/>
          <w:sz w:val="32"/>
          <w:szCs w:val="32"/>
          <w:lang w:val="en-US" w:eastAsia="zh-CN"/>
        </w:rPr>
      </w:pPr>
    </w:p>
    <w:p>
      <w:pPr>
        <w:rPr>
          <w:rFonts w:hint="eastAsia" w:ascii="仿宋" w:hAnsi="仿宋" w:eastAsia="仿宋"/>
          <w:color w:val="auto"/>
          <w:kern w:val="0"/>
          <w:sz w:val="32"/>
          <w:szCs w:val="32"/>
          <w:lang w:val="en-US" w:eastAsia="zh-CN"/>
        </w:rPr>
      </w:pPr>
    </w:p>
    <w:p>
      <w:pPr>
        <w:pStyle w:val="2"/>
        <w:rPr>
          <w:rFonts w:hint="eastAsia" w:ascii="仿宋" w:hAnsi="仿宋" w:eastAsia="仿宋"/>
          <w:color w:val="auto"/>
          <w:kern w:val="0"/>
          <w:sz w:val="32"/>
          <w:szCs w:val="32"/>
          <w:lang w:val="en-US" w:eastAsia="zh-CN"/>
        </w:rPr>
      </w:pPr>
    </w:p>
    <w:p>
      <w:pPr>
        <w:pStyle w:val="4"/>
        <w:ind w:firstLine="0" w:firstLineChars="0"/>
      </w:pPr>
    </w:p>
    <w:p>
      <w:pPr>
        <w:pStyle w:val="4"/>
        <w:ind w:firstLine="0" w:firstLineChars="0"/>
      </w:pPr>
      <w:r>
        <w:t>附件1</w:t>
      </w:r>
    </w:p>
    <w:p>
      <w:pPr>
        <w:pStyle w:val="3"/>
        <w:spacing w:before="144" w:beforeLines="25" w:after="144" w:afterLines="25" w:line="500" w:lineRule="exact"/>
        <w:rPr>
          <w:sz w:val="36"/>
          <w:szCs w:val="36"/>
        </w:rPr>
      </w:pPr>
      <w:r>
        <w:rPr>
          <w:sz w:val="36"/>
          <w:szCs w:val="36"/>
        </w:rPr>
        <w:t>部门整体支出绩效评价基础数据表</w:t>
      </w:r>
    </w:p>
    <w:tbl>
      <w:tblPr>
        <w:tblStyle w:val="12"/>
        <w:tblW w:w="9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5"/>
        <w:gridCol w:w="1276"/>
        <w:gridCol w:w="992"/>
        <w:gridCol w:w="1108"/>
        <w:gridCol w:w="1111"/>
        <w:gridCol w:w="969"/>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财政供养人员情况</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编制数</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2024年实际在职人数</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40</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35</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经费控制情况</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2023年决算数</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2024年预算数</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
                <w:bCs/>
                <w:kern w:val="0"/>
                <w:sz w:val="21"/>
                <w:szCs w:val="21"/>
              </w:rPr>
            </w:pPr>
            <w:r>
              <w:rPr>
                <w:b/>
                <w:bCs/>
                <w:kern w:val="0"/>
                <w:sz w:val="21"/>
                <w:szCs w:val="21"/>
              </w:rPr>
              <w:t>2024年决算数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三公经费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5.17</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5.5</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1、公务用车购置和维护经费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4.86</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eastAsia="仿宋_GB2312"/>
                <w:kern w:val="0"/>
                <w:sz w:val="21"/>
                <w:szCs w:val="21"/>
                <w:lang w:val="en-US" w:eastAsia="zh-CN"/>
              </w:rPr>
            </w:pPr>
            <w:r>
              <w:rPr>
                <w:rFonts w:hint="eastAsia"/>
                <w:kern w:val="0"/>
                <w:sz w:val="21"/>
                <w:szCs w:val="21"/>
                <w:lang w:val="en-US" w:eastAsia="zh-CN"/>
              </w:rPr>
              <w:t>5</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5</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其中：公车购置</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公车运行维护</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4.86</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5</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5</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2、出国经费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3、公务接待</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0.31</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0.5</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0.37</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项目支出：</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1687.98</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3875.96</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1362.06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1、业务工作经费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2、运行维护经费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420"/>
              <w:jc w:val="left"/>
              <w:rPr>
                <w:kern w:val="0"/>
                <w:sz w:val="21"/>
                <w:szCs w:val="21"/>
              </w:rPr>
            </w:pPr>
            <w:r>
              <w:rPr>
                <w:kern w:val="0"/>
                <w:sz w:val="21"/>
                <w:szCs w:val="21"/>
              </w:rPr>
              <w:t>3、省级专项资金</w:t>
            </w:r>
          </w:p>
          <w:p>
            <w:pPr>
              <w:widowControl/>
              <w:adjustRightInd/>
              <w:snapToGrid/>
              <w:spacing w:line="280" w:lineRule="exact"/>
              <w:ind w:firstLine="630" w:firstLineChars="300"/>
              <w:jc w:val="left"/>
              <w:rPr>
                <w:kern w:val="0"/>
                <w:sz w:val="21"/>
                <w:szCs w:val="21"/>
              </w:rPr>
            </w:pPr>
            <w:r>
              <w:rPr>
                <w:kern w:val="0"/>
                <w:sz w:val="21"/>
                <w:szCs w:val="21"/>
              </w:rPr>
              <w:t>（一个专项一行）</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167.69</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237.76</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170.76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firstLine="420" w:firstLineChars="200"/>
              <w:jc w:val="left"/>
              <w:textAlignment w:val="auto"/>
              <w:rPr>
                <w:kern w:val="0"/>
                <w:sz w:val="21"/>
                <w:szCs w:val="21"/>
              </w:rPr>
            </w:pPr>
            <w:r>
              <w:rPr>
                <w:rFonts w:hint="eastAsia"/>
                <w:kern w:val="0"/>
                <w:sz w:val="21"/>
                <w:szCs w:val="21"/>
              </w:rPr>
              <w:t>现代农业发展-种植产业发展-春耕生产工作经费-1</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6.00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12.00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firstLine="420" w:firstLineChars="200"/>
              <w:jc w:val="left"/>
              <w:textAlignment w:val="auto"/>
              <w:rPr>
                <w:rFonts w:hint="default" w:eastAsia="仿宋_GB2312"/>
                <w:kern w:val="0"/>
                <w:sz w:val="21"/>
                <w:szCs w:val="21"/>
                <w:lang w:val="en-US" w:eastAsia="zh-CN"/>
              </w:rPr>
            </w:pPr>
            <w:r>
              <w:rPr>
                <w:rFonts w:hint="eastAsia"/>
                <w:kern w:val="0"/>
                <w:sz w:val="21"/>
                <w:szCs w:val="21"/>
              </w:rPr>
              <w:t>现代农业发展-植保创新活动经费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0.42</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eastAsia="仿宋_GB2312"/>
                <w:kern w:val="0"/>
                <w:sz w:val="21"/>
                <w:szCs w:val="21"/>
                <w:lang w:val="en-US" w:eastAsia="zh-CN"/>
              </w:rPr>
            </w:pPr>
            <w:r>
              <w:rPr>
                <w:rFonts w:hint="eastAsia"/>
                <w:kern w:val="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firstLine="420" w:firstLineChars="200"/>
              <w:jc w:val="left"/>
              <w:textAlignment w:val="auto"/>
              <w:rPr>
                <w:kern w:val="0"/>
                <w:sz w:val="21"/>
                <w:szCs w:val="21"/>
              </w:rPr>
            </w:pPr>
            <w:r>
              <w:rPr>
                <w:rFonts w:hint="eastAsia"/>
                <w:kern w:val="0"/>
                <w:sz w:val="21"/>
                <w:szCs w:val="21"/>
              </w:rPr>
              <w:t>现代农业发展-植保设备购置经费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4.66</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13.00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firstLine="420" w:firstLineChars="200"/>
              <w:jc w:val="left"/>
              <w:textAlignment w:val="auto"/>
              <w:rPr>
                <w:kern w:val="0"/>
                <w:sz w:val="21"/>
                <w:szCs w:val="21"/>
              </w:rPr>
            </w:pPr>
            <w:r>
              <w:rPr>
                <w:rFonts w:hint="eastAsia"/>
                <w:kern w:val="0"/>
                <w:sz w:val="21"/>
                <w:szCs w:val="21"/>
              </w:rPr>
              <w:t>现代农业发展-植保重点工作推进经费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36.21</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52.60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36.57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firstLine="420" w:firstLineChars="200"/>
              <w:jc w:val="left"/>
              <w:textAlignment w:val="auto"/>
              <w:rPr>
                <w:kern w:val="0"/>
                <w:sz w:val="21"/>
                <w:szCs w:val="21"/>
              </w:rPr>
            </w:pPr>
            <w:r>
              <w:rPr>
                <w:rFonts w:hint="eastAsia"/>
                <w:kern w:val="0"/>
                <w:sz w:val="21"/>
                <w:szCs w:val="21"/>
              </w:rPr>
              <w:t>现代农业发展-植保信息化建设</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13.82</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20.00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18.56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firstLine="420" w:firstLineChars="200"/>
              <w:jc w:val="left"/>
              <w:textAlignment w:val="auto"/>
              <w:rPr>
                <w:kern w:val="0"/>
                <w:sz w:val="21"/>
                <w:szCs w:val="21"/>
              </w:rPr>
            </w:pPr>
            <w:r>
              <w:rPr>
                <w:rFonts w:hint="eastAsia"/>
                <w:kern w:val="0"/>
                <w:sz w:val="21"/>
                <w:szCs w:val="21"/>
              </w:rPr>
              <w:t>现代农业发展-种植产业发展-农药减量工作经费-1-1</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left="0" w:leftChars="0" w:firstLine="0" w:firstLineChars="0"/>
              <w:jc w:val="center"/>
              <w:rPr>
                <w:rFonts w:hint="default" w:eastAsia="仿宋_GB2312"/>
                <w:kern w:val="0"/>
                <w:sz w:val="21"/>
                <w:szCs w:val="21"/>
                <w:lang w:val="en-US" w:eastAsia="zh-CN"/>
              </w:rPr>
            </w:pPr>
            <w:r>
              <w:rPr>
                <w:rFonts w:hint="eastAsia"/>
                <w:kern w:val="0"/>
                <w:sz w:val="21"/>
                <w:szCs w:val="21"/>
                <w:lang w:val="en-US" w:eastAsia="zh-CN"/>
              </w:rPr>
              <w:t>26.13</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4.00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firstLine="420" w:firstLineChars="200"/>
              <w:jc w:val="left"/>
              <w:textAlignment w:val="auto"/>
              <w:rPr>
                <w:kern w:val="0"/>
                <w:sz w:val="21"/>
                <w:szCs w:val="21"/>
              </w:rPr>
            </w:pPr>
            <w:r>
              <w:rPr>
                <w:rFonts w:hint="eastAsia"/>
                <w:kern w:val="0"/>
                <w:sz w:val="21"/>
                <w:szCs w:val="21"/>
              </w:rPr>
              <w:t>现代农业发展-植保专技培训经费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32.00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70.00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50.54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jc w:val="left"/>
              <w:rPr>
                <w:kern w:val="0"/>
                <w:sz w:val="21"/>
                <w:szCs w:val="21"/>
              </w:rPr>
            </w:pPr>
            <w:r>
              <w:rPr>
                <w:rFonts w:hint="eastAsia"/>
                <w:kern w:val="0"/>
                <w:sz w:val="21"/>
                <w:szCs w:val="21"/>
              </w:rPr>
              <w:t>现代农业发展－检疫执法着装费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eastAsia="仿宋_GB2312"/>
                <w:kern w:val="0"/>
                <w:sz w:val="21"/>
                <w:szCs w:val="21"/>
                <w:lang w:val="en-US" w:eastAsia="zh-CN"/>
              </w:rPr>
            </w:pPr>
            <w:r>
              <w:rPr>
                <w:rFonts w:hint="eastAsia"/>
                <w:kern w:val="0"/>
                <w:sz w:val="21"/>
                <w:szCs w:val="21"/>
                <w:lang w:val="en-US" w:eastAsia="zh-CN"/>
              </w:rPr>
              <w:t>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kern w:val="0"/>
                <w:sz w:val="21"/>
                <w:szCs w:val="21"/>
                <w:lang w:val="en-US" w:eastAsia="zh-CN"/>
              </w:rPr>
            </w:pPr>
            <w:r>
              <w:rPr>
                <w:rFonts w:hint="eastAsia"/>
                <w:kern w:val="0"/>
                <w:sz w:val="21"/>
                <w:szCs w:val="21"/>
                <w:lang w:val="en-US" w:eastAsia="zh-CN"/>
              </w:rPr>
              <w:t>0.40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eastAsia="仿宋_GB2312"/>
                <w:kern w:val="0"/>
                <w:sz w:val="21"/>
                <w:szCs w:val="21"/>
                <w:lang w:val="en-US" w:eastAsia="zh-CN"/>
              </w:rPr>
            </w:pPr>
            <w:r>
              <w:rPr>
                <w:rFonts w:hint="eastAsia"/>
                <w:kern w:val="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jc w:val="left"/>
              <w:rPr>
                <w:rFonts w:hint="eastAsia" w:ascii="Times New Roman" w:hAnsi="Times New Roman" w:cs="Times New Roman"/>
                <w:kern w:val="0"/>
                <w:sz w:val="21"/>
                <w:szCs w:val="21"/>
              </w:rPr>
            </w:pPr>
            <w:r>
              <w:rPr>
                <w:rFonts w:hint="eastAsia" w:ascii="Times New Roman" w:hAnsi="Times New Roman" w:cs="Times New Roman"/>
                <w:kern w:val="0"/>
                <w:sz w:val="21"/>
                <w:szCs w:val="21"/>
                <w:lang w:val="en-US" w:eastAsia="zh-CN"/>
              </w:rPr>
              <w:t>现代农业发展-植保专技培训经费（2022结转）</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 xml:space="preserve">14.88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jc w:val="left"/>
              <w:rPr>
                <w:rFonts w:hint="eastAsia" w:ascii="Times New Roman" w:hAnsi="Times New Roman" w:cs="Times New Roman"/>
                <w:kern w:val="0"/>
                <w:sz w:val="21"/>
                <w:szCs w:val="21"/>
              </w:rPr>
            </w:pPr>
            <w:r>
              <w:rPr>
                <w:rFonts w:hint="eastAsia" w:ascii="Times New Roman" w:hAnsi="Times New Roman" w:cs="Times New Roman"/>
                <w:kern w:val="0"/>
                <w:sz w:val="21"/>
                <w:szCs w:val="21"/>
                <w:lang w:val="en-US" w:eastAsia="zh-CN"/>
              </w:rPr>
              <w:t>现代农业发展-检疫执法着装费（2022结转）</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 xml:space="preserve">2.81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jc w:val="left"/>
              <w:rPr>
                <w:rFonts w:hint="eastAsia" w:ascii="Times New Roman" w:hAnsi="Times New Roman" w:cs="Times New Roman"/>
                <w:kern w:val="0"/>
                <w:sz w:val="21"/>
                <w:szCs w:val="21"/>
              </w:rPr>
            </w:pPr>
            <w:r>
              <w:rPr>
                <w:rFonts w:hint="eastAsia" w:ascii="Times New Roman" w:hAnsi="Times New Roman" w:cs="Times New Roman"/>
                <w:kern w:val="0"/>
                <w:sz w:val="21"/>
                <w:szCs w:val="21"/>
                <w:lang w:val="en-US" w:eastAsia="zh-CN"/>
              </w:rPr>
              <w:t>现代农业发展-种植产业发展-春耕生产工作经费（2022结转）</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 xml:space="preserve">1.98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jc w:val="left"/>
              <w:rPr>
                <w:rFonts w:hint="eastAsia" w:ascii="Times New Roman" w:hAnsi="Times New Roman" w:cs="Times New Roman"/>
                <w:kern w:val="0"/>
                <w:sz w:val="21"/>
                <w:szCs w:val="21"/>
              </w:rPr>
            </w:pPr>
            <w:r>
              <w:rPr>
                <w:rFonts w:hint="eastAsia" w:ascii="Times New Roman" w:hAnsi="Times New Roman" w:cs="Times New Roman"/>
                <w:kern w:val="0"/>
                <w:sz w:val="21"/>
                <w:szCs w:val="21"/>
                <w:lang w:val="en-US" w:eastAsia="zh-CN"/>
              </w:rPr>
              <w:t>现代农业发展-植保创新活动经费（2022结转）</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 xml:space="preserve">1.45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jc w:val="left"/>
              <w:rPr>
                <w:rFonts w:hint="eastAsia" w:ascii="Times New Roman" w:hAnsi="Times New Roman" w:cs="Times New Roman"/>
                <w:kern w:val="0"/>
                <w:sz w:val="21"/>
                <w:szCs w:val="21"/>
              </w:rPr>
            </w:pPr>
            <w:r>
              <w:rPr>
                <w:rFonts w:hint="eastAsia" w:ascii="Times New Roman" w:hAnsi="Times New Roman" w:cs="Times New Roman"/>
                <w:kern w:val="0"/>
                <w:sz w:val="21"/>
                <w:szCs w:val="21"/>
                <w:lang w:val="en-US" w:eastAsia="zh-CN"/>
              </w:rPr>
              <w:t>现代农业发展-植保重点工作推进经费（2022结转）</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 xml:space="preserve">8.29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jc w:val="left"/>
              <w:rPr>
                <w:rFonts w:hint="eastAsia" w:ascii="Times New Roman" w:hAnsi="Times New Roman" w:cs="Times New Roman"/>
                <w:kern w:val="0"/>
                <w:sz w:val="21"/>
                <w:szCs w:val="21"/>
              </w:rPr>
            </w:pPr>
            <w:r>
              <w:rPr>
                <w:rFonts w:hint="eastAsia" w:ascii="Times New Roman" w:hAnsi="Times New Roman" w:cs="Times New Roman"/>
                <w:kern w:val="0"/>
                <w:sz w:val="21"/>
                <w:szCs w:val="21"/>
                <w:lang w:val="en-US" w:eastAsia="zh-CN"/>
              </w:rPr>
              <w:t>现代农业发展-植保信息化建设（2022结转）</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 xml:space="preserve">17.47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jc w:val="left"/>
              <w:rPr>
                <w:rFonts w:hint="eastAsia" w:ascii="Times New Roman" w:hAnsi="Times New Roman" w:cs="Times New Roman"/>
                <w:kern w:val="0"/>
                <w:sz w:val="21"/>
                <w:szCs w:val="21"/>
              </w:rPr>
            </w:pPr>
            <w:r>
              <w:rPr>
                <w:rFonts w:hint="eastAsia" w:ascii="Times New Roman" w:hAnsi="Times New Roman" w:cs="Times New Roman"/>
                <w:kern w:val="0"/>
                <w:sz w:val="21"/>
                <w:szCs w:val="21"/>
                <w:lang w:val="en-US" w:eastAsia="zh-CN"/>
              </w:rPr>
              <w:t>现代农业发展-种植产业发展-农药减量工作经费（2022结转）</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 xml:space="preserve">0.90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jc w:val="left"/>
              <w:rPr>
                <w:rFonts w:hint="eastAsia" w:ascii="Times New Roman" w:hAnsi="Times New Roman" w:cs="Times New Roman"/>
                <w:kern w:val="0"/>
                <w:sz w:val="21"/>
                <w:szCs w:val="21"/>
              </w:rPr>
            </w:pPr>
            <w:r>
              <w:rPr>
                <w:rFonts w:hint="eastAsia" w:ascii="Times New Roman" w:hAnsi="Times New Roman" w:cs="Times New Roman"/>
                <w:kern w:val="0"/>
                <w:sz w:val="21"/>
                <w:szCs w:val="21"/>
                <w:lang w:val="en-US" w:eastAsia="zh-CN"/>
              </w:rPr>
              <w:t>现代农业发展-植保设备购置经费（2022结转）</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 xml:space="preserve">0.67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firstLine="420" w:firstLineChars="200"/>
              <w:jc w:val="left"/>
              <w:textAlignment w:val="auto"/>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现代农业发展-种植产业发展-春耕生产工作经费-1(2023结转)</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9.00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firstLine="420" w:firstLineChars="200"/>
              <w:jc w:val="left"/>
              <w:textAlignment w:val="auto"/>
              <w:rPr>
                <w:rFonts w:hint="eastAsia" w:ascii="Times New Roman" w:hAnsi="Times New Roman" w:cs="Times New Roman"/>
                <w:kern w:val="0"/>
                <w:sz w:val="21"/>
                <w:szCs w:val="21"/>
              </w:rPr>
            </w:pPr>
            <w:r>
              <w:rPr>
                <w:rFonts w:hint="eastAsia" w:ascii="Times New Roman" w:hAnsi="Times New Roman" w:cs="Times New Roman"/>
                <w:kern w:val="0"/>
                <w:sz w:val="21"/>
                <w:szCs w:val="21"/>
                <w:lang w:val="en-US" w:eastAsia="zh-CN"/>
              </w:rPr>
              <w:t>现代农业发展-种植产业发展-农药减量工作经费-1-1(2023结转)</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23.87</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15.36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firstLine="420" w:firstLineChars="200"/>
              <w:jc w:val="left"/>
              <w:textAlignment w:val="auto"/>
              <w:rPr>
                <w:rFonts w:hint="eastAsia" w:ascii="Times New Roman" w:hAnsi="Times New Roman" w:cs="Times New Roman"/>
                <w:kern w:val="0"/>
                <w:sz w:val="21"/>
                <w:szCs w:val="21"/>
              </w:rPr>
            </w:pPr>
            <w:r>
              <w:rPr>
                <w:rFonts w:hint="eastAsia" w:ascii="Times New Roman" w:hAnsi="Times New Roman" w:cs="Times New Roman"/>
                <w:kern w:val="0"/>
                <w:sz w:val="21"/>
                <w:szCs w:val="21"/>
                <w:lang w:val="en-US" w:eastAsia="zh-CN"/>
              </w:rPr>
              <w:t>现代农业发展-植保信息化建设(2023结转)</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6.93</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firstLine="420" w:firstLineChars="200"/>
              <w:jc w:val="left"/>
              <w:textAlignment w:val="auto"/>
              <w:rPr>
                <w:rFonts w:hint="eastAsia" w:ascii="Times New Roman" w:hAnsi="Times New Roman" w:cs="Times New Roman"/>
                <w:kern w:val="0"/>
                <w:sz w:val="21"/>
                <w:szCs w:val="21"/>
              </w:rPr>
            </w:pPr>
            <w:r>
              <w:rPr>
                <w:rFonts w:hint="eastAsia" w:ascii="Times New Roman" w:hAnsi="Times New Roman" w:cs="Times New Roman"/>
                <w:kern w:val="0"/>
                <w:sz w:val="21"/>
                <w:szCs w:val="21"/>
                <w:lang w:val="en-US" w:eastAsia="zh-CN"/>
              </w:rPr>
              <w:t>现代农业发展-植保创新活动经费(2023结转)</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9.58</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firstLine="420" w:firstLineChars="200"/>
              <w:jc w:val="left"/>
              <w:textAlignment w:val="auto"/>
              <w:rPr>
                <w:rFonts w:hint="eastAsia" w:ascii="Times New Roman" w:hAnsi="Times New Roman" w:cs="Times New Roman"/>
                <w:kern w:val="0"/>
                <w:sz w:val="21"/>
                <w:szCs w:val="21"/>
              </w:rPr>
            </w:pPr>
            <w:r>
              <w:rPr>
                <w:rFonts w:hint="eastAsia" w:ascii="Times New Roman" w:hAnsi="Times New Roman" w:cs="Times New Roman"/>
                <w:kern w:val="0"/>
                <w:sz w:val="21"/>
                <w:szCs w:val="21"/>
                <w:lang w:val="en-US" w:eastAsia="zh-CN"/>
              </w:rPr>
              <w:t>现代农业发展-植保重点工作推进经费(2023结转)</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16.04</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16.04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ind w:left="0" w:leftChars="0" w:firstLine="420" w:firstLineChars="200"/>
              <w:jc w:val="left"/>
              <w:textAlignment w:val="auto"/>
              <w:rPr>
                <w:rFonts w:hint="eastAsia" w:ascii="Times New Roman" w:hAnsi="Times New Roman" w:cs="Times New Roman"/>
                <w:kern w:val="0"/>
                <w:sz w:val="21"/>
                <w:szCs w:val="21"/>
              </w:rPr>
            </w:pPr>
            <w:r>
              <w:rPr>
                <w:rFonts w:hint="eastAsia" w:ascii="Times New Roman" w:hAnsi="Times New Roman" w:cs="Times New Roman"/>
                <w:kern w:val="0"/>
                <w:sz w:val="21"/>
                <w:szCs w:val="21"/>
                <w:lang w:val="en-US" w:eastAsia="zh-CN"/>
              </w:rPr>
              <w:t>现代农业发展-植保设备购置经费(2023结转)</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kern w:val="0"/>
                <w:sz w:val="21"/>
                <w:szCs w:val="21"/>
                <w:lang w:val="en-US" w:eastAsia="zh-CN"/>
              </w:rPr>
            </w:pP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0.34</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eastAsia" w:ascii="Times New Roman" w:hAnsi="Times New Roman" w:cs="Times New Roman"/>
                <w:kern w:val="0"/>
                <w:sz w:val="21"/>
                <w:szCs w:val="21"/>
                <w:lang w:val="en-US" w:eastAsia="zh-CN"/>
              </w:rPr>
            </w:pPr>
            <w:r>
              <w:rPr>
                <w:rFonts w:hint="eastAsia" w:ascii="Times New Roman" w:hAnsi="Times New Roman" w:cs="Times New Roman"/>
                <w:kern w:val="0"/>
                <w:sz w:val="21"/>
                <w:szCs w:val="21"/>
                <w:lang w:val="en-US" w:eastAsia="zh-CN"/>
              </w:rPr>
              <w:t>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420"/>
              <w:jc w:val="left"/>
              <w:rPr>
                <w:kern w:val="0"/>
                <w:sz w:val="21"/>
                <w:szCs w:val="21"/>
              </w:rPr>
            </w:pPr>
            <w:r>
              <w:rPr>
                <w:kern w:val="0"/>
                <w:sz w:val="21"/>
                <w:szCs w:val="21"/>
              </w:rPr>
              <w:t>4、其他事业类发展资金</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kern w:val="0"/>
                <w:sz w:val="21"/>
                <w:szCs w:val="21"/>
                <w:lang w:val="en-US"/>
              </w:rPr>
            </w:pPr>
            <w:r>
              <w:rPr>
                <w:rFonts w:hint="eastAsia"/>
                <w:kern w:val="0"/>
                <w:sz w:val="21"/>
                <w:szCs w:val="21"/>
                <w:lang w:val="en-US" w:eastAsia="zh-CN"/>
              </w:rPr>
              <w:t>1520.29</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kern w:val="0"/>
                <w:sz w:val="21"/>
                <w:szCs w:val="21"/>
                <w:lang w:val="en-US"/>
              </w:rPr>
            </w:pPr>
            <w:r>
              <w:rPr>
                <w:rFonts w:hint="eastAsia"/>
                <w:kern w:val="0"/>
                <w:sz w:val="21"/>
                <w:szCs w:val="21"/>
                <w:lang w:val="en-US" w:eastAsia="zh-CN"/>
              </w:rPr>
              <w:t>3638.20</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1191.30</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公用经费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106.43</w:t>
            </w:r>
            <w:r>
              <w:rPr>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111.04</w:t>
            </w: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105.63</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其中：办公费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eastAsia="仿宋_GB2312"/>
                <w:color w:val="auto"/>
                <w:kern w:val="0"/>
                <w:sz w:val="21"/>
                <w:szCs w:val="21"/>
                <w:lang w:val="en-US" w:eastAsia="zh-CN"/>
              </w:rPr>
            </w:pPr>
            <w:r>
              <w:rPr>
                <w:rFonts w:hint="eastAsia"/>
                <w:color w:val="auto"/>
                <w:kern w:val="0"/>
                <w:sz w:val="21"/>
                <w:szCs w:val="21"/>
                <w:lang w:val="en-US" w:eastAsia="zh-CN"/>
              </w:rPr>
              <w:t>4.00</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auto"/>
                <w:kern w:val="0"/>
                <w:sz w:val="21"/>
                <w:szCs w:val="21"/>
              </w:rPr>
            </w:pPr>
            <w:r>
              <w:rPr>
                <w:rFonts w:hint="eastAsia"/>
                <w:color w:val="auto"/>
                <w:kern w:val="0"/>
                <w:sz w:val="21"/>
                <w:szCs w:val="21"/>
                <w:lang w:val="en-US" w:eastAsia="zh-CN"/>
              </w:rPr>
              <w:t>5.00</w:t>
            </w:r>
            <w:r>
              <w:rPr>
                <w:color w:val="auto"/>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auto"/>
                <w:kern w:val="0"/>
                <w:sz w:val="21"/>
                <w:szCs w:val="21"/>
              </w:rPr>
            </w:pPr>
            <w:r>
              <w:rPr>
                <w:rFonts w:hint="eastAsia"/>
                <w:color w:val="auto"/>
                <w:kern w:val="0"/>
                <w:sz w:val="21"/>
                <w:szCs w:val="21"/>
                <w:lang w:val="en-US" w:eastAsia="zh-CN"/>
              </w:rPr>
              <w:t>5.00</w:t>
            </w:r>
            <w:r>
              <w:rPr>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水费、电费、差旅费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auto"/>
                <w:kern w:val="0"/>
                <w:sz w:val="21"/>
                <w:szCs w:val="21"/>
              </w:rPr>
            </w:pPr>
            <w:r>
              <w:rPr>
                <w:rFonts w:hint="eastAsia"/>
                <w:color w:val="auto"/>
                <w:kern w:val="0"/>
                <w:sz w:val="21"/>
                <w:szCs w:val="21"/>
                <w:lang w:val="en-US" w:eastAsia="zh-CN"/>
              </w:rPr>
              <w:t>11.00</w:t>
            </w:r>
            <w:r>
              <w:rPr>
                <w:color w:val="auto"/>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auto"/>
                <w:kern w:val="0"/>
                <w:sz w:val="21"/>
                <w:szCs w:val="21"/>
              </w:rPr>
            </w:pPr>
            <w:r>
              <w:rPr>
                <w:rFonts w:hint="eastAsia"/>
                <w:color w:val="auto"/>
                <w:kern w:val="0"/>
                <w:sz w:val="21"/>
                <w:szCs w:val="21"/>
                <w:lang w:val="en-US" w:eastAsia="zh-CN"/>
              </w:rPr>
              <w:t>5.00</w:t>
            </w:r>
            <w:r>
              <w:rPr>
                <w:color w:val="auto"/>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auto"/>
                <w:kern w:val="0"/>
                <w:sz w:val="21"/>
                <w:szCs w:val="21"/>
              </w:rPr>
            </w:pPr>
            <w:r>
              <w:rPr>
                <w:rFonts w:hint="eastAsia"/>
                <w:color w:val="auto"/>
                <w:kern w:val="0"/>
                <w:sz w:val="21"/>
                <w:szCs w:val="21"/>
                <w:lang w:val="en-US" w:eastAsia="zh-CN"/>
              </w:rPr>
              <w:t>5.00</w:t>
            </w:r>
            <w:r>
              <w:rPr>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          会议费、培训费</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auto"/>
                <w:kern w:val="0"/>
                <w:sz w:val="21"/>
                <w:szCs w:val="21"/>
              </w:rPr>
            </w:pPr>
            <w:r>
              <w:rPr>
                <w:rFonts w:hint="eastAsia"/>
                <w:color w:val="auto"/>
                <w:kern w:val="0"/>
                <w:sz w:val="21"/>
                <w:szCs w:val="21"/>
                <w:lang w:val="en-US" w:eastAsia="zh-CN"/>
              </w:rPr>
              <w:t>2.00</w:t>
            </w:r>
            <w:r>
              <w:rPr>
                <w:color w:val="auto"/>
                <w:kern w:val="0"/>
                <w:sz w:val="21"/>
                <w:szCs w:val="21"/>
              </w:rPr>
              <w:t>　</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auto"/>
                <w:kern w:val="0"/>
                <w:sz w:val="21"/>
                <w:szCs w:val="21"/>
              </w:rPr>
            </w:pPr>
            <w:r>
              <w:rPr>
                <w:rFonts w:hint="eastAsia"/>
                <w:color w:val="auto"/>
                <w:kern w:val="0"/>
                <w:sz w:val="21"/>
                <w:szCs w:val="21"/>
                <w:lang w:val="en-US" w:eastAsia="zh-CN"/>
              </w:rPr>
              <w:t>2.00</w:t>
            </w:r>
            <w:r>
              <w:rPr>
                <w:color w:val="auto"/>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color w:val="auto"/>
                <w:kern w:val="0"/>
                <w:sz w:val="21"/>
                <w:szCs w:val="21"/>
              </w:rPr>
            </w:pPr>
            <w:r>
              <w:rPr>
                <w:rFonts w:hint="eastAsia"/>
                <w:color w:val="auto"/>
                <w:kern w:val="0"/>
                <w:sz w:val="21"/>
                <w:szCs w:val="21"/>
                <w:lang w:val="en-US" w:eastAsia="zh-CN"/>
              </w:rPr>
              <w:t>1.62</w:t>
            </w:r>
            <w:r>
              <w:rPr>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政府采购金额</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1730.00</w:t>
            </w:r>
            <w:r>
              <w:rPr>
                <w:kern w:val="0"/>
                <w:sz w:val="21"/>
                <w:szCs w:val="21"/>
              </w:rPr>
              <w:t>　</w:t>
            </w: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kern w:val="0"/>
                <w:sz w:val="21"/>
                <w:szCs w:val="21"/>
                <w:lang w:val="en-US" w:eastAsia="zh-CN"/>
              </w:rPr>
              <w:t>1179.35</w:t>
            </w: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xml:space="preserve">部门基本支出预算调整 </w:t>
            </w:r>
          </w:p>
        </w:tc>
        <w:tc>
          <w:tcPr>
            <w:tcW w:w="226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w:t>
            </w:r>
          </w:p>
        </w:tc>
        <w:tc>
          <w:tcPr>
            <w:tcW w:w="2219"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highlight w:val="yellow"/>
              </w:rPr>
            </w:pPr>
          </w:p>
        </w:tc>
        <w:tc>
          <w:tcPr>
            <w:tcW w:w="2034"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rFonts w:hint="default"/>
                <w:lang w:val="en-US" w:eastAsia="zh-CN"/>
              </w:rPr>
            </w:pPr>
            <w:r>
              <w:rPr>
                <w:rFonts w:hint="eastAsia"/>
                <w:kern w:val="0"/>
                <w:sz w:val="21"/>
                <w:szCs w:val="21"/>
                <w:highlight w:val="none"/>
                <w:lang w:val="en-US" w:eastAsia="zh-CN"/>
              </w:rPr>
              <w:t>50.80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restart"/>
            <w:tcBorders>
              <w:top w:val="nil"/>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楼堂馆所控制情况</w:t>
            </w:r>
            <w:r>
              <w:rPr>
                <w:kern w:val="0"/>
                <w:sz w:val="21"/>
                <w:szCs w:val="21"/>
              </w:rPr>
              <w:br w:type="textWrapping"/>
            </w:r>
            <w:r>
              <w:rPr>
                <w:kern w:val="0"/>
                <w:sz w:val="21"/>
                <w:szCs w:val="21"/>
              </w:rPr>
              <w:t>（2024年完工项目）</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批复规模</w:t>
            </w:r>
            <w:r>
              <w:rPr>
                <w:bCs/>
                <w:kern w:val="0"/>
                <w:sz w:val="21"/>
                <w:szCs w:val="21"/>
              </w:rPr>
              <w:br w:type="textWrapping"/>
            </w:r>
            <w:r>
              <w:rPr>
                <w:bCs/>
                <w:kern w:val="0"/>
                <w:sz w:val="21"/>
                <w:szCs w:val="21"/>
              </w:rPr>
              <w:t>（</w:t>
            </w:r>
            <w:r>
              <w:rPr>
                <w:rFonts w:eastAsia="Batang"/>
                <w:bCs/>
                <w:kern w:val="0"/>
                <w:sz w:val="21"/>
                <w:szCs w:val="21"/>
              </w:rPr>
              <w:t>㎡</w:t>
            </w:r>
            <w:r>
              <w:rPr>
                <w:bCs/>
                <w:kern w:val="0"/>
                <w:sz w:val="21"/>
                <w:szCs w:val="21"/>
              </w:rPr>
              <w:t>）</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实际</w:t>
            </w:r>
          </w:p>
          <w:p>
            <w:pPr>
              <w:widowControl/>
              <w:adjustRightInd/>
              <w:snapToGrid/>
              <w:spacing w:line="280" w:lineRule="exact"/>
              <w:ind w:firstLine="0" w:firstLineChars="0"/>
              <w:jc w:val="center"/>
              <w:rPr>
                <w:bCs/>
                <w:kern w:val="0"/>
                <w:sz w:val="21"/>
                <w:szCs w:val="21"/>
              </w:rPr>
            </w:pPr>
            <w:r>
              <w:rPr>
                <w:bCs/>
                <w:kern w:val="0"/>
                <w:sz w:val="21"/>
                <w:szCs w:val="21"/>
              </w:rPr>
              <w:t>规模</w:t>
            </w:r>
          </w:p>
          <w:p>
            <w:pPr>
              <w:widowControl/>
              <w:adjustRightInd/>
              <w:snapToGrid/>
              <w:spacing w:line="280" w:lineRule="exact"/>
              <w:ind w:firstLine="0" w:firstLineChars="0"/>
              <w:jc w:val="center"/>
              <w:rPr>
                <w:bCs/>
                <w:kern w:val="0"/>
                <w:sz w:val="21"/>
                <w:szCs w:val="21"/>
              </w:rPr>
            </w:pPr>
            <w:r>
              <w:rPr>
                <w:bCs/>
                <w:kern w:val="0"/>
                <w:sz w:val="21"/>
                <w:szCs w:val="21"/>
              </w:rPr>
              <w:t>（</w:t>
            </w:r>
            <w:r>
              <w:rPr>
                <w:rFonts w:eastAsia="Batang"/>
                <w:bCs/>
                <w:kern w:val="0"/>
                <w:sz w:val="21"/>
                <w:szCs w:val="21"/>
              </w:rPr>
              <w:t>㎡</w:t>
            </w:r>
            <w:r>
              <w:rPr>
                <w:bCs/>
                <w:kern w:val="0"/>
                <w:sz w:val="21"/>
                <w:szCs w:val="21"/>
              </w:rPr>
              <w:t>）</w:t>
            </w:r>
          </w:p>
        </w:tc>
        <w:tc>
          <w:tcPr>
            <w:tcW w:w="110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规模</w:t>
            </w:r>
          </w:p>
          <w:p>
            <w:pPr>
              <w:widowControl/>
              <w:adjustRightInd/>
              <w:snapToGrid/>
              <w:spacing w:line="280" w:lineRule="exact"/>
              <w:ind w:firstLine="0" w:firstLineChars="0"/>
              <w:jc w:val="center"/>
              <w:rPr>
                <w:bCs/>
                <w:kern w:val="0"/>
                <w:sz w:val="21"/>
                <w:szCs w:val="21"/>
              </w:rPr>
            </w:pPr>
            <w:r>
              <w:rPr>
                <w:bCs/>
                <w:kern w:val="0"/>
                <w:sz w:val="21"/>
                <w:szCs w:val="21"/>
              </w:rPr>
              <w:t>控制率</w:t>
            </w:r>
          </w:p>
        </w:tc>
        <w:tc>
          <w:tcPr>
            <w:tcW w:w="111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预算投资（万元）</w:t>
            </w:r>
          </w:p>
        </w:tc>
        <w:tc>
          <w:tcPr>
            <w:tcW w:w="96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实际</w:t>
            </w:r>
          </w:p>
          <w:p>
            <w:pPr>
              <w:widowControl/>
              <w:adjustRightInd/>
              <w:snapToGrid/>
              <w:spacing w:line="280" w:lineRule="exact"/>
              <w:ind w:firstLine="0" w:firstLineChars="0"/>
              <w:jc w:val="center"/>
              <w:rPr>
                <w:bCs/>
                <w:kern w:val="0"/>
                <w:sz w:val="21"/>
                <w:szCs w:val="21"/>
              </w:rPr>
            </w:pPr>
            <w:r>
              <w:rPr>
                <w:bCs/>
                <w:kern w:val="0"/>
                <w:sz w:val="21"/>
                <w:szCs w:val="21"/>
              </w:rPr>
              <w:t>投资</w:t>
            </w:r>
          </w:p>
          <w:p>
            <w:pPr>
              <w:widowControl/>
              <w:adjustRightInd/>
              <w:snapToGrid/>
              <w:spacing w:line="280" w:lineRule="exact"/>
              <w:ind w:firstLine="0" w:firstLineChars="0"/>
              <w:jc w:val="center"/>
              <w:rPr>
                <w:bCs/>
                <w:kern w:val="0"/>
                <w:sz w:val="21"/>
                <w:szCs w:val="21"/>
              </w:rPr>
            </w:pPr>
            <w:r>
              <w:rPr>
                <w:bCs/>
                <w:kern w:val="0"/>
                <w:sz w:val="21"/>
                <w:szCs w:val="21"/>
              </w:rPr>
              <w:t>（万元）</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bCs/>
                <w:kern w:val="0"/>
                <w:sz w:val="21"/>
                <w:szCs w:val="21"/>
              </w:rPr>
            </w:pPr>
            <w:r>
              <w:rPr>
                <w:bCs/>
                <w:kern w:val="0"/>
                <w:sz w:val="21"/>
                <w:szCs w:val="21"/>
              </w:rPr>
              <w:t>投资</w:t>
            </w:r>
          </w:p>
          <w:p>
            <w:pPr>
              <w:widowControl/>
              <w:adjustRightInd/>
              <w:snapToGrid/>
              <w:spacing w:line="280" w:lineRule="exact"/>
              <w:ind w:firstLine="0" w:firstLineChars="0"/>
              <w:jc w:val="center"/>
              <w:rPr>
                <w:bCs/>
                <w:kern w:val="0"/>
                <w:sz w:val="21"/>
                <w:szCs w:val="21"/>
              </w:rPr>
            </w:pPr>
            <w:r>
              <w:rPr>
                <w:bCs/>
                <w:kern w:val="0"/>
                <w:sz w:val="21"/>
                <w:szCs w:val="21"/>
              </w:rPr>
              <w:t>概算</w:t>
            </w:r>
          </w:p>
          <w:p>
            <w:pPr>
              <w:widowControl/>
              <w:adjustRightInd/>
              <w:snapToGrid/>
              <w:spacing w:line="280" w:lineRule="exact"/>
              <w:ind w:firstLine="0" w:firstLineChars="0"/>
              <w:jc w:val="center"/>
              <w:rPr>
                <w:bCs/>
                <w:kern w:val="0"/>
                <w:sz w:val="21"/>
                <w:szCs w:val="21"/>
              </w:rPr>
            </w:pPr>
            <w:r>
              <w:rPr>
                <w:bCs/>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vMerge w:val="continue"/>
            <w:tcBorders>
              <w:top w:val="nil"/>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　</w:t>
            </w:r>
          </w:p>
        </w:tc>
        <w:tc>
          <w:tcPr>
            <w:tcW w:w="992"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w:t>
            </w:r>
          </w:p>
        </w:tc>
        <w:tc>
          <w:tcPr>
            <w:tcW w:w="1108"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w:t>
            </w:r>
          </w:p>
        </w:tc>
        <w:tc>
          <w:tcPr>
            <w:tcW w:w="1111"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w:t>
            </w:r>
          </w:p>
        </w:tc>
        <w:tc>
          <w:tcPr>
            <w:tcW w:w="969"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w:t>
            </w:r>
          </w:p>
        </w:tc>
        <w:tc>
          <w:tcPr>
            <w:tcW w:w="106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left"/>
              <w:rPr>
                <w:kern w:val="0"/>
                <w:sz w:val="21"/>
                <w:szCs w:val="21"/>
              </w:rPr>
            </w:pPr>
            <w:r>
              <w:rPr>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145" w:type="dxa"/>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kern w:val="0"/>
                <w:sz w:val="21"/>
                <w:szCs w:val="21"/>
              </w:rPr>
              <w:t>厉行节约保障措施</w:t>
            </w:r>
          </w:p>
        </w:tc>
        <w:tc>
          <w:tcPr>
            <w:tcW w:w="6521"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napToGrid/>
              <w:spacing w:line="280" w:lineRule="exact"/>
              <w:ind w:firstLine="0" w:firstLineChars="0"/>
              <w:jc w:val="center"/>
              <w:rPr>
                <w:kern w:val="0"/>
                <w:sz w:val="21"/>
                <w:szCs w:val="21"/>
              </w:rPr>
            </w:pPr>
            <w:r>
              <w:rPr>
                <w:rFonts w:hint="eastAsia" w:ascii="Times New Roman" w:hAnsi="Times New Roman" w:eastAsia="仿宋_GB2312" w:cs="Times New Roman"/>
                <w:sz w:val="20"/>
                <w:szCs w:val="20"/>
                <w:lang w:val="en-US" w:eastAsia="zh-CN"/>
              </w:rPr>
              <w:t>严格控制公用经费开支，当年支出总额不得超过上一年。</w:t>
            </w:r>
          </w:p>
        </w:tc>
      </w:tr>
    </w:tbl>
    <w:p>
      <w:pPr>
        <w:adjustRightInd/>
        <w:snapToGrid/>
        <w:spacing w:line="360" w:lineRule="exact"/>
        <w:ind w:firstLine="0" w:firstLineChars="0"/>
        <w:rPr>
          <w:kern w:val="0"/>
          <w:sz w:val="22"/>
          <w:szCs w:val="22"/>
        </w:rPr>
      </w:pPr>
      <w:r>
        <w:rPr>
          <w:kern w:val="0"/>
          <w:sz w:val="22"/>
          <w:szCs w:val="22"/>
        </w:rPr>
        <w:t>说明：“项目支出”需要填报基本支出以外的所有项目支出情况，“公用经费”填报基本支出中的一般商品和服务支出。</w:t>
      </w:r>
    </w:p>
    <w:p>
      <w:pPr>
        <w:pStyle w:val="4"/>
        <w:ind w:firstLine="0" w:firstLineChars="0"/>
      </w:pPr>
      <w:r>
        <w:rPr>
          <w:kern w:val="0"/>
          <w:sz w:val="22"/>
          <w:szCs w:val="22"/>
        </w:rPr>
        <w:br w:type="page"/>
      </w:r>
      <w:r>
        <w:t>附件2</w:t>
      </w:r>
    </w:p>
    <w:p>
      <w:pPr>
        <w:pStyle w:val="3"/>
        <w:spacing w:before="144" w:beforeLines="25" w:line="500" w:lineRule="exact"/>
        <w:rPr>
          <w:sz w:val="36"/>
          <w:szCs w:val="36"/>
        </w:rPr>
      </w:pPr>
      <w:r>
        <w:rPr>
          <w:sz w:val="36"/>
          <w:szCs w:val="36"/>
        </w:rPr>
        <w:t>部门整体支出绩效自评表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2"/>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313"/>
        <w:gridCol w:w="1125"/>
        <w:gridCol w:w="1323"/>
        <w:gridCol w:w="202"/>
        <w:gridCol w:w="1187"/>
        <w:gridCol w:w="1200"/>
        <w:gridCol w:w="750"/>
        <w:gridCol w:w="697"/>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省级预算部门名称</w:t>
            </w:r>
          </w:p>
        </w:tc>
        <w:tc>
          <w:tcPr>
            <w:tcW w:w="9243" w:type="dxa"/>
            <w:gridSpan w:val="9"/>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rFonts w:hint="eastAsia" w:ascii="Times New Roman" w:hAnsi="Times New Roman" w:eastAsia="仿宋_GB2312" w:cs="Times New Roman"/>
                <w:color w:val="000000"/>
                <w:sz w:val="20"/>
                <w:szCs w:val="20"/>
                <w:lang w:val="en-US" w:eastAsia="zh-CN"/>
              </w:rPr>
              <w:t>湖南省植保植检站</w:t>
            </w: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年度预</w:t>
            </w:r>
          </w:p>
          <w:p>
            <w:pPr>
              <w:widowControl/>
              <w:adjustRightInd/>
              <w:spacing w:line="280" w:lineRule="exact"/>
              <w:ind w:firstLine="0" w:firstLineChars="0"/>
              <w:jc w:val="center"/>
              <w:rPr>
                <w:color w:val="000000"/>
                <w:kern w:val="0"/>
                <w:sz w:val="21"/>
                <w:szCs w:val="21"/>
              </w:rPr>
            </w:pPr>
            <w:r>
              <w:rPr>
                <w:color w:val="000000"/>
                <w:kern w:val="0"/>
                <w:sz w:val="21"/>
                <w:szCs w:val="21"/>
              </w:rPr>
              <w:t>算申请</w:t>
            </w:r>
            <w:r>
              <w:rPr>
                <w:color w:val="000000"/>
                <w:kern w:val="0"/>
                <w:sz w:val="21"/>
                <w:szCs w:val="21"/>
              </w:rPr>
              <w:br w:type="textWrapping"/>
            </w:r>
            <w:r>
              <w:rPr>
                <w:color w:val="000000"/>
                <w:kern w:val="0"/>
                <w:sz w:val="21"/>
                <w:szCs w:val="21"/>
              </w:rPr>
              <w:t>（万元）</w:t>
            </w:r>
          </w:p>
        </w:tc>
        <w:tc>
          <w:tcPr>
            <w:tcW w:w="2438"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p>
        </w:tc>
        <w:tc>
          <w:tcPr>
            <w:tcW w:w="1323"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年初</w:t>
            </w:r>
          </w:p>
          <w:p>
            <w:pPr>
              <w:adjustRightInd/>
              <w:spacing w:line="280" w:lineRule="exact"/>
              <w:ind w:firstLine="0" w:firstLineChars="0"/>
              <w:jc w:val="center"/>
              <w:rPr>
                <w:sz w:val="21"/>
                <w:szCs w:val="21"/>
              </w:rPr>
            </w:pPr>
            <w:r>
              <w:rPr>
                <w:sz w:val="21"/>
                <w:szCs w:val="21"/>
              </w:rPr>
              <w:t>预算数</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全年预算数</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全年</w:t>
            </w:r>
          </w:p>
          <w:p>
            <w:pPr>
              <w:adjustRightInd/>
              <w:spacing w:line="280" w:lineRule="exact"/>
              <w:ind w:firstLine="0" w:firstLineChars="0"/>
              <w:jc w:val="center"/>
              <w:rPr>
                <w:sz w:val="21"/>
                <w:szCs w:val="21"/>
              </w:rPr>
            </w:pPr>
            <w:r>
              <w:rPr>
                <w:sz w:val="21"/>
                <w:szCs w:val="21"/>
              </w:rPr>
              <w:t>执行数</w:t>
            </w:r>
          </w:p>
        </w:tc>
        <w:tc>
          <w:tcPr>
            <w:tcW w:w="750"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分值</w:t>
            </w:r>
          </w:p>
        </w:tc>
        <w:tc>
          <w:tcPr>
            <w:tcW w:w="697"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执行率</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2438"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color w:val="000000"/>
                <w:kern w:val="0"/>
                <w:sz w:val="21"/>
                <w:szCs w:val="21"/>
              </w:rPr>
              <w:t>年度资金总额</w:t>
            </w:r>
          </w:p>
        </w:tc>
        <w:tc>
          <w:tcPr>
            <w:tcW w:w="1323"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eastAsia" w:eastAsia="仿宋_GB2312"/>
                <w:sz w:val="21"/>
                <w:szCs w:val="21"/>
                <w:lang w:val="en-US" w:eastAsia="zh-CN"/>
              </w:rPr>
            </w:pPr>
            <w:r>
              <w:rPr>
                <w:rFonts w:hint="eastAsia"/>
                <w:sz w:val="21"/>
                <w:szCs w:val="21"/>
              </w:rPr>
              <w:t>2971.4</w:t>
            </w:r>
            <w:r>
              <w:rPr>
                <w:rFonts w:hint="eastAsia"/>
                <w:sz w:val="21"/>
                <w:szCs w:val="21"/>
                <w:lang w:val="en-US" w:eastAsia="zh-CN"/>
              </w:rPr>
              <w:t>0</w:t>
            </w:r>
          </w:p>
        </w:tc>
        <w:tc>
          <w:tcPr>
            <w:tcW w:w="1389" w:type="dxa"/>
            <w:gridSpan w:val="2"/>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eastAsia" w:eastAsia="仿宋_GB2312"/>
                <w:sz w:val="21"/>
                <w:szCs w:val="21"/>
                <w:lang w:val="en-US" w:eastAsia="zh-CN"/>
              </w:rPr>
            </w:pPr>
            <w:r>
              <w:rPr>
                <w:rFonts w:hint="eastAsia"/>
                <w:sz w:val="21"/>
                <w:szCs w:val="21"/>
              </w:rPr>
              <w:t>4930.2</w:t>
            </w:r>
            <w:r>
              <w:rPr>
                <w:rFonts w:hint="eastAsia"/>
                <w:sz w:val="21"/>
                <w:szCs w:val="21"/>
                <w:lang w:val="en-US" w:eastAsia="zh-CN"/>
              </w:rPr>
              <w:t>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rFonts w:hint="eastAsia"/>
                <w:sz w:val="21"/>
                <w:szCs w:val="21"/>
              </w:rPr>
              <w:t>2334.24</w:t>
            </w:r>
          </w:p>
        </w:tc>
        <w:tc>
          <w:tcPr>
            <w:tcW w:w="750"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sz w:val="21"/>
                <w:szCs w:val="21"/>
              </w:rPr>
            </w:pPr>
            <w:r>
              <w:rPr>
                <w:sz w:val="21"/>
                <w:szCs w:val="21"/>
              </w:rPr>
              <w:t>10</w:t>
            </w:r>
          </w:p>
        </w:tc>
        <w:tc>
          <w:tcPr>
            <w:tcW w:w="697"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47.35%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rPr>
                <w:rFonts w:hint="default" w:eastAsia="仿宋_GB2312"/>
                <w:sz w:val="21"/>
                <w:szCs w:val="21"/>
                <w:lang w:val="en-US" w:eastAsia="zh-CN"/>
              </w:rPr>
            </w:pPr>
            <w:r>
              <w:rPr>
                <w:rFonts w:hint="eastAsia"/>
                <w:sz w:val="21"/>
                <w:szCs w:val="21"/>
                <w:lang w:val="en-US" w:eastAsia="zh-CN"/>
              </w:rPr>
              <w:t>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150"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按收入性质分：</w:t>
            </w:r>
          </w:p>
        </w:tc>
        <w:tc>
          <w:tcPr>
            <w:tcW w:w="409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150"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xml:space="preserve">  其中：  一般公共预算</w:t>
            </w:r>
            <w:r>
              <w:rPr>
                <w:color w:val="000000"/>
                <w:kern w:val="0"/>
                <w:sz w:val="21"/>
                <w:szCs w:val="21"/>
                <w:highlight w:val="none"/>
              </w:rPr>
              <w:t>：</w:t>
            </w:r>
            <w:r>
              <w:rPr>
                <w:rFonts w:hint="eastAsia"/>
                <w:color w:val="000000"/>
                <w:kern w:val="0"/>
                <w:sz w:val="21"/>
                <w:szCs w:val="21"/>
                <w:highlight w:val="none"/>
              </w:rPr>
              <w:t>4930.2</w:t>
            </w:r>
            <w:r>
              <w:rPr>
                <w:rFonts w:hint="eastAsia"/>
                <w:color w:val="000000"/>
                <w:kern w:val="0"/>
                <w:sz w:val="21"/>
                <w:szCs w:val="21"/>
                <w:highlight w:val="none"/>
                <w:lang w:val="en-US" w:eastAsia="zh-CN"/>
              </w:rPr>
              <w:t>0</w:t>
            </w:r>
          </w:p>
        </w:tc>
        <w:tc>
          <w:tcPr>
            <w:tcW w:w="409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highlight w:val="none"/>
                <w:lang w:val="en-US" w:eastAsia="zh-CN"/>
              </w:rPr>
            </w:pPr>
            <w:r>
              <w:rPr>
                <w:color w:val="000000"/>
                <w:kern w:val="0"/>
                <w:sz w:val="21"/>
                <w:szCs w:val="21"/>
                <w:highlight w:val="none"/>
              </w:rPr>
              <w:t>其中：基本支出：</w:t>
            </w:r>
            <w:r>
              <w:rPr>
                <w:rFonts w:hint="eastAsia"/>
                <w:color w:val="000000"/>
                <w:kern w:val="0"/>
                <w:sz w:val="21"/>
                <w:szCs w:val="21"/>
                <w:highlight w:val="none"/>
              </w:rPr>
              <w:t>972.18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150"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840" w:firstLineChars="400"/>
              <w:jc w:val="left"/>
              <w:rPr>
                <w:color w:val="000000"/>
                <w:kern w:val="0"/>
                <w:sz w:val="21"/>
                <w:szCs w:val="21"/>
              </w:rPr>
            </w:pPr>
            <w:r>
              <w:rPr>
                <w:color w:val="000000"/>
                <w:kern w:val="0"/>
                <w:sz w:val="21"/>
                <w:szCs w:val="21"/>
              </w:rPr>
              <w:t>政府性基金拨款：</w:t>
            </w:r>
          </w:p>
        </w:tc>
        <w:tc>
          <w:tcPr>
            <w:tcW w:w="409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rPr>
                <w:rFonts w:hint="eastAsia" w:eastAsia="仿宋_GB2312"/>
                <w:color w:val="000000"/>
                <w:kern w:val="0"/>
                <w:sz w:val="21"/>
                <w:szCs w:val="21"/>
                <w:highlight w:val="none"/>
                <w:lang w:eastAsia="zh-CN"/>
              </w:rPr>
            </w:pPr>
            <w:r>
              <w:rPr>
                <w:color w:val="000000"/>
                <w:kern w:val="0"/>
                <w:sz w:val="21"/>
                <w:szCs w:val="21"/>
                <w:highlight w:val="none"/>
              </w:rPr>
              <w:t>项目支出：</w:t>
            </w:r>
            <w:r>
              <w:rPr>
                <w:rFonts w:hint="eastAsia"/>
                <w:color w:val="000000"/>
                <w:kern w:val="0"/>
                <w:sz w:val="21"/>
                <w:szCs w:val="21"/>
                <w:highlight w:val="none"/>
              </w:rPr>
              <w:t>1362.06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150"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纳入专户管理的非税收入拨款：</w:t>
            </w:r>
          </w:p>
        </w:tc>
        <w:tc>
          <w:tcPr>
            <w:tcW w:w="409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150"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1470" w:firstLineChars="700"/>
              <w:jc w:val="left"/>
              <w:rPr>
                <w:rFonts w:hint="default" w:eastAsia="仿宋_GB2312"/>
                <w:color w:val="000000"/>
                <w:kern w:val="0"/>
                <w:sz w:val="21"/>
                <w:szCs w:val="21"/>
                <w:lang w:val="en-US" w:eastAsia="zh-CN"/>
              </w:rPr>
            </w:pPr>
            <w:r>
              <w:rPr>
                <w:color w:val="000000"/>
                <w:kern w:val="0"/>
                <w:sz w:val="21"/>
                <w:szCs w:val="21"/>
              </w:rPr>
              <w:t>其他资金：</w:t>
            </w:r>
          </w:p>
        </w:tc>
        <w:tc>
          <w:tcPr>
            <w:tcW w:w="409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年度总体目标</w:t>
            </w:r>
          </w:p>
        </w:tc>
        <w:tc>
          <w:tcPr>
            <w:tcW w:w="5150"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预期目标</w:t>
            </w:r>
          </w:p>
        </w:tc>
        <w:tc>
          <w:tcPr>
            <w:tcW w:w="409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5150" w:type="dxa"/>
            <w:gridSpan w:val="5"/>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　　</w:t>
            </w:r>
            <w:r>
              <w:rPr>
                <w:rFonts w:hint="eastAsia"/>
                <w:color w:val="000000"/>
                <w:kern w:val="0"/>
                <w:sz w:val="21"/>
                <w:szCs w:val="21"/>
              </w:rPr>
              <w:t>通过构建湖南省“互联网+植保”信息化平台，培育打造新时代植保专业技能团队、更新换代植保专业设施设备、创新植保交流活动开展，特别是针对植保各项重点工作内容采取有效促进手段和措施，确保各项植保工作任务圆满完成以及植保政策得到贯彻执行，从而全面提升湖南植保防灾减灾能力，有效控制病虫危害损失，实现农药使用量负增长，为全省农业生产提供服务与保障。</w:t>
            </w:r>
          </w:p>
        </w:tc>
        <w:tc>
          <w:tcPr>
            <w:tcW w:w="409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构建</w:t>
            </w:r>
            <w:r>
              <w:rPr>
                <w:rFonts w:hint="eastAsia"/>
                <w:color w:val="000000"/>
                <w:kern w:val="0"/>
                <w:sz w:val="21"/>
                <w:szCs w:val="21"/>
                <w:lang w:eastAsia="zh-CN"/>
              </w:rPr>
              <w:t>了</w:t>
            </w:r>
            <w:r>
              <w:rPr>
                <w:rFonts w:hint="eastAsia"/>
                <w:color w:val="000000"/>
                <w:kern w:val="0"/>
                <w:sz w:val="21"/>
                <w:szCs w:val="21"/>
              </w:rPr>
              <w:t>湖南省“互联网+植保”信息化平台，打造</w:t>
            </w:r>
            <w:r>
              <w:rPr>
                <w:rFonts w:hint="eastAsia"/>
                <w:color w:val="000000"/>
                <w:kern w:val="0"/>
                <w:sz w:val="21"/>
                <w:szCs w:val="21"/>
                <w:lang w:eastAsia="zh-CN"/>
              </w:rPr>
              <w:t>了</w:t>
            </w:r>
            <w:r>
              <w:rPr>
                <w:rFonts w:hint="eastAsia"/>
                <w:color w:val="000000"/>
                <w:kern w:val="0"/>
                <w:sz w:val="21"/>
                <w:szCs w:val="21"/>
              </w:rPr>
              <w:t>新时代植保专业技能团队、更新换代植保专业设施设备</w:t>
            </w:r>
            <w:r>
              <w:rPr>
                <w:rFonts w:hint="eastAsia"/>
                <w:color w:val="000000"/>
                <w:kern w:val="0"/>
                <w:sz w:val="21"/>
                <w:szCs w:val="21"/>
                <w:lang w:val="en-US" w:eastAsia="zh-CN"/>
              </w:rPr>
              <w:t>X台套</w:t>
            </w:r>
            <w:r>
              <w:rPr>
                <w:rFonts w:hint="eastAsia"/>
                <w:color w:val="000000"/>
                <w:kern w:val="0"/>
                <w:sz w:val="21"/>
                <w:szCs w:val="21"/>
              </w:rPr>
              <w:t>、开展创新植保交流活动</w:t>
            </w:r>
            <w:r>
              <w:rPr>
                <w:rFonts w:hint="eastAsia"/>
                <w:color w:val="000000"/>
                <w:kern w:val="0"/>
                <w:sz w:val="21"/>
                <w:szCs w:val="21"/>
                <w:lang w:val="en-US" w:eastAsia="zh-CN"/>
              </w:rPr>
              <w:t>2次</w:t>
            </w:r>
            <w:r>
              <w:rPr>
                <w:rFonts w:hint="eastAsia"/>
                <w:color w:val="000000"/>
                <w:kern w:val="0"/>
                <w:sz w:val="21"/>
                <w:szCs w:val="21"/>
              </w:rPr>
              <w:t>，针对植保重点工作</w:t>
            </w:r>
            <w:r>
              <w:rPr>
                <w:rFonts w:hint="eastAsia"/>
                <w:color w:val="000000"/>
                <w:kern w:val="0"/>
                <w:sz w:val="21"/>
                <w:szCs w:val="21"/>
                <w:lang w:eastAsia="zh-CN"/>
              </w:rPr>
              <w:t>，</w:t>
            </w:r>
            <w:r>
              <w:rPr>
                <w:rFonts w:hint="eastAsia"/>
                <w:color w:val="000000"/>
                <w:kern w:val="0"/>
                <w:sz w:val="21"/>
                <w:szCs w:val="21"/>
                <w:lang w:val="en-US" w:eastAsia="zh-CN"/>
              </w:rPr>
              <w:t>采取培训、调研、指导等</w:t>
            </w:r>
            <w:r>
              <w:rPr>
                <w:rFonts w:hint="eastAsia"/>
                <w:color w:val="000000"/>
                <w:kern w:val="0"/>
                <w:sz w:val="21"/>
                <w:szCs w:val="21"/>
              </w:rPr>
              <w:t>措施，</w:t>
            </w:r>
            <w:r>
              <w:rPr>
                <w:rFonts w:hint="eastAsia"/>
                <w:color w:val="000000"/>
                <w:kern w:val="0"/>
                <w:sz w:val="21"/>
                <w:szCs w:val="21"/>
                <w:lang w:val="en-US" w:eastAsia="zh-CN"/>
              </w:rPr>
              <w:t>保证了</w:t>
            </w:r>
            <w:r>
              <w:rPr>
                <w:rFonts w:hint="eastAsia"/>
                <w:color w:val="000000"/>
                <w:kern w:val="0"/>
                <w:sz w:val="21"/>
                <w:szCs w:val="21"/>
              </w:rPr>
              <w:t>工作任务圆满完成</w:t>
            </w:r>
            <w:r>
              <w:rPr>
                <w:rFonts w:hint="eastAsia"/>
                <w:color w:val="000000"/>
                <w:kern w:val="0"/>
                <w:sz w:val="21"/>
                <w:szCs w:val="21"/>
                <w:lang w:eastAsia="zh-CN"/>
              </w:rPr>
              <w:t>，</w:t>
            </w:r>
            <w:r>
              <w:rPr>
                <w:rFonts w:hint="eastAsia"/>
                <w:color w:val="000000"/>
                <w:kern w:val="0"/>
                <w:sz w:val="21"/>
                <w:szCs w:val="21"/>
              </w:rPr>
              <w:t>贯彻执行</w:t>
            </w:r>
            <w:r>
              <w:rPr>
                <w:rFonts w:hint="eastAsia"/>
                <w:color w:val="000000"/>
                <w:kern w:val="0"/>
                <w:sz w:val="21"/>
                <w:szCs w:val="21"/>
                <w:lang w:eastAsia="zh-CN"/>
              </w:rPr>
              <w:t>了</w:t>
            </w:r>
            <w:r>
              <w:rPr>
                <w:rFonts w:hint="eastAsia"/>
                <w:color w:val="000000"/>
                <w:kern w:val="0"/>
                <w:sz w:val="21"/>
                <w:szCs w:val="21"/>
                <w:lang w:val="en-US" w:eastAsia="zh-CN"/>
              </w:rPr>
              <w:t>各项</w:t>
            </w:r>
            <w:r>
              <w:rPr>
                <w:rFonts w:hint="eastAsia"/>
                <w:color w:val="000000"/>
                <w:kern w:val="0"/>
                <w:sz w:val="21"/>
                <w:szCs w:val="21"/>
              </w:rPr>
              <w:t>植保政策，提升</w:t>
            </w:r>
            <w:r>
              <w:rPr>
                <w:rFonts w:hint="eastAsia"/>
                <w:color w:val="000000"/>
                <w:kern w:val="0"/>
                <w:sz w:val="21"/>
                <w:szCs w:val="21"/>
                <w:lang w:eastAsia="zh-CN"/>
              </w:rPr>
              <w:t>了</w:t>
            </w:r>
            <w:r>
              <w:rPr>
                <w:rFonts w:hint="eastAsia"/>
                <w:color w:val="000000"/>
                <w:kern w:val="0"/>
                <w:sz w:val="21"/>
                <w:szCs w:val="21"/>
              </w:rPr>
              <w:t>湖南植保防灾减灾能力，有效控制病虫危害损失，实现</w:t>
            </w:r>
            <w:r>
              <w:rPr>
                <w:rFonts w:hint="eastAsia"/>
                <w:color w:val="000000"/>
                <w:kern w:val="0"/>
                <w:sz w:val="21"/>
                <w:szCs w:val="21"/>
                <w:lang w:eastAsia="zh-CN"/>
              </w:rPr>
              <w:t>了</w:t>
            </w:r>
            <w:r>
              <w:rPr>
                <w:rFonts w:hint="eastAsia"/>
                <w:color w:val="000000"/>
                <w:kern w:val="0"/>
                <w:sz w:val="21"/>
                <w:szCs w:val="21"/>
              </w:rPr>
              <w:t>农药使用量负增长，为全省农业生产提供</w:t>
            </w:r>
            <w:r>
              <w:rPr>
                <w:rFonts w:hint="eastAsia"/>
                <w:color w:val="000000"/>
                <w:kern w:val="0"/>
                <w:sz w:val="21"/>
                <w:szCs w:val="21"/>
                <w:lang w:eastAsia="zh-CN"/>
              </w:rPr>
              <w:t>了</w:t>
            </w:r>
            <w:r>
              <w:rPr>
                <w:rFonts w:hint="eastAsia"/>
                <w:color w:val="000000"/>
                <w:kern w:val="0"/>
                <w:sz w:val="21"/>
                <w:szCs w:val="21"/>
              </w:rPr>
              <w:t>服务与保障。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rPr>
                <w:color w:val="000000"/>
                <w:kern w:val="0"/>
                <w:sz w:val="21"/>
                <w:szCs w:val="21"/>
              </w:rPr>
            </w:pPr>
            <w:r>
              <w:rPr>
                <w:color w:val="000000"/>
                <w:kern w:val="0"/>
                <w:sz w:val="21"/>
                <w:szCs w:val="21"/>
              </w:rPr>
              <w:t>标</w:t>
            </w:r>
          </w:p>
        </w:tc>
        <w:tc>
          <w:tcPr>
            <w:tcW w:w="131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一级指标</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二级指标</w:t>
            </w:r>
          </w:p>
        </w:tc>
        <w:tc>
          <w:tcPr>
            <w:tcW w:w="152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三级指标</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rPr>
                <w:color w:val="000000"/>
                <w:kern w:val="0"/>
                <w:sz w:val="21"/>
                <w:szCs w:val="21"/>
              </w:rPr>
            </w:pPr>
            <w:r>
              <w:rPr>
                <w:color w:val="000000"/>
                <w:kern w:val="0"/>
                <w:sz w:val="21"/>
                <w:szCs w:val="21"/>
              </w:rPr>
              <w:t>指标值</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rPr>
                <w:color w:val="000000"/>
                <w:kern w:val="0"/>
                <w:sz w:val="21"/>
                <w:szCs w:val="21"/>
              </w:rPr>
            </w:pPr>
            <w:r>
              <w:rPr>
                <w:color w:val="000000"/>
                <w:kern w:val="0"/>
                <w:sz w:val="21"/>
                <w:szCs w:val="21"/>
              </w:rPr>
              <w:t>完成值</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分值</w:t>
            </w:r>
          </w:p>
        </w:tc>
        <w:tc>
          <w:tcPr>
            <w:tcW w:w="69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得分</w:t>
            </w:r>
          </w:p>
        </w:tc>
        <w:tc>
          <w:tcPr>
            <w:tcW w:w="1446" w:type="dxa"/>
            <w:tcBorders>
              <w:top w:val="single" w:color="auto" w:sz="4" w:space="0"/>
              <w:left w:val="single" w:color="auto" w:sz="4" w:space="0"/>
              <w:bottom w:val="single" w:color="auto" w:sz="4" w:space="0"/>
              <w:right w:val="single" w:color="auto" w:sz="4" w:space="0"/>
            </w:tcBorders>
            <w:noWrap w:val="0"/>
            <w:vAlign w:val="top"/>
          </w:tcPr>
          <w:p>
            <w:pPr>
              <w:widowControl/>
              <w:adjustRightInd/>
              <w:spacing w:line="280" w:lineRule="exact"/>
              <w:ind w:firstLine="0" w:firstLineChars="0"/>
              <w:jc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313"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rPr>
                <w:color w:val="000000"/>
                <w:kern w:val="0"/>
                <w:sz w:val="21"/>
                <w:szCs w:val="21"/>
              </w:rPr>
            </w:pPr>
            <w:r>
              <w:rPr>
                <w:color w:val="000000"/>
                <w:kern w:val="0"/>
                <w:sz w:val="21"/>
                <w:szCs w:val="21"/>
              </w:rPr>
              <w:t>(50分)</w:t>
            </w:r>
          </w:p>
        </w:tc>
        <w:tc>
          <w:tcPr>
            <w:tcW w:w="1125"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数量</w:t>
            </w:r>
          </w:p>
          <w:p>
            <w:pPr>
              <w:widowControl/>
              <w:adjustRightInd/>
              <w:spacing w:line="280" w:lineRule="exact"/>
              <w:ind w:firstLine="0" w:firstLineChars="0"/>
              <w:jc w:val="center"/>
              <w:rPr>
                <w:color w:val="000000"/>
                <w:kern w:val="0"/>
                <w:sz w:val="21"/>
                <w:szCs w:val="21"/>
              </w:rPr>
            </w:pPr>
            <w:r>
              <w:rPr>
                <w:color w:val="000000"/>
                <w:kern w:val="0"/>
                <w:sz w:val="21"/>
                <w:szCs w:val="21"/>
              </w:rPr>
              <w:t>指标</w:t>
            </w:r>
          </w:p>
        </w:tc>
        <w:tc>
          <w:tcPr>
            <w:tcW w:w="152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建立病虫害监测点</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r>
              <w:rPr>
                <w:rFonts w:hint="eastAsia"/>
                <w:color w:val="000000"/>
                <w:kern w:val="0"/>
                <w:sz w:val="21"/>
                <w:szCs w:val="21"/>
              </w:rPr>
              <w:t>50个</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50个</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69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31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25"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质量</w:t>
            </w:r>
          </w:p>
          <w:p>
            <w:pPr>
              <w:widowControl/>
              <w:adjustRightInd/>
              <w:spacing w:line="280" w:lineRule="exact"/>
              <w:ind w:firstLine="0" w:firstLineChars="0"/>
              <w:jc w:val="center"/>
              <w:rPr>
                <w:color w:val="000000"/>
                <w:kern w:val="0"/>
                <w:sz w:val="21"/>
                <w:szCs w:val="21"/>
              </w:rPr>
            </w:pPr>
            <w:r>
              <w:rPr>
                <w:color w:val="000000"/>
                <w:kern w:val="0"/>
                <w:sz w:val="21"/>
                <w:szCs w:val="21"/>
              </w:rPr>
              <w:t>指标</w:t>
            </w:r>
          </w:p>
        </w:tc>
        <w:tc>
          <w:tcPr>
            <w:tcW w:w="152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全省病虫信息与植保技术进村入户率</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lang w:val="en-US" w:eastAsia="zh-CN"/>
              </w:rPr>
              <w:t>≥</w:t>
            </w:r>
            <w:r>
              <w:rPr>
                <w:rFonts w:hint="eastAsia"/>
                <w:color w:val="000000"/>
                <w:kern w:val="0"/>
                <w:sz w:val="21"/>
                <w:szCs w:val="21"/>
              </w:rPr>
              <w:t>90%</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92%</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69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15</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31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25"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时效</w:t>
            </w:r>
          </w:p>
          <w:p>
            <w:pPr>
              <w:widowControl/>
              <w:adjustRightInd/>
              <w:spacing w:line="280" w:lineRule="exact"/>
              <w:ind w:firstLine="0" w:firstLineChars="0"/>
              <w:jc w:val="center"/>
              <w:rPr>
                <w:color w:val="000000"/>
                <w:kern w:val="0"/>
                <w:sz w:val="21"/>
                <w:szCs w:val="21"/>
              </w:rPr>
            </w:pPr>
            <w:r>
              <w:rPr>
                <w:color w:val="000000"/>
                <w:kern w:val="0"/>
                <w:sz w:val="21"/>
                <w:szCs w:val="21"/>
              </w:rPr>
              <w:t>指标</w:t>
            </w:r>
          </w:p>
        </w:tc>
        <w:tc>
          <w:tcPr>
            <w:tcW w:w="152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专项工作完成时点</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left="0" w:leftChars="0" w:firstLine="0" w:firstLineChars="0"/>
              <w:jc w:val="left"/>
              <w:rPr>
                <w:color w:val="000000"/>
                <w:kern w:val="0"/>
                <w:sz w:val="21"/>
                <w:szCs w:val="21"/>
              </w:rPr>
            </w:pPr>
            <w:r>
              <w:rPr>
                <w:rFonts w:hint="eastAsia"/>
                <w:color w:val="000000"/>
                <w:kern w:val="0"/>
                <w:sz w:val="21"/>
                <w:szCs w:val="21"/>
              </w:rPr>
              <w:t>2024年12月31日</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left="0" w:leftChars="0" w:firstLine="0" w:firstLineChars="0"/>
              <w:jc w:val="left"/>
              <w:rPr>
                <w:color w:val="000000"/>
                <w:kern w:val="0"/>
                <w:sz w:val="21"/>
                <w:szCs w:val="21"/>
              </w:rPr>
            </w:pPr>
            <w:r>
              <w:rPr>
                <w:rFonts w:hint="eastAsia"/>
                <w:color w:val="000000"/>
                <w:kern w:val="0"/>
                <w:sz w:val="21"/>
                <w:szCs w:val="21"/>
              </w:rPr>
              <w:t>2024年12月31日</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69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31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125"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eastAsia" w:ascii="Times New Roman" w:hAnsi="Times New Roman" w:cs="Times New Roman"/>
                <w:color w:val="000000"/>
                <w:kern w:val="0"/>
                <w:sz w:val="21"/>
                <w:szCs w:val="21"/>
              </w:rPr>
            </w:pPr>
            <w:r>
              <w:rPr>
                <w:rFonts w:hint="eastAsia" w:ascii="Times New Roman" w:hAnsi="Times New Roman" w:cs="Times New Roman"/>
                <w:color w:val="000000"/>
                <w:kern w:val="0"/>
                <w:sz w:val="21"/>
                <w:szCs w:val="21"/>
              </w:rPr>
              <w:t>成本</w:t>
            </w:r>
          </w:p>
          <w:p>
            <w:pPr>
              <w:widowControl/>
              <w:adjustRightInd/>
              <w:spacing w:line="280" w:lineRule="exact"/>
              <w:ind w:firstLine="0" w:firstLineChars="0"/>
              <w:jc w:val="center"/>
              <w:rPr>
                <w:rFonts w:hint="eastAsia" w:ascii="Times New Roman" w:hAnsi="Times New Roman" w:cs="Times New Roman"/>
                <w:color w:val="000000"/>
                <w:kern w:val="0"/>
                <w:sz w:val="21"/>
                <w:szCs w:val="21"/>
              </w:rPr>
            </w:pPr>
            <w:r>
              <w:rPr>
                <w:rFonts w:hint="eastAsia" w:ascii="Times New Roman" w:hAnsi="Times New Roman" w:cs="Times New Roman"/>
                <w:color w:val="000000"/>
                <w:kern w:val="0"/>
                <w:sz w:val="21"/>
                <w:szCs w:val="21"/>
              </w:rPr>
              <w:t>指标</w:t>
            </w:r>
          </w:p>
        </w:tc>
        <w:tc>
          <w:tcPr>
            <w:tcW w:w="152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ascii="Times New Roman" w:hAnsi="Times New Roman" w:cs="Times New Roman"/>
                <w:color w:val="000000"/>
                <w:kern w:val="0"/>
                <w:sz w:val="21"/>
                <w:szCs w:val="21"/>
              </w:rPr>
            </w:pPr>
            <w:r>
              <w:rPr>
                <w:rFonts w:hint="eastAsia" w:ascii="Times New Roman" w:hAnsi="Times New Roman" w:cs="Times New Roman"/>
                <w:color w:val="000000"/>
                <w:kern w:val="0"/>
                <w:sz w:val="21"/>
                <w:szCs w:val="21"/>
              </w:rPr>
              <w:t>成本控制总额</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eastAsia" w:ascii="Times New Roman" w:hAnsi="Times New Roman" w:cs="Times New Roman"/>
                <w:color w:val="000000"/>
                <w:kern w:val="0"/>
                <w:sz w:val="21"/>
                <w:szCs w:val="21"/>
              </w:rPr>
            </w:pPr>
            <w:r>
              <w:rPr>
                <w:rFonts w:hint="eastAsia" w:ascii="Times New Roman" w:hAnsi="Times New Roman" w:cs="Times New Roman"/>
                <w:color w:val="000000"/>
                <w:kern w:val="0"/>
                <w:sz w:val="21"/>
                <w:szCs w:val="21"/>
              </w:rPr>
              <w:t>在预算总额以内</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在预算总额之内</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69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ascii="Times New Roman" w:hAnsi="Times New Roman" w:eastAsia="仿宋_GB2312" w:cs="Times New Roman"/>
                <w:color w:val="000000"/>
                <w:kern w:val="0"/>
                <w:sz w:val="21"/>
                <w:szCs w:val="21"/>
                <w:lang w:val="en-US" w:eastAsia="zh-CN"/>
              </w:rPr>
            </w:pPr>
            <w:r>
              <w:rPr>
                <w:rFonts w:hint="eastAsia" w:ascii="Times New Roman" w:hAnsi="Times New Roman"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313"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效益指标</w:t>
            </w:r>
          </w:p>
          <w:p>
            <w:pPr>
              <w:widowControl/>
              <w:adjustRightInd/>
              <w:spacing w:line="280" w:lineRule="exact"/>
              <w:ind w:firstLine="210" w:firstLineChars="100"/>
              <w:jc w:val="left"/>
              <w:rPr>
                <w:color w:val="000000"/>
                <w:kern w:val="0"/>
                <w:sz w:val="21"/>
                <w:szCs w:val="21"/>
              </w:rPr>
            </w:pPr>
            <w:r>
              <w:rPr>
                <w:color w:val="000000"/>
                <w:kern w:val="0"/>
                <w:sz w:val="21"/>
                <w:szCs w:val="21"/>
              </w:rPr>
              <w:t>（30分）　</w:t>
            </w:r>
          </w:p>
        </w:tc>
        <w:tc>
          <w:tcPr>
            <w:tcW w:w="1125"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经济效</w:t>
            </w:r>
          </w:p>
          <w:p>
            <w:pPr>
              <w:widowControl/>
              <w:adjustRightInd/>
              <w:spacing w:line="280" w:lineRule="exact"/>
              <w:ind w:firstLine="0" w:firstLineChars="0"/>
              <w:jc w:val="center"/>
              <w:rPr>
                <w:color w:val="000000"/>
                <w:kern w:val="0"/>
                <w:sz w:val="21"/>
                <w:szCs w:val="21"/>
              </w:rPr>
            </w:pPr>
            <w:r>
              <w:rPr>
                <w:color w:val="000000"/>
                <w:kern w:val="0"/>
                <w:sz w:val="21"/>
                <w:szCs w:val="21"/>
              </w:rPr>
              <w:t>益指标</w:t>
            </w:r>
          </w:p>
        </w:tc>
        <w:tc>
          <w:tcPr>
            <w:tcW w:w="152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病虫危害总体损失率</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lang w:val="en-US" w:eastAsia="zh-CN"/>
              </w:rPr>
              <w:t>≤</w:t>
            </w:r>
            <w:r>
              <w:rPr>
                <w:rFonts w:hint="eastAsia"/>
                <w:color w:val="000000"/>
                <w:kern w:val="0"/>
                <w:sz w:val="21"/>
                <w:szCs w:val="21"/>
              </w:rPr>
              <w:t>5%</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4.5%</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30</w:t>
            </w:r>
          </w:p>
        </w:tc>
        <w:tc>
          <w:tcPr>
            <w:tcW w:w="69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30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p>
        </w:tc>
        <w:tc>
          <w:tcPr>
            <w:tcW w:w="1313"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rPr>
                <w:color w:val="000000"/>
                <w:kern w:val="0"/>
                <w:sz w:val="21"/>
                <w:szCs w:val="21"/>
              </w:rPr>
            </w:pPr>
            <w:r>
              <w:rPr>
                <w:color w:val="000000"/>
                <w:kern w:val="0"/>
                <w:sz w:val="21"/>
                <w:szCs w:val="21"/>
              </w:rPr>
              <w:t>（10分）</w:t>
            </w:r>
          </w:p>
        </w:tc>
        <w:tc>
          <w:tcPr>
            <w:tcW w:w="1125"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服务对象满意度指标</w:t>
            </w:r>
          </w:p>
        </w:tc>
        <w:tc>
          <w:tcPr>
            <w:tcW w:w="1525"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rPr>
              <w:t>核心示范区农户满意度</w:t>
            </w:r>
          </w:p>
        </w:tc>
        <w:tc>
          <w:tcPr>
            <w:tcW w:w="118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rFonts w:hint="eastAsia"/>
                <w:color w:val="000000"/>
                <w:kern w:val="0"/>
                <w:sz w:val="21"/>
                <w:szCs w:val="21"/>
                <w:lang w:val="en-US" w:eastAsia="zh-CN"/>
              </w:rPr>
              <w:t>≥</w:t>
            </w:r>
            <w:r>
              <w:rPr>
                <w:rFonts w:hint="eastAsia"/>
                <w:color w:val="000000"/>
                <w:kern w:val="0"/>
                <w:sz w:val="21"/>
                <w:szCs w:val="21"/>
              </w:rPr>
              <w:t>95%</w:t>
            </w:r>
          </w:p>
        </w:tc>
        <w:tc>
          <w:tcPr>
            <w:tcW w:w="120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96%</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69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10</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7430" w:type="dxa"/>
            <w:gridSpan w:val="7"/>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总分</w:t>
            </w:r>
          </w:p>
        </w:tc>
        <w:tc>
          <w:tcPr>
            <w:tcW w:w="75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color w:val="000000"/>
                <w:kern w:val="0"/>
                <w:sz w:val="21"/>
                <w:szCs w:val="21"/>
              </w:rPr>
            </w:pPr>
            <w:r>
              <w:rPr>
                <w:color w:val="000000"/>
                <w:kern w:val="0"/>
                <w:sz w:val="21"/>
                <w:szCs w:val="21"/>
              </w:rPr>
              <w:t>100</w:t>
            </w:r>
          </w:p>
        </w:tc>
        <w:tc>
          <w:tcPr>
            <w:tcW w:w="697"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rPr>
                <w:rFonts w:hint="default" w:eastAsia="仿宋_GB2312"/>
                <w:color w:val="000000"/>
                <w:kern w:val="0"/>
                <w:sz w:val="21"/>
                <w:szCs w:val="21"/>
                <w:lang w:val="en-US" w:eastAsia="zh-CN"/>
              </w:rPr>
            </w:pPr>
            <w:r>
              <w:rPr>
                <w:rFonts w:hint="eastAsia"/>
                <w:color w:val="000000"/>
                <w:kern w:val="0"/>
                <w:sz w:val="21"/>
                <w:szCs w:val="21"/>
                <w:lang w:val="en-US" w:eastAsia="zh-CN"/>
              </w:rPr>
              <w:t>94.74</w:t>
            </w:r>
          </w:p>
        </w:tc>
        <w:tc>
          <w:tcPr>
            <w:tcW w:w="14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rPr>
                <w:color w:val="000000"/>
                <w:kern w:val="0"/>
                <w:sz w:val="21"/>
                <w:szCs w:val="21"/>
              </w:rPr>
            </w:pPr>
            <w:r>
              <w:rPr>
                <w:color w:val="000000"/>
                <w:kern w:val="0"/>
                <w:sz w:val="21"/>
                <w:szCs w:val="21"/>
              </w:rPr>
              <w:t>　</w:t>
            </w:r>
          </w:p>
        </w:tc>
      </w:tr>
    </w:tbl>
    <w:p>
      <w:pPr>
        <w:widowControl/>
        <w:adjustRightInd/>
        <w:snapToGrid/>
        <w:spacing w:line="240" w:lineRule="auto"/>
        <w:ind w:firstLine="0" w:firstLineChars="0"/>
        <w:jc w:val="left"/>
      </w:pPr>
      <w:r>
        <w:br w:type="page"/>
      </w:r>
      <w:r>
        <w:t>附件3</w:t>
      </w:r>
    </w:p>
    <w:p>
      <w:pPr>
        <w:pStyle w:val="3"/>
        <w:spacing w:before="144"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2"/>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050"/>
        <w:gridCol w:w="921"/>
        <w:gridCol w:w="1192"/>
        <w:gridCol w:w="1346"/>
        <w:gridCol w:w="1346"/>
        <w:gridCol w:w="790"/>
        <w:gridCol w:w="872"/>
        <w:gridCol w:w="1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8828"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省级专项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509"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湖南省农业农村厅</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2973"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湖南省植保植检站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197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年初</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全年</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全年</w:t>
            </w:r>
          </w:p>
          <w:p>
            <w:pPr>
              <w:adjustRightInd/>
              <w:spacing w:line="280" w:lineRule="exact"/>
              <w:ind w:firstLine="0" w:firstLineChars="0"/>
              <w:jc w:val="center"/>
              <w:textAlignment w:val="center"/>
              <w:rPr>
                <w:sz w:val="21"/>
                <w:szCs w:val="21"/>
              </w:rPr>
            </w:pPr>
            <w:r>
              <w:rPr>
                <w:sz w:val="21"/>
                <w:szCs w:val="21"/>
              </w:rPr>
              <w:t>执行数</w:t>
            </w:r>
          </w:p>
        </w:tc>
        <w:tc>
          <w:tcPr>
            <w:tcW w:w="790"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分值</w:t>
            </w:r>
          </w:p>
        </w:tc>
        <w:tc>
          <w:tcPr>
            <w:tcW w:w="872"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执行率</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97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237.76</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237.76</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170.76</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10</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71.83%</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97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172</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172</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123.28</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97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65.76</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lang w:val="en-US" w:eastAsia="zh-CN"/>
              </w:rPr>
              <w:t>65.76</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47.48</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97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023"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509"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4319"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4509"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通过植保专业技术培训，提升全省植保专业技术人员的执业能力和水平</w:t>
            </w:r>
            <w:r>
              <w:rPr>
                <w:rFonts w:hint="eastAsia"/>
                <w:color w:val="000000"/>
                <w:kern w:val="0"/>
                <w:sz w:val="21"/>
                <w:szCs w:val="21"/>
                <w:lang w:eastAsia="zh-CN"/>
              </w:rPr>
              <w:t>；</w:t>
            </w:r>
            <w:r>
              <w:rPr>
                <w:rFonts w:hint="eastAsia"/>
                <w:color w:val="000000"/>
                <w:kern w:val="0"/>
                <w:sz w:val="21"/>
                <w:szCs w:val="21"/>
              </w:rPr>
              <w:t>完成2024年早稻集中育秧督导工作任务，实现全省化学农药使用量的减少目标达成</w:t>
            </w:r>
            <w:r>
              <w:rPr>
                <w:rFonts w:hint="eastAsia"/>
                <w:color w:val="000000"/>
                <w:kern w:val="0"/>
                <w:sz w:val="21"/>
                <w:szCs w:val="21"/>
                <w:lang w:eastAsia="zh-CN"/>
              </w:rPr>
              <w:t>，</w:t>
            </w:r>
            <w:r>
              <w:rPr>
                <w:rFonts w:hint="eastAsia"/>
                <w:color w:val="000000"/>
                <w:kern w:val="0"/>
                <w:sz w:val="21"/>
                <w:szCs w:val="21"/>
              </w:rPr>
              <w:t>更新换代植保专业设备设施进行，提升工作效率。实现农作物病虫害远程监测、诊断，及时发布病虫害防控信息，及时组织病虫害防控与防治。全面提升湖南植保防灾减灾能力，有效控制病虫危害损失，为全省农业生产提供服务</w:t>
            </w:r>
            <w:r>
              <w:rPr>
                <w:rFonts w:hint="eastAsia"/>
                <w:color w:val="000000"/>
                <w:kern w:val="0"/>
                <w:sz w:val="21"/>
                <w:szCs w:val="21"/>
                <w:lang w:val="en-US" w:eastAsia="zh-CN"/>
              </w:rPr>
              <w:t>和</w:t>
            </w:r>
            <w:r>
              <w:rPr>
                <w:rFonts w:hint="eastAsia"/>
                <w:color w:val="000000"/>
                <w:kern w:val="0"/>
                <w:sz w:val="21"/>
                <w:szCs w:val="21"/>
              </w:rPr>
              <w:t>保障。</w:t>
            </w:r>
            <w:r>
              <w:rPr>
                <w:color w:val="000000"/>
                <w:kern w:val="0"/>
                <w:sz w:val="21"/>
                <w:szCs w:val="21"/>
              </w:rPr>
              <w:t>　　</w:t>
            </w:r>
          </w:p>
        </w:tc>
        <w:tc>
          <w:tcPr>
            <w:tcW w:w="4319"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rPr>
              <w:t>植保专业技术培训</w:t>
            </w:r>
            <w:r>
              <w:rPr>
                <w:rFonts w:hint="eastAsia"/>
                <w:color w:val="000000"/>
                <w:kern w:val="0"/>
                <w:sz w:val="21"/>
                <w:szCs w:val="21"/>
                <w:lang w:val="en-US" w:eastAsia="zh-CN"/>
              </w:rPr>
              <w:t>500多人次</w:t>
            </w:r>
            <w:r>
              <w:rPr>
                <w:rFonts w:hint="eastAsia"/>
                <w:color w:val="000000"/>
                <w:kern w:val="0"/>
                <w:sz w:val="21"/>
                <w:szCs w:val="21"/>
              </w:rPr>
              <w:t>，提升</w:t>
            </w:r>
            <w:r>
              <w:rPr>
                <w:rFonts w:hint="eastAsia"/>
                <w:color w:val="000000"/>
                <w:kern w:val="0"/>
                <w:sz w:val="21"/>
                <w:szCs w:val="21"/>
                <w:lang w:eastAsia="zh-CN"/>
              </w:rPr>
              <w:t>了</w:t>
            </w:r>
            <w:r>
              <w:rPr>
                <w:rFonts w:hint="eastAsia"/>
                <w:color w:val="000000"/>
                <w:kern w:val="0"/>
                <w:sz w:val="21"/>
                <w:szCs w:val="21"/>
              </w:rPr>
              <w:t>全省植保专业技术人员的执业能力和水平</w:t>
            </w:r>
            <w:r>
              <w:rPr>
                <w:rFonts w:hint="eastAsia"/>
                <w:color w:val="000000"/>
                <w:kern w:val="0"/>
                <w:sz w:val="21"/>
                <w:szCs w:val="21"/>
                <w:lang w:eastAsia="zh-CN"/>
              </w:rPr>
              <w:t>；</w:t>
            </w:r>
            <w:r>
              <w:rPr>
                <w:rFonts w:hint="eastAsia"/>
                <w:color w:val="000000"/>
                <w:kern w:val="0"/>
                <w:sz w:val="21"/>
                <w:szCs w:val="21"/>
                <w:lang w:val="en-US" w:eastAsia="zh-CN"/>
              </w:rPr>
              <w:t>安排3人次对</w:t>
            </w:r>
            <w:r>
              <w:rPr>
                <w:rFonts w:hint="eastAsia"/>
                <w:color w:val="000000"/>
                <w:kern w:val="0"/>
                <w:sz w:val="21"/>
                <w:szCs w:val="21"/>
              </w:rPr>
              <w:t>2024年早稻集中育秧</w:t>
            </w:r>
            <w:r>
              <w:rPr>
                <w:rFonts w:hint="eastAsia"/>
                <w:color w:val="000000"/>
                <w:kern w:val="0"/>
                <w:sz w:val="21"/>
                <w:szCs w:val="21"/>
                <w:lang w:val="en-US" w:eastAsia="zh-CN"/>
              </w:rPr>
              <w:t>开展</w:t>
            </w:r>
            <w:r>
              <w:rPr>
                <w:rFonts w:hint="eastAsia"/>
                <w:color w:val="000000"/>
                <w:kern w:val="0"/>
                <w:sz w:val="21"/>
                <w:szCs w:val="21"/>
              </w:rPr>
              <w:t>督导工作任务，</w:t>
            </w:r>
            <w:r>
              <w:rPr>
                <w:rFonts w:hint="eastAsia"/>
                <w:color w:val="000000"/>
                <w:kern w:val="0"/>
                <w:sz w:val="21"/>
                <w:szCs w:val="21"/>
                <w:lang w:val="en-US" w:eastAsia="zh-CN"/>
              </w:rPr>
              <w:t>保证了</w:t>
            </w:r>
            <w:r>
              <w:rPr>
                <w:rFonts w:hint="eastAsia"/>
                <w:color w:val="000000"/>
                <w:kern w:val="0"/>
                <w:sz w:val="21"/>
                <w:szCs w:val="21"/>
              </w:rPr>
              <w:t>春耕生产达到预期目标</w:t>
            </w:r>
            <w:r>
              <w:rPr>
                <w:rFonts w:hint="eastAsia"/>
                <w:color w:val="000000"/>
                <w:kern w:val="0"/>
                <w:sz w:val="21"/>
                <w:szCs w:val="21"/>
                <w:lang w:eastAsia="zh-CN"/>
              </w:rPr>
              <w:t>。</w:t>
            </w:r>
            <w:r>
              <w:rPr>
                <w:rFonts w:hint="eastAsia"/>
                <w:color w:val="000000"/>
                <w:kern w:val="0"/>
                <w:sz w:val="21"/>
                <w:szCs w:val="21"/>
              </w:rPr>
              <w:t>全省化学农药使用量</w:t>
            </w:r>
            <w:r>
              <w:rPr>
                <w:rFonts w:hint="eastAsia"/>
                <w:color w:val="000000"/>
                <w:kern w:val="0"/>
                <w:sz w:val="21"/>
                <w:szCs w:val="21"/>
                <w:lang w:val="en-US" w:eastAsia="zh-CN"/>
              </w:rPr>
              <w:t>较上年</w:t>
            </w:r>
            <w:r>
              <w:rPr>
                <w:rFonts w:hint="eastAsia"/>
                <w:color w:val="000000"/>
                <w:kern w:val="0"/>
                <w:sz w:val="21"/>
                <w:szCs w:val="21"/>
              </w:rPr>
              <w:t>减少</w:t>
            </w:r>
            <w:r>
              <w:rPr>
                <w:rFonts w:hint="eastAsia"/>
                <w:color w:val="000000"/>
                <w:kern w:val="0"/>
                <w:sz w:val="21"/>
                <w:szCs w:val="21"/>
                <w:lang w:eastAsia="zh-CN"/>
              </w:rPr>
              <w:t>，</w:t>
            </w:r>
            <w:r>
              <w:rPr>
                <w:rFonts w:hint="eastAsia"/>
                <w:color w:val="000000"/>
                <w:kern w:val="0"/>
                <w:sz w:val="21"/>
                <w:szCs w:val="21"/>
              </w:rPr>
              <w:t>更新</w:t>
            </w:r>
            <w:r>
              <w:rPr>
                <w:rFonts w:hint="eastAsia"/>
                <w:color w:val="000000"/>
                <w:kern w:val="0"/>
                <w:sz w:val="21"/>
                <w:szCs w:val="21"/>
                <w:lang w:val="en-US" w:eastAsia="zh-CN"/>
              </w:rPr>
              <w:t>15台/套</w:t>
            </w:r>
            <w:r>
              <w:rPr>
                <w:rFonts w:hint="eastAsia"/>
                <w:color w:val="000000"/>
                <w:kern w:val="0"/>
                <w:sz w:val="21"/>
                <w:szCs w:val="21"/>
              </w:rPr>
              <w:t>设备，提升</w:t>
            </w:r>
            <w:r>
              <w:rPr>
                <w:rFonts w:hint="eastAsia"/>
                <w:color w:val="000000"/>
                <w:kern w:val="0"/>
                <w:sz w:val="21"/>
                <w:szCs w:val="21"/>
                <w:lang w:eastAsia="zh-CN"/>
              </w:rPr>
              <w:t>了</w:t>
            </w:r>
            <w:r>
              <w:rPr>
                <w:rFonts w:hint="eastAsia"/>
                <w:color w:val="000000"/>
                <w:kern w:val="0"/>
                <w:sz w:val="21"/>
                <w:szCs w:val="21"/>
                <w:lang w:val="en-US" w:eastAsia="zh-CN"/>
              </w:rPr>
              <w:t>办公</w:t>
            </w:r>
            <w:r>
              <w:rPr>
                <w:rFonts w:hint="eastAsia"/>
                <w:color w:val="000000"/>
                <w:kern w:val="0"/>
                <w:sz w:val="21"/>
                <w:szCs w:val="21"/>
              </w:rPr>
              <w:t>效率。实现农作物病虫害远程监测、诊断，</w:t>
            </w:r>
            <w:r>
              <w:rPr>
                <w:rFonts w:hint="eastAsia"/>
                <w:color w:val="000000"/>
                <w:kern w:val="0"/>
                <w:sz w:val="21"/>
                <w:szCs w:val="21"/>
                <w:lang w:val="en-US" w:eastAsia="zh-CN"/>
              </w:rPr>
              <w:t>专家指导达100多次</w:t>
            </w:r>
            <w:r>
              <w:rPr>
                <w:rFonts w:hint="eastAsia"/>
                <w:color w:val="000000"/>
                <w:kern w:val="0"/>
                <w:sz w:val="21"/>
                <w:szCs w:val="21"/>
              </w:rPr>
              <w:t>。全面提升</w:t>
            </w:r>
            <w:r>
              <w:rPr>
                <w:rFonts w:hint="eastAsia"/>
                <w:color w:val="000000"/>
                <w:kern w:val="0"/>
                <w:sz w:val="21"/>
                <w:szCs w:val="21"/>
                <w:lang w:eastAsia="zh-CN"/>
              </w:rPr>
              <w:t>了</w:t>
            </w:r>
            <w:r>
              <w:rPr>
                <w:rFonts w:hint="eastAsia"/>
                <w:color w:val="000000"/>
                <w:kern w:val="0"/>
                <w:sz w:val="21"/>
                <w:szCs w:val="21"/>
              </w:rPr>
              <w:t>湖南植保防灾减灾能力，有效控制病虫危害损失，为全省农业生产提供服务</w:t>
            </w:r>
            <w:r>
              <w:rPr>
                <w:rFonts w:hint="eastAsia"/>
                <w:color w:val="000000"/>
                <w:kern w:val="0"/>
                <w:sz w:val="21"/>
                <w:szCs w:val="21"/>
                <w:lang w:val="en-US" w:eastAsia="zh-CN"/>
              </w:rPr>
              <w:t>和</w:t>
            </w:r>
            <w:r>
              <w:rPr>
                <w:rFonts w:hint="eastAsia"/>
                <w:color w:val="000000"/>
                <w:kern w:val="0"/>
                <w:sz w:val="21"/>
                <w:szCs w:val="21"/>
              </w:rPr>
              <w:t>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5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92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921"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检疫执法制服配置数量</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1套</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1套</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3</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3</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年度植保专业设备设施购置数量</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ascii="Times New Roman" w:hAnsi="Times New Roman" w:cs="Times New Roman"/>
                <w:color w:val="000000"/>
                <w:kern w:val="0"/>
                <w:sz w:val="21"/>
                <w:szCs w:val="21"/>
                <w:lang w:val="en-US" w:eastAsia="zh-CN"/>
              </w:rPr>
              <w:t>15台套</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15台套</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5</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5</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专家远程诊断次数</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ascii="Times New Roman" w:hAnsi="Times New Roman" w:cs="Times New Roman"/>
                <w:color w:val="000000"/>
                <w:kern w:val="0"/>
                <w:sz w:val="21"/>
                <w:szCs w:val="21"/>
                <w:lang w:val="en-US" w:eastAsia="zh-CN"/>
              </w:rPr>
              <w:t>100次以上</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112次</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督查指导全省病虫害专业化统防统治服务组织按标准化要求建设区域站</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ascii="Times New Roman" w:hAnsi="Times New Roman" w:cs="Times New Roman"/>
                <w:color w:val="000000"/>
                <w:kern w:val="0"/>
                <w:sz w:val="21"/>
                <w:szCs w:val="21"/>
                <w:lang w:val="en-US" w:eastAsia="zh-CN"/>
              </w:rPr>
              <w:t>100个</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100个</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5</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5</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组织全省植保专业技术人员参加培训的人次</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ascii="Times New Roman" w:hAnsi="Times New Roman" w:cs="Times New Roman"/>
                <w:color w:val="000000"/>
                <w:kern w:val="0"/>
                <w:sz w:val="21"/>
                <w:szCs w:val="21"/>
                <w:lang w:val="en-US" w:eastAsia="zh-CN"/>
              </w:rPr>
              <w:t>≥300人次</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503人次</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组织参加集中早稻育秧的专业技术人员人数</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ascii="Times New Roman" w:hAnsi="Times New Roman" w:cs="Times New Roman"/>
                <w:color w:val="000000"/>
                <w:kern w:val="0"/>
                <w:sz w:val="21"/>
                <w:szCs w:val="21"/>
                <w:lang w:val="en-US" w:eastAsia="zh-CN"/>
              </w:rPr>
              <w:t>3人</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3人</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5</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5</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全省化肥农药减量宣传资料的印刷和下发数量</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ascii="Times New Roman" w:hAnsi="Times New Roman" w:cs="Times New Roman"/>
                <w:color w:val="000000"/>
                <w:kern w:val="0"/>
                <w:sz w:val="21"/>
                <w:szCs w:val="21"/>
                <w:lang w:val="en-US" w:eastAsia="zh-CN"/>
              </w:rPr>
              <w:t>≥10000册</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10480册</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2</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2</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质量指标</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4"/>
                <w:szCs w:val="24"/>
                <w:lang w:val="en-US" w:eastAsia="zh-CN"/>
              </w:rPr>
            </w:pPr>
            <w:r>
              <w:rPr>
                <w:rFonts w:hint="eastAsia" w:ascii="Times New Roman" w:hAnsi="Times New Roman" w:cs="Times New Roman"/>
                <w:color w:val="000000"/>
                <w:kern w:val="0"/>
                <w:sz w:val="24"/>
                <w:szCs w:val="24"/>
                <w:lang w:val="en-US" w:eastAsia="zh-CN"/>
              </w:rPr>
              <w:t>检疫执法制服质量</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ascii="Times New Roman" w:hAnsi="Times New Roman" w:cs="Times New Roman"/>
                <w:color w:val="000000"/>
                <w:kern w:val="0"/>
                <w:sz w:val="24"/>
                <w:szCs w:val="24"/>
                <w:lang w:val="en-US" w:eastAsia="zh-CN"/>
              </w:rPr>
              <w:t>必须达到国家相关标准</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达到</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2</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lang w:val="en-US" w:eastAsia="zh-CN"/>
              </w:rPr>
              <w:t>2</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ascii="Times New Roman" w:hAnsi="Times New Roman" w:cs="Times New Roman"/>
                <w:color w:val="000000"/>
                <w:kern w:val="0"/>
                <w:sz w:val="24"/>
                <w:szCs w:val="24"/>
                <w:lang w:val="en-US" w:eastAsia="zh-CN"/>
              </w:rPr>
            </w:pPr>
            <w:r>
              <w:rPr>
                <w:rFonts w:hint="eastAsia" w:ascii="Times New Roman" w:hAnsi="Times New Roman" w:cs="Times New Roman"/>
                <w:color w:val="000000"/>
                <w:kern w:val="0"/>
                <w:sz w:val="24"/>
                <w:szCs w:val="24"/>
                <w:lang w:val="en-US" w:eastAsia="zh-CN"/>
              </w:rPr>
              <w:t>年度内购置的设备质量</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ascii="Times New Roman" w:hAnsi="Times New Roman" w:cs="Times New Roman"/>
                <w:color w:val="000000"/>
                <w:kern w:val="0"/>
                <w:sz w:val="24"/>
                <w:szCs w:val="24"/>
                <w:lang w:val="en-US" w:eastAsia="zh-CN"/>
              </w:rPr>
              <w:t>必须达到合格的质量要求</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达到</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2</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2</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4"/>
                <w:szCs w:val="24"/>
                <w:lang w:val="en-US" w:eastAsia="zh-CN"/>
              </w:rPr>
            </w:pPr>
            <w:r>
              <w:rPr>
                <w:rFonts w:hint="eastAsia" w:ascii="Times New Roman" w:hAnsi="Times New Roman" w:cs="Times New Roman"/>
                <w:color w:val="000000"/>
                <w:kern w:val="0"/>
                <w:sz w:val="24"/>
                <w:szCs w:val="24"/>
                <w:lang w:val="en-US" w:eastAsia="zh-CN"/>
              </w:rPr>
              <w:t>病虫害诊断准确率</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≥90%</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90%</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2</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2</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4"/>
                <w:szCs w:val="24"/>
                <w:lang w:val="en-US" w:eastAsia="zh-CN"/>
              </w:rPr>
            </w:pPr>
            <w:r>
              <w:rPr>
                <w:rFonts w:hint="eastAsia" w:ascii="Times New Roman" w:hAnsi="Times New Roman" w:cs="Times New Roman"/>
                <w:color w:val="000000"/>
                <w:kern w:val="0"/>
                <w:sz w:val="24"/>
                <w:szCs w:val="24"/>
                <w:lang w:val="en-US" w:eastAsia="zh-CN"/>
              </w:rPr>
              <w:t>全省病虫信息与植保技术进村入户率</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≥90%</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91%</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2</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2</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4"/>
                <w:szCs w:val="24"/>
                <w:lang w:val="en-US" w:eastAsia="zh-CN"/>
              </w:rPr>
            </w:pPr>
            <w:r>
              <w:rPr>
                <w:rFonts w:hint="eastAsia" w:ascii="Times New Roman" w:hAnsi="Times New Roman" w:cs="Times New Roman"/>
                <w:color w:val="000000"/>
                <w:kern w:val="0"/>
                <w:sz w:val="24"/>
                <w:szCs w:val="24"/>
                <w:lang w:val="en-US" w:eastAsia="zh-CN"/>
              </w:rPr>
              <w:t>参加全省植保专业培训的人员结业率</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100%</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100%</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2</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2</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4"/>
                <w:szCs w:val="24"/>
                <w:lang w:val="en-US" w:eastAsia="zh-CN"/>
              </w:rPr>
            </w:pPr>
            <w:r>
              <w:rPr>
                <w:rFonts w:hint="eastAsia" w:ascii="Times New Roman" w:hAnsi="Times New Roman" w:cs="Times New Roman"/>
                <w:color w:val="000000"/>
                <w:kern w:val="0"/>
                <w:sz w:val="24"/>
                <w:szCs w:val="24"/>
                <w:lang w:val="en-US" w:eastAsia="zh-CN"/>
              </w:rPr>
              <w:t>专业技术人员完成督导工作的成效</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100%</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100%</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2</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2</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4"/>
                <w:szCs w:val="24"/>
                <w:lang w:val="en-US" w:eastAsia="zh-CN"/>
              </w:rPr>
            </w:pPr>
            <w:r>
              <w:rPr>
                <w:rFonts w:hint="eastAsia" w:ascii="Times New Roman" w:hAnsi="Times New Roman" w:cs="Times New Roman"/>
                <w:color w:val="000000"/>
                <w:kern w:val="0"/>
                <w:sz w:val="24"/>
                <w:szCs w:val="24"/>
                <w:lang w:val="en-US" w:eastAsia="zh-CN"/>
              </w:rPr>
              <w:t>经济作物化肥农药使用量</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降低4%</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降低4%</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2</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2</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eastAsia" w:eastAsia="仿宋_GB2312"/>
                <w:color w:val="000000"/>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eastAsia="zh-CN"/>
              </w:rPr>
            </w:pPr>
            <w:r>
              <w:rPr>
                <w:rFonts w:hint="eastAsia"/>
                <w:color w:val="000000"/>
                <w:kern w:val="0"/>
                <w:sz w:val="21"/>
                <w:szCs w:val="21"/>
              </w:rPr>
              <w:t>年度内预算资金专项执行</w:t>
            </w:r>
            <w:r>
              <w:rPr>
                <w:rFonts w:hint="eastAsia"/>
                <w:color w:val="000000"/>
                <w:kern w:val="0"/>
                <w:sz w:val="21"/>
                <w:szCs w:val="21"/>
                <w:lang w:val="en-US" w:eastAsia="zh-CN"/>
              </w:rPr>
              <w:t>率</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≥90%</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71.83%</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2</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1.44</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在2024年12月31日前完成所有专项目标任务</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left="0" w:leftChars="0"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在规定时点前完成</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left="0" w:leftChars="0" w:firstLine="0" w:firstLineChars="0"/>
              <w:jc w:val="center"/>
              <w:textAlignment w:val="center"/>
              <w:rPr>
                <w:rFonts w:hint="default"/>
                <w:color w:val="000000"/>
                <w:kern w:val="0"/>
                <w:sz w:val="21"/>
                <w:szCs w:val="21"/>
                <w:lang w:val="en-US"/>
              </w:rPr>
            </w:pPr>
            <w:r>
              <w:rPr>
                <w:rFonts w:hint="eastAsia"/>
                <w:color w:val="000000"/>
                <w:kern w:val="0"/>
                <w:sz w:val="21"/>
                <w:szCs w:val="21"/>
                <w:lang w:val="en-US" w:eastAsia="zh-CN"/>
              </w:rPr>
              <w:t>在2024年12月31日已完成</w:t>
            </w:r>
            <w:r>
              <w:rPr>
                <w:rFonts w:hint="eastAsia"/>
                <w:color w:val="000000"/>
                <w:kern w:val="0"/>
                <w:sz w:val="21"/>
                <w:szCs w:val="21"/>
              </w:rPr>
              <w:t>所有专项目标任务</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2</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2</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成本指标</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专项工作所需成本费用</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必须严格控制在预算总额以内</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已</w:t>
            </w:r>
            <w:r>
              <w:rPr>
                <w:rFonts w:hint="eastAsia"/>
                <w:color w:val="000000"/>
                <w:kern w:val="0"/>
                <w:sz w:val="21"/>
                <w:szCs w:val="21"/>
              </w:rPr>
              <w:t>控制在预算总额以内</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2</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2</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效益指标</w:t>
            </w:r>
          </w:p>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（30分）</w:t>
            </w:r>
          </w:p>
        </w:tc>
        <w:tc>
          <w:tcPr>
            <w:tcW w:w="921"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经济效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病虫危害总体损失率</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ascii="Times New Roman" w:hAnsi="Times New Roman" w:cs="Times New Roman"/>
                <w:color w:val="000000"/>
                <w:kern w:val="0"/>
                <w:sz w:val="21"/>
                <w:szCs w:val="21"/>
                <w:lang w:val="en-US" w:eastAsia="zh-CN"/>
              </w:rPr>
              <w:t>≤5%</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ascii="Times New Roman" w:hAnsi="Times New Roman" w:cs="Times New Roman"/>
                <w:color w:val="000000"/>
                <w:kern w:val="0"/>
                <w:sz w:val="21"/>
                <w:szCs w:val="21"/>
                <w:lang w:val="en-US" w:eastAsia="zh-CN"/>
              </w:rPr>
              <w:t>5%</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7</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7</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年度预算执行水平</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ascii="Times New Roman" w:hAnsi="Times New Roman" w:cs="Times New Roman"/>
                <w:color w:val="000000"/>
                <w:kern w:val="0"/>
                <w:sz w:val="21"/>
                <w:szCs w:val="21"/>
                <w:lang w:val="en-US" w:eastAsia="zh-CN"/>
              </w:rPr>
              <w:t>≥90%</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71.83%</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3</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color w:val="000000"/>
                <w:kern w:val="0"/>
                <w:sz w:val="21"/>
                <w:szCs w:val="21"/>
                <w:lang w:val="en-US"/>
              </w:rPr>
            </w:pPr>
            <w:r>
              <w:rPr>
                <w:rFonts w:hint="eastAsia"/>
                <w:color w:val="000000"/>
                <w:kern w:val="0"/>
                <w:sz w:val="21"/>
                <w:szCs w:val="21"/>
                <w:lang w:val="en-US" w:eastAsia="zh-CN"/>
              </w:rPr>
              <w:t>2.15</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社会效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益指标</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重大病虫害防治处置率</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≥95%</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95%</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10</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可持续影响指标</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年度检疫执法标准化水平</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420" w:firstLineChars="200"/>
              <w:jc w:val="both"/>
              <w:textAlignment w:val="center"/>
              <w:rPr>
                <w:color w:val="000000"/>
                <w:kern w:val="0"/>
                <w:sz w:val="21"/>
                <w:szCs w:val="21"/>
              </w:rPr>
            </w:pPr>
            <w:r>
              <w:rPr>
                <w:rFonts w:hint="eastAsia" w:ascii="Times New Roman" w:hAnsi="Times New Roman" w:cs="Times New Roman"/>
                <w:color w:val="000000"/>
                <w:kern w:val="0"/>
                <w:sz w:val="21"/>
                <w:szCs w:val="21"/>
                <w:lang w:val="en-US" w:eastAsia="zh-CN"/>
              </w:rPr>
              <w:t>100%</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left="0" w:leftChars="0" w:firstLine="0" w:firstLineChars="0"/>
              <w:jc w:val="center"/>
              <w:textAlignment w:val="center"/>
              <w:rPr>
                <w:color w:val="000000"/>
                <w:kern w:val="0"/>
                <w:sz w:val="21"/>
                <w:szCs w:val="21"/>
              </w:rPr>
            </w:pPr>
            <w:r>
              <w:rPr>
                <w:rFonts w:hint="eastAsia" w:ascii="Times New Roman" w:hAnsi="Times New Roman" w:cs="Times New Roman"/>
                <w:color w:val="000000"/>
                <w:kern w:val="0"/>
                <w:sz w:val="21"/>
                <w:szCs w:val="21"/>
                <w:lang w:val="en-US" w:eastAsia="zh-CN"/>
              </w:rPr>
              <w:t>100%</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5</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rPr>
            </w:pPr>
            <w:r>
              <w:rPr>
                <w:rFonts w:hint="eastAsia" w:ascii="Times New Roman" w:hAnsi="Times New Roman" w:cs="Times New Roman"/>
                <w:color w:val="000000"/>
                <w:kern w:val="0"/>
                <w:sz w:val="21"/>
                <w:szCs w:val="21"/>
                <w:lang w:val="en-US" w:eastAsia="zh-CN"/>
              </w:rPr>
              <w:t>专业设备更新换代率</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ascii="Times New Roman" w:hAnsi="Times New Roman" w:cs="Times New Roman"/>
                <w:color w:val="000000"/>
                <w:kern w:val="0"/>
                <w:sz w:val="21"/>
                <w:szCs w:val="21"/>
                <w:lang w:val="en-US" w:eastAsia="zh-CN"/>
              </w:rPr>
              <w:t>≥30%</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33.3%</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5</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5</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（10分）</w:t>
            </w:r>
          </w:p>
        </w:tc>
        <w:tc>
          <w:tcPr>
            <w:tcW w:w="921"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接受线上诊断咨询服务农户满意度</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ascii="Times New Roman" w:hAnsi="Times New Roman" w:cs="Times New Roman"/>
                <w:color w:val="000000"/>
                <w:kern w:val="0"/>
                <w:sz w:val="21"/>
                <w:szCs w:val="21"/>
                <w:lang w:val="en-US" w:eastAsia="zh-CN"/>
              </w:rPr>
              <w:t>≥95%</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98%</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3</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3</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921"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核心示范区农户满意度</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ascii="Times New Roman" w:hAnsi="Times New Roman" w:cs="Times New Roman"/>
                <w:color w:val="000000"/>
                <w:kern w:val="0"/>
                <w:sz w:val="21"/>
                <w:szCs w:val="21"/>
                <w:lang w:val="en-US" w:eastAsia="zh-CN"/>
              </w:rPr>
              <w:t>≥95%</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98%</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3</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3</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921"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ascii="Times New Roman" w:hAnsi="Times New Roman" w:cs="Times New Roman"/>
                <w:color w:val="000000"/>
                <w:kern w:val="0"/>
                <w:sz w:val="21"/>
                <w:szCs w:val="21"/>
                <w:lang w:val="en-US" w:eastAsia="zh-CN"/>
              </w:rPr>
            </w:pPr>
            <w:r>
              <w:rPr>
                <w:rFonts w:hint="eastAsia" w:ascii="Times New Roman" w:hAnsi="Times New Roman" w:cs="Times New Roman"/>
                <w:color w:val="000000"/>
                <w:kern w:val="0"/>
                <w:sz w:val="21"/>
                <w:szCs w:val="21"/>
                <w:lang w:val="en-US" w:eastAsia="zh-CN"/>
              </w:rPr>
              <w:t>参加全省植保专业培训的人员的满意度</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ascii="Times New Roman" w:hAnsi="Times New Roman" w:cs="Times New Roman"/>
                <w:color w:val="000000"/>
                <w:kern w:val="0"/>
                <w:sz w:val="21"/>
                <w:szCs w:val="21"/>
                <w:lang w:val="en-US" w:eastAsia="zh-CN"/>
              </w:rPr>
              <w:t>≥95%</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100%</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2</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2</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jc w:val="center"/>
        </w:trPr>
        <w:tc>
          <w:tcPr>
            <w:tcW w:w="1023"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5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921"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19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ascii="Times New Roman" w:hAnsi="Times New Roman" w:cs="Times New Roman"/>
                <w:color w:val="000000"/>
                <w:kern w:val="0"/>
                <w:sz w:val="21"/>
                <w:szCs w:val="21"/>
                <w:lang w:val="en-US" w:eastAsia="zh-CN"/>
              </w:rPr>
              <w:t>接受调查农户对年度化肥农药减量工作满意度</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ascii="Times New Roman" w:hAnsi="Times New Roman" w:cs="Times New Roman"/>
                <w:color w:val="000000"/>
                <w:kern w:val="0"/>
                <w:sz w:val="21"/>
                <w:szCs w:val="21"/>
                <w:lang w:val="en-US" w:eastAsia="zh-CN"/>
              </w:rPr>
              <w:t>≥95%</w:t>
            </w:r>
          </w:p>
        </w:tc>
        <w:tc>
          <w:tcPr>
            <w:tcW w:w="1346"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96%</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bidi="ar-SA"/>
              </w:rPr>
            </w:pPr>
            <w:r>
              <w:rPr>
                <w:rFonts w:hint="eastAsia"/>
                <w:color w:val="000000"/>
                <w:kern w:val="0"/>
                <w:sz w:val="21"/>
                <w:szCs w:val="21"/>
                <w:lang w:val="en-US" w:eastAsia="zh-CN"/>
              </w:rPr>
              <w:t>2</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2</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78"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79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95.77</w:t>
            </w:r>
          </w:p>
        </w:tc>
        <w:tc>
          <w:tcPr>
            <w:tcW w:w="1311"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bl>
    <w:p>
      <w:pPr>
        <w:spacing w:line="240" w:lineRule="exact"/>
        <w:ind w:firstLine="0" w:firstLineChars="0"/>
      </w:pPr>
    </w:p>
    <w:p>
      <w:pPr>
        <w:pStyle w:val="4"/>
        <w:ind w:firstLine="0" w:firstLineChars="0"/>
        <w:rPr>
          <w:rFonts w:hint="eastAsia" w:eastAsia="黑体"/>
          <w:lang w:val="en-US" w:eastAsia="zh-CN"/>
        </w:rPr>
      </w:pPr>
      <w:r>
        <w:br w:type="page"/>
      </w:r>
      <w:r>
        <w:t>附件</w:t>
      </w:r>
      <w:r>
        <w:rPr>
          <w:rFonts w:hint="eastAsia"/>
          <w:lang w:val="en-US" w:eastAsia="zh-CN"/>
        </w:rPr>
        <w:t>4</w:t>
      </w:r>
    </w:p>
    <w:p>
      <w:pPr>
        <w:pStyle w:val="3"/>
        <w:spacing w:before="144" w:beforeLines="25" w:line="500" w:lineRule="exact"/>
        <w:rPr>
          <w:sz w:val="36"/>
          <w:szCs w:val="36"/>
        </w:rPr>
      </w:pPr>
      <w:r>
        <w:rPr>
          <w:sz w:val="36"/>
          <w:szCs w:val="36"/>
        </w:rPr>
        <w:t>项目支出绩效自评表</w:t>
      </w:r>
    </w:p>
    <w:p>
      <w:pPr>
        <w:widowControl/>
        <w:adjustRightInd/>
        <w:snapToGrid/>
        <w:spacing w:line="240" w:lineRule="auto"/>
        <w:ind w:firstLine="0" w:firstLineChars="0"/>
        <w:jc w:val="center"/>
        <w:rPr>
          <w:color w:val="000000"/>
          <w:kern w:val="0"/>
          <w:sz w:val="21"/>
          <w:szCs w:val="21"/>
        </w:rPr>
      </w:pPr>
      <w:r>
        <w:rPr>
          <w:color w:val="000000"/>
          <w:kern w:val="0"/>
          <w:sz w:val="21"/>
          <w:szCs w:val="21"/>
        </w:rPr>
        <w:t>（</w:t>
      </w:r>
      <w:r>
        <w:rPr>
          <w:rFonts w:hint="eastAsia"/>
          <w:color w:val="000000"/>
          <w:kern w:val="0"/>
          <w:sz w:val="21"/>
          <w:szCs w:val="21"/>
          <w:lang w:val="en-US" w:eastAsia="zh-CN"/>
        </w:rPr>
        <w:t>2024</w:t>
      </w:r>
      <w:r>
        <w:rPr>
          <w:color w:val="000000"/>
          <w:kern w:val="0"/>
          <w:sz w:val="21"/>
          <w:szCs w:val="21"/>
        </w:rPr>
        <w:t>年度）</w:t>
      </w:r>
    </w:p>
    <w:tbl>
      <w:tblPr>
        <w:tblStyle w:val="12"/>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1080"/>
        <w:gridCol w:w="1149"/>
        <w:gridCol w:w="1209"/>
        <w:gridCol w:w="1134"/>
        <w:gridCol w:w="828"/>
        <w:gridCol w:w="87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项目支</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出名称</w:t>
            </w:r>
          </w:p>
        </w:tc>
        <w:tc>
          <w:tcPr>
            <w:tcW w:w="8771" w:type="dxa"/>
            <w:gridSpan w:val="8"/>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kern w:val="0"/>
                <w:sz w:val="21"/>
                <w:szCs w:val="21"/>
              </w:rPr>
              <w:t>其他事业类发展资金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主管部门</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湖南省农业农村厅</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实施单位</w:t>
            </w:r>
          </w:p>
        </w:tc>
        <w:tc>
          <w:tcPr>
            <w:tcW w:w="3119" w:type="dxa"/>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湖南省植保植检站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项目资金</w:t>
            </w:r>
            <w:r>
              <w:rPr>
                <w:color w:val="000000"/>
                <w:kern w:val="0"/>
                <w:sz w:val="21"/>
                <w:szCs w:val="21"/>
              </w:rPr>
              <w:br w:type="textWrapping"/>
            </w:r>
            <w:r>
              <w:rPr>
                <w:color w:val="000000"/>
                <w:kern w:val="0"/>
                <w:sz w:val="21"/>
                <w:szCs w:val="21"/>
              </w:rPr>
              <w:t>（万元）</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年初</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全年</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预算数</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全年</w:t>
            </w:r>
          </w:p>
          <w:p>
            <w:pPr>
              <w:adjustRightInd/>
              <w:spacing w:line="280" w:lineRule="exact"/>
              <w:ind w:firstLine="0" w:firstLineChars="0"/>
              <w:jc w:val="center"/>
              <w:textAlignment w:val="center"/>
              <w:rPr>
                <w:sz w:val="21"/>
                <w:szCs w:val="21"/>
              </w:rPr>
            </w:pPr>
            <w:r>
              <w:rPr>
                <w:sz w:val="21"/>
                <w:szCs w:val="21"/>
              </w:rPr>
              <w:t>执行数</w:t>
            </w:r>
          </w:p>
        </w:tc>
        <w:tc>
          <w:tcPr>
            <w:tcW w:w="828"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执行率</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adjustRightInd/>
              <w:spacing w:line="280" w:lineRule="exact"/>
              <w:ind w:firstLine="0" w:firstLineChars="0"/>
              <w:jc w:val="center"/>
              <w:textAlignment w:val="center"/>
              <w:rPr>
                <w:sz w:val="21"/>
                <w:szCs w:val="21"/>
              </w:rPr>
            </w:pPr>
            <w:r>
              <w:rPr>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年度资金总额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1730.2</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3638.2</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1191.30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32.74%</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其中：当年财政拨款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1908</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7.80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上年结转资金　</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1730.2</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lang w:val="en-US" w:eastAsia="zh-CN"/>
              </w:rPr>
              <w:t>1730.2</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rFonts w:hint="default" w:eastAsia="仿宋_GB2312"/>
                <w:color w:val="000000"/>
                <w:kern w:val="0"/>
                <w:sz w:val="21"/>
                <w:szCs w:val="21"/>
                <w:lang w:val="en-US" w:eastAsia="zh-CN"/>
              </w:rPr>
            </w:pPr>
            <w:r>
              <w:rPr>
                <w:color w:val="000000"/>
                <w:kern w:val="0"/>
                <w:sz w:val="21"/>
                <w:szCs w:val="21"/>
              </w:rPr>
              <w:t>　</w:t>
            </w:r>
            <w:r>
              <w:rPr>
                <w:rFonts w:hint="eastAsia"/>
                <w:color w:val="000000"/>
                <w:kern w:val="0"/>
                <w:sz w:val="21"/>
                <w:szCs w:val="21"/>
                <w:lang w:val="en-US" w:eastAsia="zh-CN"/>
              </w:rPr>
              <w:t>1183.50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630" w:firstLineChars="300"/>
              <w:jc w:val="left"/>
              <w:textAlignment w:val="center"/>
              <w:rPr>
                <w:color w:val="000000"/>
                <w:kern w:val="0"/>
                <w:sz w:val="21"/>
                <w:szCs w:val="21"/>
              </w:rPr>
            </w:pPr>
            <w:r>
              <w:rPr>
                <w:color w:val="000000"/>
                <w:kern w:val="0"/>
                <w:sz w:val="21"/>
                <w:szCs w:val="21"/>
              </w:rPr>
              <w:t>其他资金</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年度总体目标</w:t>
            </w: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预期目标</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4518"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　</w:t>
            </w:r>
            <w:r>
              <w:rPr>
                <w:rFonts w:hint="eastAsia"/>
                <w:color w:val="000000"/>
                <w:kern w:val="0"/>
                <w:sz w:val="21"/>
                <w:szCs w:val="21"/>
              </w:rPr>
              <w:t>在宁乡市、湘乡市、祁东县、洞口县、芷江县、中方县、龙山县、桑植县、鼎城区、临湘市、浏阳市11个县（市区）建设县级（重点）监测点11个，乡镇监测点39个，实现病虫监测工作自动化、信息化。</w:t>
            </w:r>
            <w:r>
              <w:rPr>
                <w:color w:val="000000"/>
                <w:kern w:val="0"/>
                <w:sz w:val="21"/>
                <w:szCs w:val="21"/>
              </w:rPr>
              <w:t>　</w:t>
            </w:r>
          </w:p>
        </w:tc>
        <w:tc>
          <w:tcPr>
            <w:tcW w:w="4253" w:type="dxa"/>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r>
              <w:rPr>
                <w:rFonts w:hint="eastAsia"/>
                <w:color w:val="000000"/>
                <w:kern w:val="0"/>
                <w:sz w:val="21"/>
                <w:szCs w:val="21"/>
                <w:lang w:val="en-US" w:eastAsia="zh-CN"/>
              </w:rPr>
              <w:t>已</w:t>
            </w:r>
            <w:r>
              <w:rPr>
                <w:rFonts w:hint="eastAsia"/>
                <w:color w:val="000000"/>
                <w:kern w:val="0"/>
                <w:sz w:val="21"/>
                <w:szCs w:val="21"/>
              </w:rPr>
              <w:t>在宁乡市、湘乡市、祁东县、洞口县、芷江县、中方县、龙山县、桑植县、鼎城区、临湘市、浏阳市11个县（市区）建设县级（重点）监测点11个，乡镇监测点39个，实现病虫监测工作自动化、信息化。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restart"/>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绩</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效</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二级指标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三级指标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年度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实际</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分值</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得分</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偏差原因</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分析及</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restart"/>
            <w:tcBorders>
              <w:top w:val="nil"/>
              <w:left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产出指标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(50分)</w:t>
            </w: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数量指标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任务完成率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质量指标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default" w:eastAsia="仿宋_GB2312"/>
                <w:color w:val="000000"/>
                <w:kern w:val="0"/>
                <w:sz w:val="21"/>
                <w:szCs w:val="21"/>
                <w:lang w:val="en-US" w:eastAsia="zh-CN"/>
              </w:rPr>
              <w:t>良种覆盖率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eastAsia" w:eastAsia="仿宋_GB2312"/>
                <w:color w:val="000000"/>
                <w:kern w:val="0"/>
                <w:sz w:val="21"/>
                <w:szCs w:val="21"/>
                <w:lang w:val="en-US" w:eastAsia="zh-CN"/>
              </w:rPr>
            </w:pPr>
            <w:r>
              <w:rPr>
                <w:rFonts w:hint="eastAsia"/>
                <w:color w:val="000000"/>
                <w:kern w:val="0"/>
                <w:sz w:val="21"/>
                <w:szCs w:val="21"/>
                <w:lang w:val="en-US" w:eastAsia="zh-CN"/>
              </w:rPr>
              <w:t>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15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left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时效指标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项目开工率</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vMerge w:val="continue"/>
            <w:tcBorders>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成本指标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专项工作所需成本费用</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rPr>
              <w:t>必须严格控制在预算总额以内</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eastAsia="仿宋_GB2312"/>
                <w:color w:val="000000"/>
                <w:kern w:val="0"/>
                <w:sz w:val="21"/>
                <w:szCs w:val="21"/>
                <w:lang w:val="en-US" w:eastAsia="zh-CN" w:bidi="ar-SA"/>
              </w:rPr>
            </w:pPr>
            <w:r>
              <w:rPr>
                <w:rFonts w:hint="eastAsia"/>
                <w:color w:val="000000"/>
                <w:kern w:val="0"/>
                <w:sz w:val="21"/>
                <w:szCs w:val="21"/>
                <w:lang w:val="en-US" w:eastAsia="zh-CN"/>
              </w:rPr>
              <w:t>已</w:t>
            </w:r>
            <w:r>
              <w:rPr>
                <w:rFonts w:hint="eastAsia"/>
                <w:color w:val="000000"/>
                <w:kern w:val="0"/>
                <w:sz w:val="21"/>
                <w:szCs w:val="21"/>
              </w:rPr>
              <w:t>控制在预算总额以内</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效益指标</w:t>
            </w:r>
          </w:p>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（30分）</w:t>
            </w: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可持续影响指标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rPr>
              <w:t>重大病虫疫情监测和防控能力</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rFonts w:hint="eastAsia"/>
                <w:color w:val="000000"/>
                <w:kern w:val="0"/>
                <w:sz w:val="21"/>
                <w:szCs w:val="21"/>
                <w:lang w:val="en-US" w:eastAsia="zh-CN"/>
              </w:rPr>
              <w:t>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30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30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满意度</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指标</w:t>
            </w:r>
          </w:p>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（10分）</w:t>
            </w:r>
          </w:p>
        </w:tc>
        <w:tc>
          <w:tcPr>
            <w:tcW w:w="1080" w:type="dxa"/>
            <w:tcBorders>
              <w:top w:val="nil"/>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服务对象满意度指标</w:t>
            </w:r>
          </w:p>
        </w:tc>
        <w:tc>
          <w:tcPr>
            <w:tcW w:w="114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使用设备的县市区满意度</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大于等于95%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32" w:type="dxa"/>
            <w:gridSpan w:val="6"/>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总分</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color w:val="000000"/>
                <w:kern w:val="0"/>
                <w:sz w:val="21"/>
                <w:szCs w:val="21"/>
              </w:rPr>
            </w:pPr>
            <w:r>
              <w:rPr>
                <w:color w:val="000000"/>
                <w:kern w:val="0"/>
                <w:sz w:val="21"/>
                <w:szCs w:val="21"/>
              </w:rPr>
              <w:t>100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center"/>
              <w:textAlignment w:val="center"/>
              <w:rPr>
                <w:rFonts w:hint="default" w:eastAsia="仿宋_GB2312"/>
                <w:color w:val="000000"/>
                <w:kern w:val="0"/>
                <w:sz w:val="21"/>
                <w:szCs w:val="21"/>
                <w:lang w:val="en-US" w:eastAsia="zh-CN"/>
              </w:rPr>
            </w:pPr>
            <w:r>
              <w:rPr>
                <w:rFonts w:hint="eastAsia"/>
                <w:color w:val="000000"/>
                <w:kern w:val="0"/>
                <w:sz w:val="21"/>
                <w:szCs w:val="21"/>
                <w:lang w:val="en-US" w:eastAsia="zh-CN"/>
              </w:rPr>
              <w:t>93.27</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adjustRightInd/>
              <w:spacing w:line="280" w:lineRule="exact"/>
              <w:ind w:firstLine="0" w:firstLineChars="0"/>
              <w:jc w:val="left"/>
              <w:textAlignment w:val="center"/>
              <w:rPr>
                <w:color w:val="000000"/>
                <w:kern w:val="0"/>
                <w:sz w:val="21"/>
                <w:szCs w:val="21"/>
              </w:rPr>
            </w:pPr>
            <w:r>
              <w:rPr>
                <w:color w:val="000000"/>
                <w:kern w:val="0"/>
                <w:sz w:val="21"/>
                <w:szCs w:val="21"/>
              </w:rPr>
              <w:t>　</w:t>
            </w:r>
          </w:p>
        </w:tc>
      </w:tr>
    </w:tbl>
    <w:p>
      <w:pPr>
        <w:pStyle w:val="2"/>
        <w:spacing w:line="240" w:lineRule="auto"/>
        <w:ind w:left="0" w:leftChars="0" w:firstLine="0" w:firstLineChars="0"/>
      </w:pPr>
    </w:p>
    <w:p>
      <w:pPr>
        <w:pStyle w:val="17"/>
        <w:jc w:val="center"/>
        <w:rPr>
          <w:rFonts w:ascii="Times New Roman" w:hAnsi="Times New Roman" w:cs="Times New Roman"/>
          <w:sz w:val="72"/>
          <w:szCs w:val="72"/>
        </w:rPr>
      </w:pPr>
    </w:p>
    <w:p>
      <w:pPr>
        <w:jc w:val="left"/>
        <w:rPr>
          <w:rFonts w:ascii="Times New Roman" w:hAnsi="Times New Roman" w:cs="Times New Roman"/>
          <w:color w:val="000000"/>
          <w:kern w:val="0"/>
          <w:sz w:val="32"/>
          <w:szCs w:val="32"/>
        </w:rPr>
      </w:pPr>
    </w:p>
    <w:sectPr>
      <w:pgSz w:w="11906" w:h="16838"/>
      <w:pgMar w:top="1417" w:right="1588" w:bottom="1417"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Batang">
    <w:altName w:val="方正书宋_GBK"/>
    <w:panose1 w:val="02030600000101010101"/>
    <w:charset w:val="81"/>
    <w:family w:val="roman"/>
    <w:pitch w:val="default"/>
    <w:sig w:usb0="00000000" w:usb1="00000000" w:usb2="00000030" w:usb3="00000000" w:csb0="0008009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7102E"/>
    <w:multiLevelType w:val="singleLevel"/>
    <w:tmpl w:val="8457102E"/>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CC18D5"/>
    <w:rsid w:val="073A7537"/>
    <w:rsid w:val="07C82852"/>
    <w:rsid w:val="0C6775A3"/>
    <w:rsid w:val="182449C3"/>
    <w:rsid w:val="19B718CE"/>
    <w:rsid w:val="1BF568DB"/>
    <w:rsid w:val="1D97DEFF"/>
    <w:rsid w:val="1DFF72E5"/>
    <w:rsid w:val="1E593E0C"/>
    <w:rsid w:val="1EFC6F07"/>
    <w:rsid w:val="210053A6"/>
    <w:rsid w:val="25F61F9B"/>
    <w:rsid w:val="277231B0"/>
    <w:rsid w:val="2D9B509D"/>
    <w:rsid w:val="2FDF85B8"/>
    <w:rsid w:val="2FFFEE04"/>
    <w:rsid w:val="34D965B8"/>
    <w:rsid w:val="34DF85B0"/>
    <w:rsid w:val="37543B0C"/>
    <w:rsid w:val="3B602C26"/>
    <w:rsid w:val="3B8F36BC"/>
    <w:rsid w:val="410470D6"/>
    <w:rsid w:val="491FF225"/>
    <w:rsid w:val="4FFD214C"/>
    <w:rsid w:val="53D92877"/>
    <w:rsid w:val="5777D4F5"/>
    <w:rsid w:val="59DD8326"/>
    <w:rsid w:val="5CCD3038"/>
    <w:rsid w:val="5D947836"/>
    <w:rsid w:val="5DEF592A"/>
    <w:rsid w:val="5FC6BB1E"/>
    <w:rsid w:val="5FF720F1"/>
    <w:rsid w:val="634C3EC2"/>
    <w:rsid w:val="67FF5C0B"/>
    <w:rsid w:val="6EFC0924"/>
    <w:rsid w:val="6FB74722"/>
    <w:rsid w:val="6FEF8B7E"/>
    <w:rsid w:val="71A6591B"/>
    <w:rsid w:val="737D59BA"/>
    <w:rsid w:val="7463299B"/>
    <w:rsid w:val="75BF414F"/>
    <w:rsid w:val="77C37683"/>
    <w:rsid w:val="79D19834"/>
    <w:rsid w:val="79FF515B"/>
    <w:rsid w:val="7E9E1962"/>
    <w:rsid w:val="7E9F11B4"/>
    <w:rsid w:val="7F37EC1E"/>
    <w:rsid w:val="7F7DCD9D"/>
    <w:rsid w:val="7F970A6F"/>
    <w:rsid w:val="7FC1FFF3"/>
    <w:rsid w:val="7FC69637"/>
    <w:rsid w:val="7FDF8620"/>
    <w:rsid w:val="7FE8C8F7"/>
    <w:rsid w:val="7FFB242F"/>
    <w:rsid w:val="7FFDB408"/>
    <w:rsid w:val="7FFE4EEB"/>
    <w:rsid w:val="95FB2B98"/>
    <w:rsid w:val="9A639BC2"/>
    <w:rsid w:val="9FF7D786"/>
    <w:rsid w:val="ABBFB23D"/>
    <w:rsid w:val="C3B4DA5A"/>
    <w:rsid w:val="CBFF70E0"/>
    <w:rsid w:val="CFF50B82"/>
    <w:rsid w:val="CFFFAD89"/>
    <w:rsid w:val="DDADC4AD"/>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spacing w:line="700" w:lineRule="exact"/>
      <w:ind w:firstLine="0" w:firstLineChars="0"/>
      <w:jc w:val="center"/>
      <w:outlineLvl w:val="0"/>
    </w:pPr>
    <w:rPr>
      <w:rFonts w:ascii="Times New Roman" w:hAnsi="Times New Roman" w:eastAsia="方正小标宋简体"/>
      <w:bCs/>
      <w:kern w:val="44"/>
      <w:sz w:val="44"/>
      <w:szCs w:val="44"/>
    </w:rPr>
  </w:style>
  <w:style w:type="paragraph" w:styleId="4">
    <w:name w:val="heading 2"/>
    <w:basedOn w:val="1"/>
    <w:next w:val="1"/>
    <w:qFormat/>
    <w:uiPriority w:val="0"/>
    <w:pPr>
      <w:outlineLvl w:val="1"/>
    </w:pPr>
    <w:rPr>
      <w:rFonts w:ascii="Times New Roman" w:hAnsi="Times New Roman" w:eastAsia="黑体"/>
      <w:bCs/>
      <w:szCs w:val="32"/>
    </w:rPr>
  </w:style>
  <w:style w:type="paragraph" w:styleId="2">
    <w:name w:val="heading 3"/>
    <w:basedOn w:val="1"/>
    <w:next w:val="1"/>
    <w:qFormat/>
    <w:uiPriority w:val="0"/>
    <w:pPr>
      <w:outlineLvl w:val="2"/>
    </w:pPr>
    <w:rPr>
      <w:rFonts w:ascii="Times New Roman" w:hAnsi="Times New Roman" w:eastAsia="楷体_GB2312"/>
      <w:b/>
      <w:bCs/>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Indent"/>
    <w:basedOn w:val="1"/>
    <w:next w:val="7"/>
    <w:unhideWhenUsed/>
    <w:qFormat/>
    <w:uiPriority w:val="99"/>
    <w:pPr>
      <w:widowControl/>
      <w:spacing w:after="120"/>
      <w:ind w:left="420" w:leftChars="200"/>
      <w:jc w:val="left"/>
    </w:pPr>
    <w:rPr>
      <w:rFonts w:ascii="宋体" w:hAnsi="宋体" w:eastAsia="宋体" w:cs="宋体"/>
      <w:kern w:val="0"/>
      <w:sz w:val="24"/>
    </w:rPr>
  </w:style>
  <w:style w:type="paragraph" w:styleId="7">
    <w:name w:val="Body Text First Indent 2"/>
    <w:basedOn w:val="6"/>
    <w:next w:val="1"/>
    <w:unhideWhenUsed/>
    <w:qFormat/>
    <w:uiPriority w:val="99"/>
    <w:pPr>
      <w:ind w:firstLine="420" w:firstLineChars="200"/>
    </w:pPr>
  </w:style>
  <w:style w:type="paragraph" w:styleId="8">
    <w:name w:val="Balloon Text"/>
    <w:basedOn w:val="1"/>
    <w:link w:val="19"/>
    <w:semiHidden/>
    <w:unhideWhenUsed/>
    <w:qFormat/>
    <w:uiPriority w:val="99"/>
    <w:rPr>
      <w:sz w:val="18"/>
      <w:szCs w:val="18"/>
    </w:rPr>
  </w:style>
  <w:style w:type="paragraph" w:styleId="9">
    <w:name w:val="footer"/>
    <w:basedOn w:val="1"/>
    <w:link w:val="16"/>
    <w:unhideWhenUsed/>
    <w:qFormat/>
    <w:uiPriority w:val="99"/>
    <w:pPr>
      <w:tabs>
        <w:tab w:val="center" w:pos="4153"/>
        <w:tab w:val="right" w:pos="8306"/>
      </w:tabs>
      <w:snapToGrid w:val="0"/>
      <w:jc w:val="left"/>
    </w:pPr>
    <w:rPr>
      <w:sz w:val="18"/>
      <w:szCs w:val="18"/>
    </w:rPr>
  </w:style>
  <w:style w:type="paragraph" w:styleId="10">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next w:val="7"/>
    <w:semiHidden/>
    <w:qFormat/>
    <w:uiPriority w:val="0"/>
    <w:pPr>
      <w:snapToGrid w:val="0"/>
      <w:jc w:val="left"/>
    </w:pPr>
    <w:rPr>
      <w:sz w:val="18"/>
      <w:szCs w:val="18"/>
    </w:rPr>
  </w:style>
  <w:style w:type="character" w:styleId="14">
    <w:name w:val="page number"/>
    <w:basedOn w:val="13"/>
    <w:qFormat/>
    <w:uiPriority w:val="0"/>
  </w:style>
  <w:style w:type="character" w:customStyle="1" w:styleId="15">
    <w:name w:val="页眉 Char"/>
    <w:basedOn w:val="13"/>
    <w:link w:val="10"/>
    <w:qFormat/>
    <w:uiPriority w:val="99"/>
    <w:rPr>
      <w:sz w:val="18"/>
      <w:szCs w:val="18"/>
    </w:rPr>
  </w:style>
  <w:style w:type="character" w:customStyle="1" w:styleId="16">
    <w:name w:val="页脚 Char"/>
    <w:basedOn w:val="13"/>
    <w:link w:val="9"/>
    <w:qFormat/>
    <w:uiPriority w:val="99"/>
    <w:rPr>
      <w:sz w:val="18"/>
      <w:szCs w:val="18"/>
    </w:rPr>
  </w:style>
  <w:style w:type="paragraph" w:customStyle="1" w:styleId="17">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8">
    <w:name w:val="List Paragraph"/>
    <w:basedOn w:val="1"/>
    <w:qFormat/>
    <w:uiPriority w:val="34"/>
    <w:pPr>
      <w:ind w:firstLine="420" w:firstLineChars="200"/>
    </w:pPr>
  </w:style>
  <w:style w:type="character" w:customStyle="1" w:styleId="19">
    <w:name w:val="批注框文本 Char"/>
    <w:basedOn w:val="13"/>
    <w:link w:val="8"/>
    <w:semiHidden/>
    <w:qFormat/>
    <w:uiPriority w:val="99"/>
    <w:rPr>
      <w:sz w:val="18"/>
      <w:szCs w:val="18"/>
    </w:rPr>
  </w:style>
  <w:style w:type="character" w:customStyle="1" w:styleId="20">
    <w:name w:val="font01"/>
    <w:basedOn w:val="13"/>
    <w:qFormat/>
    <w:uiPriority w:val="0"/>
    <w:rPr>
      <w:rFonts w:hint="eastAsia" w:ascii="宋体" w:hAnsi="宋体" w:eastAsia="宋体" w:cs="宋体"/>
      <w:color w:val="000000"/>
      <w:sz w:val="22"/>
      <w:szCs w:val="22"/>
      <w:u w:val="none"/>
    </w:rPr>
  </w:style>
  <w:style w:type="character" w:customStyle="1" w:styleId="21">
    <w:name w:val="font21"/>
    <w:basedOn w:val="13"/>
    <w:qFormat/>
    <w:uiPriority w:val="0"/>
    <w:rPr>
      <w:rFonts w:hint="eastAsia" w:ascii="宋体" w:hAnsi="宋体" w:eastAsia="宋体" w:cs="宋体"/>
      <w:color w:val="000000"/>
      <w:sz w:val="24"/>
      <w:szCs w:val="24"/>
      <w:u w:val="none"/>
    </w:rPr>
  </w:style>
  <w:style w:type="character" w:customStyle="1" w:styleId="22">
    <w:name w:val="font11"/>
    <w:basedOn w:val="13"/>
    <w:qFormat/>
    <w:uiPriority w:val="0"/>
    <w:rPr>
      <w:rFonts w:hint="eastAsia" w:ascii="宋体" w:hAnsi="宋体" w:eastAsia="宋体" w:cs="宋体"/>
      <w:color w:val="000000"/>
      <w:sz w:val="24"/>
      <w:szCs w:val="24"/>
      <w:u w:val="none"/>
    </w:rPr>
  </w:style>
  <w:style w:type="paragraph" w:customStyle="1" w:styleId="23">
    <w:name w:val="列出段落1"/>
    <w:basedOn w:val="1"/>
    <w:qFormat/>
    <w:uiPriority w:val="0"/>
    <w:pPr>
      <w:adjustRightInd/>
      <w:snapToGrid/>
      <w:spacing w:line="360" w:lineRule="auto"/>
      <w:ind w:firstLine="420"/>
    </w:pPr>
    <w:rPr>
      <w:rFonts w:ascii="Calibri" w:hAnsi="Calibri" w:eastAsia="宋体"/>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1463</Words>
  <Characters>8342</Characters>
  <Lines>69</Lines>
  <Paragraphs>19</Paragraphs>
  <TotalTime>1</TotalTime>
  <ScaleCrop>false</ScaleCrop>
  <LinksUpToDate>false</LinksUpToDate>
  <CharactersWithSpaces>9786</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2025-08-19T02:17:00Z</dcterms:created>
  <dc:creator>李航 null</dc:creator>
  <cp:lastModifiedBy>greatwall</cp:lastModifiedBy>
  <cp:lastPrinted>2024-08-09T10:20:00Z</cp:lastPrinted>
  <dcterms:modified xsi:type="dcterms:W3CDTF">2025-09-17T08:45:17Z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BB7B6AA21D207914D6FDA268992A22D6</vt:lpwstr>
  </property>
</Properties>
</file>