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ascii="Times New Roman" w:hAnsi="Times New Roman" w:cs="Times New Roman"/>
          <w:sz w:val="56"/>
          <w:szCs w:val="56"/>
        </w:rPr>
      </w:pPr>
    </w:p>
    <w:p>
      <w:pPr>
        <w:pStyle w:val="17"/>
        <w:jc w:val="center"/>
        <w:rPr>
          <w:rFonts w:ascii="Times New Roman" w:hAnsi="Times New Roman" w:cs="Times New Roman"/>
          <w:sz w:val="84"/>
          <w:szCs w:val="84"/>
        </w:rPr>
      </w:pPr>
    </w:p>
    <w:p>
      <w:pPr>
        <w:pStyle w:val="17"/>
        <w:jc w:val="center"/>
        <w:rPr>
          <w:rFonts w:ascii="Times New Roman" w:hAnsi="Times New Roman" w:cs="Times New Roman"/>
          <w:sz w:val="84"/>
          <w:szCs w:val="84"/>
        </w:rPr>
      </w:pP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7"/>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湖南省棉花科学研究所</w:t>
      </w: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7"/>
        <w:jc w:val="center"/>
        <w:rPr>
          <w:rFonts w:ascii="Times New Roman" w:hAnsi="Times New Roman" w:eastAsia="方正小标宋_GBK"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目录</w:t>
      </w:r>
    </w:p>
    <w:p>
      <w:pPr>
        <w:pStyle w:val="17"/>
        <w:spacing w:line="600" w:lineRule="exact"/>
        <w:jc w:val="center"/>
        <w:rPr>
          <w:rFonts w:ascii="Times New Roman" w:hAnsi="Times New Roman" w:cs="Times New Roman"/>
          <w:b/>
          <w:sz w:val="36"/>
          <w:szCs w:val="28"/>
        </w:rPr>
      </w:pPr>
    </w:p>
    <w:p>
      <w:pPr>
        <w:pStyle w:val="17"/>
        <w:spacing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w:t>
      </w:r>
      <w:r>
        <w:rPr>
          <w:rFonts w:hint="eastAsia" w:ascii="Times New Roman" w:hAnsi="Times New Roman" w:cs="Times New Roman"/>
          <w:bCs/>
          <w:sz w:val="32"/>
          <w:szCs w:val="32"/>
        </w:rPr>
        <w:t>湖南省棉花科学研究所</w:t>
      </w:r>
      <w:r>
        <w:rPr>
          <w:rFonts w:ascii="Times New Roman" w:hAnsi="Times New Roman" w:cs="Times New Roman"/>
          <w:bCs/>
          <w:sz w:val="32"/>
          <w:szCs w:val="32"/>
        </w:rPr>
        <w:t>概况</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7"/>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第二部分部门决算表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7"/>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第三部分部门决算情况说明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7"/>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第四部分名词解释</w:t>
      </w:r>
    </w:p>
    <w:p>
      <w:pPr>
        <w:pStyle w:val="17"/>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第五部分附件</w:t>
      </w:r>
    </w:p>
    <w:p>
      <w:pPr>
        <w:pStyle w:val="17"/>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湖南省棉花科学研究所</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8"/>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湖南省棉花科学研究所是湖南省农业农村厅直属非营利性社会公益类科研事业单位，为正处级。</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主要职责：从事棉花、油菜、中药材、甘薯、紫苏、花生、玉米、油葵等作物遗传育种、耕作栽培、病虫害防治、副产品综合利用等技术研究与成果推广。</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仿宋_GB2312"/>
          <w:bCs/>
          <w:kern w:val="0"/>
          <w:sz w:val="32"/>
          <w:szCs w:val="32"/>
        </w:rPr>
        <w:t>湖南省棉花科学研究所内设机构包括：办公室、政工人事科、计划财务科、监察审计室、科研管理科、科研服务中心、长沙棉花创新中心、工会（老干办）、棉花研究室、旱地作物研究室、栽培植保研究室等11个所属科室。棉花研究室下设棉花优质育种组、棉花抗逆育种组、棉花早熟育种组等3个研究课题组；旱地作物研究室下设旱粮课题组、油料课题组、中药材课题组等3个研究课题组；栽培植保研究室下设综合高效栽培课题组、植物保护课题组、区域试验课题组等3个研究课题组。</w:t>
      </w:r>
    </w:p>
    <w:p>
      <w:pPr>
        <w:widowControl/>
        <w:spacing w:line="600" w:lineRule="exact"/>
        <w:ind w:firstLine="640" w:firstLineChars="200"/>
        <w:rPr>
          <w:rFonts w:ascii="Times New Roman" w:hAnsi="Times New Roman" w:eastAsia="仿宋_GB2312" w:cs="仿宋_GB2312"/>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bCs/>
          <w:kern w:val="0"/>
          <w:sz w:val="32"/>
          <w:szCs w:val="32"/>
        </w:rPr>
        <w:t>湖南省棉花科学研究所</w:t>
      </w:r>
      <w:r>
        <w:rPr>
          <w:rFonts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rPr>
        <w:t>4年部门决算公开单位构成包括：湖南省棉花科学研究所本级。</w:t>
      </w:r>
    </w:p>
    <w:p>
      <w:pPr>
        <w:widowControl/>
        <w:spacing w:line="600" w:lineRule="exact"/>
        <w:rPr>
          <w:rFonts w:ascii="Times New Roman" w:hAnsi="Times New Roman" w:eastAsia="仿宋_GB2312" w:cs="Times New Roman"/>
          <w:bCs/>
          <w:kern w:val="0"/>
          <w:sz w:val="32"/>
          <w:szCs w:val="32"/>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第二部分部门决算表</w:t>
      </w: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收入支出决算总表</w:t>
      </w:r>
    </w:p>
    <w:tbl>
      <w:tblPr>
        <w:tblStyle w:val="11"/>
        <w:tblW w:w="14120" w:type="dxa"/>
        <w:jc w:val="center"/>
        <w:tblLayout w:type="fixed"/>
        <w:tblCellMar>
          <w:top w:w="0" w:type="dxa"/>
          <w:left w:w="108" w:type="dxa"/>
          <w:bottom w:w="0" w:type="dxa"/>
          <w:right w:w="108" w:type="dxa"/>
        </w:tblCellMar>
      </w:tblPr>
      <w:tblGrid>
        <w:gridCol w:w="4220"/>
        <w:gridCol w:w="580"/>
        <w:gridCol w:w="2260"/>
        <w:gridCol w:w="4220"/>
        <w:gridCol w:w="580"/>
        <w:gridCol w:w="2260"/>
      </w:tblGrid>
      <w:tr>
        <w:tblPrEx>
          <w:tblCellMar>
            <w:top w:w="0" w:type="dxa"/>
            <w:left w:w="108" w:type="dxa"/>
            <w:bottom w:w="0" w:type="dxa"/>
            <w:right w:w="108" w:type="dxa"/>
          </w:tblCellMar>
        </w:tblPrEx>
        <w:trPr>
          <w:trHeight w:val="270" w:hRule="atLeast"/>
          <w:jc w:val="center"/>
        </w:trPr>
        <w:tc>
          <w:tcPr>
            <w:tcW w:w="422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22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60" w:type="dxa"/>
            <w:tcBorders>
              <w:top w:val="nil"/>
              <w:left w:val="nil"/>
              <w:bottom w:val="nil"/>
              <w:right w:val="nil"/>
            </w:tcBorders>
            <w:shd w:val="clear" w:color="auto" w:fill="auto"/>
            <w:noWrap/>
            <w:vAlign w:val="bottom"/>
          </w:tcPr>
          <w:p>
            <w:pPr>
              <w:widowControl/>
              <w:ind w:firstLine="400" w:firstLineChars="200"/>
              <w:jc w:val="left"/>
              <w:rPr>
                <w:rFonts w:ascii="宋体" w:hAnsi="宋体" w:eastAsia="宋体" w:cs="宋体"/>
                <w:kern w:val="0"/>
                <w:sz w:val="20"/>
                <w:szCs w:val="20"/>
              </w:rPr>
            </w:pPr>
            <w:r>
              <w:rPr>
                <w:rFonts w:hint="eastAsia" w:ascii="宋体" w:hAnsi="宋体" w:eastAsia="宋体" w:cs="宋体"/>
                <w:kern w:val="0"/>
                <w:sz w:val="20"/>
                <w:szCs w:val="20"/>
              </w:rPr>
              <w:t>公开01表</w:t>
            </w:r>
          </w:p>
        </w:tc>
      </w:tr>
      <w:tr>
        <w:tblPrEx>
          <w:tblCellMar>
            <w:top w:w="0" w:type="dxa"/>
            <w:left w:w="108" w:type="dxa"/>
            <w:bottom w:w="0" w:type="dxa"/>
            <w:right w:w="108" w:type="dxa"/>
          </w:tblCellMar>
        </w:tblPrEx>
        <w:trPr>
          <w:trHeight w:val="270" w:hRule="atLeast"/>
          <w:jc w:val="center"/>
        </w:trPr>
        <w:tc>
          <w:tcPr>
            <w:tcW w:w="422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22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60" w:type="dxa"/>
            <w:tcBorders>
              <w:top w:val="nil"/>
              <w:left w:val="nil"/>
              <w:bottom w:val="nil"/>
              <w:right w:val="nil"/>
            </w:tcBorders>
            <w:shd w:val="clear" w:color="auto" w:fill="auto"/>
            <w:noWrap/>
            <w:vAlign w:val="bottom"/>
          </w:tcPr>
          <w:p>
            <w:pPr>
              <w:widowControl/>
              <w:ind w:firstLine="400" w:firstLineChars="200"/>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70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收入</w:t>
            </w:r>
          </w:p>
        </w:tc>
        <w:tc>
          <w:tcPr>
            <w:tcW w:w="70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支出</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42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42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一、一般公共预算财政拨款收入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2,659.37</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一、一般公共服务支出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二、政府性基金预算财政拨款收入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二、外交支出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三、国有资本经营预算财政拨款收入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三、国防支出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四、上级补助收入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四、公共安全支出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五、事业收入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299.63</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五、教育支出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六、经营收入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六、科学技术支出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86.74</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七、附属单位上缴收入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八、其他收入</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413.20</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3,509.74</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r>
      <w:tr>
        <w:tblPrEx>
          <w:tblCellMar>
            <w:top w:w="0" w:type="dxa"/>
            <w:left w:w="108" w:type="dxa"/>
            <w:bottom w:w="0" w:type="dxa"/>
            <w:right w:w="108" w:type="dxa"/>
          </w:tblCellMar>
        </w:tblPrEx>
        <w:trPr>
          <w:trHeight w:val="300" w:hRule="atLeast"/>
          <w:jc w:val="center"/>
        </w:trPr>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2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226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5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226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本年收入合计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3,372.20</w:t>
            </w:r>
          </w:p>
        </w:tc>
        <w:tc>
          <w:tcPr>
            <w:tcW w:w="42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本年支出合计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4,038.84</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使用非财政拨款结余（含专用结余）</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结余分配</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年初结转和结余</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1,503.13</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年末结转和结余</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836.50</w:t>
            </w:r>
          </w:p>
        </w:tc>
      </w:tr>
      <w:tr>
        <w:tblPrEx>
          <w:tblCellMar>
            <w:top w:w="0" w:type="dxa"/>
            <w:left w:w="108" w:type="dxa"/>
            <w:bottom w:w="0" w:type="dxa"/>
            <w:right w:w="108" w:type="dxa"/>
          </w:tblCellMar>
        </w:tblPrEx>
        <w:trPr>
          <w:trHeight w:val="300" w:hRule="atLeast"/>
          <w:jc w:val="center"/>
        </w:trPr>
        <w:tc>
          <w:tcPr>
            <w:tcW w:w="422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4,875.33</w:t>
            </w:r>
          </w:p>
        </w:tc>
        <w:tc>
          <w:tcPr>
            <w:tcW w:w="42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22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4,875.33</w:t>
            </w:r>
          </w:p>
        </w:tc>
      </w:tr>
      <w:tr>
        <w:tblPrEx>
          <w:tblCellMar>
            <w:top w:w="0" w:type="dxa"/>
            <w:left w:w="108" w:type="dxa"/>
            <w:bottom w:w="0" w:type="dxa"/>
            <w:right w:w="108" w:type="dxa"/>
          </w:tblCellMar>
        </w:tblPrEx>
        <w:trPr>
          <w:trHeight w:val="300" w:hRule="atLeast"/>
          <w:jc w:val="center"/>
        </w:trPr>
        <w:tc>
          <w:tcPr>
            <w:tcW w:w="14120" w:type="dxa"/>
            <w:gridSpan w:val="6"/>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注：1.本表反映部门本年度的总收支和年末结转结余情况。</w:t>
            </w:r>
          </w:p>
        </w:tc>
      </w:tr>
      <w:tr>
        <w:tblPrEx>
          <w:tblCellMar>
            <w:top w:w="0" w:type="dxa"/>
            <w:left w:w="108" w:type="dxa"/>
            <w:bottom w:w="0" w:type="dxa"/>
            <w:right w:w="108" w:type="dxa"/>
          </w:tblCellMar>
        </w:tblPrEx>
        <w:trPr>
          <w:trHeight w:val="300" w:hRule="atLeast"/>
          <w:jc w:val="center"/>
        </w:trPr>
        <w:tc>
          <w:tcPr>
            <w:tcW w:w="14120" w:type="dxa"/>
            <w:gridSpan w:val="6"/>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2.本套报表金额单位转换时可能存在尾数误差。</w:t>
            </w:r>
          </w:p>
        </w:tc>
      </w:tr>
    </w:tbl>
    <w:p>
      <w:pPr>
        <w:pStyle w:val="2"/>
      </w:pP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收入决算表</w:t>
      </w:r>
    </w:p>
    <w:p>
      <w:pPr>
        <w:pStyle w:val="2"/>
        <w:ind w:firstLine="12900" w:firstLineChars="6450"/>
        <w:jc w:val="both"/>
        <w:rPr>
          <w:rFonts w:ascii="宋体" w:hAnsi="宋体" w:eastAsia="宋体"/>
          <w:sz w:val="20"/>
          <w:szCs w:val="20"/>
        </w:rPr>
      </w:pPr>
      <w:r>
        <w:rPr>
          <w:rFonts w:hint="eastAsia" w:ascii="宋体" w:hAnsi="宋体" w:eastAsia="宋体"/>
          <w:sz w:val="20"/>
          <w:szCs w:val="20"/>
        </w:rPr>
        <w:t>公开02表</w:t>
      </w:r>
    </w:p>
    <w:tbl>
      <w:tblPr>
        <w:tblStyle w:val="11"/>
        <w:tblW w:w="15136" w:type="dxa"/>
        <w:jc w:val="center"/>
        <w:tblLayout w:type="fixed"/>
        <w:tblCellMar>
          <w:top w:w="0" w:type="dxa"/>
          <w:left w:w="108" w:type="dxa"/>
          <w:bottom w:w="0" w:type="dxa"/>
          <w:right w:w="108" w:type="dxa"/>
        </w:tblCellMar>
      </w:tblPr>
      <w:tblGrid>
        <w:gridCol w:w="1020"/>
        <w:gridCol w:w="2681"/>
        <w:gridCol w:w="1716"/>
        <w:gridCol w:w="1716"/>
        <w:gridCol w:w="1800"/>
        <w:gridCol w:w="1430"/>
        <w:gridCol w:w="1418"/>
        <w:gridCol w:w="1559"/>
        <w:gridCol w:w="1796"/>
      </w:tblGrid>
      <w:tr>
        <w:tblPrEx>
          <w:tblCellMar>
            <w:top w:w="0" w:type="dxa"/>
            <w:left w:w="108" w:type="dxa"/>
            <w:bottom w:w="0" w:type="dxa"/>
            <w:right w:w="108" w:type="dxa"/>
          </w:tblCellMar>
        </w:tblPrEx>
        <w:trPr>
          <w:trHeight w:val="270" w:hRule="atLeast"/>
          <w:jc w:val="center"/>
        </w:trPr>
        <w:tc>
          <w:tcPr>
            <w:tcW w:w="3701" w:type="dxa"/>
            <w:gridSpan w:val="2"/>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17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p>
        </w:tc>
        <w:tc>
          <w:tcPr>
            <w:tcW w:w="17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p>
        </w:tc>
        <w:tc>
          <w:tcPr>
            <w:tcW w:w="143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p>
        </w:tc>
        <w:tc>
          <w:tcPr>
            <w:tcW w:w="1418" w:type="dxa"/>
            <w:tcBorders>
              <w:top w:val="nil"/>
              <w:left w:val="nil"/>
              <w:bottom w:val="nil"/>
              <w:right w:val="nil"/>
            </w:tcBorders>
            <w:shd w:val="clear" w:color="auto" w:fill="auto"/>
            <w:noWrap/>
            <w:vAlign w:val="center"/>
          </w:tcPr>
          <w:p>
            <w:pPr>
              <w:widowControl/>
              <w:ind w:firstLine="400" w:firstLineChars="200"/>
              <w:jc w:val="left"/>
              <w:rPr>
                <w:rFonts w:ascii="宋体" w:hAnsi="宋体" w:eastAsia="宋体" w:cs="宋体"/>
                <w:color w:val="000000"/>
                <w:kern w:val="0"/>
                <w:sz w:val="20"/>
                <w:szCs w:val="20"/>
              </w:rPr>
            </w:pP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p>
        </w:tc>
        <w:tc>
          <w:tcPr>
            <w:tcW w:w="1796"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370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本年收入合计</w:t>
            </w:r>
          </w:p>
        </w:tc>
        <w:tc>
          <w:tcPr>
            <w:tcW w:w="1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财政拨款收入</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上级补助收入</w:t>
            </w:r>
          </w:p>
        </w:tc>
        <w:tc>
          <w:tcPr>
            <w:tcW w:w="14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事业收入</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经营收入</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附属单位上缴收入</w:t>
            </w:r>
          </w:p>
        </w:tc>
        <w:tc>
          <w:tcPr>
            <w:tcW w:w="17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其他收入</w:t>
            </w:r>
          </w:p>
        </w:tc>
      </w:tr>
      <w:tr>
        <w:tblPrEx>
          <w:tblCellMar>
            <w:top w:w="0" w:type="dxa"/>
            <w:left w:w="108" w:type="dxa"/>
            <w:bottom w:w="0" w:type="dxa"/>
            <w:right w:w="108" w:type="dxa"/>
          </w:tblCellMar>
        </w:tblPrEx>
        <w:trPr>
          <w:trHeight w:val="312"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功能分类科目编码</w:t>
            </w:r>
          </w:p>
        </w:tc>
        <w:tc>
          <w:tcPr>
            <w:tcW w:w="268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6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6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370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7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r>
      <w:tr>
        <w:tblPrEx>
          <w:tblCellMar>
            <w:top w:w="0" w:type="dxa"/>
            <w:left w:w="108" w:type="dxa"/>
            <w:bottom w:w="0" w:type="dxa"/>
            <w:right w:w="108" w:type="dxa"/>
          </w:tblCellMar>
        </w:tblPrEx>
        <w:trPr>
          <w:trHeight w:val="300" w:hRule="atLeast"/>
          <w:jc w:val="center"/>
        </w:trPr>
        <w:tc>
          <w:tcPr>
            <w:tcW w:w="370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3,372.20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2,659.37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299.63</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413.20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教育支出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进修及培训</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2050803</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培训支出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科学技术支出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186.50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181.50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20603</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应用研究</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2060302</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社会公益研究</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20604</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技术研究与开发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2060499</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其他技术研究与开发支出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科技重大项目</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127.50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127.50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2060902</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重点研发计划</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127.50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127.50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其他科学技术支出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2069901</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科技奖励</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2080502</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事业单位离退休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抚恤</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2080801</w:t>
            </w:r>
          </w:p>
        </w:tc>
        <w:tc>
          <w:tcPr>
            <w:tcW w:w="2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死亡抚恤</w:t>
            </w:r>
          </w:p>
        </w:tc>
        <w:tc>
          <w:tcPr>
            <w:tcW w:w="1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w:t>
            </w:r>
          </w:p>
        </w:tc>
        <w:tc>
          <w:tcPr>
            <w:tcW w:w="2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2,743.34</w:t>
            </w:r>
          </w:p>
        </w:tc>
        <w:tc>
          <w:tcPr>
            <w:tcW w:w="1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2,212.01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299.63</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231.70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w:t>
            </w:r>
          </w:p>
        </w:tc>
        <w:tc>
          <w:tcPr>
            <w:tcW w:w="2681"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农业农村</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1,786.34</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1,412.01</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299.63</w:t>
            </w:r>
          </w:p>
        </w:tc>
        <w:tc>
          <w:tcPr>
            <w:tcW w:w="1418"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74.70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2130104</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1,377.34</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1,053.01</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299.63</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24.70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2130106</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科技转化与推广服务</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2130119</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防灾救灾</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2130122</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农业生产发展</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254.00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254.00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目标价格补贴</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957.00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800.00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157.00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2130901</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棉花目标价格补贴</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957.00</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800.00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157.00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268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5136"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注：本表反映部门本年度取得的各项收入情况。</w:t>
            </w:r>
          </w:p>
        </w:tc>
      </w:tr>
    </w:tbl>
    <w:p/>
    <w:p>
      <w:pPr>
        <w:widowControl/>
        <w:jc w:val="left"/>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br w:type="page"/>
      </w: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支出决算表</w:t>
      </w:r>
    </w:p>
    <w:tbl>
      <w:tblPr>
        <w:tblStyle w:val="11"/>
        <w:tblW w:w="14559" w:type="dxa"/>
        <w:jc w:val="center"/>
        <w:tblLayout w:type="fixed"/>
        <w:tblCellMar>
          <w:top w:w="0" w:type="dxa"/>
          <w:left w:w="108" w:type="dxa"/>
          <w:bottom w:w="0" w:type="dxa"/>
          <w:right w:w="108" w:type="dxa"/>
        </w:tblCellMar>
      </w:tblPr>
      <w:tblGrid>
        <w:gridCol w:w="340"/>
        <w:gridCol w:w="340"/>
        <w:gridCol w:w="340"/>
        <w:gridCol w:w="2823"/>
        <w:gridCol w:w="1716"/>
        <w:gridCol w:w="1800"/>
        <w:gridCol w:w="1800"/>
        <w:gridCol w:w="1800"/>
        <w:gridCol w:w="1800"/>
        <w:gridCol w:w="1800"/>
      </w:tblGrid>
      <w:tr>
        <w:tblPrEx>
          <w:tblCellMar>
            <w:top w:w="0" w:type="dxa"/>
            <w:left w:w="108" w:type="dxa"/>
            <w:bottom w:w="0" w:type="dxa"/>
            <w:right w:w="108" w:type="dxa"/>
          </w:tblCellMar>
        </w:tblPrEx>
        <w:trPr>
          <w:trHeight w:val="270" w:hRule="atLeast"/>
          <w:jc w:val="center"/>
        </w:trPr>
        <w:tc>
          <w:tcPr>
            <w:tcW w:w="3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2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bottom"/>
          </w:tcPr>
          <w:p>
            <w:pPr>
              <w:widowControl/>
              <w:ind w:firstLine="100" w:firstLineChars="50"/>
              <w:jc w:val="left"/>
              <w:rPr>
                <w:rFonts w:ascii="宋体" w:hAnsi="宋体" w:eastAsia="宋体" w:cs="宋体"/>
                <w:kern w:val="0"/>
                <w:sz w:val="20"/>
                <w:szCs w:val="20"/>
              </w:rPr>
            </w:pPr>
            <w:r>
              <w:rPr>
                <w:rFonts w:hint="eastAsia" w:ascii="宋体" w:hAnsi="宋体" w:eastAsia="宋体" w:cs="宋体"/>
                <w:kern w:val="0"/>
                <w:sz w:val="20"/>
                <w:szCs w:val="20"/>
              </w:rPr>
              <w:t>公开03表</w:t>
            </w:r>
          </w:p>
        </w:tc>
      </w:tr>
      <w:tr>
        <w:tblPrEx>
          <w:tblCellMar>
            <w:top w:w="0" w:type="dxa"/>
            <w:left w:w="108" w:type="dxa"/>
            <w:bottom w:w="0" w:type="dxa"/>
            <w:right w:w="108" w:type="dxa"/>
          </w:tblCellMar>
        </w:tblPrEx>
        <w:trPr>
          <w:trHeight w:val="270" w:hRule="atLeast"/>
          <w:jc w:val="center"/>
        </w:trPr>
        <w:tc>
          <w:tcPr>
            <w:tcW w:w="3843"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17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00" w:type="dxa"/>
            <w:tcBorders>
              <w:top w:val="nil"/>
              <w:left w:val="nil"/>
              <w:bottom w:val="nil"/>
              <w:right w:val="nil"/>
            </w:tcBorders>
            <w:shd w:val="clear" w:color="auto" w:fill="auto"/>
            <w:noWrap/>
            <w:vAlign w:val="bottom"/>
          </w:tcPr>
          <w:p>
            <w:pPr>
              <w:widowControl/>
              <w:ind w:firstLine="100" w:firstLineChars="50"/>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384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本年支出合计</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上缴上级支出</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经营支出</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对附属单位补助支出</w:t>
            </w:r>
          </w:p>
        </w:tc>
      </w:tr>
      <w:tr>
        <w:tblPrEx>
          <w:tblCellMar>
            <w:top w:w="0" w:type="dxa"/>
            <w:left w:w="108" w:type="dxa"/>
            <w:bottom w:w="0" w:type="dxa"/>
            <w:right w:w="108" w:type="dxa"/>
          </w:tblCellMar>
        </w:tblPrEx>
        <w:trPr>
          <w:trHeight w:val="312" w:hRule="atLeast"/>
          <w:jc w:val="center"/>
        </w:trPr>
        <w:tc>
          <w:tcPr>
            <w:tcW w:w="10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功能分类科目编码</w:t>
            </w:r>
          </w:p>
        </w:tc>
        <w:tc>
          <w:tcPr>
            <w:tcW w:w="282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0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8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0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8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384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CellMar>
            <w:top w:w="0" w:type="dxa"/>
            <w:left w:w="108" w:type="dxa"/>
            <w:bottom w:w="0" w:type="dxa"/>
            <w:right w:w="108" w:type="dxa"/>
          </w:tblCellMar>
        </w:tblPrEx>
        <w:trPr>
          <w:trHeight w:val="300" w:hRule="atLeast"/>
          <w:jc w:val="center"/>
        </w:trPr>
        <w:tc>
          <w:tcPr>
            <w:tcW w:w="384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4,038.84</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1,813.01</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2,225.82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教育支出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进修及培训</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2050803</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培训支出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科学技术支出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86.74</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86.74</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20603</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应用研究</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50.55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50.55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2060302</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社会公益研究</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50.55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50.55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20604</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技术研究与开发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5.62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5.62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2060499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其他技术研究与开发支出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5.62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5.62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科技重大项目</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2060902</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重点研发计划</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其他科学技术支出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2069901</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科技奖励</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2080502</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事业单位离退休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抚恤</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2080801</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死亡抚恤</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w:t>
            </w:r>
          </w:p>
        </w:tc>
        <w:tc>
          <w:tcPr>
            <w:tcW w:w="282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3,509.74</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1,377.34</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2,132.39</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w:t>
            </w:r>
          </w:p>
        </w:tc>
        <w:tc>
          <w:tcPr>
            <w:tcW w:w="282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农业农村</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1,992.88</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1,377.34</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615.53</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2130104</w:t>
            </w:r>
          </w:p>
        </w:tc>
        <w:tc>
          <w:tcPr>
            <w:tcW w:w="282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1,377.34</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1,377.34</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2130106</w:t>
            </w:r>
          </w:p>
        </w:tc>
        <w:tc>
          <w:tcPr>
            <w:tcW w:w="282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科技转化与推广服务</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276.38</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276.38</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2130109</w:t>
            </w:r>
          </w:p>
        </w:tc>
        <w:tc>
          <w:tcPr>
            <w:tcW w:w="282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农产品质量安全</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11.61</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11.61</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2130119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防灾救灾</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50.00</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2130122</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农业生产发展</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270.83</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270.83</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2130135</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农业生态资源保护</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5.57</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2130199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其他农业农村支出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1.14</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1.14</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目标价格补贴</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1,516.86</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1,516.86</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2130901</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棉花目标价格补贴</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1,516.86</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1,516.86</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02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28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7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4559" w:type="dxa"/>
            <w:gridSpan w:val="10"/>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注：本表反映部门本年度各项支出情况。</w:t>
            </w:r>
          </w:p>
        </w:tc>
      </w:tr>
    </w:tbl>
    <w:p>
      <w:pPr>
        <w:pStyle w:val="2"/>
      </w:pP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宋体" w:cs="Times New Roman"/>
          <w:kern w:val="0"/>
          <w:sz w:val="24"/>
          <w:szCs w:val="24"/>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bookmarkStart w:id="0" w:name="RANGE!A1:F16"/>
    </w:p>
    <w:p>
      <w:pPr>
        <w:widowControl/>
        <w:jc w:val="left"/>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br w:type="page"/>
      </w: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财政拨款收入支出决算总表</w:t>
      </w:r>
    </w:p>
    <w:tbl>
      <w:tblPr>
        <w:tblStyle w:val="11"/>
        <w:tblW w:w="16334" w:type="dxa"/>
        <w:jc w:val="center"/>
        <w:tblLayout w:type="fixed"/>
        <w:tblCellMar>
          <w:top w:w="0" w:type="dxa"/>
          <w:left w:w="108" w:type="dxa"/>
          <w:bottom w:w="0" w:type="dxa"/>
          <w:right w:w="108" w:type="dxa"/>
        </w:tblCellMar>
      </w:tblPr>
      <w:tblGrid>
        <w:gridCol w:w="3280"/>
        <w:gridCol w:w="580"/>
        <w:gridCol w:w="1680"/>
        <w:gridCol w:w="3660"/>
        <w:gridCol w:w="580"/>
        <w:gridCol w:w="1680"/>
        <w:gridCol w:w="1680"/>
        <w:gridCol w:w="1680"/>
        <w:gridCol w:w="1514"/>
      </w:tblGrid>
      <w:tr>
        <w:tblPrEx>
          <w:tblCellMar>
            <w:top w:w="0" w:type="dxa"/>
            <w:left w:w="108" w:type="dxa"/>
            <w:bottom w:w="0" w:type="dxa"/>
            <w:right w:w="108" w:type="dxa"/>
          </w:tblCellMar>
        </w:tblPrEx>
        <w:trPr>
          <w:trHeight w:val="270" w:hRule="atLeast"/>
          <w:jc w:val="center"/>
        </w:trPr>
        <w:tc>
          <w:tcPr>
            <w:tcW w:w="32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660" w:type="dxa"/>
            <w:tcBorders>
              <w:top w:val="nil"/>
              <w:left w:val="nil"/>
              <w:bottom w:val="nil"/>
              <w:right w:val="nil"/>
            </w:tcBorders>
            <w:shd w:val="clear" w:color="auto" w:fill="auto"/>
            <w:noWrap/>
            <w:vAlign w:val="bottom"/>
          </w:tcPr>
          <w:p>
            <w:pPr>
              <w:widowControl/>
              <w:jc w:val="center"/>
              <w:rPr>
                <w:rFonts w:ascii="宋体" w:hAnsi="宋体" w:eastAsia="宋体" w:cs="宋体"/>
                <w:kern w:val="0"/>
                <w:sz w:val="20"/>
                <w:szCs w:val="20"/>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14" w:type="dxa"/>
            <w:tcBorders>
              <w:top w:val="nil"/>
              <w:left w:val="nil"/>
              <w:bottom w:val="nil"/>
              <w:right w:val="nil"/>
            </w:tcBorders>
            <w:shd w:val="clear" w:color="auto" w:fill="auto"/>
            <w:noWrap/>
            <w:vAlign w:val="bottom"/>
          </w:tcPr>
          <w:p>
            <w:pPr>
              <w:widowControl/>
              <w:rPr>
                <w:rFonts w:ascii="宋体" w:hAnsi="宋体" w:eastAsia="宋体" w:cs="宋体"/>
                <w:kern w:val="0"/>
                <w:sz w:val="20"/>
                <w:szCs w:val="20"/>
              </w:rPr>
            </w:pPr>
            <w:r>
              <w:rPr>
                <w:rFonts w:hint="eastAsia" w:ascii="宋体" w:hAnsi="宋体" w:eastAsia="宋体" w:cs="宋体"/>
                <w:kern w:val="0"/>
                <w:sz w:val="20"/>
                <w:szCs w:val="20"/>
              </w:rPr>
              <w:t>公开04表</w:t>
            </w:r>
          </w:p>
        </w:tc>
      </w:tr>
      <w:tr>
        <w:tblPrEx>
          <w:tblCellMar>
            <w:top w:w="0" w:type="dxa"/>
            <w:left w:w="108" w:type="dxa"/>
            <w:bottom w:w="0" w:type="dxa"/>
            <w:right w:w="108" w:type="dxa"/>
          </w:tblCellMar>
        </w:tblPrEx>
        <w:trPr>
          <w:trHeight w:val="270" w:hRule="atLeast"/>
          <w:jc w:val="center"/>
        </w:trPr>
        <w:tc>
          <w:tcPr>
            <w:tcW w:w="328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6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14"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55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收     入</w:t>
            </w:r>
          </w:p>
        </w:tc>
        <w:tc>
          <w:tcPr>
            <w:tcW w:w="10794"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支     出</w:t>
            </w:r>
          </w:p>
        </w:tc>
      </w:tr>
      <w:tr>
        <w:tblPrEx>
          <w:tblCellMar>
            <w:top w:w="0" w:type="dxa"/>
            <w:left w:w="108" w:type="dxa"/>
            <w:bottom w:w="0" w:type="dxa"/>
            <w:right w:w="108" w:type="dxa"/>
          </w:tblCellMar>
        </w:tblPrEx>
        <w:trPr>
          <w:trHeight w:val="312" w:hRule="atLeast"/>
          <w:jc w:val="center"/>
        </w:trPr>
        <w:tc>
          <w:tcPr>
            <w:tcW w:w="32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金额</w:t>
            </w:r>
          </w:p>
        </w:tc>
        <w:tc>
          <w:tcPr>
            <w:tcW w:w="3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1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一般公共预算财政拨款</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政府性基金预算财政拨款</w:t>
            </w:r>
          </w:p>
        </w:tc>
        <w:tc>
          <w:tcPr>
            <w:tcW w:w="1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国有资本经营预算财政拨款</w:t>
            </w:r>
          </w:p>
        </w:tc>
      </w:tr>
      <w:tr>
        <w:tblPrEx>
          <w:tblCellMar>
            <w:top w:w="0" w:type="dxa"/>
            <w:left w:w="108" w:type="dxa"/>
            <w:bottom w:w="0" w:type="dxa"/>
            <w:right w:w="108" w:type="dxa"/>
          </w:tblCellMar>
        </w:tblPrEx>
        <w:trPr>
          <w:trHeight w:val="600" w:hRule="atLeast"/>
          <w:jc w:val="center"/>
        </w:trPr>
        <w:tc>
          <w:tcPr>
            <w:tcW w:w="32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3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51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2,659.37</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一、一般公共服务支出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二、政府性基金预算财政拨款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二、外交支出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三、国有资本经营预算财政拨款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三、国防支出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四、公共安全支出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五、教育支出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六、科学技术支出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24.84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24.84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2,731.26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2,731.26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5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24</w:t>
            </w:r>
          </w:p>
        </w:tc>
        <w:tc>
          <w:tcPr>
            <w:tcW w:w="168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5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168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26</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本年收入合计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2,659.37</w:t>
            </w:r>
          </w:p>
        </w:tc>
        <w:tc>
          <w:tcPr>
            <w:tcW w:w="3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本年支出合计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3,198.45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3,198.45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年初财政拨款结转和结余</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1,180.84</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年末财政拨款结转和结余</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641.75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641.75</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一般公共预算财政拨款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1,180.84</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政府性基金预算财政拨款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62</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国有资本经营预算财政拨款</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6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63</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2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3,840.21</w:t>
            </w:r>
          </w:p>
        </w:tc>
        <w:tc>
          <w:tcPr>
            <w:tcW w:w="3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64</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3,840.21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3,840.21</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4820" w:type="dxa"/>
            <w:gridSpan w:val="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注：本表反映部门本年度一般公共预算财政拨款、政府性基金预算财政拨款和国有资本经营预算财政拨款的总收支和年末结转结余情况。</w:t>
            </w:r>
          </w:p>
        </w:tc>
        <w:tc>
          <w:tcPr>
            <w:tcW w:w="151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bl>
    <w:p>
      <w:pPr>
        <w:pStyle w:val="2"/>
      </w:pPr>
    </w:p>
    <w:p>
      <w:pPr>
        <w:widowControl/>
        <w:jc w:val="left"/>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br w:type="page"/>
      </w: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一般公共预算财政拨款支出决算表</w:t>
      </w:r>
      <w:bookmarkEnd w:id="0"/>
    </w:p>
    <w:tbl>
      <w:tblPr>
        <w:tblStyle w:val="11"/>
        <w:tblW w:w="14220" w:type="dxa"/>
        <w:jc w:val="center"/>
        <w:tblLayout w:type="fixed"/>
        <w:tblCellMar>
          <w:top w:w="0" w:type="dxa"/>
          <w:left w:w="108" w:type="dxa"/>
          <w:bottom w:w="0" w:type="dxa"/>
          <w:right w:w="108" w:type="dxa"/>
        </w:tblCellMar>
      </w:tblPr>
      <w:tblGrid>
        <w:gridCol w:w="413"/>
        <w:gridCol w:w="412"/>
        <w:gridCol w:w="412"/>
        <w:gridCol w:w="4772"/>
        <w:gridCol w:w="2739"/>
        <w:gridCol w:w="2739"/>
        <w:gridCol w:w="2733"/>
      </w:tblGrid>
      <w:tr>
        <w:tblPrEx>
          <w:tblCellMar>
            <w:top w:w="0" w:type="dxa"/>
            <w:left w:w="108" w:type="dxa"/>
            <w:bottom w:w="0" w:type="dxa"/>
            <w:right w:w="108" w:type="dxa"/>
          </w:tblCellMar>
        </w:tblPrEx>
        <w:trPr>
          <w:trHeight w:val="270" w:hRule="atLeast"/>
          <w:jc w:val="center"/>
        </w:trPr>
        <w:tc>
          <w:tcPr>
            <w:tcW w:w="4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1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1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77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3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3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33" w:type="dxa"/>
            <w:tcBorders>
              <w:top w:val="nil"/>
              <w:left w:val="nil"/>
              <w:bottom w:val="nil"/>
              <w:right w:val="nil"/>
            </w:tcBorders>
            <w:shd w:val="clear" w:color="auto" w:fill="auto"/>
            <w:noWrap/>
            <w:vAlign w:val="bottom"/>
          </w:tcPr>
          <w:p>
            <w:pPr>
              <w:widowControl/>
              <w:ind w:firstLine="300" w:firstLineChars="150"/>
              <w:jc w:val="left"/>
              <w:rPr>
                <w:rFonts w:ascii="宋体" w:hAnsi="宋体" w:eastAsia="宋体" w:cs="宋体"/>
                <w:kern w:val="0"/>
                <w:sz w:val="20"/>
                <w:szCs w:val="20"/>
              </w:rPr>
            </w:pPr>
            <w:r>
              <w:rPr>
                <w:rFonts w:hint="eastAsia" w:ascii="宋体" w:hAnsi="宋体" w:eastAsia="宋体" w:cs="宋体"/>
                <w:kern w:val="0"/>
                <w:sz w:val="20"/>
                <w:szCs w:val="20"/>
              </w:rPr>
              <w:t>公开05表</w:t>
            </w:r>
          </w:p>
        </w:tc>
      </w:tr>
      <w:tr>
        <w:tblPrEx>
          <w:tblCellMar>
            <w:top w:w="0" w:type="dxa"/>
            <w:left w:w="108" w:type="dxa"/>
            <w:bottom w:w="0" w:type="dxa"/>
            <w:right w:w="108" w:type="dxa"/>
          </w:tblCellMar>
        </w:tblPrEx>
        <w:trPr>
          <w:trHeight w:val="270" w:hRule="atLeast"/>
          <w:jc w:val="center"/>
        </w:trPr>
        <w:tc>
          <w:tcPr>
            <w:tcW w:w="6009"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273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3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33" w:type="dxa"/>
            <w:tcBorders>
              <w:top w:val="nil"/>
              <w:left w:val="nil"/>
              <w:bottom w:val="nil"/>
              <w:right w:val="nil"/>
            </w:tcBorders>
            <w:shd w:val="clear" w:color="auto" w:fill="auto"/>
            <w:noWrap/>
            <w:vAlign w:val="bottom"/>
          </w:tcPr>
          <w:p>
            <w:pPr>
              <w:widowControl/>
              <w:ind w:firstLine="300" w:firstLineChars="150"/>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60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82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r>
      <w:tr>
        <w:tblPrEx>
          <w:tblCellMar>
            <w:top w:w="0" w:type="dxa"/>
            <w:left w:w="108" w:type="dxa"/>
            <w:bottom w:w="0" w:type="dxa"/>
            <w:right w:w="108" w:type="dxa"/>
          </w:tblCellMar>
        </w:tblPrEx>
        <w:trPr>
          <w:trHeight w:val="312" w:hRule="atLeast"/>
          <w:jc w:val="center"/>
        </w:trPr>
        <w:tc>
          <w:tcPr>
            <w:tcW w:w="12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功能分类科目编码</w:t>
            </w:r>
          </w:p>
        </w:tc>
        <w:tc>
          <w:tcPr>
            <w:tcW w:w="477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2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2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27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r>
      <w:tr>
        <w:tblPrEx>
          <w:tblCellMar>
            <w:top w:w="0" w:type="dxa"/>
            <w:left w:w="108" w:type="dxa"/>
            <w:bottom w:w="0" w:type="dxa"/>
            <w:right w:w="108" w:type="dxa"/>
          </w:tblCellMar>
        </w:tblPrEx>
        <w:trPr>
          <w:trHeight w:val="312" w:hRule="atLeast"/>
          <w:jc w:val="center"/>
        </w:trPr>
        <w:tc>
          <w:tcPr>
            <w:tcW w:w="1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7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2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7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60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27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73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273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r>
      <w:tr>
        <w:tblPrEx>
          <w:tblCellMar>
            <w:top w:w="0" w:type="dxa"/>
            <w:left w:w="108" w:type="dxa"/>
            <w:bottom w:w="0" w:type="dxa"/>
            <w:right w:w="108" w:type="dxa"/>
          </w:tblCellMar>
        </w:tblPrEx>
        <w:trPr>
          <w:trHeight w:val="300" w:hRule="atLeast"/>
          <w:jc w:val="center"/>
        </w:trPr>
        <w:tc>
          <w:tcPr>
            <w:tcW w:w="60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3,198.45</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1,488.68</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1,709.77</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教育支出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进修及培训</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2050803</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培训支出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科学技术支出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24.84</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24.84</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科技重大项目</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19.84</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19.84</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2060902</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重点研发计划</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19.84</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19.84</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其他科学技术支出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2069901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科技奖励</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345.41</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338.72</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2080502</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事业单位离退休</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抚恤</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2080801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死亡抚恤</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6.69</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农林水支出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2,731.26</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1,053.01</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1,678.25</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农业农村</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1,444.17</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1,053.01</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391.16</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2130104</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1,053.01</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1,053.01</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2130106</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科技转化与推广服务</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109.63</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109.63</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2130109</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农产品质量安全</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5.24</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5.24</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2130122</w:t>
            </w:r>
          </w:p>
        </w:tc>
        <w:tc>
          <w:tcPr>
            <w:tcW w:w="4772"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农业生产发展</w:t>
            </w:r>
          </w:p>
        </w:tc>
        <w:tc>
          <w:tcPr>
            <w:tcW w:w="273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270.83</w:t>
            </w:r>
          </w:p>
        </w:tc>
        <w:tc>
          <w:tcPr>
            <w:tcW w:w="273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270.83</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2130135</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农业生态资源保护</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5.46</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5.46</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目标价格补贴</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1,287.09</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1,287.09</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2130901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棉花目标价格补贴</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1,287.09</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1,287.09</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23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47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2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4220" w:type="dxa"/>
            <w:gridSpan w:val="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注：本表反映部门本年度一般公共预算财政拨款支出情况。</w:t>
            </w:r>
          </w:p>
        </w:tc>
      </w:tr>
    </w:tbl>
    <w:p>
      <w:pPr>
        <w:pStyle w:val="2"/>
      </w:pPr>
    </w:p>
    <w:p>
      <w:pPr>
        <w:widowControl/>
        <w:jc w:val="center"/>
        <w:rPr>
          <w:rFonts w:ascii="Times New Roman" w:hAnsi="Times New Roman" w:eastAsia="黑体" w:cs="Times New Roman"/>
          <w:color w:val="000000"/>
          <w:kern w:val="0"/>
          <w:sz w:val="36"/>
          <w:szCs w:val="36"/>
        </w:rPr>
      </w:pPr>
      <w:bookmarkStart w:id="1" w:name="RANGE!A1:I34"/>
      <w:r>
        <w:rPr>
          <w:rFonts w:ascii="Times New Roman" w:hAnsi="Times New Roman" w:eastAsia="黑体" w:cs="Times New Roman"/>
          <w:color w:val="000000"/>
          <w:kern w:val="0"/>
          <w:sz w:val="36"/>
          <w:szCs w:val="36"/>
        </w:rPr>
        <w:br w:type="page"/>
      </w:r>
      <w:r>
        <w:rPr>
          <w:rFonts w:ascii="Times New Roman" w:hAnsi="Times New Roman" w:eastAsia="黑体" w:cs="Times New Roman"/>
          <w:color w:val="000000"/>
          <w:kern w:val="0"/>
          <w:sz w:val="36"/>
          <w:szCs w:val="36"/>
        </w:rPr>
        <w:t>一般公共预算财政拨款基本支出决算明细表</w:t>
      </w:r>
      <w:bookmarkEnd w:id="1"/>
    </w:p>
    <w:tbl>
      <w:tblPr>
        <w:tblStyle w:val="11"/>
        <w:tblW w:w="13727" w:type="dxa"/>
        <w:jc w:val="center"/>
        <w:tblLayout w:type="fixed"/>
        <w:tblCellMar>
          <w:top w:w="0" w:type="dxa"/>
          <w:left w:w="108" w:type="dxa"/>
          <w:bottom w:w="0" w:type="dxa"/>
          <w:right w:w="108" w:type="dxa"/>
        </w:tblCellMar>
      </w:tblPr>
      <w:tblGrid>
        <w:gridCol w:w="1189"/>
        <w:gridCol w:w="2268"/>
        <w:gridCol w:w="102"/>
        <w:gridCol w:w="1174"/>
        <w:gridCol w:w="1276"/>
        <w:gridCol w:w="1843"/>
        <w:gridCol w:w="472"/>
        <w:gridCol w:w="752"/>
        <w:gridCol w:w="1006"/>
        <w:gridCol w:w="2228"/>
        <w:gridCol w:w="1113"/>
        <w:gridCol w:w="304"/>
      </w:tblGrid>
      <w:tr>
        <w:tblPrEx>
          <w:tblCellMar>
            <w:top w:w="0" w:type="dxa"/>
            <w:left w:w="108" w:type="dxa"/>
            <w:bottom w:w="0" w:type="dxa"/>
            <w:right w:w="108" w:type="dxa"/>
          </w:tblCellMar>
        </w:tblPrEx>
        <w:trPr>
          <w:trHeight w:val="270" w:hRule="atLeast"/>
          <w:jc w:val="center"/>
        </w:trPr>
        <w:tc>
          <w:tcPr>
            <w:tcW w:w="118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7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7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15"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7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0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341" w:type="dxa"/>
            <w:gridSpan w:val="2"/>
            <w:tcBorders>
              <w:top w:val="nil"/>
              <w:left w:val="nil"/>
              <w:bottom w:val="nil"/>
              <w:right w:val="nil"/>
            </w:tcBorders>
            <w:shd w:val="clear" w:color="auto" w:fill="auto"/>
            <w:noWrap/>
            <w:vAlign w:val="center"/>
          </w:tcPr>
          <w:p>
            <w:pPr>
              <w:widowControl/>
              <w:wordWrap w:val="0"/>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公开06表</w:t>
            </w:r>
          </w:p>
        </w:tc>
        <w:tc>
          <w:tcPr>
            <w:tcW w:w="304" w:type="dxa"/>
            <w:tcBorders>
              <w:top w:val="nil"/>
              <w:left w:val="nil"/>
              <w:bottom w:val="nil"/>
              <w:right w:val="nil"/>
            </w:tcBorders>
            <w:shd w:val="clear" w:color="auto" w:fill="auto"/>
            <w:noWrap/>
            <w:vAlign w:val="bottom"/>
          </w:tcPr>
          <w:p>
            <w:pPr>
              <w:pStyle w:val="2"/>
            </w:pPr>
          </w:p>
        </w:tc>
      </w:tr>
      <w:tr>
        <w:tblPrEx>
          <w:tblCellMar>
            <w:top w:w="0" w:type="dxa"/>
            <w:left w:w="108" w:type="dxa"/>
            <w:bottom w:w="0" w:type="dxa"/>
            <w:right w:w="108" w:type="dxa"/>
          </w:tblCellMar>
        </w:tblPrEx>
        <w:trPr>
          <w:trHeight w:val="270" w:hRule="atLeast"/>
          <w:jc w:val="center"/>
        </w:trPr>
        <w:tc>
          <w:tcPr>
            <w:tcW w:w="3559" w:type="dxa"/>
            <w:gridSpan w:val="3"/>
            <w:tcBorders>
              <w:top w:val="nil"/>
              <w:left w:val="nil"/>
              <w:bottom w:val="single" w:color="auto" w:sz="4" w:space="0"/>
              <w:right w:val="nil"/>
            </w:tcBorders>
            <w:shd w:val="clear" w:color="auto" w:fill="auto"/>
            <w:noWrap/>
            <w:vAlign w:val="bottom"/>
          </w:tcPr>
          <w:p>
            <w:pPr>
              <w:widowControl/>
              <w:jc w:val="left"/>
              <w:rPr>
                <w:rFonts w:ascii="宋体" w:hAnsi="宋体" w:eastAsia="宋体" w:cs="宋体"/>
                <w:kern w:val="0"/>
                <w:sz w:val="18"/>
                <w:szCs w:val="18"/>
              </w:rPr>
            </w:pPr>
            <w:r>
              <w:rPr>
                <w:rFonts w:hint="eastAsia" w:ascii="宋体" w:hAnsi="宋体" w:eastAsia="宋体" w:cs="宋体"/>
                <w:kern w:val="0"/>
                <w:sz w:val="18"/>
                <w:szCs w:val="18"/>
              </w:rPr>
              <w:t>部门：湖南省棉花科学研究所</w:t>
            </w:r>
          </w:p>
        </w:tc>
        <w:tc>
          <w:tcPr>
            <w:tcW w:w="1174" w:type="dxa"/>
            <w:tcBorders>
              <w:top w:val="nil"/>
              <w:left w:val="nil"/>
              <w:bottom w:val="single" w:color="auto" w:sz="4" w:space="0"/>
              <w:right w:val="nil"/>
            </w:tcBorders>
            <w:shd w:val="clear" w:color="auto" w:fill="auto"/>
            <w:noWrap/>
            <w:vAlign w:val="center"/>
          </w:tcPr>
          <w:p>
            <w:pPr>
              <w:widowControl/>
              <w:jc w:val="left"/>
              <w:rPr>
                <w:rFonts w:ascii="宋体" w:hAnsi="宋体" w:eastAsia="宋体" w:cs="宋体"/>
                <w:color w:val="000000"/>
                <w:kern w:val="0"/>
                <w:sz w:val="22"/>
              </w:rPr>
            </w:pPr>
          </w:p>
        </w:tc>
        <w:tc>
          <w:tcPr>
            <w:tcW w:w="1276" w:type="dxa"/>
            <w:tcBorders>
              <w:top w:val="nil"/>
              <w:left w:val="nil"/>
              <w:bottom w:val="single" w:color="auto" w:sz="4" w:space="0"/>
              <w:right w:val="nil"/>
            </w:tcBorders>
            <w:shd w:val="clear" w:color="auto" w:fill="auto"/>
            <w:noWrap/>
            <w:vAlign w:val="center"/>
          </w:tcPr>
          <w:p>
            <w:pPr>
              <w:widowControl/>
              <w:jc w:val="left"/>
              <w:rPr>
                <w:rFonts w:ascii="宋体" w:hAnsi="宋体" w:eastAsia="宋体" w:cs="宋体"/>
                <w:color w:val="000000"/>
                <w:kern w:val="0"/>
                <w:sz w:val="22"/>
              </w:rPr>
            </w:pPr>
          </w:p>
        </w:tc>
        <w:tc>
          <w:tcPr>
            <w:tcW w:w="2315" w:type="dxa"/>
            <w:gridSpan w:val="2"/>
            <w:tcBorders>
              <w:top w:val="nil"/>
              <w:left w:val="nil"/>
              <w:bottom w:val="single" w:color="auto" w:sz="4" w:space="0"/>
              <w:right w:val="nil"/>
            </w:tcBorders>
            <w:shd w:val="clear" w:color="auto" w:fill="auto"/>
            <w:noWrap/>
            <w:vAlign w:val="center"/>
          </w:tcPr>
          <w:p>
            <w:pPr>
              <w:widowControl/>
              <w:jc w:val="left"/>
              <w:rPr>
                <w:rFonts w:ascii="宋体" w:hAnsi="宋体" w:eastAsia="宋体" w:cs="宋体"/>
                <w:color w:val="000000"/>
                <w:kern w:val="0"/>
                <w:sz w:val="22"/>
              </w:rPr>
            </w:pPr>
          </w:p>
        </w:tc>
        <w:tc>
          <w:tcPr>
            <w:tcW w:w="752" w:type="dxa"/>
            <w:tcBorders>
              <w:top w:val="nil"/>
              <w:left w:val="nil"/>
              <w:bottom w:val="single" w:color="auto" w:sz="4" w:space="0"/>
              <w:right w:val="nil"/>
            </w:tcBorders>
            <w:shd w:val="clear" w:color="auto" w:fill="auto"/>
            <w:noWrap/>
            <w:vAlign w:val="center"/>
          </w:tcPr>
          <w:p>
            <w:pPr>
              <w:widowControl/>
              <w:jc w:val="left"/>
              <w:rPr>
                <w:rFonts w:ascii="宋体" w:hAnsi="宋体" w:eastAsia="宋体" w:cs="宋体"/>
                <w:color w:val="000000"/>
                <w:kern w:val="0"/>
                <w:sz w:val="22"/>
              </w:rPr>
            </w:pPr>
          </w:p>
        </w:tc>
        <w:tc>
          <w:tcPr>
            <w:tcW w:w="1006" w:type="dxa"/>
            <w:tcBorders>
              <w:top w:val="nil"/>
              <w:left w:val="nil"/>
              <w:bottom w:val="single" w:color="auto" w:sz="4" w:space="0"/>
              <w:right w:val="nil"/>
            </w:tcBorders>
            <w:shd w:val="clear" w:color="auto" w:fill="auto"/>
            <w:noWrap/>
            <w:vAlign w:val="center"/>
          </w:tcPr>
          <w:p>
            <w:pPr>
              <w:widowControl/>
              <w:jc w:val="left"/>
              <w:rPr>
                <w:rFonts w:ascii="宋体" w:hAnsi="宋体" w:eastAsia="宋体" w:cs="宋体"/>
                <w:color w:val="000000"/>
                <w:kern w:val="0"/>
                <w:sz w:val="22"/>
              </w:rPr>
            </w:pPr>
          </w:p>
        </w:tc>
        <w:tc>
          <w:tcPr>
            <w:tcW w:w="3341" w:type="dxa"/>
            <w:gridSpan w:val="2"/>
            <w:tcBorders>
              <w:top w:val="nil"/>
              <w:left w:val="nil"/>
              <w:bottom w:val="single" w:color="auto" w:sz="4" w:space="0"/>
              <w:right w:val="nil"/>
            </w:tcBorders>
            <w:shd w:val="clear" w:color="auto" w:fill="auto"/>
            <w:noWrap/>
            <w:vAlign w:val="center"/>
          </w:tcPr>
          <w:p>
            <w:pPr>
              <w:widowControl/>
              <w:wordWrap w:val="0"/>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单位：万元</w:t>
            </w:r>
          </w:p>
        </w:tc>
        <w:tc>
          <w:tcPr>
            <w:tcW w:w="304" w:type="dxa"/>
            <w:tcBorders>
              <w:top w:val="nil"/>
              <w:left w:val="nil"/>
              <w:bottom w:val="single" w:color="auto" w:sz="4" w:space="0"/>
              <w:right w:val="nil"/>
            </w:tcBorders>
            <w:shd w:val="clear" w:color="auto" w:fill="auto"/>
            <w:noWrap/>
            <w:vAlign w:val="bottom"/>
          </w:tcPr>
          <w:p>
            <w:pPr>
              <w:widowControl/>
              <w:ind w:left="-1220" w:leftChars="-581" w:firstLine="1220" w:firstLineChars="678"/>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312" w:hRule="atLeast"/>
          <w:jc w:val="center"/>
        </w:trPr>
        <w:tc>
          <w:tcPr>
            <w:tcW w:w="11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bookmarkStart w:id="2" w:name="OLE_LINK1"/>
            <w:r>
              <w:rPr>
                <w:rFonts w:hint="eastAsia" w:ascii="宋体" w:hAnsi="宋体" w:eastAsia="宋体" w:cs="宋体"/>
                <w:color w:val="000000"/>
                <w:kern w:val="0"/>
                <w:sz w:val="22"/>
              </w:rPr>
              <w:t>经济分类科目编码</w:t>
            </w:r>
            <w:bookmarkEnd w:id="2"/>
          </w:p>
        </w:tc>
        <w:tc>
          <w:tcPr>
            <w:tcW w:w="22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2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经济分类科目编码</w:t>
            </w:r>
          </w:p>
        </w:tc>
        <w:tc>
          <w:tcPr>
            <w:tcW w:w="1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2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10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经济分类科目编码</w:t>
            </w:r>
          </w:p>
        </w:tc>
        <w:tc>
          <w:tcPr>
            <w:tcW w:w="22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4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12" w:hRule="atLeast"/>
          <w:jc w:val="center"/>
        </w:trPr>
        <w:tc>
          <w:tcPr>
            <w:tcW w:w="11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工资福利支出</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1,172.54</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商品和服务支出</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83.70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债务利息及费用支出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基本工资</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334.68</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30201</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2.97</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30701</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国内债务付息</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30102</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津贴补贴</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55.43</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30202</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印刷费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30702</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国外债务付息</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30103</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奖金</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30203</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咨询费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资本性支出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30106</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伙食补助费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37.60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30204</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手续费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31001</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房屋建筑物购建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30107</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绩效工资</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452.17</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30205</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水费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31002</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办公设备购置</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30108</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机关事业单位基本养老保险缴费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119.45</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30206</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电费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31003</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专用设备购置</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30109</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职业年金缴费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30207</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邮电费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4.35</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31005</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基础设施建设</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30110</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职工基本医疗保险缴费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63.46</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30208</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取暖费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31006</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大型修缮</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公务员医疗补助缴费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30209</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物业管理费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31007</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信息网络及软件购置更新</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30112</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其他社会保障缴费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13.80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30211</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差旅费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31008</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物资储备</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30113</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住房公积金</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95.95</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30212</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因公出国（境）费用</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31009</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土地补偿</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30114</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30213</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维修（护）费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31010</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安置补助</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30199</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其他工资福利支出</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30214</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租赁费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31011</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地上附着物和青苗补偿</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对个人和家庭的补助</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232.44</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30215</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会议费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31012</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拆迁补偿</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离休费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30216</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培训费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31013</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公务用车购置</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30302</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退休费</w:t>
            </w: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219.27</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30217</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公务接待费</w:t>
            </w:r>
          </w:p>
        </w:tc>
        <w:tc>
          <w:tcPr>
            <w:tcW w:w="122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31019</w:t>
            </w:r>
          </w:p>
        </w:tc>
        <w:tc>
          <w:tcPr>
            <w:tcW w:w="22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其他交通工具购置</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30303</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退职（役）费</w:t>
            </w: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30218</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专用材料费</w:t>
            </w:r>
          </w:p>
        </w:tc>
        <w:tc>
          <w:tcPr>
            <w:tcW w:w="122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31021</w:t>
            </w:r>
          </w:p>
        </w:tc>
        <w:tc>
          <w:tcPr>
            <w:tcW w:w="22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文物和陈列品购置</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30304</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抚恤金</w:t>
            </w:r>
          </w:p>
        </w:tc>
        <w:tc>
          <w:tcPr>
            <w:tcW w:w="12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30224</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被装购置费</w:t>
            </w:r>
          </w:p>
        </w:tc>
        <w:tc>
          <w:tcPr>
            <w:tcW w:w="122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31022</w:t>
            </w:r>
          </w:p>
        </w:tc>
        <w:tc>
          <w:tcPr>
            <w:tcW w:w="222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无形资产购置</w:t>
            </w:r>
          </w:p>
        </w:tc>
        <w:tc>
          <w:tcPr>
            <w:tcW w:w="141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30305</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生活补助</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0.83</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30225</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专用燃料费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31099</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其他资本性支出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30306</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救济费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30226</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劳务费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30307</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医疗费补助</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7.12</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30227</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委托业务费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39907</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国家赔偿费用支出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30308</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助学金</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30228</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工会经费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21.40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39908</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对民间非营利组织和群众性自治组织补贴</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30309</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奖励金</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5.22</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30229</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福利费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6.71</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39909</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经常性赠与</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30310</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个人农业生产补贴</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30231</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公务用车运行维护费</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39910</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资本性赠与</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代缴社会保险费</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30239</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其他交通费用</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39999</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其他支出</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30399</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其他对个人和家庭的补助</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30240</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税金及附加费用</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1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30299</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其他商品和服务支出</w:t>
            </w:r>
          </w:p>
        </w:tc>
        <w:tc>
          <w:tcPr>
            <w:tcW w:w="122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17.87</w:t>
            </w:r>
          </w:p>
        </w:tc>
        <w:tc>
          <w:tcPr>
            <w:tcW w:w="10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2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345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人员经费合计</w:t>
            </w:r>
          </w:p>
        </w:tc>
        <w:tc>
          <w:tcPr>
            <w:tcW w:w="12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1,404.98</w:t>
            </w:r>
          </w:p>
        </w:tc>
        <w:tc>
          <w:tcPr>
            <w:tcW w:w="7577"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公用经费合计</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83.70</w:t>
            </w:r>
          </w:p>
        </w:tc>
      </w:tr>
      <w:tr>
        <w:tblPrEx>
          <w:tblCellMar>
            <w:top w:w="0" w:type="dxa"/>
            <w:left w:w="108" w:type="dxa"/>
            <w:bottom w:w="0" w:type="dxa"/>
            <w:right w:w="108" w:type="dxa"/>
          </w:tblCellMar>
        </w:tblPrEx>
        <w:trPr>
          <w:trHeight w:val="300" w:hRule="atLeast"/>
          <w:jc w:val="center"/>
        </w:trPr>
        <w:tc>
          <w:tcPr>
            <w:tcW w:w="13727" w:type="dxa"/>
            <w:gridSpan w:val="1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注：本表反映部门本年度一般公共预算财政拨款基本支出明细情况。</w:t>
            </w:r>
          </w:p>
        </w:tc>
      </w:tr>
    </w:tbl>
    <w:p>
      <w:pPr>
        <w:widowControl/>
        <w:spacing w:line="400" w:lineRule="exact"/>
        <w:jc w:val="center"/>
        <w:textAlignment w:val="center"/>
        <w:rPr>
          <w:rFonts w:ascii="Times New Roman" w:hAnsi="Times New Roman" w:eastAsia="仿宋_GB2312" w:cs="Times New Roman"/>
          <w:color w:val="000000"/>
          <w:kern w:val="0"/>
          <w:sz w:val="32"/>
          <w:szCs w:val="32"/>
        </w:rPr>
      </w:pPr>
    </w:p>
    <w:p>
      <w:pPr>
        <w:pStyle w:val="2"/>
        <w:rPr>
          <w:kern w:val="0"/>
        </w:rPr>
      </w:pPr>
      <w:r>
        <w:rPr>
          <w:kern w:val="0"/>
        </w:rPr>
        <w:br w:type="page"/>
      </w:r>
    </w:p>
    <w:p>
      <w:pPr>
        <w:widowControl/>
        <w:spacing w:line="400" w:lineRule="exact"/>
        <w:jc w:val="center"/>
        <w:textAlignment w:val="center"/>
        <w:rPr>
          <w:rFonts w:ascii="Times New Roman" w:hAnsi="Times New Roman" w:eastAsia="仿宋_GB2312" w:cs="Times New Roman"/>
          <w:color w:val="000000"/>
          <w:kern w:val="0"/>
          <w:sz w:val="32"/>
          <w:szCs w:val="32"/>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政府性基金预算财政拨款收入支出决算表</w:t>
      </w:r>
    </w:p>
    <w:tbl>
      <w:tblPr>
        <w:tblStyle w:val="11"/>
        <w:tblW w:w="15040" w:type="dxa"/>
        <w:jc w:val="center"/>
        <w:tblLayout w:type="fixed"/>
        <w:tblCellMar>
          <w:top w:w="0" w:type="dxa"/>
          <w:left w:w="108" w:type="dxa"/>
          <w:bottom w:w="0" w:type="dxa"/>
          <w:right w:w="108" w:type="dxa"/>
        </w:tblCellMar>
      </w:tblPr>
      <w:tblGrid>
        <w:gridCol w:w="340"/>
        <w:gridCol w:w="340"/>
        <w:gridCol w:w="1539"/>
        <w:gridCol w:w="2552"/>
        <w:gridCol w:w="1869"/>
        <w:gridCol w:w="1680"/>
        <w:gridCol w:w="1680"/>
        <w:gridCol w:w="1680"/>
        <w:gridCol w:w="1454"/>
        <w:gridCol w:w="1906"/>
      </w:tblGrid>
      <w:tr>
        <w:tblPrEx>
          <w:tblCellMar>
            <w:top w:w="0" w:type="dxa"/>
            <w:left w:w="108" w:type="dxa"/>
            <w:bottom w:w="0" w:type="dxa"/>
            <w:right w:w="108" w:type="dxa"/>
          </w:tblCellMar>
        </w:tblPrEx>
        <w:trPr>
          <w:trHeight w:val="270" w:hRule="atLeast"/>
          <w:jc w:val="center"/>
        </w:trPr>
        <w:tc>
          <w:tcPr>
            <w:tcW w:w="3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3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5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06"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公开07表</w:t>
            </w:r>
          </w:p>
        </w:tc>
      </w:tr>
      <w:tr>
        <w:tblPrEx>
          <w:tblCellMar>
            <w:top w:w="0" w:type="dxa"/>
            <w:left w:w="108" w:type="dxa"/>
            <w:bottom w:w="0" w:type="dxa"/>
            <w:right w:w="108" w:type="dxa"/>
          </w:tblCellMar>
        </w:tblPrEx>
        <w:trPr>
          <w:trHeight w:val="270" w:hRule="atLeast"/>
          <w:jc w:val="center"/>
        </w:trPr>
        <w:tc>
          <w:tcPr>
            <w:tcW w:w="4771"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186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5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06"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477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年初结转和结余</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w:t>
            </w:r>
          </w:p>
        </w:tc>
        <w:tc>
          <w:tcPr>
            <w:tcW w:w="481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c>
          <w:tcPr>
            <w:tcW w:w="19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年末结转和结余</w:t>
            </w:r>
          </w:p>
        </w:tc>
      </w:tr>
      <w:tr>
        <w:tblPrEx>
          <w:tblCellMar>
            <w:top w:w="0" w:type="dxa"/>
            <w:left w:w="108" w:type="dxa"/>
            <w:bottom w:w="0" w:type="dxa"/>
            <w:right w:w="108" w:type="dxa"/>
          </w:tblCellMar>
        </w:tblPrEx>
        <w:trPr>
          <w:trHeight w:val="312" w:hRule="atLeast"/>
          <w:jc w:val="center"/>
        </w:trPr>
        <w:tc>
          <w:tcPr>
            <w:tcW w:w="22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255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8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1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9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221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221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477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86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4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90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CellMar>
            <w:top w:w="0" w:type="dxa"/>
            <w:left w:w="108" w:type="dxa"/>
            <w:bottom w:w="0" w:type="dxa"/>
            <w:right w:w="108" w:type="dxa"/>
          </w:tblCellMar>
        </w:tblPrEx>
        <w:trPr>
          <w:trHeight w:val="300" w:hRule="atLeast"/>
          <w:jc w:val="center"/>
        </w:trPr>
        <w:tc>
          <w:tcPr>
            <w:tcW w:w="477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221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186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6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45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190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5040" w:type="dxa"/>
            <w:gridSpan w:val="10"/>
            <w:tcBorders>
              <w:top w:val="nil"/>
              <w:left w:val="nil"/>
              <w:bottom w:val="nil"/>
              <w:right w:val="nil"/>
            </w:tcBorders>
            <w:shd w:val="clear" w:color="auto" w:fill="auto"/>
            <w:noWrap/>
            <w:vAlign w:val="center"/>
          </w:tcPr>
          <w:p>
            <w:pPr>
              <w:widowControl/>
              <w:ind w:firstLine="440" w:firstLineChars="200"/>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注：本表反映部门本年度政府性基金预算财政拨款收入、支出及结转和结余情况。</w:t>
            </w:r>
          </w:p>
          <w:p>
            <w:pPr>
              <w:pStyle w:val="2"/>
            </w:pPr>
          </w:p>
        </w:tc>
      </w:tr>
    </w:tbl>
    <w:p>
      <w:pPr>
        <w:widowControl/>
        <w:jc w:val="left"/>
        <w:textAlignment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说明：我单位没有政府性基金收入，也没有使用政府性基金安排的支出，故本表无数据。</w:t>
      </w:r>
    </w:p>
    <w:p>
      <w:pPr>
        <w:pStyle w:val="2"/>
      </w:pPr>
    </w:p>
    <w:p>
      <w:pPr>
        <w:pStyle w:val="3"/>
        <w:ind w:firstLine="480"/>
      </w:pPr>
    </w:p>
    <w:p/>
    <w:p>
      <w:pPr>
        <w:pStyle w:val="2"/>
      </w:pP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国有资本经营预算财政拨款支出决算表</w:t>
      </w:r>
    </w:p>
    <w:tbl>
      <w:tblPr>
        <w:tblStyle w:val="11"/>
        <w:tblW w:w="14220" w:type="dxa"/>
        <w:jc w:val="center"/>
        <w:tblLayout w:type="fixed"/>
        <w:tblCellMar>
          <w:top w:w="0" w:type="dxa"/>
          <w:left w:w="108" w:type="dxa"/>
          <w:bottom w:w="0" w:type="dxa"/>
          <w:right w:w="108" w:type="dxa"/>
        </w:tblCellMar>
      </w:tblPr>
      <w:tblGrid>
        <w:gridCol w:w="484"/>
        <w:gridCol w:w="483"/>
        <w:gridCol w:w="483"/>
        <w:gridCol w:w="5603"/>
        <w:gridCol w:w="2389"/>
        <w:gridCol w:w="2389"/>
        <w:gridCol w:w="2389"/>
      </w:tblGrid>
      <w:tr>
        <w:tblPrEx>
          <w:tblCellMar>
            <w:top w:w="0" w:type="dxa"/>
            <w:left w:w="108" w:type="dxa"/>
            <w:bottom w:w="0" w:type="dxa"/>
            <w:right w:w="108" w:type="dxa"/>
          </w:tblCellMar>
        </w:tblPrEx>
        <w:trPr>
          <w:trHeight w:val="270" w:hRule="atLeast"/>
          <w:jc w:val="center"/>
        </w:trPr>
        <w:tc>
          <w:tcPr>
            <w:tcW w:w="48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8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8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60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nil"/>
              <w:right w:val="nil"/>
            </w:tcBorders>
            <w:shd w:val="clear" w:color="auto" w:fill="auto"/>
            <w:noWrap/>
            <w:vAlign w:val="bottom"/>
          </w:tcPr>
          <w:p>
            <w:pPr>
              <w:widowControl/>
              <w:ind w:firstLine="200" w:firstLineChars="100"/>
              <w:jc w:val="left"/>
              <w:rPr>
                <w:rFonts w:ascii="宋体" w:hAnsi="宋体" w:eastAsia="宋体" w:cs="宋体"/>
                <w:kern w:val="0"/>
                <w:sz w:val="20"/>
                <w:szCs w:val="20"/>
              </w:rPr>
            </w:pPr>
            <w:r>
              <w:rPr>
                <w:rFonts w:hint="eastAsia" w:ascii="宋体" w:hAnsi="宋体" w:eastAsia="宋体" w:cs="宋体"/>
                <w:kern w:val="0"/>
                <w:sz w:val="20"/>
                <w:szCs w:val="20"/>
              </w:rPr>
              <w:t>公开08表</w:t>
            </w:r>
          </w:p>
        </w:tc>
      </w:tr>
      <w:tr>
        <w:tblPrEx>
          <w:tblCellMar>
            <w:top w:w="0" w:type="dxa"/>
            <w:left w:w="108" w:type="dxa"/>
            <w:bottom w:w="0" w:type="dxa"/>
            <w:right w:w="108" w:type="dxa"/>
          </w:tblCellMar>
        </w:tblPrEx>
        <w:trPr>
          <w:trHeight w:val="270" w:hRule="atLeast"/>
          <w:jc w:val="center"/>
        </w:trPr>
        <w:tc>
          <w:tcPr>
            <w:tcW w:w="7053"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238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nil"/>
              <w:right w:val="nil"/>
            </w:tcBorders>
            <w:shd w:val="clear" w:color="auto" w:fill="auto"/>
            <w:noWrap/>
            <w:vAlign w:val="bottom"/>
          </w:tcPr>
          <w:p>
            <w:pPr>
              <w:widowControl/>
              <w:ind w:firstLine="200" w:firstLineChars="100"/>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705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716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r>
      <w:tr>
        <w:tblPrEx>
          <w:tblCellMar>
            <w:top w:w="0" w:type="dxa"/>
            <w:left w:w="108" w:type="dxa"/>
            <w:bottom w:w="0" w:type="dxa"/>
            <w:right w:w="108" w:type="dxa"/>
          </w:tblCellMar>
        </w:tblPrEx>
        <w:trPr>
          <w:trHeight w:val="312" w:hRule="atLeast"/>
          <w:jc w:val="center"/>
        </w:trPr>
        <w:tc>
          <w:tcPr>
            <w:tcW w:w="145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560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2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23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r>
      <w:tr>
        <w:tblPrEx>
          <w:tblCellMar>
            <w:top w:w="0" w:type="dxa"/>
            <w:left w:w="108" w:type="dxa"/>
            <w:bottom w:w="0" w:type="dxa"/>
            <w:right w:w="108" w:type="dxa"/>
          </w:tblCellMar>
        </w:tblPrEx>
        <w:trPr>
          <w:trHeight w:val="312" w:hRule="atLeast"/>
          <w:jc w:val="center"/>
        </w:trPr>
        <w:tc>
          <w:tcPr>
            <w:tcW w:w="145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45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3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705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23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3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238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r>
      <w:tr>
        <w:tblPrEx>
          <w:tblCellMar>
            <w:top w:w="0" w:type="dxa"/>
            <w:left w:w="108" w:type="dxa"/>
            <w:bottom w:w="0" w:type="dxa"/>
            <w:right w:w="108" w:type="dxa"/>
          </w:tblCellMar>
        </w:tblPrEx>
        <w:trPr>
          <w:trHeight w:val="300" w:hRule="atLeast"/>
          <w:jc w:val="center"/>
        </w:trPr>
        <w:tc>
          <w:tcPr>
            <w:tcW w:w="705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CellMar>
            <w:top w:w="0" w:type="dxa"/>
            <w:left w:w="108" w:type="dxa"/>
            <w:bottom w:w="0" w:type="dxa"/>
            <w:right w:w="108" w:type="dxa"/>
          </w:tblCellMar>
        </w:tblPrEx>
        <w:trPr>
          <w:trHeight w:val="300" w:hRule="atLeast"/>
          <w:jc w:val="center"/>
        </w:trPr>
        <w:tc>
          <w:tcPr>
            <w:tcW w:w="145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560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45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560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45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560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45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560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45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560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c>
          <w:tcPr>
            <w:tcW w:w="238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4220" w:type="dxa"/>
            <w:gridSpan w:val="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注：本表反映部门本年度国有资本经营预算财政拨款支出情况。</w:t>
            </w:r>
          </w:p>
        </w:tc>
      </w:tr>
    </w:tbl>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sz w:val="20"/>
          <w:szCs w:val="20"/>
        </w:rPr>
        <w:tab/>
      </w:r>
    </w:p>
    <w:p>
      <w:pPr>
        <w:widowControl/>
        <w:jc w:val="left"/>
        <w:textAlignment w:val="center"/>
        <w:rPr>
          <w:rFonts w:ascii="Times New Roman" w:hAnsi="Times New Roman" w:eastAsia="楷体_GB2312" w:cs="Times New Roman"/>
          <w:color w:val="000000"/>
          <w:kern w:val="0"/>
          <w:sz w:val="24"/>
          <w:szCs w:val="24"/>
        </w:rPr>
      </w:pPr>
      <w:r>
        <w:rPr>
          <w:rFonts w:ascii="Times New Roman" w:hAnsi="Times New Roman" w:eastAsia="楷体_GB2312" w:cs="Times New Roman"/>
          <w:b/>
          <w:bCs/>
          <w:kern w:val="0"/>
          <w:sz w:val="24"/>
          <w:szCs w:val="24"/>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widowControl/>
        <w:jc w:val="left"/>
        <w:rPr>
          <w:rFonts w:ascii="Times New Roman" w:hAnsi="Times New Roman" w:eastAsia="华文中宋" w:cs="Times New Roman"/>
          <w:color w:val="000000"/>
          <w:kern w:val="0"/>
          <w:sz w:val="32"/>
          <w:szCs w:val="32"/>
        </w:rPr>
      </w:pPr>
      <w:r>
        <w:rPr>
          <w:rFonts w:ascii="Times New Roman" w:hAnsi="Times New Roman" w:eastAsia="华文中宋" w:cs="Times New Roman"/>
          <w:color w:val="000000"/>
          <w:kern w:val="0"/>
          <w:sz w:val="32"/>
          <w:szCs w:val="32"/>
        </w:rPr>
        <w:br w:type="page"/>
      </w:r>
    </w:p>
    <w:p>
      <w:pPr>
        <w:pStyle w:val="2"/>
        <w:spacing w:line="400" w:lineRule="exact"/>
        <w:rPr>
          <w:rFonts w:ascii="Times New Roman" w:hAnsi="Times New Roman" w:eastAsia="华文中宋" w:cs="Times New Roman"/>
          <w:color w:val="000000"/>
          <w:kern w:val="0"/>
          <w:sz w:val="32"/>
          <w:szCs w:val="32"/>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财政拨款“三公”经费支出决算表</w:t>
      </w:r>
    </w:p>
    <w:tbl>
      <w:tblPr>
        <w:tblStyle w:val="11"/>
        <w:tblW w:w="14220" w:type="dxa"/>
        <w:jc w:val="center"/>
        <w:tblLayout w:type="fixed"/>
        <w:tblCellMar>
          <w:top w:w="0" w:type="dxa"/>
          <w:left w:w="108" w:type="dxa"/>
          <w:bottom w:w="0" w:type="dxa"/>
          <w:right w:w="108" w:type="dxa"/>
        </w:tblCellMar>
      </w:tblPr>
      <w:tblGrid>
        <w:gridCol w:w="1407"/>
        <w:gridCol w:w="1409"/>
        <w:gridCol w:w="1131"/>
        <w:gridCol w:w="1131"/>
        <w:gridCol w:w="1134"/>
        <w:gridCol w:w="1134"/>
        <w:gridCol w:w="1131"/>
        <w:gridCol w:w="1131"/>
        <w:gridCol w:w="1131"/>
        <w:gridCol w:w="1131"/>
        <w:gridCol w:w="1134"/>
        <w:gridCol w:w="1216"/>
      </w:tblGrid>
      <w:tr>
        <w:tblPrEx>
          <w:tblCellMar>
            <w:top w:w="0" w:type="dxa"/>
            <w:left w:w="108" w:type="dxa"/>
            <w:bottom w:w="0" w:type="dxa"/>
            <w:right w:w="108" w:type="dxa"/>
          </w:tblCellMar>
        </w:tblPrEx>
        <w:trPr>
          <w:trHeight w:val="270" w:hRule="atLeast"/>
          <w:jc w:val="center"/>
        </w:trPr>
        <w:tc>
          <w:tcPr>
            <w:tcW w:w="140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0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6"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公开09表</w:t>
            </w:r>
          </w:p>
        </w:tc>
      </w:tr>
      <w:tr>
        <w:tblPrEx>
          <w:tblCellMar>
            <w:top w:w="0" w:type="dxa"/>
            <w:left w:w="108" w:type="dxa"/>
            <w:bottom w:w="0" w:type="dxa"/>
            <w:right w:w="108" w:type="dxa"/>
          </w:tblCellMar>
        </w:tblPrEx>
        <w:trPr>
          <w:trHeight w:val="270" w:hRule="atLeast"/>
          <w:jc w:val="center"/>
        </w:trPr>
        <w:tc>
          <w:tcPr>
            <w:tcW w:w="2816" w:type="dxa"/>
            <w:gridSpan w:val="2"/>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部门：湖南省棉花科学研究所</w:t>
            </w: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6"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734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预算数</w:t>
            </w:r>
          </w:p>
        </w:tc>
        <w:tc>
          <w:tcPr>
            <w:tcW w:w="687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00" w:hRule="atLeast"/>
          <w:jc w:val="center"/>
        </w:trPr>
        <w:tc>
          <w:tcPr>
            <w:tcW w:w="14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4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339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339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12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r>
      <w:tr>
        <w:tblPrEx>
          <w:tblCellMar>
            <w:top w:w="0" w:type="dxa"/>
            <w:left w:w="108" w:type="dxa"/>
            <w:bottom w:w="0" w:type="dxa"/>
            <w:right w:w="108" w:type="dxa"/>
          </w:tblCellMar>
        </w:tblPrEx>
        <w:trPr>
          <w:trHeight w:val="600" w:hRule="atLeast"/>
          <w:jc w:val="center"/>
        </w:trPr>
        <w:tc>
          <w:tcPr>
            <w:tcW w:w="14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12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40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2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r>
      <w:tr>
        <w:tblPrEx>
          <w:tblCellMar>
            <w:top w:w="0" w:type="dxa"/>
            <w:left w:w="108" w:type="dxa"/>
            <w:bottom w:w="0" w:type="dxa"/>
            <w:right w:w="108" w:type="dxa"/>
          </w:tblCellMar>
        </w:tblPrEx>
        <w:trPr>
          <w:trHeight w:val="300" w:hRule="atLeast"/>
          <w:jc w:val="center"/>
        </w:trPr>
        <w:tc>
          <w:tcPr>
            <w:tcW w:w="1407"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40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9.00</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13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5.00</w:t>
            </w:r>
          </w:p>
        </w:tc>
        <w:tc>
          <w:tcPr>
            <w:tcW w:w="12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4.00</w:t>
            </w:r>
          </w:p>
        </w:tc>
      </w:tr>
      <w:tr>
        <w:tblPrEx>
          <w:tblCellMar>
            <w:top w:w="0" w:type="dxa"/>
            <w:left w:w="108" w:type="dxa"/>
            <w:bottom w:w="0" w:type="dxa"/>
            <w:right w:w="108" w:type="dxa"/>
          </w:tblCellMar>
        </w:tblPrEx>
        <w:trPr>
          <w:trHeight w:val="600" w:hRule="atLeast"/>
          <w:jc w:val="center"/>
        </w:trPr>
        <w:tc>
          <w:tcPr>
            <w:tcW w:w="14220" w:type="dxa"/>
            <w:gridSpan w:val="12"/>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pStyle w:val="2"/>
      </w:pP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rPr>
        <w:t>4875.33</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rPr>
        <w:t>870.22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15.15</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专项收支较上年减少。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3372.20</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2659.37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78.86</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rPr>
        <w:t>299.63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8.89</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rPr>
        <w:t>413.20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12.25</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4038.84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1813.01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44.89</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2225.82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55.11</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3840.21</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rPr>
        <w:t>1000.76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rPr>
        <w:t>20.67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专项收支较上年减少。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3198.45</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rPr>
        <w:t>79.19</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rPr>
        <w:t>461.68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12.61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项目支出较上年减少。</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3198.45</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0.03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；科学技术（类）支出24.84万元，占0.78%；社会保障和就业（类）支出345.41万元，占10.80%；农林水（类）支出2731.26万元，占85.39%；住房保障（类）支出95.95万元，占3.00%。</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rPr>
        <w:t>3013.52</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rPr>
        <w:t>3198.45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rPr>
        <w:t>106.07</w:t>
      </w:r>
      <w:r>
        <w:rPr>
          <w:rFonts w:ascii="Times New Roman" w:hAnsi="Times New Roman" w:eastAsia="仿宋_GB2312" w:cs="Times New Roman"/>
          <w:sz w:val="32"/>
          <w:szCs w:val="32"/>
        </w:rPr>
        <w:t>%，其中：</w:t>
      </w:r>
    </w:p>
    <w:p>
      <w:pPr>
        <w:pStyle w:val="17"/>
        <w:overflowPunct w:val="0"/>
        <w:autoSpaceDE/>
        <w:autoSpaceDN/>
        <w:spacing w:line="600" w:lineRule="exact"/>
        <w:ind w:firstLine="800" w:firstLineChars="25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1、教育（类）进修及培训（款）培训支出（项）。</w:t>
      </w:r>
    </w:p>
    <w:p>
      <w:pPr>
        <w:pStyle w:val="17"/>
        <w:overflowPunct w:val="0"/>
        <w:autoSpaceDE/>
        <w:autoSpaceDN/>
        <w:spacing w:line="600" w:lineRule="exact"/>
        <w:ind w:firstLine="800" w:firstLineChars="25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年初预算为1万，支出决算为1万元，完成年初预算的100%。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2、科学技术（类）科技重大项目（款）重点研发计划（项）。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年初预算为19.84万元，支出决算为19.84万元，完成年初预算的100%。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3、科学技术（类）其他科学技术支出（款）科技奖励（项）。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年初预算为0万元，支出决算为5万元，决算数大于年初预算数的主要原因是：年中追加项目资金。</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w:t>
      </w:r>
      <w:bookmarkStart w:id="3" w:name="OLE_LINK3"/>
      <w:bookmarkStart w:id="4" w:name="OLE_LINK2"/>
      <w:r>
        <w:rPr>
          <w:rFonts w:hint="eastAsia" w:ascii="Times New Roman" w:hAnsi="Times New Roman" w:eastAsia="仿宋_GB2312"/>
          <w:sz w:val="32"/>
          <w:szCs w:val="32"/>
        </w:rPr>
        <w:t>社会保障和就业（类）行政事业单位养老支出（款）</w:t>
      </w:r>
      <w:bookmarkEnd w:id="3"/>
      <w:bookmarkEnd w:id="4"/>
      <w:r>
        <w:rPr>
          <w:rFonts w:hint="eastAsia" w:ascii="Times New Roman" w:hAnsi="Times New Roman" w:eastAsia="仿宋_GB2312"/>
          <w:sz w:val="32"/>
          <w:szCs w:val="32"/>
        </w:rPr>
        <w:t>事业单位离退休（项）。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年初预算数为219.27万元，支出决算为219.27万元，完成年初预算的100%。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5、社会保障和就业（类）行政事业单位养老支出（款）机关事业单位基本养老保险缴费支出（项）。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年初预算为119.45万元，支出决算为119.45万元，完成年初预算的100%。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6、社会保障和就业（类）抚恤（款）死亡抚恤（项）。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年初预算为0万元，支出决算为6.69万元，决算数大于年初预算数的主要原因是：年中追加抚恤金。</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7、农林水（类）农业农村（款）事业运行（项）。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年初预算为1053.01万元，支出决算为1053.01万元，完成年初预算的100%。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8、农林水（类）农业农村（款）科技转化与推广服务（项）。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年初预算为37.21万元，支出决算为109.63万元，完成年初预算的294.63%，决算数大于年初预算数的主要原因是：年中追加项目经费。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9、农林水（类）农业农村（款）农产品质量安全（项）。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年初预算为5.24万元，支出决算为5.24元，完成年初预算的100%。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10、农林水（类）农业农村（款）农业生产发展（项）。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年初预算为339.36万元，支出决算为270.83万元，完成年初预算的79.81%，决算数小于年初预算数的主要原因是：年中调减农业生产发展项目指标。</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color w:val="auto"/>
          <w:sz w:val="32"/>
          <w:szCs w:val="32"/>
        </w:rPr>
        <w:t>11</w:t>
      </w:r>
      <w:r>
        <w:rPr>
          <w:rFonts w:hint="eastAsia" w:ascii="Times New Roman" w:hAnsi="Times New Roman" w:eastAsia="仿宋_GB2312"/>
          <w:sz w:val="32"/>
          <w:szCs w:val="32"/>
        </w:rPr>
        <w:t>、农林水（类）农业农村（款）农业生态资源保护（项）。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年初预算为5.46万元，支出决算为5.46万元，完成年初预算的100%。</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12、农林水（类）目标价格补贴（款）棉花目标价格补贴（项）。</w:t>
      </w:r>
    </w:p>
    <w:p>
      <w:pPr>
        <w:pStyle w:val="17"/>
        <w:spacing w:line="360" w:lineRule="auto"/>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年初预算为1117.73万元，支出决算为1287.09万元，完成年初预算的115.15%，决算数大于年初预算数的主要原因是：年中追加项目资金。</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13、住房保障（类）住房改革支出（款）住房公积金（项）。</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年初预算为95.95万元，支出决算为95.95万元，完成年初预算的100%。</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rPr>
        <w:t>1488.68</w:t>
      </w:r>
      <w:r>
        <w:rPr>
          <w:rFonts w:ascii="Times New Roman" w:hAnsi="Times New Roman" w:eastAsia="仿宋_GB2312" w:cs="Times New Roman"/>
          <w:sz w:val="32"/>
          <w:szCs w:val="32"/>
        </w:rPr>
        <w:t>万元，其中：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1404.98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rPr>
        <w:t>94.38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主要包括基本工资、津贴补贴、伙食补助费</w:t>
      </w:r>
      <w:r>
        <w:rPr>
          <w:rFonts w:hint="eastAsia" w:ascii="Times New Roman" w:hAnsi="Times New Roman" w:eastAsia="仿宋_GB2312" w:cs="Times New Roman"/>
          <w:sz w:val="32"/>
          <w:szCs w:val="32"/>
        </w:rPr>
        <w:t>、绩效工资、机关事业单位基本养老保险缴费、职工基本医疗保险缴费、其他社会保障缴费、住房公积金、退休费、生活补助、奖励金等。</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rPr>
        <w:t>83.70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rPr>
        <w:t>5.62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主要包括办公费、</w:t>
      </w:r>
      <w:r>
        <w:rPr>
          <w:rFonts w:hint="eastAsia" w:ascii="Times New Roman" w:hAnsi="Times New Roman" w:eastAsia="仿宋_GB2312" w:cs="Times New Roman"/>
          <w:sz w:val="32"/>
          <w:szCs w:val="32"/>
        </w:rPr>
        <w:t>邮电费、物业管理费、差旅费、维修（护）费、培训费、公务接待费、工会经费、福利费、公务用车运行维护费、其他商品和服务支出等。</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7"/>
        <w:spacing w:line="600" w:lineRule="exact"/>
        <w:ind w:firstLine="640" w:firstLineChars="200"/>
        <w:rPr>
          <w:rFonts w:ascii="Times New Roman" w:hAnsi="Times New Roman" w:eastAsia="仿宋_GB2312"/>
          <w:sz w:val="32"/>
          <w:szCs w:val="32"/>
        </w:rPr>
      </w:pPr>
      <w:bookmarkStart w:id="5" w:name="OLE_LINK5"/>
      <w:bookmarkStart w:id="6" w:name="OLE_LINK4"/>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10</w:t>
      </w:r>
      <w:r>
        <w:rPr>
          <w:rFonts w:ascii="Times New Roman" w:hAnsi="Times New Roman" w:eastAsia="仿宋_GB2312" w:cs="Times New Roman"/>
          <w:sz w:val="32"/>
          <w:szCs w:val="32"/>
        </w:rPr>
        <w:t>%</w:t>
      </w:r>
      <w:bookmarkEnd w:id="5"/>
      <w:bookmarkEnd w:id="6"/>
      <w:r>
        <w:rPr>
          <w:rFonts w:hint="eastAsia" w:ascii="Times New Roman" w:hAnsi="Times New Roman" w:eastAsia="仿宋_GB2312" w:cs="Times New Roman"/>
          <w:sz w:val="32"/>
          <w:szCs w:val="32"/>
        </w:rPr>
        <w:t>。</w:t>
      </w:r>
      <w:r>
        <w:rPr>
          <w:rFonts w:hint="eastAsia" w:ascii="Times New Roman" w:hAnsi="Times New Roman" w:eastAsia="仿宋_GB2312"/>
          <w:color w:val="auto"/>
          <w:sz w:val="32"/>
          <w:szCs w:val="32"/>
        </w:rPr>
        <w:t>决算数小于上年数的主要原因是：</w:t>
      </w:r>
      <w:r>
        <w:rPr>
          <w:rFonts w:hint="eastAsia" w:ascii="Times New Roman" w:hAnsi="Times New Roman" w:eastAsia="仿宋_GB2312" w:cs="Times New Roman"/>
          <w:sz w:val="32"/>
          <w:szCs w:val="32"/>
        </w:rPr>
        <w:t>厉行节约，压减“三公”经费支出。</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7"/>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与上年持平。2024年度安排因公出国（境）团组0个，累计0人次。</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rPr>
        <w:t>持平。</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与上年持平。其中：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车辆燃油、购买保险、维修、通行费等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辆。</w:t>
      </w:r>
    </w:p>
    <w:p>
      <w:pPr>
        <w:pStyle w:val="17"/>
        <w:spacing w:line="360" w:lineRule="auto"/>
        <w:ind w:firstLine="800" w:firstLineChars="250"/>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决算数小于上年数的主要原因是</w:t>
      </w:r>
      <w:bookmarkStart w:id="7" w:name="OLE_LINK34"/>
      <w:r>
        <w:rPr>
          <w:rFonts w:hint="eastAsia" w:ascii="Times New Roman" w:hAnsi="Times New Roman" w:eastAsia="仿宋_GB2312" w:cs="Times New Roman"/>
          <w:sz w:val="32"/>
          <w:szCs w:val="32"/>
        </w:rPr>
        <w:t>认真贯彻中央八项规定和厉行节约的要求。</w:t>
      </w:r>
      <w:bookmarkEnd w:id="7"/>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rPr>
        <w:t>40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rPr>
        <w:t>270</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rPr>
        <w:t>省市县等相关部门、企业进行调研、考察、项目对接等发生的接待支出。</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w:t>
      </w:r>
      <w:r>
        <w:rPr>
          <w:rFonts w:hint="eastAsia" w:ascii="Times New Roman" w:hAnsi="Times New Roman" w:eastAsia="仿宋_GB2312" w:cs="Times New Roman"/>
          <w:sz w:val="32"/>
          <w:szCs w:val="32"/>
        </w:rPr>
        <w:t>本单位无政府性基金收支。</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w:t>
      </w:r>
      <w:bookmarkStart w:id="8" w:name="OLE_LINK35"/>
      <w:bookmarkStart w:id="9" w:name="OLE_LINK36"/>
      <w:r>
        <w:rPr>
          <w:rFonts w:ascii="Times New Roman" w:hAnsi="Times New Roman" w:cs="Times New Roman"/>
          <w:bCs/>
          <w:sz w:val="32"/>
          <w:szCs w:val="32"/>
        </w:rPr>
        <w:t>关于机关运行经费支出说明</w:t>
      </w:r>
    </w:p>
    <w:bookmarkEnd w:id="8"/>
    <w:bookmarkEnd w:id="9"/>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2024年度</w:t>
      </w:r>
      <w:r>
        <w:rPr>
          <w:rFonts w:hint="eastAsia" w:ascii="Times New Roman" w:hAnsi="Times New Roman" w:eastAsia="仿宋_GB2312" w:cs="Times New Roman"/>
          <w:sz w:val="32"/>
          <w:szCs w:val="32"/>
        </w:rPr>
        <w:t>无</w:t>
      </w:r>
      <w:r>
        <w:rPr>
          <w:rFonts w:ascii="Times New Roman" w:hAnsi="Times New Roman" w:eastAsia="仿宋_GB2312" w:cs="Times New Roman"/>
          <w:sz w:val="32"/>
          <w:szCs w:val="32"/>
        </w:rPr>
        <w:t>机关运行经费支出</w:t>
      </w:r>
      <w:r>
        <w:rPr>
          <w:rFonts w:hint="eastAsia" w:ascii="Times New Roman" w:hAnsi="Times New Roman" w:eastAsia="仿宋_GB2312" w:cs="Times New Roman"/>
          <w:sz w:val="32"/>
          <w:szCs w:val="32"/>
        </w:rPr>
        <w:t>。与上年决算数持平。</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rPr>
        <w:t>9.58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人数491人，主要会议内容如下：</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参加首届中国植物健康与病害绿色防控技术创新交流会，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构建绿色屏障、保障植物健康，金额0.6万元。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2023年省棉花早熟组区试总结暨机播棉集中成铃关键技术研讨会，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人，内容</w:t>
      </w:r>
      <w:r>
        <w:rPr>
          <w:rFonts w:hint="eastAsia" w:ascii="Times New Roman" w:hAnsi="Times New Roman" w:eastAsia="仿宋_GB2312" w:cs="Times New Roman"/>
          <w:sz w:val="32"/>
          <w:szCs w:val="32"/>
        </w:rPr>
        <w:t>规范省棉花早熟组区试管理，金额0.53万元。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棉花主要夜蛾类害虫绿色防控技术规程、紫苏种子种苗生产技术规程、百合采收及贮藏技术规程等3项地方标准审查会及棉花间作甘薯栽培技术规程等5项农业技术规程审查会，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作物技术规程和地方标准，金额0.18万元。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棉花生产工作部署会议，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150</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部署2024年棉花生产重点工作，推进棉花生产挖潜提质增效，金额2.09万元。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棉花专家组专题会议，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50</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贯彻落实中央有关棉花支持政策及全省种植业工作会议精神，总结交流近三年棉花生产情况，金额0.43万元。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百合新品种“湘丹3号”现场评议会议，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24</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“湘丹3号”品种展示点进行现场观摩、研究方对百合新品种“湘丹3号”选育进行汇报，专家组现场评议，金额0.37万元。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参加中国作物学会棉花专业委员会第三届青年学术研讨会，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加强棉花领域青年科技工作者之间的学术交流，展示棉花科研领域的最新成果，围绕棉花基础研究、种质资源、遗传育种、栽培生理、植物保护等关键问题开展学术研讨，金额0.2万元。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参加中国农学会棉花分会2024年年会，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1人，内容为交流棉花科研领域最新成果，推进棉花领域新理论、新技术和新成果的应用，金额0.1万元。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棉花大县奖励资金项目评审会，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74人，内容为相关评审工作，金额2.16万元。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棉花生产全程机械化技术培训会，</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40人，内容为推进棉花生产全程机械化，金额1.39万元。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关于做好2023棉花科技创新项目结题集中验收的会议，人数42人，内容为项目结题验收准备工作，金额0.59万元。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2024年湖南机采棉系统化调技术研讨会，人数29人，内容为进一步探讨湖南机采棉化学调控关键技术，促进机采棉农机农艺融合发展，提升机采棉单产水平，金额0.49万元。</w:t>
      </w:r>
    </w:p>
    <w:p>
      <w:pPr>
        <w:numPr>
          <w:ilvl w:val="0"/>
          <w:numId w:val="1"/>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2024年度湖南省棉花产业技术体系工作总结及绩效考评会，人数30人，内容为2024年度工作总结及绩效考评，谋划2025年重点工作任务，金额0.45万元。</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rPr>
        <w:t>2.52</w:t>
      </w:r>
      <w:r>
        <w:rPr>
          <w:rFonts w:ascii="Times New Roman" w:hAnsi="Times New Roman" w:eastAsia="仿宋_GB2312" w:cs="Times New Roman"/>
          <w:sz w:val="32"/>
          <w:szCs w:val="32"/>
        </w:rPr>
        <w:t>万元，人数</w:t>
      </w:r>
      <w:r>
        <w:rPr>
          <w:rFonts w:hint="eastAsia" w:ascii="Times New Roman" w:hAnsi="Times New Roman" w:eastAsia="仿宋_GB2312" w:cs="Times New Roman"/>
          <w:sz w:val="32"/>
          <w:szCs w:val="32"/>
        </w:rPr>
        <w:t>60</w:t>
      </w:r>
      <w:r>
        <w:rPr>
          <w:rFonts w:ascii="Times New Roman" w:hAnsi="Times New Roman" w:eastAsia="仿宋_GB2312" w:cs="Times New Roman"/>
          <w:sz w:val="32"/>
          <w:szCs w:val="32"/>
        </w:rPr>
        <w:t>人，用于开展</w:t>
      </w:r>
      <w:r>
        <w:rPr>
          <w:rFonts w:hint="eastAsia" w:ascii="Times New Roman" w:hAnsi="Times New Roman" w:eastAsia="仿宋_GB2312" w:cs="Times New Roman"/>
          <w:sz w:val="32"/>
          <w:szCs w:val="32"/>
        </w:rPr>
        <w:t>下列</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rPr>
        <w:t>：</w:t>
      </w:r>
    </w:p>
    <w:p>
      <w:pPr>
        <w:numPr>
          <w:ilvl w:val="0"/>
          <w:numId w:val="2"/>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2024年在职人员继续教育线上培训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59</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公需科目及专业科目培训，金额2.49万元。</w:t>
      </w:r>
    </w:p>
    <w:p>
      <w:pPr>
        <w:ind w:firstLine="640" w:firstLineChars="200"/>
        <w:rPr>
          <w:rFonts w:ascii="Calibri" w:hAnsi="Calibri" w:eastAsia="仿宋_GB2312" w:cs="Times New Roman"/>
          <w:szCs w:val="24"/>
        </w:rPr>
      </w:pPr>
      <w:r>
        <w:rPr>
          <w:rFonts w:hint="eastAsia" w:ascii="Times New Roman" w:hAnsi="Times New Roman" w:eastAsia="仿宋_GB2312" w:cs="Times New Roman"/>
          <w:sz w:val="32"/>
          <w:szCs w:val="32"/>
        </w:rPr>
        <w:t>2、2024新进人员岗前培训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公需科目及会计系列专业课程，金额0.03万元。</w:t>
      </w:r>
    </w:p>
    <w:p>
      <w:pPr>
        <w:pStyle w:val="17"/>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hint="eastAsia" w:ascii="Times New Roman" w:hAnsi="Times New Roman" w:eastAsia="仿宋_GB2312" w:cs="Times New Roman"/>
          <w:sz w:val="32"/>
          <w:szCs w:val="32"/>
        </w:rPr>
        <w:t>未举办</w:t>
      </w:r>
      <w:r>
        <w:rPr>
          <w:rFonts w:ascii="Times New Roman" w:hAnsi="Times New Roman" w:eastAsia="仿宋_GB2312" w:cs="Times New Roman"/>
          <w:sz w:val="32"/>
          <w:szCs w:val="32"/>
        </w:rPr>
        <w:t>节庆、晚会、论坛、赛事活动</w:t>
      </w:r>
      <w:r>
        <w:rPr>
          <w:rFonts w:hint="eastAsia"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7"/>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2024年度政府采购支出总额</w:t>
      </w:r>
      <w:r>
        <w:rPr>
          <w:rFonts w:hint="eastAsia" w:ascii="Times New Roman" w:hAnsi="Times New Roman" w:eastAsia="仿宋_GB2312" w:cs="Times New Roman"/>
          <w:sz w:val="32"/>
          <w:szCs w:val="32"/>
        </w:rPr>
        <w:t>770.49</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rPr>
        <w:t>163.80</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rPr>
        <w:t>431.24</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rPr>
        <w:t>175.45</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rPr>
        <w:t>770.49</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rPr>
        <w:t>163.80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rPr>
        <w:t>21.26</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rPr>
        <w:t>100</w:t>
      </w:r>
      <w:r>
        <w:rPr>
          <w:rFonts w:ascii="Times New Roman" w:hAnsi="Times New Roman" w:eastAsia="仿宋_GB2312" w:cs="Times New Roman"/>
          <w:color w:val="auto"/>
          <w:sz w:val="32"/>
          <w:szCs w:val="32"/>
        </w:rPr>
        <w:t>%。</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cs="Times New Roman"/>
          <w:color w:val="auto"/>
          <w:sz w:val="32"/>
          <w:szCs w:val="32"/>
        </w:rPr>
        <w:t>科技服务下乡车辆及农用车</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台（套）。</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楷体" w:cs="Times New Roman"/>
          <w:b/>
          <w:bCs/>
          <w:color w:val="FF0000"/>
          <w:sz w:val="32"/>
          <w:szCs w:val="32"/>
        </w:rPr>
      </w:pPr>
      <w:r>
        <w:rPr>
          <w:rFonts w:ascii="Times New Roman" w:hAnsi="Times New Roman" w:eastAsia="楷体_GB2312" w:cs="Times New Roman"/>
          <w:b/>
          <w:bCs/>
          <w:sz w:val="32"/>
          <w:szCs w:val="32"/>
        </w:rPr>
        <w:t>（一）绩效评价工作开展情况。</w:t>
      </w:r>
      <w:r>
        <w:rPr>
          <w:rFonts w:hint="eastAsia" w:ascii="Times New Roman" w:hAnsi="Times New Roman" w:eastAsia="楷体_GB2312" w:cs="Times New Roman"/>
          <w:b/>
          <w:bCs/>
          <w:sz w:val="32"/>
          <w:szCs w:val="32"/>
        </w:rPr>
        <w:t>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rPr>
        <w:t>1709.77</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1709.77</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rPr>
        <w:t>53.46</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rPr>
        <w:t>。</w:t>
      </w:r>
    </w:p>
    <w:p>
      <w:pPr>
        <w:spacing w:line="600" w:lineRule="exact"/>
        <w:ind w:firstLine="640" w:firstLineChars="200"/>
        <w:rPr>
          <w:rFonts w:ascii="Times New Roman" w:hAnsi="Times New Roman" w:eastAsia="仿宋_GB2312" w:cs="Times New Roman"/>
          <w:color w:val="000000"/>
          <w:sz w:val="32"/>
          <w:szCs w:val="32"/>
          <w:highlight w:val="none"/>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3840.21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3198.45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83.29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rPr>
        <w:t>9</w:t>
      </w:r>
      <w:r>
        <w:rPr>
          <w:rFonts w:hint="eastAsia" w:ascii="Times New Roman" w:hAnsi="Times New Roman" w:eastAsia="仿宋_GB2312" w:cs="Times New Roman"/>
          <w:sz w:val="32"/>
          <w:szCs w:val="32"/>
        </w:rPr>
        <w:t>8.33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优</w:t>
      </w:r>
      <w:r>
        <w:rPr>
          <w:rFonts w:ascii="Times New Roman" w:hAnsi="Times New Roman" w:eastAsia="仿宋_GB2312" w:cs="Times New Roman"/>
          <w:sz w:val="32"/>
          <w:szCs w:val="32"/>
        </w:rPr>
        <w:t>”。绩效目标完成情况：</w:t>
      </w:r>
      <w:bookmarkStart w:id="10" w:name="OLE_LINK15"/>
      <w:r>
        <w:rPr>
          <w:rFonts w:hint="eastAsia" w:ascii="Times New Roman" w:hAnsi="Times New Roman" w:eastAsia="仿宋_GB2312" w:cs="Times New Roman"/>
          <w:color w:val="000000"/>
          <w:sz w:val="32"/>
          <w:szCs w:val="32"/>
        </w:rPr>
        <w:t>一是项目工作取得新突破。2024年全所在研项目43项，项目资金达2700余万元。成功争取成为国家重点研发计划“棉花优质高产宜机收新种质创制与应用”项目——“棉花优质新种质创制与应用”课题的主持单位并在项目中排名第二，是整个长江流域和黄河流域唯一的省级科研所。二是品种选育再上新台阶。选育省审棉花品种1个，4个棉花品种获得品保权，另有23个棉花新品种参加了长江流域、西北内陆和省级棉花区试，申请新品种转基因测试16个。2个甘薯品种获得农业农村部登记证书，5个油菜品种完成登记审查流程，已公示；3个甘薯品种通过省级审核；1个百合新品种通过省级鉴定；2个油菜品种参加四川省春油菜品种展示。三是助力产业发展取得新进展。先后在常德市鼎城区、澧县、安乡县、桃江县、沅江市和益阳市赫山区等地，建立了棉花新品种、新技术核心示范区6个，推进新品种与新技术落地。推动棉花全程机械化协同攻关，与央企铁建重工合作研发出适合湖南植棉环境的4MZ-2箱式两行采棉机，采收效率为人工的200倍左右，2024年在湖南省推广应用13台，周边省2台。引导鼓励科研人员走出去，2024年先后参加全国棉花学会等学习交流52人次，与中国农业科学院棉花研究所、湖南大学、湖南农业大学等高校院所合作，加大基础研究力度，补短板，强弱项，提升基础性研究水平。在全省开展相关技术服务500人次以上，在新品种与新技术示范区开展3次田间技术培训。强化技术指导，提高植棉主体对新品种与新技术的认知，解决生产过程中的“卡脖子”难题。在桃江灰山港示范区，推进“品种-技术-机械”的全面融合，实现了棉花生产“机播-机管-机收”，亩用工少于6个，子棉产量超过250kg，亩纯收益超过400元。凝炼技术标准，制定了《棉花生产全程机械化技术规程》。四是人才队伍建设取得新成绩。栽培植保室获常德市“巾帼建功先进集体”荣誉称号。1人获得“常德市十大青年科技人才”称号。12人入选省棉花专家指导组成员，2人入选常德市C类人才，3人入选常德市科技特派员。2人晋升正高级专业技术职称，4人晋升副高级专业技术职称，5人获职称等级晋升。五是创新创优，释放科研发展活力。1个棉花品种通过省级审定，4个棉花品种获得植物新品种保护权；获省科技进步三等奖1项；2个品种被遴选为2024年湖南省棉花主推品种；“重金属镉污染耕地棉花轻简化栽培技术”和“棉花病虫草害绿色防控技术”等2项技术被遴选为2024年湖南省农业主推技术；获授权国际发明专利4项、国家发明专利1项、实用新型专利2项；8项规程或标准通过评审；获得软件著作权27项；编写著作1</w:t>
      </w:r>
      <w:bookmarkStart w:id="38" w:name="_GoBack"/>
      <w:r>
        <w:rPr>
          <w:rFonts w:hint="eastAsia" w:ascii="Times New Roman" w:hAnsi="Times New Roman" w:eastAsia="仿宋_GB2312" w:cs="Times New Roman"/>
          <w:color w:val="000000"/>
          <w:sz w:val="32"/>
          <w:szCs w:val="32"/>
          <w:highlight w:val="none"/>
        </w:rPr>
        <w:t>部，发表论文17篇，其中SCI论文10篇。</w:t>
      </w:r>
      <w:bookmarkEnd w:id="10"/>
    </w:p>
    <w:p>
      <w:pPr>
        <w:spacing w:line="600" w:lineRule="exact"/>
        <w:ind w:firstLine="640" w:firstLineChars="200"/>
        <w:rPr>
          <w:rFonts w:ascii="仿宋_GB2312" w:hAnsi="仿宋_GB2312" w:eastAsia="仿宋_GB2312" w:cs="仿宋_GB2312"/>
          <w:sz w:val="32"/>
          <w:szCs w:val="32"/>
          <w:highlight w:val="none"/>
        </w:rPr>
      </w:pPr>
      <w:r>
        <w:rPr>
          <w:rFonts w:ascii="Times New Roman" w:hAnsi="Times New Roman" w:eastAsia="仿宋_GB2312" w:cs="Times New Roman"/>
          <w:sz w:val="32"/>
          <w:szCs w:val="32"/>
          <w:highlight w:val="none"/>
        </w:rPr>
        <w:t>下一步改进措施</w:t>
      </w:r>
      <w:r>
        <w:rPr>
          <w:rFonts w:hint="eastAsia" w:ascii="Times New Roman" w:hAnsi="Times New Roman" w:eastAsia="仿宋_GB2312" w:cs="Times New Roman"/>
          <w:sz w:val="32"/>
          <w:szCs w:val="32"/>
          <w:highlight w:val="none"/>
        </w:rPr>
        <w:t>：</w:t>
      </w:r>
      <w:r>
        <w:rPr>
          <w:rFonts w:hint="eastAsia" w:ascii="仿宋_GB2312" w:hAnsi="仿宋_GB2312" w:eastAsia="仿宋_GB2312" w:cs="仿宋_GB2312"/>
          <w:sz w:val="32"/>
          <w:szCs w:val="32"/>
          <w:highlight w:val="none"/>
        </w:rPr>
        <w:t>提高预算编制水平，合理地、精准地、科学的编制预算。为加快项目预算执行，单位将加强项目实施的组织管理，做好项目前期各项准备工作，提高项目前期工作质量，明确计划、项目和财务部门的职责，建立健全责任制度和评价机制，加强沟通和协调，按照精细化管理的要求，落实到项目实施的各环节、全过程。切实协调解决项目实施过程中的难点问题，及时掌握预算执行动态，分析、跟踪预算执行情况。</w:t>
      </w:r>
    </w:p>
    <w:bookmarkEnd w:id="38"/>
    <w:p>
      <w:pPr>
        <w:widowControl/>
        <w:spacing w:line="600" w:lineRule="exact"/>
        <w:ind w:firstLine="645"/>
        <w:jc w:val="left"/>
        <w:rPr>
          <w:rFonts w:eastAsia="黑体"/>
          <w:sz w:val="32"/>
          <w:szCs w:val="32"/>
        </w:rPr>
      </w:pPr>
      <w:r>
        <w:rPr>
          <w:rFonts w:ascii="Times New Roman" w:hAnsi="Times New Roman" w:eastAsia="楷体_GB2312" w:cs="Times New Roman"/>
          <w:b/>
          <w:bCs/>
          <w:sz w:val="32"/>
          <w:szCs w:val="32"/>
        </w:rPr>
        <w:t>（三）评价结果应用情况。</w:t>
      </w:r>
      <w:r>
        <w:rPr>
          <w:rFonts w:hint="eastAsia" w:eastAsia="仿宋_GB2312"/>
          <w:sz w:val="32"/>
          <w:szCs w:val="32"/>
        </w:rPr>
        <w:t>加强预算管理意识，严格按照预算编制的相关制度和要求，结合年度收支计划，科学编制预算，遵循预算管理办法。对评价中发现的问题，及时进行督促整改。</w:t>
      </w:r>
    </w:p>
    <w:p>
      <w:pPr>
        <w:pStyle w:val="17"/>
        <w:overflowPunct w:val="0"/>
        <w:autoSpaceDE/>
        <w:autoSpaceDN/>
        <w:spacing w:line="600" w:lineRule="exact"/>
        <w:ind w:firstLine="1440" w:firstLineChars="200"/>
        <w:jc w:val="both"/>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both"/>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hint="eastAsia"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hint="eastAsia" w:ascii="Times New Roman" w:hAnsi="Times New Roman" w:eastAsia="方正小标宋_GBK" w:cs="Times New Roman"/>
          <w:sz w:val="52"/>
          <w:szCs w:val="52"/>
        </w:rPr>
      </w:pPr>
    </w:p>
    <w:p>
      <w:pPr>
        <w:pStyle w:val="17"/>
        <w:spacing w:line="360" w:lineRule="auto"/>
        <w:jc w:val="center"/>
        <w:rPr>
          <w:rFonts w:hint="eastAsia"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第四部分名词解释</w:t>
      </w:r>
    </w:p>
    <w:p>
      <w:pPr>
        <w:widowControl/>
        <w:jc w:val="left"/>
        <w:rPr>
          <w:rFonts w:ascii="Times New Roman" w:hAnsi="Times New Roman" w:cs="Times New Roman"/>
          <w:color w:val="000000"/>
          <w:kern w:val="0"/>
          <w:sz w:val="32"/>
          <w:szCs w:val="32"/>
        </w:rPr>
      </w:pPr>
    </w:p>
    <w:p>
      <w:pPr>
        <w:widowControl/>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w:t>
      </w:r>
      <w:r>
        <w:rPr>
          <w:rFonts w:hint="eastAsia" w:ascii="仿宋_GB2312" w:hAnsi="仿宋" w:eastAsia="仿宋_GB2312" w:cs="Times New Roman"/>
          <w:color w:val="000000" w:themeColor="text1"/>
          <w:sz w:val="32"/>
          <w:szCs w:val="32"/>
        </w:rPr>
        <w:t>基本支出：指为保障机构正常运转、完成日常工作任务而 发生的各项支出，包括人员支出和公用支出。</w:t>
      </w:r>
    </w:p>
    <w:p>
      <w:pPr>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二、</w:t>
      </w:r>
      <w:r>
        <w:rPr>
          <w:rFonts w:hint="eastAsia" w:ascii="仿宋_GB2312" w:hAnsi="仿宋" w:eastAsia="仿宋_GB2312" w:cs="Times New Roman"/>
          <w:color w:val="000000" w:themeColor="text1"/>
          <w:sz w:val="32"/>
          <w:szCs w:val="32"/>
        </w:rPr>
        <w:t>项目支出：指在基本支出以外为完成相关行政任务和事业 发展目标所发生的各项支出。</w:t>
      </w:r>
    </w:p>
    <w:p>
      <w:pPr>
        <w:pStyle w:val="17"/>
        <w:spacing w:line="360" w:lineRule="auto"/>
        <w:ind w:firstLine="640" w:firstLineChars="200"/>
        <w:rPr>
          <w:rFonts w:ascii="仿宋_GB2312" w:hAnsi="仿宋" w:eastAsia="仿宋_GB2312"/>
          <w:bCs/>
          <w:sz w:val="32"/>
          <w:szCs w:val="32"/>
        </w:rPr>
      </w:pPr>
      <w:r>
        <w:rPr>
          <w:rFonts w:ascii="Times New Roman" w:hAnsi="Times New Roman" w:eastAsia="仿宋_GB2312" w:cs="Times New Roman"/>
          <w:sz w:val="32"/>
          <w:szCs w:val="32"/>
        </w:rPr>
        <w:t>三、</w:t>
      </w:r>
      <w:r>
        <w:rPr>
          <w:rFonts w:hint="eastAsia" w:ascii="仿宋_GB2312" w:hAnsi="仿宋" w:eastAsia="仿宋_GB2312"/>
          <w:bCs/>
          <w:sz w:val="32"/>
          <w:szCs w:val="32"/>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spacing w:line="360" w:lineRule="auto"/>
        <w:ind w:firstLine="640" w:firstLineChars="200"/>
        <w:jc w:val="left"/>
        <w:rPr>
          <w:rFonts w:ascii="仿宋_GB2312" w:eastAsia="仿宋_GB2312" w:cs="黑体"/>
          <w:color w:val="000000" w:themeColor="text1"/>
          <w:kern w:val="0"/>
          <w:sz w:val="32"/>
          <w:szCs w:val="32"/>
        </w:rPr>
      </w:pPr>
      <w:r>
        <w:rPr>
          <w:rFonts w:hint="eastAsia" w:ascii="仿宋_GB2312" w:hAnsi="仿宋" w:eastAsia="仿宋_GB2312" w:cs="Times New Roman"/>
          <w:color w:val="000000" w:themeColor="text1"/>
          <w:sz w:val="32"/>
          <w:szCs w:val="32"/>
        </w:rPr>
        <w:t>四、机关运行经费：是指各部门的公用经费，包括办公及印刷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7"/>
        <w:jc w:val="center"/>
        <w:rPr>
          <w:rFonts w:ascii="Times New Roman" w:hAnsi="Times New Roman" w:cs="Times New Roman"/>
          <w:sz w:val="72"/>
          <w:szCs w:val="72"/>
        </w:rPr>
      </w:pPr>
    </w:p>
    <w:p>
      <w:pPr>
        <w:pStyle w:val="17"/>
        <w:jc w:val="both"/>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第五部分附件</w:t>
      </w:r>
    </w:p>
    <w:p>
      <w:pPr>
        <w:rPr>
          <w:rFonts w:ascii="Times New Roman" w:hAnsi="Times New Roman" w:cs="Times New Roman"/>
          <w:sz w:val="72"/>
          <w:szCs w:val="72"/>
        </w:rPr>
      </w:pPr>
    </w:p>
    <w:p>
      <w:pPr>
        <w:jc w:val="center"/>
        <w:rPr>
          <w:rFonts w:ascii="Times New Roman" w:hAnsi="Times New Roman" w:eastAsia="方正小标宋_GBK" w:cs="Times New Roman"/>
          <w:sz w:val="48"/>
          <w:szCs w:val="48"/>
        </w:rPr>
      </w:pPr>
      <w:r>
        <w:rPr>
          <w:rFonts w:hint="eastAsia" w:ascii="Times New Roman" w:hAnsi="Times New Roman" w:eastAsia="方正小标宋_GBK" w:cs="Times New Roman"/>
          <w:sz w:val="48"/>
          <w:szCs w:val="48"/>
        </w:rPr>
        <w:t>2024</w:t>
      </w:r>
      <w:r>
        <w:rPr>
          <w:rFonts w:ascii="Times New Roman" w:hAnsi="Times New Roman" w:eastAsia="方正小标宋_GBK" w:cs="Times New Roman"/>
          <w:sz w:val="48"/>
          <w:szCs w:val="48"/>
        </w:rPr>
        <w:t>年度</w:t>
      </w:r>
      <w:r>
        <w:rPr>
          <w:rFonts w:hint="eastAsia" w:ascii="Times New Roman" w:hAnsi="Times New Roman" w:eastAsia="方正小标宋_GBK" w:cs="Times New Roman"/>
          <w:sz w:val="48"/>
          <w:szCs w:val="48"/>
        </w:rPr>
        <w:t>湖南省棉花科学研究所</w:t>
      </w:r>
    </w:p>
    <w:p>
      <w:pPr>
        <w:jc w:val="center"/>
        <w:rPr>
          <w:rFonts w:ascii="Times New Roman" w:hAnsi="Times New Roman" w:eastAsia="方正小标宋_GBK" w:cs="Times New Roman"/>
          <w:sz w:val="48"/>
          <w:szCs w:val="48"/>
        </w:rPr>
      </w:pPr>
      <w:r>
        <w:rPr>
          <w:rFonts w:ascii="Times New Roman" w:hAnsi="Times New Roman" w:eastAsia="方正小标宋_GBK" w:cs="Times New Roman"/>
          <w:sz w:val="48"/>
          <w:szCs w:val="48"/>
        </w:rPr>
        <w:t>整体支出绩效自评报告</w:t>
      </w: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pStyle w:val="2"/>
      </w:pPr>
    </w:p>
    <w:p>
      <w:pPr>
        <w:ind w:firstLine="880" w:firstLineChars="200"/>
        <w:jc w:val="center"/>
        <w:rPr>
          <w:rFonts w:ascii="Times New Roman" w:hAnsi="Times New Roman" w:eastAsia="黑体" w:cs="Times New Roman"/>
          <w:sz w:val="44"/>
          <w:szCs w:val="44"/>
        </w:rPr>
      </w:pPr>
    </w:p>
    <w:p>
      <w:pPr>
        <w:pStyle w:val="2"/>
      </w:pPr>
    </w:p>
    <w:p>
      <w:pPr>
        <w:ind w:firstLine="880" w:firstLineChars="200"/>
        <w:jc w:val="center"/>
        <w:rPr>
          <w:rFonts w:ascii="Times New Roman" w:hAnsi="Times New Roman" w:eastAsia="黑体" w:cs="Times New Roman"/>
          <w:sz w:val="44"/>
          <w:szCs w:val="44"/>
        </w:rPr>
      </w:pPr>
    </w:p>
    <w:p>
      <w:pPr>
        <w:ind w:firstLine="880" w:firstLineChars="200"/>
        <w:jc w:val="center"/>
        <w:rPr>
          <w:rFonts w:ascii="Times New Roman" w:hAnsi="Times New Roman" w:eastAsia="黑体" w:cs="Times New Roman"/>
          <w:sz w:val="44"/>
          <w:szCs w:val="44"/>
        </w:rPr>
      </w:pPr>
    </w:p>
    <w:p>
      <w:pPr>
        <w:ind w:firstLine="720" w:firstLineChars="200"/>
        <w:jc w:val="center"/>
        <w:rPr>
          <w:rFonts w:ascii="Times New Roman" w:hAnsi="Times New Roman" w:eastAsia="黑体" w:cs="Times New Roman"/>
          <w:sz w:val="36"/>
          <w:szCs w:val="36"/>
        </w:rPr>
      </w:pPr>
      <w:r>
        <w:rPr>
          <w:rFonts w:ascii="Times New Roman" w:hAnsi="Times New Roman" w:eastAsia="黑体" w:cs="Times New Roman"/>
          <w:sz w:val="36"/>
          <w:szCs w:val="36"/>
        </w:rPr>
        <w:t>单位名称（盖章）：</w:t>
      </w: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ascii="Times New Roman" w:hAnsi="Times New Roman" w:eastAsia="黑体" w:cs="Times New Roman"/>
          <w:sz w:val="32"/>
          <w:szCs w:val="32"/>
        </w:rPr>
        <w:t>一、基本情况</w:t>
      </w:r>
    </w:p>
    <w:p>
      <w:pPr>
        <w:spacing w:line="600" w:lineRule="exac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（一）单位基本情况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widowControl/>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湖南省棉花科学研究所是湖南省农业农村厅直属非营利性社会公益类科研事业单位，为正处级。</w:t>
      </w:r>
    </w:p>
    <w:p>
      <w:pPr>
        <w:widowControl/>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主要职责：从事棉花、油菜、中药材、甘薯、紫苏、花生、玉米、油葵等作物遗传育种、耕作栽培、病虫害防治、副产品综合利用等技术研究与成果推广。</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2.人员情况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湖南省棉花科学研究所编制73人，现有在编在职人员61人。</w:t>
      </w:r>
    </w:p>
    <w:p>
      <w:pPr>
        <w:spacing w:line="600" w:lineRule="exac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（二）单位年度整体支出绩效目标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标一：围绕机械植棉，重点构建“一改”（改育苗移栽为直播）、“二增”（增密、增加田间作业机械化）、“三减”[减肥（N）、减药（化学农药）、减投入（物化和人工成本）]、“四调”[依据气象大数据，合理使用“肥、水、药、生长调节剂（用量与次数），调控棉花生育进程]的全程机械化栽培技术体系，并进行示范推广。推进重金属污染管控区植棉技术研究及示范种植，开展高产且重金属高富集的棉花品种筛选，探索重金属严格管控区耕地高产高效种植技术，构建可复制的管控区植棉技术体系。目标二：继续开展旱粮 (甘薯、玉米)、特色油料(油菜、花生、油葵)、中药材(百合、紫苏、黄精)等作物种质资源的收集、引进与创制，新品种培育，组培技术研究、脱毒种苗扩繁技术研究、高产高效栽培技术集成、资源循环利用技术，建立示范展示区。</w:t>
      </w:r>
    </w:p>
    <w:p>
      <w:pPr>
        <w:spacing w:line="600" w:lineRule="exac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省级专项资金绩效目标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培育早熟宜机油菜新品种1-2个，创建稻油、棉油或稻稻油等模式下早熟宜机油菜新品种高产示范片2个。</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收集优质中药材种质资源30-50份，筛选改良优异品系1-2个；开展标准化、规模化种植，制定一系列标准化生产的技术规范；推行绿色规范化种植模式，建设品牌展示基地2-3个；多途径推介宣传，发放宣传资料5000份。</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以早熟优质机采棉品种为基础，开展适宜采棉机的引进/研制/改进及其配套农艺技术集成与示范，建立大面积棉花机械化生产示范基地，打造示范样板。</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选育甘薯品种2-3个；构建甘薯脱毒组培快繁技术体系1-2套，年产试管苗10000株；生产甘薯原原种苗30万株，优质甘薯60吨；开展技术培训指导10次以上。　</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开发1种无公害无残留的天然紫苏植物饲料配方；推广1套紫苏秸秆在肉牛生产中的关键技术；完成1篇论文。</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稳定双季稻生产面积，促进粮食生产稳定发展。</w:t>
      </w:r>
    </w:p>
    <w:p>
      <w:pPr>
        <w:widowControl/>
        <w:spacing w:line="600" w:lineRule="exact"/>
        <w:ind w:firstLine="640"/>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其他项目支出（除省级专项资金以外）绩效目标</w:t>
      </w:r>
    </w:p>
    <w:p>
      <w:pPr>
        <w:widowControl/>
        <w:spacing w:line="600" w:lineRule="exact"/>
        <w:ind w:firstLine="640" w:firstLineChars="200"/>
        <w:jc w:val="left"/>
        <w:rPr>
          <w:rFonts w:ascii="仿宋_GB2312" w:hAnsi="仿宋_GB2312" w:eastAsia="仿宋_GB2312" w:cs="仿宋_GB2312"/>
          <w:sz w:val="32"/>
          <w:szCs w:val="32"/>
        </w:rPr>
      </w:pPr>
      <w:bookmarkStart w:id="11" w:name="OLE_LINK20"/>
      <w:r>
        <w:rPr>
          <w:rFonts w:hint="eastAsia" w:ascii="仿宋_GB2312" w:hAnsi="仿宋_GB2312" w:eastAsia="仿宋_GB2312" w:cs="仿宋_GB2312"/>
          <w:sz w:val="32"/>
          <w:szCs w:val="32"/>
        </w:rPr>
        <w:t>围绕产业发展需求，聚焦关键技术攻关与示范推广，棉花产业体系以“两稳”“两提”为目标，聚焦棉花生产轻简化、机械化，开展棉花种质创制与新品种选育，解决我省棉花生产方式变革品种缺乏问题。重点对标湖南千亿产业，引进筛选适合山坡岗地及林下种植的甘薯、鲜食玉米、大豆等旱杂粮品种，提升基地周边农户种植效益，辐射带动湘北片区现代农业发展。围绕湖南省“千亿”产业发展的科技需求，以解决制约油料产业发展中的瓶颈问题，促进湖南省油料产业可持续发展。围绕湖南省“千亿”产业发展的科技需求，以解决制约中药材产业发展中的瓶颈问题为总体目标，促进湖南省中药材产业健康可持续发展。体系通过技术创新、示范推广与应急服务，有效支撑湖南省农业高质量发展。</w:t>
      </w:r>
      <w:bookmarkEnd w:id="11"/>
      <w:r>
        <w:rPr>
          <w:rFonts w:hint="eastAsia" w:ascii="仿宋_GB2312" w:hAnsi="仿宋_GB2312" w:eastAsia="仿宋_GB2312" w:cs="仿宋_GB2312"/>
          <w:sz w:val="32"/>
          <w:szCs w:val="32"/>
        </w:rPr>
        <w:t>　</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二、一般公共预算支出情况</w:t>
      </w:r>
    </w:p>
    <w:p>
      <w:pPr>
        <w:spacing w:line="600" w:lineRule="exac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（一）基本支出情况</w:t>
      </w:r>
    </w:p>
    <w:p>
      <w:pPr>
        <w:spacing w:line="600" w:lineRule="exact"/>
        <w:ind w:firstLine="640"/>
        <w:rPr>
          <w:rFonts w:ascii="仿宋_GB2312" w:hAnsi="仿宋_GB2312" w:eastAsia="仿宋_GB2312" w:cs="仿宋_GB2312"/>
          <w:sz w:val="32"/>
          <w:szCs w:val="32"/>
        </w:rPr>
      </w:pPr>
      <w:bookmarkStart w:id="12" w:name="OLE_LINK16"/>
      <w:r>
        <w:rPr>
          <w:rFonts w:hint="eastAsia" w:ascii="仿宋_GB2312" w:hAnsi="仿宋_GB2312" w:eastAsia="仿宋_GB2312" w:cs="仿宋_GB2312"/>
          <w:sz w:val="32"/>
          <w:szCs w:val="32"/>
        </w:rPr>
        <w:t>2024年度基本支出预算1488.68万元，基本支出决算数为1488.68万元。其中人员经费1404.98万元，日常公用经费83.70万元。本年基本支出结余0万元。</w:t>
      </w:r>
    </w:p>
    <w:bookmarkEnd w:id="12"/>
    <w:p>
      <w:pPr>
        <w:spacing w:line="600" w:lineRule="exac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（二）项目支出情况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2024年度项目支出年初结余1180.84万元，本年收入1170.69万元，全年项目支出预算数为2351.53万元。</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项目支出决算数为1709.77万元，年末结余641.75万元。其中省级专项318.57万元，其他事业发展资金1391.20万元。</w:t>
      </w:r>
    </w:p>
    <w:p>
      <w:pPr>
        <w:spacing w:line="600" w:lineRule="exact"/>
        <w:ind w:firstLine="640"/>
        <w:rPr>
          <w:rFonts w:ascii="仿宋_GB2312" w:hAnsi="仿宋_GB2312" w:eastAsia="仿宋_GB2312" w:cs="仿宋_GB2312"/>
          <w:sz w:val="32"/>
          <w:szCs w:val="32"/>
        </w:rPr>
      </w:pPr>
      <w:bookmarkStart w:id="13" w:name="OLE_LINK25"/>
      <w:r>
        <w:rPr>
          <w:rFonts w:hint="eastAsia" w:ascii="仿宋_GB2312" w:hAnsi="仿宋_GB2312" w:eastAsia="仿宋_GB2312" w:cs="仿宋_GB2312"/>
          <w:sz w:val="32"/>
          <w:szCs w:val="32"/>
        </w:rPr>
        <w:t>1.省级专项资金</w:t>
      </w:r>
      <w:bookmarkStart w:id="14" w:name="OLE_LINK19"/>
      <w:r>
        <w:rPr>
          <w:rFonts w:hint="eastAsia" w:ascii="仿宋_GB2312" w:hAnsi="仿宋_GB2312" w:eastAsia="仿宋_GB2312" w:cs="仿宋_GB2312"/>
          <w:sz w:val="32"/>
          <w:szCs w:val="32"/>
        </w:rPr>
        <w:t>预算322.11万元</w:t>
      </w:r>
      <w:bookmarkEnd w:id="14"/>
      <w:r>
        <w:rPr>
          <w:rFonts w:hint="eastAsia" w:ascii="仿宋_GB2312" w:hAnsi="仿宋_GB2312" w:eastAsia="仿宋_GB2312" w:cs="仿宋_GB2312"/>
          <w:sz w:val="32"/>
          <w:szCs w:val="32"/>
        </w:rPr>
        <w:t>，实际支出318.57万元，主要用于创新型省份建设专项、重要农产品稳产保供(市县)、棉花全程机械化试验示范与基地建设、紫苏梗饲料化利用与减少温室气体排放、集中育秧指导及粮食面积核查、早熟宜机油菜新品种培育与示范、甘薯组培脱毒关键技术研究与应用等方面。</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其他事业发展资金预算2029.42万元，实际支出1391.20万元，主要用于棉花项目、2024年省级现代农业产业技术体系建设资金、紫苏酵素肥制作及其植物促生效果研究、菜用甘薯新品种选育与试验示范、“油蔬两用冬油菜-夏大豆”模式技术研究与应用等方面。</w:t>
      </w:r>
    </w:p>
    <w:bookmarkEnd w:id="13"/>
    <w:p>
      <w:pPr>
        <w:numPr>
          <w:ilvl w:val="0"/>
          <w:numId w:val="3"/>
        </w:num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政府性基金预算支出情况</w:t>
      </w:r>
    </w:p>
    <w:p>
      <w:pPr>
        <w:spacing w:line="600" w:lineRule="exact"/>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无</w:t>
      </w:r>
    </w:p>
    <w:p>
      <w:pPr>
        <w:numPr>
          <w:ilvl w:val="0"/>
          <w:numId w:val="3"/>
        </w:num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国有资本经营预算支出情况</w:t>
      </w:r>
    </w:p>
    <w:p>
      <w:pPr>
        <w:spacing w:line="600" w:lineRule="exact"/>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无</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五、社会保险基金预算支出情况</w:t>
      </w:r>
    </w:p>
    <w:p>
      <w:p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无</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六、部门整体支出绩效情况</w:t>
      </w:r>
    </w:p>
    <w:p>
      <w:pPr>
        <w:spacing w:line="600" w:lineRule="exact"/>
        <w:ind w:firstLine="640" w:firstLineChars="200"/>
        <w:rPr>
          <w:rFonts w:ascii="Times New Roman" w:hAnsi="Times New Roman" w:eastAsia="仿宋_GB2312" w:cs="Times New Roman"/>
          <w:color w:val="000000"/>
          <w:sz w:val="32"/>
          <w:szCs w:val="32"/>
        </w:rPr>
      </w:pPr>
      <w:bookmarkStart w:id="15" w:name="OLE_LINK27"/>
      <w:bookmarkStart w:id="16" w:name="OLE_LINK26"/>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运行成本</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2024年度基本支出预算1488.68万元，基本支出决算数为1488.68万元。其中人员经费1404.98万元，日常公用经费83.70万元。本年基本支出结余0万元。</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管理效率</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夯实发展环境，抓实抓细创建工作。所党委深入贯彻落实习近平总书记关于安全生产的重要论述和重要指示精神，党委会多次研究部署平安建设工作，把平安建设工作纳入年度工作要点。全年共开展11次安全检查，排查各类隐患及发现问题10余处，有效防范和坚决遏制各类事故的发生。深入开展文明单位创建，组织开展绿植、草坪培护志愿服务活动和无偿献血传爱心活动，美化工作和生活环境，汇聚青春正能量。关注民生福祉，改善干部职工工作生活条件，投入430多万元用于茅湾基地提质改造，改造后的基地院落焕然一新，极大地提升了科研硬件水平。</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履职效能</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是项目工作取得新突破。2024年我所项目工作再创佳绩，全所在研项目43项，项目资金达2700余万元。成功争取成为国家重点研发计划“棉花优质高产宜机收新种质创制与应用”项目——“棉花优质新种质创制与应用”课题的主持单位并在项目中排名第二，是整个长江流域和黄河流域唯一的省级科研所。</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是品种选育再上新台阶。选育省审棉花品种1个，4个棉花品种获得品保权，另有23个棉花新品种参加了长江流域、西北内陆和省级棉花区试，申请新品种转基因测试16个。2个甘薯品种获得农业农村部登记证书，5个油菜品种完成登记审查流程，已公示；3个甘薯品种通过省级审核；1个百合新品种通过省级鉴定；2个油菜品种参加四川省春油菜品种展示。</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三是助力产业发展取得新进展。合作办好一个基地。为解决当前棉花产业发展瓶颈问题，先后在常德市鼎城区、澧县、安乡县、桃江县、沅江市和益阳市赫山区等地，建立了棉花新品种、新技术核心示范区6个，推进新品种与新技术落地。特别是我所主动与桃江县农业农村局对接，选址桃江县灰山港镇河溪水村，重点打造了面积500亩的“湖南省重金属污染区棉花全程机械化生产示范片”，为我省重金属重度污染耕地植棉</w:t>
      </w:r>
      <w:r>
        <w:rPr>
          <w:rFonts w:hint="eastAsia" w:ascii="宋体" w:hAnsi="宋体" w:eastAsia="宋体" w:cs="宋体"/>
          <w:color w:val="000000"/>
          <w:sz w:val="32"/>
          <w:szCs w:val="32"/>
        </w:rPr>
        <w:t>蹚</w:t>
      </w:r>
      <w:r>
        <w:rPr>
          <w:rFonts w:hint="eastAsia" w:ascii="仿宋_GB2312" w:hAnsi="仿宋_GB2312" w:eastAsia="仿宋_GB2312" w:cs="仿宋_GB2312"/>
          <w:color w:val="000000"/>
          <w:sz w:val="32"/>
          <w:szCs w:val="32"/>
        </w:rPr>
        <w:t>出了一条新路，同时也为</w:t>
      </w:r>
      <w:r>
        <w:rPr>
          <w:rFonts w:hint="eastAsia" w:ascii="Times New Roman" w:hAnsi="Times New Roman" w:eastAsia="仿宋_GB2312" w:cs="Times New Roman"/>
          <w:color w:val="000000"/>
          <w:sz w:val="32"/>
          <w:szCs w:val="32"/>
        </w:rPr>
        <w:t>2025年办好华容团洲垸全程机械化植棉万亩示范片积累了宝贵经验。配合承办两个会议。在长沙召开全省棉花生产工作部署暨挖潜提质增效推进会，在常德柳园锦江召开全国棉花产业政策解读培训会。加强科技交流与合作。加强与科技企业合作，推动棉花全程机械化协同攻关，与央企铁建重工合作研发出适合湖南植棉环境的4MZ-2箱式两行采棉机，采收效率为人工的200倍左右，2024年在湖南省推广应用13台，周边省2台。引导鼓励科研人员走出去，2024年先后参加全国棉花学会等学习交流52人次，提升现有人员创新能力和业务水平。加强与中国农业科学院棉花研究所、湖南大学、湖南农业大学等高校院所合作，加大基础研究力度，补短板，强弱项，提升基础性研究水平。加强技术指导与服务。充分发挥全省棉花科研主力军作用，在全省开展相关技术服务500人次以上，在新品种与新技术示范区开展3次田间技术培训。强化技术指导，提高植棉主体对新品种与新技术的认知，解决生产过程中的“卡脖子”难题。在桃江灰山港示范区，推进“品种-技术-机械”的全面融合，实现了棉花生产“机播-机管-机收”，亩用工少于6个，子棉产量超过250kg，亩纯收益超过400元。凝炼技术标准，制定了《棉花生产全程机械化技术规程》，为全省植棉机械化提供了基本遵循。</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四是人才队伍建设取得新成绩。栽培植保室喜获常德市“巾帼建功先进集体”荣誉称号。1人获得“常德市十大青年科技人才”称号。12人入选省棉花专家指导组成员，2人入选常德市C类人才，3人入选常德市科技特派员。2人晋升正高级专业技术职称，4人晋升副高级专业技术职称，5人获职称等级晋升。</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社会效应</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顺应改革大潮，平稳推进转隶工作。从3月18日接到省委编办冻结省农业农村厅属6个科研单位人事编制通知开始，省棉科所按照“思想不乱、队伍不散、工作不断”的改革总要求，平稳有序推进单位转隶工作。一是统一思想。所党委坚决贯彻执行省委省政府决策部署，服从改革大局。组织学习《关于省农业农村厅直属六个科研院所整体移交省农业科学院管理工作方案》和省委农办“关于建设‘大农科院’工作推进会议”精神。二是全面推进。迅速组织全所人员就转隶进行讨论，共收集诉求142条，合并整理形成诉求10条。结合当前棉花科研和产业形势，拟定《关于请求转隶后整建制保留的请示》和《关于请求转隶后整建制搬迁长沙的请示》上报。三是协调融合。积极向省农科院党委和职能处室汇报咨询整体搬迁、基地去留、职称晋升、工资保障以及退休人员服务管理等问题，助推改革后机构、人员、职能、感情的全面融合。</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5.</w:t>
      </w:r>
      <w:r>
        <w:rPr>
          <w:rFonts w:ascii="Times New Roman" w:hAnsi="Times New Roman" w:eastAsia="仿宋_GB2312" w:cs="Times New Roman"/>
          <w:color w:val="000000"/>
          <w:sz w:val="32"/>
          <w:szCs w:val="32"/>
        </w:rPr>
        <w:t>可持续发展能力</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坚持创新创优，释放科研发展活力。2024年科研成果丰硕。1个棉花品种通过省级审定，4个棉花品种获得植物新品种保护权；获省科技进步三等奖1项；2个品种被遴选为2024年湖南省棉花主推品种；“重金属镉污染耕地棉花轻简化栽培技术”和“棉花病虫草害绿色防控技术”等2项技术被遴选为2024年湖南省农业主推技术；获授权国际发明专利4项、国家发明专利1项、实用新型专利2项；8项规程或标准通过评审；获得软件著作权27项；编写著作1部，发表论文17篇，其中SCI论文10篇。</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6.</w:t>
      </w:r>
      <w:r>
        <w:rPr>
          <w:rFonts w:ascii="Times New Roman" w:hAnsi="Times New Roman" w:eastAsia="仿宋_GB2312" w:cs="Times New Roman"/>
          <w:color w:val="000000"/>
          <w:sz w:val="32"/>
          <w:szCs w:val="32"/>
        </w:rPr>
        <w:t>服务对象满意度</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农户满意度96%，企业满意度95%。</w:t>
      </w:r>
    </w:p>
    <w:bookmarkEnd w:id="15"/>
    <w:bookmarkEnd w:id="16"/>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七、存在的问题及原因分析</w:t>
      </w:r>
    </w:p>
    <w:p>
      <w:pPr>
        <w:spacing w:line="600" w:lineRule="exact"/>
        <w:ind w:firstLine="640" w:firstLineChars="200"/>
        <w:rPr>
          <w:rFonts w:ascii="Times New Roman" w:hAnsi="Times New Roman" w:eastAsia="仿宋_GB2312" w:cs="Times New Roman"/>
          <w:sz w:val="32"/>
          <w:szCs w:val="32"/>
        </w:rPr>
      </w:pPr>
      <w:bookmarkStart w:id="17" w:name="OLE_LINK29"/>
      <w:bookmarkStart w:id="18" w:name="OLE_LINK28"/>
      <w:r>
        <w:rPr>
          <w:rFonts w:hint="eastAsia" w:ascii="Times New Roman" w:hAnsi="Times New Roman" w:eastAsia="仿宋_GB2312" w:cs="Times New Roman"/>
          <w:sz w:val="32"/>
          <w:szCs w:val="32"/>
        </w:rPr>
        <w:t>2024年预算执行率为82.84%，预算执行率低的原因2024年部分项目资金11月才下达。</w:t>
      </w:r>
    </w:p>
    <w:bookmarkEnd w:id="17"/>
    <w:bookmarkEnd w:id="18"/>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八、下一步改进措施</w:t>
      </w:r>
    </w:p>
    <w:p>
      <w:pPr>
        <w:spacing w:line="600" w:lineRule="exact"/>
        <w:ind w:firstLine="640" w:firstLineChars="200"/>
        <w:rPr>
          <w:rFonts w:ascii="仿宋_GB2312" w:hAnsi="仿宋_GB2312" w:eastAsia="仿宋_GB2312" w:cs="仿宋_GB2312"/>
          <w:sz w:val="32"/>
          <w:szCs w:val="32"/>
        </w:rPr>
      </w:pPr>
      <w:bookmarkStart w:id="19" w:name="OLE_LINK31"/>
      <w:bookmarkStart w:id="20" w:name="OLE_LINK30"/>
      <w:r>
        <w:rPr>
          <w:rFonts w:hint="eastAsia" w:ascii="仿宋_GB2312" w:hAnsi="仿宋_GB2312" w:eastAsia="仿宋_GB2312" w:cs="仿宋_GB2312"/>
          <w:sz w:val="32"/>
          <w:szCs w:val="32"/>
        </w:rPr>
        <w:t>提高预算编制水平，合理地、精准地、科学的编制预算。为加快项目预算执行，单位将加强项目实施的组织管理，做好项目前期各项准备工作，提高项目前期工作质量，明确计划、项目和财务部门的职责，建立健全责任制度和评价机制，加强沟通和协调，按照精细化管理的要求，落实到项目实施的各环节、全过程。切实协调解决项目实施过程中的难点问题，及时掌握预算执行动态，分析、跟踪预算执行情况。</w:t>
      </w:r>
    </w:p>
    <w:bookmarkEnd w:id="19"/>
    <w:bookmarkEnd w:id="20"/>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九、绩效自评结果拟应用和公开情况</w:t>
      </w:r>
      <w:bookmarkStart w:id="21" w:name="OLE_LINK32"/>
      <w:bookmarkStart w:id="22" w:name="OLE_LINK33"/>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（一）反馈整改。加强预算管理意识，严格按照预算编制的相关制度和要求，结合年度收支计划，科学编制预算，遵循预算管理办法。对评价中发现的问题，及时进行督促整改。</w:t>
      </w:r>
    </w:p>
    <w:p>
      <w:pPr>
        <w:widowControl/>
        <w:spacing w:line="600" w:lineRule="exact"/>
        <w:ind w:firstLine="645"/>
        <w:jc w:val="left"/>
        <w:rPr>
          <w:rFonts w:ascii="Times New Roman" w:hAnsi="Times New Roman" w:eastAsia="黑体" w:cs="Times New Roman"/>
          <w:sz w:val="32"/>
          <w:szCs w:val="32"/>
        </w:rPr>
      </w:pPr>
      <w:r>
        <w:rPr>
          <w:rFonts w:hint="eastAsia" w:ascii="Times New Roman" w:hAnsi="Times New Roman" w:eastAsia="仿宋_GB2312" w:cs="Times New Roman"/>
          <w:sz w:val="32"/>
          <w:szCs w:val="32"/>
        </w:rPr>
        <w:t>（二）公开结果。除涉密信息外，我所将按要求在门户网站全面公开2024年度部门支出绩效自评报告，接受社会监督。</w:t>
      </w:r>
    </w:p>
    <w:bookmarkEnd w:id="21"/>
    <w:bookmarkEnd w:id="22"/>
    <w:p>
      <w:pPr>
        <w:widowControl/>
        <w:spacing w:line="600" w:lineRule="exact"/>
        <w:ind w:firstLine="645"/>
        <w:jc w:val="left"/>
        <w:rPr>
          <w:rFonts w:ascii="Times New Roman" w:hAnsi="Times New Roman" w:eastAsia="仿宋_GB2312" w:cs="Times New Roman"/>
          <w:sz w:val="32"/>
          <w:szCs w:val="32"/>
        </w:rPr>
      </w:pPr>
    </w:p>
    <w:p>
      <w:pPr>
        <w:widowControl/>
        <w:spacing w:line="600" w:lineRule="exact"/>
        <w:ind w:firstLine="645"/>
        <w:jc w:val="left"/>
        <w:rPr>
          <w:rFonts w:ascii="Times New Roman" w:hAnsi="Times New Roman" w:eastAsia="仿宋_GB2312" w:cs="Times New Roman"/>
          <w:sz w:val="32"/>
          <w:szCs w:val="32"/>
        </w:rPr>
      </w:pPr>
    </w:p>
    <w:p>
      <w:pPr>
        <w:widowControl/>
        <w:spacing w:line="600" w:lineRule="exact"/>
        <w:ind w:firstLine="645"/>
        <w:jc w:val="left"/>
        <w:rPr>
          <w:rFonts w:ascii="Times New Roman" w:hAnsi="Times New Roman" w:eastAsia="仿宋_GB2312" w:cs="Times New Roman"/>
          <w:sz w:val="32"/>
          <w:szCs w:val="32"/>
        </w:rPr>
      </w:pPr>
    </w:p>
    <w:p>
      <w:pPr>
        <w:widowControl/>
        <w:spacing w:line="600" w:lineRule="exact"/>
        <w:ind w:firstLine="645"/>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附件：1.部门整体支出绩效评价基础数据表</w:t>
      </w:r>
    </w:p>
    <w:p>
      <w:pPr>
        <w:widowControl/>
        <w:spacing w:line="600" w:lineRule="exact"/>
        <w:ind w:firstLine="1622" w:firstLineChars="507"/>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部门整体支出绩效自评表</w:t>
      </w:r>
    </w:p>
    <w:p>
      <w:pPr>
        <w:widowControl/>
        <w:spacing w:line="600" w:lineRule="exact"/>
        <w:ind w:firstLine="1622" w:firstLineChars="507"/>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3.项目支出绩效自评表</w:t>
      </w:r>
      <w:r>
        <w:rPr>
          <w:rFonts w:hint="eastAsia" w:ascii="Times New Roman" w:hAnsi="Times New Roman" w:eastAsia="仿宋_GB2312" w:cs="Times New Roman"/>
          <w:sz w:val="32"/>
          <w:szCs w:val="32"/>
        </w:rPr>
        <w:t>（现代农业发展专项）</w:t>
      </w:r>
    </w:p>
    <w:p>
      <w:pPr>
        <w:widowControl/>
        <w:spacing w:line="600" w:lineRule="exact"/>
        <w:ind w:firstLine="1600" w:firstLineChars="500"/>
        <w:jc w:val="left"/>
        <w:rPr>
          <w:rFonts w:ascii="Times New Roman" w:hAnsi="Times New Roman" w:eastAsia="仿宋_GB2312" w:cs="Times New Roman"/>
          <w:sz w:val="32"/>
          <w:szCs w:val="32"/>
        </w:rPr>
      </w:pPr>
      <w:bookmarkStart w:id="23" w:name="OLE_LINK24"/>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.项目支出绩效自评表</w:t>
      </w:r>
      <w:r>
        <w:rPr>
          <w:rFonts w:hint="eastAsia" w:ascii="Times New Roman" w:hAnsi="Times New Roman" w:eastAsia="仿宋_GB2312" w:cs="Times New Roman"/>
          <w:sz w:val="32"/>
          <w:szCs w:val="32"/>
        </w:rPr>
        <w:t>（其他事业发展专项）</w:t>
      </w:r>
      <w:bookmarkEnd w:id="23"/>
    </w:p>
    <w:p>
      <w:pPr>
        <w:widowControl/>
        <w:spacing w:line="600" w:lineRule="exact"/>
        <w:ind w:firstLine="645"/>
        <w:jc w:val="left"/>
        <w:rPr>
          <w:rFonts w:ascii="Times New Roman" w:hAnsi="Times New Roman" w:eastAsia="仿宋_GB2312"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1</w:t>
      </w:r>
    </w:p>
    <w:p>
      <w:pPr>
        <w:spacing w:line="560" w:lineRule="exact"/>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部门整体支出绩效评价基础数据表</w:t>
      </w:r>
    </w:p>
    <w:tbl>
      <w:tblPr>
        <w:tblStyle w:val="1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财政供养人员情况</w:t>
            </w:r>
          </w:p>
        </w:tc>
        <w:tc>
          <w:tcPr>
            <w:tcW w:w="2038"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编制数</w:t>
            </w:r>
          </w:p>
        </w:tc>
        <w:tc>
          <w:tcPr>
            <w:tcW w:w="2240"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24</w:t>
            </w:r>
            <w:r>
              <w:rPr>
                <w:rFonts w:ascii="Times New Roman" w:hAnsi="Times New Roman" w:eastAsia="仿宋_GB2312" w:cs="Times New Roman"/>
                <w:b/>
                <w:bCs/>
                <w:kern w:val="0"/>
                <w:szCs w:val="21"/>
              </w:rPr>
              <w:t>年实际在职人数</w:t>
            </w:r>
          </w:p>
        </w:tc>
        <w:tc>
          <w:tcPr>
            <w:tcW w:w="1832"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vAlign w:val="center"/>
          </w:tcPr>
          <w:p>
            <w:pPr>
              <w:widowControl/>
              <w:jc w:val="left"/>
              <w:rPr>
                <w:rFonts w:ascii="Times New Roman" w:hAnsi="Times New Roman" w:eastAsia="仿宋_GB2312" w:cs="Times New Roman"/>
                <w:kern w:val="0"/>
                <w:szCs w:val="21"/>
              </w:rPr>
            </w:pPr>
          </w:p>
        </w:tc>
        <w:tc>
          <w:tcPr>
            <w:tcW w:w="2038"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73</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61</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经费控制情况</w:t>
            </w:r>
          </w:p>
        </w:tc>
        <w:tc>
          <w:tcPr>
            <w:tcW w:w="2038"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23</w:t>
            </w:r>
            <w:r>
              <w:rPr>
                <w:rFonts w:ascii="Times New Roman" w:hAnsi="Times New Roman" w:eastAsia="仿宋_GB2312" w:cs="Times New Roman"/>
                <w:b/>
                <w:bCs/>
                <w:kern w:val="0"/>
                <w:szCs w:val="21"/>
              </w:rPr>
              <w:t>年决算数</w:t>
            </w:r>
          </w:p>
        </w:tc>
        <w:tc>
          <w:tcPr>
            <w:tcW w:w="2240"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24</w:t>
            </w:r>
            <w:r>
              <w:rPr>
                <w:rFonts w:ascii="Times New Roman" w:hAnsi="Times New Roman" w:eastAsia="仿宋_GB2312" w:cs="Times New Roman"/>
                <w:b/>
                <w:bCs/>
                <w:kern w:val="0"/>
                <w:szCs w:val="21"/>
              </w:rPr>
              <w:t>年预算数</w:t>
            </w:r>
          </w:p>
        </w:tc>
        <w:tc>
          <w:tcPr>
            <w:tcW w:w="1832" w:type="dxa"/>
            <w:gridSpan w:val="2"/>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24</w:t>
            </w:r>
            <w:r>
              <w:rPr>
                <w:rFonts w:ascii="Times New Roman" w:hAnsi="Times New Roman" w:eastAsia="仿宋_GB2312" w:cs="Times New Roman"/>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三公经费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9</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1、公务用车购置和维护经费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r>
              <w:rPr>
                <w:rFonts w:ascii="Times New Roman" w:hAnsi="Times New Roman" w:eastAsia="仿宋_GB2312" w:cs="Times New Roman"/>
                <w:kern w:val="0"/>
                <w:szCs w:val="21"/>
              </w:rPr>
              <w:t>　</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5</w:t>
            </w: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5</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其中：公车购置</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公车运行维护</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5</w:t>
            </w: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5</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2、出国经费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3、公务接待</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4</w:t>
            </w: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4</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项目支出：</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 xml:space="preserve"> 2,398.26 </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2351.53</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1709.77</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1、业务工作经费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1,906.65</w:t>
            </w:r>
            <w:r>
              <w:rPr>
                <w:rFonts w:ascii="Times New Roman" w:hAnsi="Times New Roman" w:eastAsia="仿宋_GB2312" w:cs="Times New Roman"/>
                <w:sz w:val="20"/>
                <w:szCs w:val="20"/>
              </w:rPr>
              <w:t>　</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2、运行维护经费</w:t>
            </w:r>
          </w:p>
        </w:tc>
        <w:tc>
          <w:tcPr>
            <w:tcW w:w="2038"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vAlign w:val="center"/>
          </w:tcPr>
          <w:p>
            <w:pPr>
              <w:widowControl/>
              <w:ind w:firstLine="420" w:firstLineChars="200"/>
              <w:jc w:val="left"/>
              <w:rPr>
                <w:rFonts w:ascii="Times New Roman" w:hAnsi="Times New Roman" w:eastAsia="仿宋_GB2312" w:cs="Times New Roman"/>
                <w:kern w:val="0"/>
                <w:szCs w:val="21"/>
              </w:rPr>
            </w:pPr>
            <w:bookmarkStart w:id="24" w:name="OLE_LINK17" w:colFirst="1" w:colLast="3"/>
            <w:r>
              <w:rPr>
                <w:rFonts w:ascii="Times New Roman" w:hAnsi="Times New Roman" w:eastAsia="仿宋_GB2312" w:cs="Times New Roman"/>
                <w:kern w:val="0"/>
                <w:szCs w:val="21"/>
              </w:rPr>
              <w:t>3、省级专项资金</w:t>
            </w:r>
          </w:p>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（一个专项一行）</w:t>
            </w:r>
          </w:p>
        </w:tc>
        <w:tc>
          <w:tcPr>
            <w:tcW w:w="2038"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491.61</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322.11</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318.57</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spacing w:line="360" w:lineRule="exact"/>
              <w:ind w:firstLine="600" w:firstLineChars="300"/>
              <w:jc w:val="left"/>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现代农业发展专项</w:t>
            </w:r>
          </w:p>
        </w:tc>
        <w:tc>
          <w:tcPr>
            <w:tcW w:w="2038"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sz w:val="20"/>
                <w:szCs w:val="20"/>
              </w:rPr>
              <w:t>491.61</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322.11</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318.57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4、其他事业类发展资金</w:t>
            </w:r>
          </w:p>
        </w:tc>
        <w:tc>
          <w:tcPr>
            <w:tcW w:w="2038"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2029.42</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1391.20</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公用经费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97.53</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83.70</w:t>
            </w: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83.70</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其中：办公费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w:t>
            </w:r>
            <w:r>
              <w:rPr>
                <w:rFonts w:ascii="Times New Roman" w:hAnsi="Times New Roman" w:eastAsia="仿宋_GB2312" w:cs="Times New Roman"/>
                <w:kern w:val="0"/>
                <w:szCs w:val="21"/>
              </w:rPr>
              <w:t>　</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2.97</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水费、电费、差旅费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10.12</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会议费、培训费</w:t>
            </w:r>
          </w:p>
        </w:tc>
        <w:tc>
          <w:tcPr>
            <w:tcW w:w="2038" w:type="dxa"/>
            <w:gridSpan w:val="2"/>
            <w:vAlign w:val="center"/>
          </w:tcPr>
          <w:p>
            <w:pPr>
              <w:widowControl/>
              <w:spacing w:line="36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1.8</w:t>
            </w:r>
          </w:p>
        </w:tc>
        <w:tc>
          <w:tcPr>
            <w:tcW w:w="2240"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政府采购金额</w:t>
            </w:r>
          </w:p>
        </w:tc>
        <w:tc>
          <w:tcPr>
            <w:tcW w:w="2038"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770.49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部门基本支出预算调整 </w:t>
            </w:r>
          </w:p>
        </w:tc>
        <w:tc>
          <w:tcPr>
            <w:tcW w:w="2038"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40"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832" w:type="dxa"/>
            <w:gridSpan w:val="2"/>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楼堂馆所控制情况</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（2019年完工项目）</w:t>
            </w:r>
          </w:p>
        </w:tc>
        <w:tc>
          <w:tcPr>
            <w:tcW w:w="1189"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批复规模</w:t>
            </w:r>
            <w:r>
              <w:rPr>
                <w:rFonts w:ascii="Times New Roman" w:hAnsi="Times New Roman" w:eastAsia="仿宋_GB2312" w:cs="Times New Roman"/>
                <w:bCs/>
                <w:kern w:val="0"/>
                <w:szCs w:val="21"/>
              </w:rPr>
              <w:br w:type="textWrapping"/>
            </w:r>
            <w:r>
              <w:rPr>
                <w:rFonts w:ascii="Times New Roman" w:hAnsi="Times New Roman" w:eastAsia="仿宋_GB2312" w:cs="Times New Roman"/>
                <w:bCs/>
                <w:kern w:val="0"/>
                <w:szCs w:val="21"/>
              </w:rPr>
              <w:t>（</w:t>
            </w:r>
            <w:r>
              <w:rPr>
                <w:rFonts w:ascii="Times New Roman" w:hAnsi="Times New Roman" w:eastAsia="Batang" w:cs="Times New Roman"/>
                <w:bCs/>
                <w:kern w:val="0"/>
                <w:szCs w:val="21"/>
              </w:rPr>
              <w:t>㎡</w:t>
            </w:r>
            <w:r>
              <w:rPr>
                <w:rFonts w:ascii="Times New Roman" w:hAnsi="Times New Roman" w:eastAsia="仿宋_GB2312" w:cs="Times New Roman"/>
                <w:bCs/>
                <w:kern w:val="0"/>
                <w:szCs w:val="21"/>
              </w:rPr>
              <w:t>）</w:t>
            </w:r>
          </w:p>
        </w:tc>
        <w:tc>
          <w:tcPr>
            <w:tcW w:w="849"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实际规模（</w:t>
            </w:r>
            <w:r>
              <w:rPr>
                <w:rFonts w:ascii="Times New Roman" w:hAnsi="Times New Roman" w:eastAsia="Batang" w:cs="Times New Roman"/>
                <w:bCs/>
                <w:kern w:val="0"/>
                <w:szCs w:val="21"/>
              </w:rPr>
              <w:t>㎡</w:t>
            </w:r>
            <w:r>
              <w:rPr>
                <w:rFonts w:ascii="Times New Roman" w:hAnsi="Times New Roman" w:eastAsia="仿宋_GB2312" w:cs="Times New Roman"/>
                <w:bCs/>
                <w:kern w:val="0"/>
                <w:szCs w:val="21"/>
              </w:rPr>
              <w:t>）</w:t>
            </w:r>
          </w:p>
        </w:tc>
        <w:tc>
          <w:tcPr>
            <w:tcW w:w="1129"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规模控制率</w:t>
            </w:r>
          </w:p>
        </w:tc>
        <w:tc>
          <w:tcPr>
            <w:tcW w:w="1111"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预算投资（万元）</w:t>
            </w:r>
          </w:p>
        </w:tc>
        <w:tc>
          <w:tcPr>
            <w:tcW w:w="969"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实际投资（万元）</w:t>
            </w:r>
          </w:p>
        </w:tc>
        <w:tc>
          <w:tcPr>
            <w:tcW w:w="863" w:type="dxa"/>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vAlign w:val="center"/>
          </w:tcPr>
          <w:p>
            <w:pPr>
              <w:widowControl/>
              <w:jc w:val="left"/>
              <w:rPr>
                <w:rFonts w:ascii="Times New Roman" w:hAnsi="Times New Roman" w:eastAsia="仿宋_GB2312" w:cs="Times New Roman"/>
                <w:kern w:val="0"/>
                <w:szCs w:val="21"/>
              </w:rPr>
            </w:pPr>
          </w:p>
        </w:tc>
        <w:tc>
          <w:tcPr>
            <w:tcW w:w="1189" w:type="dxa"/>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49"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29"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11"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969"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63" w:type="dxa"/>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厉行节约保障措施</w:t>
            </w:r>
          </w:p>
        </w:tc>
        <w:tc>
          <w:tcPr>
            <w:tcW w:w="6110" w:type="dxa"/>
            <w:gridSpan w:val="6"/>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spacing w:line="360" w:lineRule="exact"/>
        <w:rPr>
          <w:rFonts w:ascii="Times New Roman" w:hAnsi="Times New Roman" w:eastAsia="黑体" w:cs="Times New Roman"/>
          <w:sz w:val="32"/>
          <w:szCs w:val="32"/>
        </w:rPr>
      </w:pPr>
      <w:r>
        <w:rPr>
          <w:rFonts w:ascii="Times New Roman" w:hAnsi="Times New Roman" w:eastAsia="仿宋_GB2312" w:cs="Times New Roman"/>
          <w:kern w:val="0"/>
          <w:sz w:val="22"/>
          <w:szCs w:val="24"/>
        </w:rPr>
        <w:t>说明：“项目支出”需要填报基本支出以外的所有项目支出情况，“公用经费”填报基本支出中的一般商品和服务支出。</w:t>
      </w:r>
      <w:r>
        <w:rPr>
          <w:rFonts w:ascii="Times New Roman" w:hAnsi="Times New Roman" w:eastAsia="仿宋_GB2312" w:cs="Times New Roman"/>
          <w:kern w:val="0"/>
          <w:sz w:val="22"/>
          <w:szCs w:val="24"/>
        </w:rPr>
        <w:br w:type="page"/>
      </w: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2</w:t>
      </w:r>
    </w:p>
    <w:p>
      <w:pPr>
        <w:widowControl/>
        <w:jc w:val="center"/>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部门整体支出绩效自评表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rPr>
        <w:t>2024</w:t>
      </w:r>
      <w:r>
        <w:rPr>
          <w:rFonts w:ascii="Times New Roman" w:hAnsi="Times New Roman" w:eastAsia="仿宋_GB2312" w:cs="Times New Roman"/>
          <w:color w:val="000000"/>
          <w:kern w:val="0"/>
          <w:szCs w:val="21"/>
        </w:rPr>
        <w:t>年度）</w:t>
      </w:r>
    </w:p>
    <w:tbl>
      <w:tblPr>
        <w:tblStyle w:val="11"/>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省级预算部门名称</w:t>
            </w:r>
          </w:p>
        </w:tc>
        <w:tc>
          <w:tcPr>
            <w:tcW w:w="9243" w:type="dxa"/>
            <w:gridSpan w:val="9"/>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湖南省棉花科学研究所</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年度预</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算申请</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647" w:type="dxa"/>
            <w:gridSpan w:val="2"/>
            <w:vAlign w:val="center"/>
          </w:tcPr>
          <w:p>
            <w:pPr>
              <w:jc w:val="center"/>
              <w:rPr>
                <w:rFonts w:ascii="Times New Roman" w:hAnsi="Times New Roman" w:eastAsia="仿宋_GB2312" w:cs="Times New Roman"/>
                <w:szCs w:val="21"/>
              </w:rPr>
            </w:pPr>
          </w:p>
        </w:tc>
        <w:tc>
          <w:tcPr>
            <w:tcW w:w="111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年初</w:t>
            </w:r>
          </w:p>
          <w:p>
            <w:pPr>
              <w:jc w:val="center"/>
              <w:rPr>
                <w:rFonts w:ascii="Times New Roman" w:hAnsi="Times New Roman" w:eastAsia="仿宋_GB2312" w:cs="Times New Roman"/>
                <w:szCs w:val="21"/>
              </w:rPr>
            </w:pPr>
            <w:r>
              <w:rPr>
                <w:rFonts w:ascii="Times New Roman" w:hAnsi="Times New Roman" w:eastAsia="仿宋_GB2312" w:cs="Times New Roman"/>
                <w:szCs w:val="21"/>
              </w:rPr>
              <w:t>预算数</w:t>
            </w:r>
          </w:p>
        </w:tc>
        <w:tc>
          <w:tcPr>
            <w:tcW w:w="1295" w:type="dxa"/>
            <w:gridSpan w:val="2"/>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全年预算数</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709"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9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4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2647" w:type="dxa"/>
            <w:gridSpan w:val="2"/>
            <w:vAlign w:val="center"/>
          </w:tcPr>
          <w:p>
            <w:pPr>
              <w:jc w:val="center"/>
              <w:rPr>
                <w:rFonts w:ascii="Times New Roman" w:hAnsi="Times New Roman" w:eastAsia="仿宋_GB2312" w:cs="Times New Roman"/>
                <w:szCs w:val="21"/>
              </w:rPr>
            </w:pPr>
            <w:r>
              <w:rPr>
                <w:rFonts w:ascii="Times New Roman" w:hAnsi="Times New Roman" w:eastAsia="仿宋_GB2312" w:cs="Times New Roman"/>
                <w:color w:val="000000"/>
                <w:kern w:val="0"/>
                <w:szCs w:val="21"/>
              </w:rPr>
              <w:t>年度资金总额</w:t>
            </w:r>
          </w:p>
        </w:tc>
        <w:tc>
          <w:tcPr>
            <w:tcW w:w="1114" w:type="dxa"/>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3013.52</w:t>
            </w:r>
          </w:p>
        </w:tc>
        <w:tc>
          <w:tcPr>
            <w:tcW w:w="1295" w:type="dxa"/>
            <w:gridSpan w:val="2"/>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3840.21</w:t>
            </w:r>
          </w:p>
        </w:tc>
        <w:tc>
          <w:tcPr>
            <w:tcW w:w="1134" w:type="dxa"/>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3198.45</w:t>
            </w:r>
          </w:p>
        </w:tc>
        <w:tc>
          <w:tcPr>
            <w:tcW w:w="709"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10</w:t>
            </w:r>
          </w:p>
        </w:tc>
        <w:tc>
          <w:tcPr>
            <w:tcW w:w="898" w:type="dxa"/>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83.29%</w:t>
            </w:r>
          </w:p>
        </w:tc>
        <w:tc>
          <w:tcPr>
            <w:tcW w:w="1446" w:type="dxa"/>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按收入性质分：</w:t>
            </w:r>
          </w:p>
        </w:tc>
        <w:tc>
          <w:tcPr>
            <w:tcW w:w="4187" w:type="dxa"/>
            <w:gridSpan w:val="4"/>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其中：  一般公共预算：</w:t>
            </w:r>
            <w:r>
              <w:rPr>
                <w:rFonts w:hint="eastAsia" w:ascii="Times New Roman" w:hAnsi="Times New Roman" w:eastAsia="仿宋_GB2312" w:cs="Times New Roman"/>
                <w:color w:val="000000"/>
                <w:kern w:val="0"/>
                <w:szCs w:val="21"/>
              </w:rPr>
              <w:t>3840.21</w:t>
            </w:r>
          </w:p>
        </w:tc>
        <w:tc>
          <w:tcPr>
            <w:tcW w:w="4187" w:type="dxa"/>
            <w:gridSpan w:val="4"/>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其中：基本支出：</w:t>
            </w:r>
            <w:r>
              <w:rPr>
                <w:rFonts w:hint="eastAsia" w:ascii="Times New Roman" w:hAnsi="Times New Roman" w:eastAsia="仿宋_GB2312" w:cs="Times New Roman"/>
                <w:color w:val="000000"/>
                <w:kern w:val="0"/>
                <w:szCs w:val="21"/>
              </w:rPr>
              <w:t>1488.68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ind w:firstLine="840" w:firstLineChars="4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政府性基金拨款：</w:t>
            </w:r>
          </w:p>
        </w:tc>
        <w:tc>
          <w:tcPr>
            <w:tcW w:w="4187" w:type="dxa"/>
            <w:gridSpan w:val="4"/>
            <w:vAlign w:val="center"/>
          </w:tcPr>
          <w:p>
            <w:pPr>
              <w:widowControl/>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项目支出：</w:t>
            </w:r>
            <w:r>
              <w:rPr>
                <w:rFonts w:hint="eastAsia" w:ascii="Times New Roman" w:hAnsi="Times New Roman" w:eastAsia="仿宋_GB2312" w:cs="Times New Roman"/>
                <w:kern w:val="0"/>
                <w:szCs w:val="21"/>
              </w:rPr>
              <w:t>1709.77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纳入专户管理的非税收入拨款：</w:t>
            </w:r>
          </w:p>
        </w:tc>
        <w:tc>
          <w:tcPr>
            <w:tcW w:w="4187" w:type="dxa"/>
            <w:gridSpan w:val="4"/>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ind w:firstLine="1470" w:firstLineChars="7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4187" w:type="dxa"/>
            <w:gridSpan w:val="4"/>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5056" w:type="dxa"/>
            <w:gridSpan w:val="5"/>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187" w:type="dxa"/>
            <w:gridSpan w:val="4"/>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5056" w:type="dxa"/>
            <w:gridSpan w:val="5"/>
            <w:vAlign w:val="center"/>
          </w:tcPr>
          <w:p>
            <w:pPr>
              <w:widowControl/>
              <w:rPr>
                <w:rFonts w:ascii="Times New Roman" w:hAnsi="Times New Roman" w:eastAsia="仿宋_GB2312" w:cs="Times New Roman"/>
                <w:color w:val="000000"/>
                <w:kern w:val="0"/>
                <w:sz w:val="18"/>
                <w:szCs w:val="18"/>
              </w:rPr>
            </w:pPr>
            <w:bookmarkStart w:id="25" w:name="OLE_LINK18"/>
            <w:bookmarkStart w:id="26" w:name="OLE_LINK13"/>
            <w:r>
              <w:rPr>
                <w:rFonts w:hint="eastAsia" w:ascii="Times New Roman" w:hAnsi="Times New Roman" w:eastAsia="仿宋_GB2312" w:cs="Times New Roman"/>
                <w:color w:val="000000"/>
                <w:kern w:val="0"/>
                <w:sz w:val="18"/>
                <w:szCs w:val="18"/>
              </w:rPr>
              <w:t>目标一：围绕机械植棉，重点构建“一改”（改育苗移栽为直播）、“二增”（增密、增加田间作业机械化）、“三减”[减肥（N）、减药（化学农药）、减投入（物化和人工成本）]、“四调”[依据气象大数据，合理使用“肥、水、药、生长调节剂（用量与次数），调控棉花生育进程]的全程机械化栽培技术体系，并进行示范推广。推进重金属污染管控区植棉技术研究及示范种植，开展高产且重金属高富集的棉花品种筛选，探索重金属严格管控区耕地高产高效种植技术，构建可复制的管控区植棉技术体系。目标二：继续开展旱粮 (甘薯、玉米)、特色油料(油菜、花生、油葵)、中药材(百合、紫苏、黄精)等作物种质资源的收集、引进与创制，新品种培育，组培技术研究、脱毒种苗扩繁技术研究、高产高效栽培技术集成、资源循环利用技术，建立示范展示区。</w:t>
            </w:r>
            <w:r>
              <w:rPr>
                <w:rFonts w:hint="eastAsia" w:ascii="Times New Roman" w:hAnsi="Times New Roman" w:eastAsia="仿宋_GB2312" w:cs="Times New Roman"/>
                <w:color w:val="000000"/>
                <w:kern w:val="0"/>
                <w:sz w:val="18"/>
                <w:szCs w:val="18"/>
              </w:rPr>
              <w:tab/>
            </w:r>
            <w:bookmarkEnd w:id="25"/>
            <w:r>
              <w:rPr>
                <w:rFonts w:hint="eastAsia" w:ascii="Times New Roman" w:hAnsi="Times New Roman" w:eastAsia="仿宋_GB2312" w:cs="Times New Roman"/>
                <w:color w:val="000000"/>
                <w:kern w:val="0"/>
                <w:sz w:val="18"/>
                <w:szCs w:val="18"/>
              </w:rPr>
              <w:tab/>
            </w:r>
            <w:bookmarkEnd w:id="26"/>
            <w:r>
              <w:rPr>
                <w:rFonts w:hint="eastAsia" w:ascii="Times New Roman" w:hAnsi="Times New Roman" w:eastAsia="仿宋_GB2312" w:cs="Times New Roman"/>
                <w:color w:val="000000"/>
                <w:kern w:val="0"/>
                <w:sz w:val="18"/>
                <w:szCs w:val="18"/>
              </w:rPr>
              <w:tab/>
            </w:r>
            <w:r>
              <w:rPr>
                <w:rFonts w:hint="eastAsia" w:ascii="Times New Roman" w:hAnsi="Times New Roman" w:eastAsia="仿宋_GB2312" w:cs="Times New Roman"/>
                <w:color w:val="000000"/>
                <w:kern w:val="0"/>
                <w:sz w:val="18"/>
                <w:szCs w:val="18"/>
              </w:rPr>
              <w:tab/>
            </w:r>
            <w:r>
              <w:rPr>
                <w:rFonts w:hint="eastAsia" w:ascii="Times New Roman" w:hAnsi="Times New Roman" w:eastAsia="仿宋_GB2312" w:cs="Times New Roman"/>
                <w:color w:val="000000"/>
                <w:kern w:val="0"/>
                <w:sz w:val="18"/>
                <w:szCs w:val="18"/>
              </w:rPr>
              <w:tab/>
            </w:r>
            <w:r>
              <w:rPr>
                <w:rFonts w:hint="eastAsia" w:ascii="Times New Roman" w:hAnsi="Times New Roman" w:eastAsia="仿宋_GB2312" w:cs="Times New Roman"/>
                <w:color w:val="000000"/>
                <w:kern w:val="0"/>
                <w:sz w:val="18"/>
                <w:szCs w:val="18"/>
              </w:rPr>
              <w:tab/>
            </w:r>
            <w:r>
              <w:rPr>
                <w:rFonts w:hint="eastAsia" w:ascii="Times New Roman" w:hAnsi="Times New Roman" w:eastAsia="仿宋_GB2312" w:cs="Times New Roman"/>
                <w:color w:val="000000"/>
                <w:kern w:val="0"/>
                <w:sz w:val="18"/>
                <w:szCs w:val="18"/>
              </w:rPr>
              <w:tab/>
            </w:r>
          </w:p>
          <w:p>
            <w:pPr>
              <w:widowControl/>
              <w:jc w:val="left"/>
              <w:rPr>
                <w:rFonts w:ascii="Times New Roman" w:hAnsi="Times New Roman" w:eastAsia="仿宋_GB2312" w:cs="Times New Roman"/>
                <w:color w:val="000000"/>
                <w:kern w:val="0"/>
                <w:sz w:val="18"/>
                <w:szCs w:val="18"/>
              </w:rPr>
            </w:pPr>
            <w:r>
              <w:rPr>
                <w:rFonts w:ascii="Times New Roman" w:hAnsi="Times New Roman" w:eastAsia="仿宋_GB2312" w:cs="Times New Roman"/>
                <w:color w:val="000000"/>
                <w:kern w:val="0"/>
                <w:sz w:val="18"/>
                <w:szCs w:val="18"/>
              </w:rPr>
              <w:t>　　</w:t>
            </w:r>
          </w:p>
        </w:tc>
        <w:tc>
          <w:tcPr>
            <w:tcW w:w="4187" w:type="dxa"/>
            <w:gridSpan w:val="4"/>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 w:val="18"/>
                <w:szCs w:val="18"/>
              </w:rPr>
              <w:t>围绕机械植棉，重点构建“一改”（改育苗移栽为直播）、“二增”（增密、增加田间作业机械化）、“三减”[减肥（N）、减药（化学农药）、减投入（物化和人工成本）]、“四调”[依据气象大数据，合理使用“肥、水、药、生长调节剂（用量与次数），调控棉花生育进程]的全程机械化栽培技术体系，并进行示范推广。推进重金属污染管控区植棉技术研究及示范种植，开展高产且重金属高富集的棉花品种筛选，探索重金属严格管控区耕地高产高效种植技术，构建可复制的管控区植棉技术体系。2.继续开展旱粮 (甘薯、玉米)、特色油料(油菜、花生、油葵)、中药材(百合、紫苏、黄精)等作物种质资源的收集、引进与创制，新品种培育，组培技术研究、脱毒种苗扩繁技术研究、高产高效栽培技术集成、资源循环利用技术，建立示范展示区。</w:t>
            </w:r>
            <w:r>
              <w:rPr>
                <w:rFonts w:hint="eastAsia" w:ascii="Times New Roman" w:hAnsi="Times New Roman" w:eastAsia="仿宋_GB2312" w:cs="Times New Roman"/>
                <w:color w:val="000000"/>
                <w:kern w:val="0"/>
                <w:sz w:val="18"/>
                <w:szCs w:val="18"/>
              </w:rPr>
              <w:tab/>
            </w:r>
            <w:r>
              <w:rPr>
                <w:rFonts w:hint="eastAsia" w:ascii="Times New Roman" w:hAnsi="Times New Roman" w:eastAsia="仿宋_GB2312" w:cs="Times New Roman"/>
                <w:color w:val="000000"/>
                <w:kern w:val="0"/>
                <w:sz w:val="18"/>
                <w:szCs w:val="18"/>
              </w:rPr>
              <w:tab/>
            </w:r>
          </w:p>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tc>
        <w:tc>
          <w:tcPr>
            <w:tcW w:w="1395"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252"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209" w:type="dxa"/>
            <w:gridSpan w:val="2"/>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200"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134"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709"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98"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446" w:type="dxa"/>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bookmarkStart w:id="27" w:name="OLE_LINK14" w:colFirst="6" w:colLast="6"/>
          </w:p>
        </w:tc>
        <w:tc>
          <w:tcPr>
            <w:tcW w:w="1395"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252"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种质资源</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40份</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40份</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Merge w:val="continue"/>
            <w:vAlign w:val="center"/>
          </w:tcPr>
          <w:p>
            <w:pPr>
              <w:widowControl/>
              <w:jc w:val="center"/>
              <w:rPr>
                <w:rFonts w:ascii="Times New Roman" w:hAnsi="Times New Roman" w:eastAsia="仿宋_GB2312" w:cs="Times New Roman"/>
                <w:color w:val="000000"/>
                <w:kern w:val="0"/>
                <w:szCs w:val="21"/>
              </w:rPr>
            </w:pP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作物新品种</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2个</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2个</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1446"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Merge w:val="continue"/>
            <w:vAlign w:val="center"/>
          </w:tcPr>
          <w:p>
            <w:pPr>
              <w:widowControl/>
              <w:jc w:val="center"/>
              <w:rPr>
                <w:rFonts w:ascii="Times New Roman" w:hAnsi="Times New Roman" w:eastAsia="仿宋_GB2312" w:cs="Times New Roman"/>
                <w:color w:val="000000"/>
                <w:kern w:val="0"/>
                <w:szCs w:val="21"/>
              </w:rPr>
            </w:pPr>
          </w:p>
        </w:tc>
        <w:tc>
          <w:tcPr>
            <w:tcW w:w="1209" w:type="dxa"/>
            <w:gridSpan w:val="2"/>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高吸镉棉花品种</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1个</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1个</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1446"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Merge w:val="continue"/>
            <w:vAlign w:val="center"/>
          </w:tcPr>
          <w:p>
            <w:pPr>
              <w:widowControl/>
              <w:jc w:val="center"/>
              <w:rPr>
                <w:rFonts w:ascii="Times New Roman" w:hAnsi="Times New Roman" w:eastAsia="仿宋_GB2312" w:cs="Times New Roman"/>
                <w:color w:val="000000"/>
                <w:kern w:val="0"/>
                <w:szCs w:val="21"/>
              </w:rPr>
            </w:pPr>
          </w:p>
        </w:tc>
        <w:tc>
          <w:tcPr>
            <w:tcW w:w="1209" w:type="dxa"/>
            <w:gridSpan w:val="2"/>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棉花科技示范区</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200亩</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200亩</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1446"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Merge w:val="continue"/>
            <w:vAlign w:val="center"/>
          </w:tcPr>
          <w:p>
            <w:pPr>
              <w:widowControl/>
              <w:jc w:val="center"/>
              <w:rPr>
                <w:rFonts w:ascii="Times New Roman" w:hAnsi="Times New Roman" w:eastAsia="仿宋_GB2312" w:cs="Times New Roman"/>
                <w:color w:val="000000"/>
                <w:kern w:val="0"/>
                <w:szCs w:val="21"/>
              </w:rPr>
            </w:pP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特种经济作物科技示范区</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300亩</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300亩</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w:t>
            </w:r>
          </w:p>
        </w:tc>
        <w:tc>
          <w:tcPr>
            <w:tcW w:w="1446"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Merge w:val="continue"/>
            <w:vAlign w:val="center"/>
          </w:tcPr>
          <w:p>
            <w:pPr>
              <w:widowControl/>
              <w:jc w:val="center"/>
              <w:rPr>
                <w:rFonts w:ascii="Times New Roman" w:hAnsi="Times New Roman" w:eastAsia="仿宋_GB2312" w:cs="Times New Roman"/>
                <w:color w:val="000000"/>
                <w:kern w:val="0"/>
                <w:szCs w:val="21"/>
              </w:rPr>
            </w:pP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bookmarkStart w:id="28" w:name="OLE_LINK9"/>
            <w:r>
              <w:rPr>
                <w:rFonts w:hint="eastAsia" w:ascii="仿宋_GB2312" w:hAnsi="仿宋_GB2312" w:eastAsia="仿宋_GB2312" w:cs="仿宋_GB2312"/>
                <w:color w:val="000000"/>
                <w:kern w:val="0"/>
                <w:szCs w:val="21"/>
              </w:rPr>
              <w:t>亩植棉用工减</w:t>
            </w:r>
            <w:bookmarkEnd w:id="28"/>
            <w:r>
              <w:rPr>
                <w:rFonts w:hint="eastAsia" w:ascii="仿宋_GB2312" w:hAnsi="仿宋_GB2312" w:eastAsia="仿宋_GB2312" w:cs="仿宋_GB2312"/>
                <w:color w:val="000000"/>
                <w:kern w:val="0"/>
                <w:szCs w:val="21"/>
              </w:rPr>
              <w:t>少</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2个</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2个</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446"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209" w:type="dxa"/>
            <w:gridSpan w:val="2"/>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亩植棉用工减</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40份</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40份</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任务时间</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1年</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1年</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成本</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亩植棉成本减少</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200元</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200元</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ind w:firstLine="210" w:firstLineChars="1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　</w:t>
            </w: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种植收益提高</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10%</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10%</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地方标准或技术规程</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2项</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2项</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8</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center"/>
              <w:rPr>
                <w:rFonts w:ascii="Times New Roman" w:hAnsi="Times New Roman" w:eastAsia="仿宋_GB2312" w:cs="Times New Roman"/>
                <w:color w:val="000000"/>
                <w:kern w:val="0"/>
                <w:szCs w:val="21"/>
              </w:rPr>
            </w:pPr>
          </w:p>
        </w:tc>
        <w:tc>
          <w:tcPr>
            <w:tcW w:w="1395" w:type="dxa"/>
            <w:vMerge w:val="continue"/>
            <w:vAlign w:val="center"/>
          </w:tcPr>
          <w:p>
            <w:pPr>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生态效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土壤生态环境</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改善</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改善</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395" w:type="dxa"/>
            <w:vMerge w:val="continue"/>
            <w:vAlign w:val="center"/>
          </w:tcPr>
          <w:p>
            <w:pPr>
              <w:widowControl/>
              <w:jc w:val="left"/>
              <w:rPr>
                <w:rFonts w:ascii="Times New Roman" w:hAnsi="Times New Roman" w:eastAsia="仿宋_GB2312" w:cs="Times New Roman"/>
                <w:color w:val="000000"/>
                <w:kern w:val="0"/>
                <w:szCs w:val="21"/>
              </w:rPr>
            </w:pP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植棉辐射带动效应</w:t>
            </w:r>
          </w:p>
        </w:tc>
        <w:tc>
          <w:tcPr>
            <w:tcW w:w="1200" w:type="dxa"/>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10000亩</w:t>
            </w:r>
          </w:p>
        </w:tc>
        <w:tc>
          <w:tcPr>
            <w:tcW w:w="1134" w:type="dxa"/>
            <w:vAlign w:val="center"/>
          </w:tcPr>
          <w:p>
            <w:pPr>
              <w:widowControl/>
              <w:jc w:val="center"/>
              <w:textAlignment w:val="center"/>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Cs w:val="21"/>
              </w:rPr>
              <w:t>10000亩</w:t>
            </w:r>
          </w:p>
        </w:tc>
        <w:tc>
          <w:tcPr>
            <w:tcW w:w="7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w:t>
            </w:r>
          </w:p>
        </w:tc>
        <w:tc>
          <w:tcPr>
            <w:tcW w:w="89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7</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395"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252"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209" w:type="dxa"/>
            <w:gridSpan w:val="2"/>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公众满意度</w:t>
            </w:r>
          </w:p>
        </w:tc>
        <w:tc>
          <w:tcPr>
            <w:tcW w:w="1200" w:type="dxa"/>
            <w:vAlign w:val="center"/>
          </w:tcPr>
          <w:p>
            <w:pPr>
              <w:widowControl/>
              <w:spacing w:line="240" w:lineRule="exact"/>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szCs w:val="21"/>
              </w:rPr>
              <w:t>≥90%</w:t>
            </w:r>
          </w:p>
        </w:tc>
        <w:tc>
          <w:tcPr>
            <w:tcW w:w="1134" w:type="dxa"/>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sz w:val="20"/>
                <w:szCs w:val="20"/>
              </w:rPr>
              <w:t>94%</w:t>
            </w:r>
          </w:p>
        </w:tc>
        <w:tc>
          <w:tcPr>
            <w:tcW w:w="709" w:type="dxa"/>
            <w:vAlign w:val="center"/>
          </w:tcPr>
          <w:p>
            <w:pPr>
              <w:widowControl/>
              <w:spacing w:line="240" w:lineRule="exact"/>
              <w:ind w:firstLine="200" w:firstLineChars="1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sz w:val="20"/>
                <w:szCs w:val="20"/>
              </w:rPr>
              <w:t>10</w:t>
            </w:r>
          </w:p>
        </w:tc>
        <w:tc>
          <w:tcPr>
            <w:tcW w:w="898" w:type="dxa"/>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rPr>
              <w:t>10</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70" w:type="dxa"/>
            <w:gridSpan w:val="7"/>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709"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98" w:type="dxa"/>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98.33</w:t>
            </w:r>
          </w:p>
        </w:tc>
        <w:tc>
          <w:tcPr>
            <w:tcW w:w="1446"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widowControl/>
        <w:jc w:val="left"/>
        <w:rPr>
          <w:rFonts w:ascii="Times New Roman" w:hAnsi="Times New Roman" w:eastAsia="黑体" w:cs="Times New Roman"/>
          <w:sz w:val="32"/>
          <w:szCs w:val="32"/>
        </w:rPr>
      </w:pPr>
    </w:p>
    <w:p>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br w:type="page"/>
      </w:r>
      <w:bookmarkStart w:id="29" w:name="OLE_LINK23"/>
      <w:r>
        <w:rPr>
          <w:rFonts w:ascii="Times New Roman" w:hAnsi="Times New Roman" w:eastAsia="黑体" w:cs="Times New Roman"/>
          <w:sz w:val="32"/>
          <w:szCs w:val="32"/>
        </w:rPr>
        <w:t>附件</w:t>
      </w:r>
      <w:r>
        <w:rPr>
          <w:rFonts w:hint="eastAsia" w:ascii="Times New Roman" w:hAnsi="Times New Roman" w:eastAsia="黑体" w:cs="Times New Roman"/>
          <w:sz w:val="32"/>
          <w:szCs w:val="32"/>
        </w:rPr>
        <w:t>3</w:t>
      </w:r>
      <w:bookmarkEnd w:id="29"/>
    </w:p>
    <w:p>
      <w:pPr>
        <w:widowControl/>
        <w:jc w:val="center"/>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项目支出绩效自评表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rPr>
        <w:t>2024</w:t>
      </w:r>
      <w:r>
        <w:rPr>
          <w:rFonts w:ascii="Times New Roman" w:hAnsi="Times New Roman" w:eastAsia="仿宋_GB2312" w:cs="Times New Roman"/>
          <w:color w:val="000000"/>
          <w:kern w:val="0"/>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080" w:type="dxa"/>
            <w:vAlign w:val="center"/>
          </w:tcPr>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771" w:type="dxa"/>
            <w:gridSpan w:val="8"/>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现代农业发展专项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4518" w:type="dxa"/>
            <w:gridSpan w:val="4"/>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湖南省农业农村厅</w:t>
            </w:r>
          </w:p>
        </w:tc>
        <w:tc>
          <w:tcPr>
            <w:tcW w:w="1134"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3119" w:type="dxa"/>
            <w:gridSpan w:val="3"/>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湖南省棉花科学研究所</w:t>
            </w: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160" w:type="dxa"/>
            <w:gridSpan w:val="2"/>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9"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209"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82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73"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41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2160" w:type="dxa"/>
            <w:gridSpan w:val="2"/>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14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317.11</w:t>
            </w:r>
          </w:p>
        </w:tc>
        <w:tc>
          <w:tcPr>
            <w:tcW w:w="12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322.11</w:t>
            </w:r>
          </w:p>
        </w:tc>
        <w:tc>
          <w:tcPr>
            <w:tcW w:w="1134"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318.57</w:t>
            </w:r>
          </w:p>
        </w:tc>
        <w:tc>
          <w:tcPr>
            <w:tcW w:w="82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10</w:t>
            </w:r>
          </w:p>
        </w:tc>
        <w:tc>
          <w:tcPr>
            <w:tcW w:w="873" w:type="dxa"/>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98.90%</w:t>
            </w:r>
          </w:p>
        </w:tc>
        <w:tc>
          <w:tcPr>
            <w:tcW w:w="1418" w:type="dxa"/>
            <w:vAlign w:val="center"/>
          </w:tcPr>
          <w:p>
            <w:pPr>
              <w:widowControl/>
              <w:jc w:val="left"/>
              <w:rPr>
                <w:rFonts w:ascii="Times New Roman" w:hAnsi="Times New Roman" w:eastAsia="宋体" w:cs="Times New Roman"/>
                <w:szCs w:val="24"/>
              </w:rPr>
            </w:pPr>
            <w:r>
              <w:rPr>
                <w:rFonts w:ascii="Times New Roman" w:hAnsi="Times New Roman" w:eastAsia="宋体" w:cs="Times New Roman"/>
                <w:szCs w:val="24"/>
              </w:rPr>
              <w:t>　</w:t>
            </w:r>
            <w:r>
              <w:rPr>
                <w:rFonts w:hint="eastAsia" w:ascii="Times New Roman" w:hAnsi="Times New Roman" w:eastAsia="宋体" w:cs="Times New Roman"/>
                <w:szCs w:val="24"/>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2160" w:type="dxa"/>
            <w:gridSpan w:val="2"/>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14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254.00</w:t>
            </w:r>
          </w:p>
        </w:tc>
        <w:tc>
          <w:tcPr>
            <w:tcW w:w="12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254.00</w:t>
            </w:r>
          </w:p>
        </w:tc>
        <w:tc>
          <w:tcPr>
            <w:tcW w:w="1134"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2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73"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2160" w:type="dxa"/>
            <w:gridSpan w:val="2"/>
            <w:vAlign w:val="center"/>
          </w:tcPr>
          <w:p>
            <w:pPr>
              <w:widowControl/>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14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63.11</w:t>
            </w:r>
          </w:p>
        </w:tc>
        <w:tc>
          <w:tcPr>
            <w:tcW w:w="1209"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63.11</w:t>
            </w:r>
          </w:p>
        </w:tc>
        <w:tc>
          <w:tcPr>
            <w:tcW w:w="1134"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2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73"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2160" w:type="dxa"/>
            <w:gridSpan w:val="2"/>
            <w:vAlign w:val="center"/>
          </w:tcPr>
          <w:p>
            <w:pPr>
              <w:widowControl/>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149" w:type="dxa"/>
            <w:vAlign w:val="center"/>
          </w:tcPr>
          <w:p>
            <w:pPr>
              <w:widowControl/>
              <w:jc w:val="center"/>
              <w:rPr>
                <w:rFonts w:ascii="Times New Roman" w:hAnsi="Times New Roman" w:eastAsia="仿宋_GB2312" w:cs="Times New Roman"/>
                <w:color w:val="000000"/>
                <w:kern w:val="0"/>
                <w:szCs w:val="21"/>
              </w:rPr>
            </w:pPr>
          </w:p>
        </w:tc>
        <w:tc>
          <w:tcPr>
            <w:tcW w:w="1209" w:type="dxa"/>
            <w:vAlign w:val="center"/>
          </w:tcPr>
          <w:p>
            <w:pPr>
              <w:widowControl/>
              <w:jc w:val="center"/>
              <w:rPr>
                <w:rFonts w:ascii="Times New Roman" w:hAnsi="Times New Roman" w:eastAsia="仿宋_GB2312" w:cs="Times New Roman"/>
                <w:color w:val="000000"/>
                <w:kern w:val="0"/>
                <w:szCs w:val="21"/>
              </w:rPr>
            </w:pPr>
          </w:p>
        </w:tc>
        <w:tc>
          <w:tcPr>
            <w:tcW w:w="1134"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2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73"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4518" w:type="dxa"/>
            <w:gridSpan w:val="4"/>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253" w:type="dxa"/>
            <w:gridSpan w:val="4"/>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4518" w:type="dxa"/>
            <w:gridSpan w:val="4"/>
            <w:vAlign w:val="center"/>
          </w:tcPr>
          <w:p>
            <w:pPr>
              <w:rPr>
                <w:rFonts w:ascii="宋体" w:hAnsi="宋体" w:eastAsia="宋体" w:cs="宋体"/>
                <w:color w:val="000000"/>
                <w:kern w:val="0"/>
                <w:szCs w:val="21"/>
              </w:rPr>
            </w:pPr>
            <w:r>
              <w:rPr>
                <w:rFonts w:hint="eastAsia" w:ascii="宋体" w:hAnsi="宋体" w:eastAsia="宋体" w:cs="宋体"/>
                <w:color w:val="000000"/>
                <w:kern w:val="0"/>
                <w:szCs w:val="21"/>
              </w:rPr>
              <w:t>1.培育早熟宜机油菜新品种1-2个，创建稻油、棉油或稻稻油等模式下早熟宜机油菜新品种高产示范片2个。</w:t>
            </w:r>
          </w:p>
          <w:p>
            <w:pPr>
              <w:rPr>
                <w:rFonts w:ascii="宋体" w:hAnsi="宋体" w:eastAsia="宋体" w:cs="宋体"/>
                <w:color w:val="000000"/>
                <w:kern w:val="0"/>
                <w:szCs w:val="21"/>
              </w:rPr>
            </w:pPr>
            <w:r>
              <w:rPr>
                <w:rFonts w:hint="eastAsia" w:ascii="Times New Roman" w:hAnsi="Times New Roman" w:eastAsia="宋体" w:cs="Times New Roman"/>
                <w:color w:val="000000"/>
                <w:kern w:val="0"/>
                <w:szCs w:val="21"/>
              </w:rPr>
              <w:t>2.收集优质中药材种质资源30-50份，筛选改良优异品系1-2个；开展标准化、规模化种植，制定一系列标准化生产的技术规范；推行绿色规范化种植模式，建设品牌展示基地2-3个；多途径推介宣传，发放宣传资料5000份。</w:t>
            </w:r>
          </w:p>
          <w:p>
            <w:pPr>
              <w:rPr>
                <w:rFonts w:ascii="宋体" w:hAnsi="宋体" w:eastAsia="宋体" w:cs="宋体"/>
                <w:color w:val="000000"/>
                <w:kern w:val="0"/>
                <w:szCs w:val="21"/>
              </w:rPr>
            </w:pPr>
            <w:r>
              <w:rPr>
                <w:rFonts w:hint="eastAsia" w:ascii="Times New Roman" w:hAnsi="Times New Roman" w:eastAsia="宋体" w:cs="Times New Roman"/>
                <w:color w:val="000000"/>
                <w:kern w:val="0"/>
                <w:szCs w:val="21"/>
              </w:rPr>
              <w:t>3.以早熟优质机采棉品种为基础，开展适宜采棉机的引进/研制/改进及其配套农艺技术集成与示范，建立大面积棉花机械化生产示范基地，打造示范样板。</w:t>
            </w:r>
          </w:p>
          <w:p>
            <w:pPr>
              <w:rPr>
                <w:rFonts w:ascii="宋体" w:hAnsi="宋体" w:eastAsia="宋体" w:cs="宋体"/>
                <w:color w:val="000000"/>
                <w:kern w:val="0"/>
                <w:szCs w:val="21"/>
              </w:rPr>
            </w:pPr>
            <w:r>
              <w:rPr>
                <w:rFonts w:hint="eastAsia" w:ascii="Times New Roman" w:hAnsi="Times New Roman" w:eastAsia="宋体" w:cs="Times New Roman"/>
                <w:color w:val="000000"/>
                <w:kern w:val="0"/>
                <w:szCs w:val="21"/>
              </w:rPr>
              <w:t>4.选育甘薯品种2-3个；构建甘薯脱毒组培快繁技术体系1-2套，年产试管苗10000株；生产甘薯原原种苗30万株，优质甘薯60吨；开展技术培训指导10次以上。</w:t>
            </w:r>
            <w:r>
              <w:rPr>
                <w:rFonts w:ascii="Times New Roman" w:hAnsi="Times New Roman" w:eastAsia="宋体" w:cs="Times New Roman"/>
                <w:color w:val="000000"/>
                <w:kern w:val="0"/>
                <w:szCs w:val="21"/>
              </w:rPr>
              <w:t>　</w:t>
            </w:r>
          </w:p>
          <w:p>
            <w:pPr>
              <w:rPr>
                <w:rFonts w:ascii="宋体" w:hAnsi="宋体" w:eastAsia="宋体" w:cs="宋体"/>
                <w:color w:val="000000"/>
                <w:kern w:val="0"/>
                <w:szCs w:val="21"/>
              </w:rPr>
            </w:pPr>
            <w:r>
              <w:rPr>
                <w:rFonts w:hint="eastAsia" w:ascii="Times New Roman" w:hAnsi="Times New Roman" w:eastAsia="宋体" w:cs="Times New Roman"/>
                <w:color w:val="000000"/>
                <w:kern w:val="0"/>
                <w:szCs w:val="21"/>
              </w:rPr>
              <w:t>5.开发1种无公害无残留的天然紫苏植物饲料配方；推广1套紫苏秸秆在肉牛生产中的关键技术；完成1篇论文。</w:t>
            </w:r>
          </w:p>
          <w:p>
            <w:pPr>
              <w:rPr>
                <w:rFonts w:ascii="宋体" w:hAnsi="宋体" w:eastAsia="宋体" w:cs="宋体"/>
                <w:color w:val="000000"/>
                <w:kern w:val="0"/>
                <w:szCs w:val="21"/>
              </w:rPr>
            </w:pPr>
            <w:r>
              <w:rPr>
                <w:rFonts w:hint="eastAsia" w:ascii="Times New Roman" w:hAnsi="Times New Roman" w:eastAsia="宋体" w:cs="Times New Roman"/>
                <w:color w:val="000000"/>
                <w:sz w:val="22"/>
                <w:szCs w:val="24"/>
              </w:rPr>
              <w:t>6.稳定双季稻生产面积，促进粮食生产稳定发展。</w:t>
            </w:r>
            <w:r>
              <w:rPr>
                <w:rFonts w:ascii="Times New Roman" w:hAnsi="Times New Roman" w:eastAsia="宋体" w:cs="Times New Roman"/>
                <w:color w:val="000000"/>
                <w:kern w:val="0"/>
                <w:szCs w:val="21"/>
              </w:rPr>
              <w:t>　</w:t>
            </w:r>
          </w:p>
          <w:p>
            <w:pPr>
              <w:ind w:firstLine="420" w:firstLineChars="200"/>
              <w:rPr>
                <w:rFonts w:ascii="Times New Roman" w:hAnsi="Times New Roman" w:eastAsia="宋体" w:cs="Times New Roman"/>
                <w:szCs w:val="24"/>
              </w:rPr>
            </w:pPr>
          </w:p>
        </w:tc>
        <w:tc>
          <w:tcPr>
            <w:tcW w:w="4253" w:type="dxa"/>
            <w:gridSpan w:val="4"/>
            <w:vAlign w:val="center"/>
          </w:tcPr>
          <w:p>
            <w:pPr>
              <w:rPr>
                <w:rFonts w:ascii="宋体" w:hAnsi="宋体" w:eastAsia="宋体" w:cs="宋体"/>
                <w:color w:val="000000"/>
                <w:kern w:val="0"/>
                <w:szCs w:val="21"/>
              </w:rPr>
            </w:pPr>
            <w:r>
              <w:rPr>
                <w:rFonts w:hint="eastAsia" w:ascii="Times New Roman" w:hAnsi="Times New Roman" w:eastAsia="仿宋_GB2312" w:cs="Times New Roman"/>
                <w:color w:val="000000"/>
                <w:kern w:val="0"/>
                <w:szCs w:val="21"/>
              </w:rPr>
              <w:t>1.</w:t>
            </w:r>
            <w:r>
              <w:rPr>
                <w:rFonts w:hint="eastAsia" w:ascii="宋体" w:hAnsi="宋体" w:eastAsia="宋体" w:cs="宋体"/>
                <w:color w:val="000000"/>
                <w:kern w:val="0"/>
                <w:szCs w:val="21"/>
              </w:rPr>
              <w:t>培育早熟宜机油菜新品种1-2个，创建稻油、棉油或稻稻油等模式下早熟宜机油菜新品种高产示范片2个。</w:t>
            </w:r>
          </w:p>
          <w:p>
            <w:pP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收集优质中药材种质资源30-50份，筛选改良优异品系1-2个；开展标准化、规模化种植，制定一系列标准化生产的技术规范；推行绿色规范化种植模式，建设品牌展示基地2-3个；多途径推介宣传，发放宣传资料5000份。</w:t>
            </w:r>
          </w:p>
          <w:p>
            <w:pP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在桃江县灰山港镇建立棉花机械化生产示范基地，核心面积500亩。以我所选育的机采棉品种（湘FZ031、湘XH50、湘K27）为基础，引进棉花精量直播机、4MZ-2箱式两行采棉机，应用以精量直播、合理密植、减肥减药、化控塑形、脱叶催熟为核心的“一改二增三减四调”棉花机械化生产关键技术，实现棉花集中成熟，一次性采收。</w:t>
            </w:r>
          </w:p>
          <w:p>
            <w:pP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选育甘薯新品种3个并申请登记通过农业农村部审核；构建并优化甘薯组培技术体系1套，接种茎尖速度提高2倍，茎段转接技术获国家发明专利授权，全年共培育试管苗12032株；生产原原种苗36.8万株，优质甘薯66吨；开展技术指导12次，其中集中授课1次。</w:t>
            </w:r>
          </w:p>
          <w:p>
            <w:pP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5.开发1种无公害无残留的天然紫苏植物饲料配方；推广1套紫苏秸秆在肉牛生产中的关键技术；完成1篇论文。</w:t>
            </w:r>
          </w:p>
          <w:p>
            <w:pPr>
              <w:widowControl/>
              <w:jc w:val="left"/>
              <w:rPr>
                <w:rFonts w:ascii="Times New Roman" w:hAnsi="Times New Roman" w:eastAsia="仿宋_GB2312" w:cs="Times New Roman"/>
                <w:color w:val="000000"/>
                <w:kern w:val="0"/>
                <w:szCs w:val="21"/>
              </w:rPr>
            </w:pPr>
            <w:r>
              <w:rPr>
                <w:rFonts w:hint="eastAsia" w:ascii="Times New Roman" w:hAnsi="Times New Roman" w:eastAsia="宋体" w:cs="Times New Roman"/>
                <w:color w:val="000000"/>
                <w:kern w:val="0"/>
                <w:szCs w:val="21"/>
              </w:rPr>
              <w:t>6.抽调11名业务骨干，在常德、岳阳、益阳、邵阳等11个区县市开展早稻集中育秧调研指导、集中育秧设施建设、水稻面积核查。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tc>
        <w:tc>
          <w:tcPr>
            <w:tcW w:w="1080"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080"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149"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209"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134"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828"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73"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418" w:type="dxa"/>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选育药食两用紫苏新品种</w:t>
            </w:r>
          </w:p>
        </w:tc>
        <w:tc>
          <w:tcPr>
            <w:tcW w:w="1209"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2个</w:t>
            </w:r>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筛选发酵紫苏秸秆的合适添加比例</w:t>
            </w:r>
          </w:p>
        </w:tc>
        <w:tc>
          <w:tcPr>
            <w:tcW w:w="1209" w:type="dxa"/>
            <w:vAlign w:val="center"/>
          </w:tcPr>
          <w:p>
            <w:pPr>
              <w:widowControl/>
              <w:ind w:firstLine="26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1套</w:t>
            </w:r>
          </w:p>
        </w:tc>
        <w:tc>
          <w:tcPr>
            <w:tcW w:w="1134" w:type="dxa"/>
            <w:vAlign w:val="center"/>
          </w:tcPr>
          <w:p>
            <w:pPr>
              <w:widowControl/>
              <w:ind w:firstLine="26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1套</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开发紫苏养牛饲料配方</w:t>
            </w:r>
          </w:p>
        </w:tc>
        <w:tc>
          <w:tcPr>
            <w:tcW w:w="1209"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1个</w:t>
            </w:r>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构建了病虫草害绿色高效防控技术并建立示范片</w:t>
            </w:r>
          </w:p>
        </w:tc>
        <w:tc>
          <w:tcPr>
            <w:tcW w:w="1209"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4个</w:t>
            </w:r>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建立棉花机械化生产示范基地</w:t>
            </w:r>
          </w:p>
        </w:tc>
        <w:tc>
          <w:tcPr>
            <w:tcW w:w="1209"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500亩</w:t>
            </w:r>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500亩</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早稻集中育秧调研指导县</w:t>
            </w:r>
          </w:p>
        </w:tc>
        <w:tc>
          <w:tcPr>
            <w:tcW w:w="1209"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11个</w:t>
            </w:r>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11个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收集中药材种质资源</w:t>
            </w:r>
          </w:p>
        </w:tc>
        <w:tc>
          <w:tcPr>
            <w:tcW w:w="1209" w:type="dxa"/>
            <w:vAlign w:val="center"/>
          </w:tcPr>
          <w:p>
            <w:pPr>
              <w:widowControl/>
              <w:jc w:val="center"/>
              <w:rPr>
                <w:rFonts w:ascii="仿宋_GB2312" w:hAnsi="仿宋_GB2312" w:eastAsia="仿宋_GB2312" w:cs="仿宋_GB2312"/>
                <w:color w:val="000000"/>
                <w:kern w:val="0"/>
                <w:szCs w:val="21"/>
              </w:rPr>
            </w:pPr>
            <w:bookmarkStart w:id="30" w:name="OLE_LINK11"/>
            <w:r>
              <w:rPr>
                <w:rFonts w:hint="eastAsia" w:ascii="仿宋_GB2312" w:hAnsi="仿宋_GB2312" w:eastAsia="仿宋_GB2312" w:cs="仿宋_GB2312"/>
                <w:color w:val="000000"/>
                <w:kern w:val="0"/>
                <w:szCs w:val="21"/>
              </w:rPr>
              <w:t>85份</w:t>
            </w:r>
            <w:bookmarkEnd w:id="30"/>
          </w:p>
        </w:tc>
        <w:tc>
          <w:tcPr>
            <w:tcW w:w="1134" w:type="dxa"/>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85份</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建设品牌中药材品种示范展示基地</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3个</w:t>
            </w:r>
          </w:p>
        </w:tc>
        <w:tc>
          <w:tcPr>
            <w:tcW w:w="1134" w:type="dxa"/>
            <w:vAlign w:val="center"/>
          </w:tcPr>
          <w:p>
            <w:pPr>
              <w:widowControl/>
              <w:jc w:val="left"/>
              <w:rPr>
                <w:rFonts w:ascii="仿宋_GB2312" w:hAnsi="仿宋_GB2312" w:eastAsia="仿宋_GB2312" w:cs="仿宋_GB2312"/>
                <w:color w:val="000000"/>
                <w:kern w:val="0"/>
                <w:szCs w:val="21"/>
              </w:rPr>
            </w:pPr>
            <w:bookmarkStart w:id="31" w:name="OLE_LINK22"/>
            <w:r>
              <w:rPr>
                <w:rFonts w:hint="eastAsia" w:ascii="仿宋_GB2312" w:hAnsi="仿宋_GB2312" w:eastAsia="仿宋_GB2312" w:cs="仿宋_GB2312"/>
                <w:szCs w:val="21"/>
              </w:rPr>
              <w:t>建设“安化黄精”、“澧县石菖蒲”等品牌中药材品种示范展示基地</w:t>
            </w:r>
            <w:bookmarkEnd w:id="31"/>
            <w:r>
              <w:rPr>
                <w:rFonts w:hint="eastAsia" w:ascii="仿宋_GB2312" w:hAnsi="仿宋_GB2312" w:eastAsia="仿宋_GB2312" w:cs="仿宋_GB2312"/>
                <w:szCs w:val="21"/>
              </w:rPr>
              <w:t>3个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展脱毒甘薯试验示范</w:t>
            </w:r>
          </w:p>
        </w:tc>
        <w:tc>
          <w:tcPr>
            <w:tcW w:w="1209" w:type="dxa"/>
            <w:vAlign w:val="center"/>
          </w:tcPr>
          <w:p>
            <w:pPr>
              <w:widowControl/>
              <w:jc w:val="left"/>
              <w:rPr>
                <w:rFonts w:ascii="仿宋_GB2312" w:hAnsi="仿宋_GB2312" w:eastAsia="仿宋_GB2312" w:cs="仿宋_GB2312"/>
                <w:color w:val="000000"/>
                <w:kern w:val="0"/>
                <w:szCs w:val="21"/>
              </w:rPr>
            </w:pPr>
            <w:bookmarkStart w:id="32" w:name="OLE_LINK7"/>
            <w:r>
              <w:rPr>
                <w:rFonts w:hint="eastAsia" w:ascii="仿宋_GB2312" w:hAnsi="仿宋_GB2312" w:eastAsia="仿宋_GB2312" w:cs="仿宋_GB2312"/>
                <w:color w:val="000000"/>
                <w:kern w:val="0"/>
                <w:szCs w:val="21"/>
              </w:rPr>
              <w:t>50亩</w:t>
            </w:r>
            <w:bookmarkEnd w:id="32"/>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50亩</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选育优质新品种</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4个</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4个</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质量指标</w:t>
            </w: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保障农产品质量安全，总体状况稳中向好，例行监测合格率</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szCs w:val="21"/>
              </w:rPr>
              <w:t>98%</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szCs w:val="21"/>
              </w:rPr>
              <w:t>98%</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确保不发生区域性、系统性农产品质量安全事件</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未发生</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未发生</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szCs w:val="21"/>
              </w:rPr>
              <w:t>制定并发布地方标准</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2项</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2项</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棉花大面积机械采收现场观摩会召开时间</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10月底前</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10月底前</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宋体" w:hAnsi="宋体" w:eastAsia="宋体" w:cs="宋体"/>
                <w:color w:val="000000"/>
                <w:kern w:val="0"/>
                <w:szCs w:val="21"/>
              </w:rPr>
              <w:t>技术指导</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宋体" w:hAnsi="宋体" w:eastAsia="宋体" w:cs="宋体"/>
                <w:color w:val="000000"/>
                <w:kern w:val="0"/>
                <w:szCs w:val="21"/>
              </w:rPr>
              <w:t>及时开展</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宋体" w:hAnsi="宋体" w:eastAsia="宋体" w:cs="宋体"/>
                <w:color w:val="000000"/>
                <w:kern w:val="0"/>
                <w:szCs w:val="21"/>
              </w:rPr>
              <w:t>及时开展15次</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成本指标</w:t>
            </w: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棉花机械化</w:t>
            </w:r>
            <w:r>
              <w:rPr>
                <w:rFonts w:ascii="Times New Roman" w:hAnsi="Times New Roman" w:eastAsia="宋体" w:cs="Times New Roman"/>
                <w:color w:val="000000"/>
                <w:kern w:val="0"/>
                <w:szCs w:val="21"/>
              </w:rPr>
              <w:t>亩节约人工成本</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800元以上</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亩节省用工9个，按120元/个计算，节约人工成本1080元。</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tc>
        <w:tc>
          <w:tcPr>
            <w:tcW w:w="1080"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亩产值</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1200元以上</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经测产子棉产量平均为206kg/亩，子棉收购价格6.2元/kg，亩种植收益1277.2元</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组织召开棉花大面积机械采收现场观摩会</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完成</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完成</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稳定全省双季稻生产面积，确保我省完成粮食生产目标任务</w:t>
            </w:r>
          </w:p>
        </w:tc>
        <w:tc>
          <w:tcPr>
            <w:tcW w:w="1209" w:type="dxa"/>
            <w:vAlign w:val="center"/>
          </w:tcPr>
          <w:p>
            <w:pPr>
              <w:widowControl/>
              <w:jc w:val="left"/>
              <w:rPr>
                <w:rFonts w:ascii="仿宋_GB2312" w:hAnsi="仿宋_GB2312" w:eastAsia="仿宋_GB2312" w:cs="仿宋_GB2312"/>
                <w:color w:val="000000"/>
                <w:kern w:val="0"/>
                <w:szCs w:val="21"/>
              </w:rPr>
            </w:pPr>
            <w:bookmarkStart w:id="33" w:name="OLE_LINK8"/>
            <w:r>
              <w:rPr>
                <w:rFonts w:hint="eastAsia" w:ascii="仿宋_GB2312" w:hAnsi="仿宋_GB2312" w:eastAsia="仿宋_GB2312" w:cs="仿宋_GB2312"/>
                <w:color w:val="000000"/>
                <w:kern w:val="0"/>
                <w:szCs w:val="21"/>
              </w:rPr>
              <w:t>有效保证</w:t>
            </w:r>
            <w:bookmarkEnd w:id="33"/>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有效保证</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149" w:type="dxa"/>
            <w:vAlign w:val="center"/>
          </w:tcPr>
          <w:p>
            <w:pPr>
              <w:widowControl/>
              <w:jc w:val="left"/>
              <w:rPr>
                <w:rFonts w:ascii="仿宋_GB2312" w:hAnsi="仿宋_GB2312" w:eastAsia="仿宋_GB2312" w:cs="仿宋_GB2312"/>
                <w:color w:val="000000"/>
                <w:kern w:val="0"/>
                <w:szCs w:val="21"/>
              </w:rPr>
            </w:pPr>
            <w:bookmarkStart w:id="34" w:name="OLE_LINK10"/>
            <w:r>
              <w:rPr>
                <w:rFonts w:hint="eastAsia" w:ascii="仿宋_GB2312" w:hAnsi="仿宋_GB2312" w:eastAsia="仿宋_GB2312" w:cs="仿宋_GB2312"/>
                <w:color w:val="000000"/>
                <w:kern w:val="0"/>
                <w:szCs w:val="21"/>
              </w:rPr>
              <w:t>有效缓解</w:t>
            </w:r>
            <w:bookmarkEnd w:id="34"/>
            <w:r>
              <w:rPr>
                <w:rFonts w:hint="eastAsia" w:ascii="仿宋_GB2312" w:hAnsi="仿宋_GB2312" w:eastAsia="仿宋_GB2312" w:cs="仿宋_GB2312"/>
                <w:color w:val="000000"/>
                <w:kern w:val="0"/>
                <w:szCs w:val="21"/>
              </w:rPr>
              <w:t>湖南三熟制模式下油菜生产季节矛盾的问题</w:t>
            </w:r>
          </w:p>
        </w:tc>
        <w:tc>
          <w:tcPr>
            <w:tcW w:w="120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有效缓解</w:t>
            </w:r>
          </w:p>
        </w:tc>
        <w:tc>
          <w:tcPr>
            <w:tcW w:w="1134"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有效缓解</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生态效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149" w:type="dxa"/>
            <w:vAlign w:val="center"/>
          </w:tcPr>
          <w:p>
            <w:pPr>
              <w:jc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甘薯</w:t>
            </w:r>
            <w:r>
              <w:rPr>
                <w:rFonts w:hint="eastAsia" w:ascii="Times New Roman" w:hAnsi="Times New Roman" w:eastAsia="宋体" w:cs="Times New Roman"/>
                <w:color w:val="000000"/>
                <w:sz w:val="22"/>
                <w:szCs w:val="24"/>
              </w:rPr>
              <w:t>病害防治用药　</w:t>
            </w:r>
          </w:p>
        </w:tc>
        <w:tc>
          <w:tcPr>
            <w:tcW w:w="1209" w:type="dxa"/>
            <w:vAlign w:val="center"/>
          </w:tcPr>
          <w:p>
            <w:pPr>
              <w:jc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sz w:val="22"/>
                <w:szCs w:val="24"/>
              </w:rPr>
              <w:t>明显减少</w:t>
            </w:r>
          </w:p>
        </w:tc>
        <w:tc>
          <w:tcPr>
            <w:tcW w:w="1134" w:type="dxa"/>
            <w:vAlign w:val="center"/>
          </w:tcPr>
          <w:p>
            <w:pPr>
              <w:widowControl/>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较对照区少治虫3次</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减少化肥农药用量</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20%以上</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减肥减药20%以上</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widowControl/>
              <w:jc w:val="center"/>
              <w:rPr>
                <w:rFonts w:ascii="Times New Roman" w:hAnsi="Times New Roman" w:eastAsia="仿宋_GB2312" w:cs="Times New Roman"/>
                <w:color w:val="000000"/>
                <w:kern w:val="0"/>
                <w:szCs w:val="21"/>
              </w:rPr>
            </w:pPr>
          </w:p>
        </w:tc>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1080" w:type="dxa"/>
            <w:vMerge w:val="restart"/>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双季稻生产面积</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稳定</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稳定</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1080" w:type="dxa"/>
            <w:vMerge w:val="continue"/>
            <w:vAlign w:val="center"/>
          </w:tcPr>
          <w:p>
            <w:pPr>
              <w:widowControl/>
              <w:jc w:val="left"/>
              <w:rPr>
                <w:rFonts w:ascii="Times New Roman" w:hAnsi="Times New Roman" w:eastAsia="仿宋_GB2312" w:cs="Times New Roman"/>
                <w:color w:val="000000"/>
                <w:kern w:val="0"/>
                <w:szCs w:val="21"/>
              </w:rPr>
            </w:pPr>
          </w:p>
        </w:tc>
        <w:tc>
          <w:tcPr>
            <w:tcW w:w="114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hint="eastAsia" w:ascii="Times New Roman" w:hAnsi="Times New Roman" w:eastAsia="宋体" w:cs="Times New Roman"/>
                <w:color w:val="000000"/>
                <w:kern w:val="0"/>
                <w:szCs w:val="21"/>
              </w:rPr>
              <w:t>推进</w:t>
            </w:r>
            <w:r>
              <w:rPr>
                <w:rFonts w:ascii="Times New Roman" w:hAnsi="Times New Roman" w:eastAsia="宋体" w:cs="Times New Roman"/>
                <w:color w:val="000000"/>
                <w:kern w:val="0"/>
                <w:szCs w:val="21"/>
              </w:rPr>
              <w:t>棉花采收机械化进程</w:t>
            </w:r>
          </w:p>
        </w:tc>
        <w:tc>
          <w:tcPr>
            <w:tcW w:w="1209"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使机采棉成为湖南省乃至长江流域棉区的新型生产力</w:t>
            </w:r>
          </w:p>
        </w:tc>
        <w:tc>
          <w:tcPr>
            <w:tcW w:w="1134" w:type="dxa"/>
            <w:vAlign w:val="center"/>
          </w:tcPr>
          <w:p>
            <w:pPr>
              <w:widowControl/>
              <w:spacing w:line="280" w:lineRule="exact"/>
              <w:jc w:val="left"/>
              <w:textAlignment w:val="center"/>
              <w:rPr>
                <w:rFonts w:ascii="仿宋_GB2312" w:hAnsi="仿宋_GB2312" w:eastAsia="仿宋_GB2312" w:cs="仿宋_GB2312"/>
                <w:color w:val="000000"/>
                <w:kern w:val="0"/>
                <w:szCs w:val="21"/>
              </w:rPr>
            </w:pPr>
            <w:r>
              <w:rPr>
                <w:rFonts w:ascii="Times New Roman" w:hAnsi="Times New Roman" w:eastAsia="宋体" w:cs="Times New Roman"/>
                <w:color w:val="000000"/>
                <w:kern w:val="0"/>
                <w:szCs w:val="21"/>
              </w:rPr>
              <w:t>机采棉技术规模化应用</w:t>
            </w:r>
            <w:r>
              <w:rPr>
                <w:rFonts w:hint="eastAsia" w:ascii="Times New Roman" w:hAnsi="Times New Roman" w:eastAsia="宋体" w:cs="Times New Roman"/>
                <w:color w:val="000000"/>
                <w:kern w:val="0"/>
                <w:szCs w:val="21"/>
              </w:rPr>
              <w:t>，助力湖南由传统棉业向智能生产模式升级</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pPr>
              <w:jc w:val="left"/>
              <w:rPr>
                <w:rFonts w:ascii="Times New Roman" w:hAnsi="Times New Roman" w:eastAsia="仿宋_GB2312" w:cs="Times New Roman"/>
                <w:color w:val="000000"/>
                <w:kern w:val="0"/>
                <w:szCs w:val="21"/>
              </w:rPr>
            </w:pPr>
          </w:p>
        </w:tc>
        <w:tc>
          <w:tcPr>
            <w:tcW w:w="1080"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080"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149" w:type="dxa"/>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农户满意度</w:t>
            </w:r>
          </w:p>
        </w:tc>
        <w:tc>
          <w:tcPr>
            <w:tcW w:w="1209"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szCs w:val="21"/>
              </w:rPr>
              <w:t>≥90%</w:t>
            </w:r>
          </w:p>
        </w:tc>
        <w:tc>
          <w:tcPr>
            <w:tcW w:w="1134" w:type="dxa"/>
            <w:vAlign w:val="center"/>
          </w:tcPr>
          <w:p>
            <w:pPr>
              <w:widowControl/>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96%</w:t>
            </w:r>
          </w:p>
        </w:tc>
        <w:tc>
          <w:tcPr>
            <w:tcW w:w="828"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73" w:type="dxa"/>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828" w:type="dxa"/>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73" w:type="dxa"/>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99.89</w:t>
            </w:r>
          </w:p>
        </w:tc>
        <w:tc>
          <w:tcPr>
            <w:tcW w:w="1418" w:type="dxa"/>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spacing w:beforeLines="25" w:line="500" w:lineRule="exact"/>
        <w:jc w:val="left"/>
        <w:outlineLvl w:val="0"/>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br w:type="page"/>
      </w:r>
      <w:r>
        <w:rPr>
          <w:rFonts w:ascii="Times New Roman" w:hAnsi="Times New Roman" w:eastAsia="黑体" w:cs="Times New Roman"/>
          <w:bCs/>
          <w:kern w:val="44"/>
          <w:sz w:val="32"/>
          <w:szCs w:val="32"/>
        </w:rPr>
        <w:t>附件</w:t>
      </w:r>
      <w:r>
        <w:rPr>
          <w:rFonts w:hint="eastAsia" w:ascii="Times New Roman" w:hAnsi="Times New Roman" w:eastAsia="黑体" w:cs="Times New Roman"/>
          <w:bCs/>
          <w:kern w:val="44"/>
          <w:sz w:val="32"/>
          <w:szCs w:val="32"/>
        </w:rPr>
        <w:t>4</w:t>
      </w:r>
    </w:p>
    <w:p>
      <w:pPr>
        <w:spacing w:beforeLines="25" w:line="500" w:lineRule="exact"/>
        <w:jc w:val="center"/>
        <w:outlineLvl w:val="0"/>
        <w:rPr>
          <w:rFonts w:ascii="Times New Roman" w:hAnsi="Times New Roman" w:eastAsia="方正小标宋简体" w:cs="Times New Roman"/>
          <w:bCs/>
          <w:kern w:val="44"/>
          <w:sz w:val="36"/>
          <w:szCs w:val="36"/>
        </w:rPr>
      </w:pPr>
      <w:r>
        <w:rPr>
          <w:rFonts w:ascii="Times New Roman" w:hAnsi="Times New Roman" w:eastAsia="方正小标宋简体" w:cs="Times New Roman"/>
          <w:bCs/>
          <w:kern w:val="44"/>
          <w:sz w:val="36"/>
          <w:szCs w:val="36"/>
        </w:rPr>
        <w:t>项目支出绩效自评表</w:t>
      </w:r>
    </w:p>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2024</w:t>
      </w:r>
      <w:r>
        <w:rPr>
          <w:rFonts w:ascii="Times New Roman" w:hAnsi="Times New Roman" w:eastAsia="宋体" w:cs="Times New Roman"/>
          <w:color w:val="000000"/>
          <w:kern w:val="0"/>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项目支</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其他事业发展专项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湖南省棉花研究所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项目资金</w:t>
            </w:r>
            <w:r>
              <w:rPr>
                <w:rFonts w:ascii="Times New Roman" w:hAnsi="Times New Roman" w:eastAsia="宋体" w:cs="Times New Roman"/>
                <w:color w:val="000000"/>
                <w:kern w:val="0"/>
                <w:szCs w:val="21"/>
              </w:rPr>
              <w:br w:type="textWrapping"/>
            </w:r>
            <w:r>
              <w:rPr>
                <w:rFonts w:ascii="Times New Roman" w:hAnsi="Times New Roman" w:eastAsia="宋体" w:cs="Times New Roman"/>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年初</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全年</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预算数</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Times New Roman" w:hAnsi="Times New Roman" w:eastAsia="宋体" w:cs="Times New Roman"/>
                <w:szCs w:val="21"/>
              </w:rPr>
            </w:pPr>
            <w:r>
              <w:rPr>
                <w:rFonts w:ascii="Times New Roman" w:hAnsi="Times New Roman" w:eastAsia="宋体" w:cs="Times New Roman"/>
                <w:szCs w:val="21"/>
              </w:rPr>
              <w:t>全年</w:t>
            </w:r>
          </w:p>
          <w:p>
            <w:pPr>
              <w:spacing w:line="280" w:lineRule="exact"/>
              <w:jc w:val="center"/>
              <w:textAlignment w:val="center"/>
              <w:rPr>
                <w:rFonts w:ascii="Times New Roman" w:hAnsi="Times New Roman" w:eastAsia="宋体" w:cs="Times New Roman"/>
                <w:szCs w:val="21"/>
              </w:rPr>
            </w:pPr>
            <w:r>
              <w:rPr>
                <w:rFonts w:ascii="Times New Roman" w:hAnsi="Times New Roman" w:eastAsia="宋体" w:cs="Times New Roman"/>
                <w:szCs w:val="21"/>
              </w:rPr>
              <w:t>执行数</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Times New Roman" w:hAnsi="Times New Roman" w:eastAsia="宋体" w:cs="Times New Roman"/>
                <w:szCs w:val="21"/>
              </w:rPr>
            </w:pPr>
            <w:r>
              <w:rPr>
                <w:rFonts w:ascii="Times New Roman" w:hAnsi="Times New Roman" w:eastAsia="宋体" w:cs="Times New Roman"/>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Times New Roman" w:hAnsi="Times New Roman" w:eastAsia="宋体" w:cs="Times New Roman"/>
                <w:szCs w:val="21"/>
              </w:rPr>
            </w:pPr>
            <w:r>
              <w:rPr>
                <w:rFonts w:ascii="Times New Roman" w:hAnsi="Times New Roman" w:eastAsia="宋体" w:cs="Times New Roman"/>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Times New Roman" w:hAnsi="Times New Roman" w:eastAsia="宋体" w:cs="Times New Roman"/>
                <w:szCs w:val="21"/>
              </w:rPr>
            </w:pPr>
            <w:r>
              <w:rPr>
                <w:rFonts w:ascii="Times New Roman" w:hAnsi="Times New Roman" w:eastAsia="宋体"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1142.73</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2029.42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1391.20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r>
              <w:rPr>
                <w:rFonts w:ascii="Times New Roman" w:hAnsi="Times New Roman" w:eastAsia="仿宋_GB2312" w:cs="Times New Roman"/>
                <w:color w:val="000000"/>
                <w:kern w:val="0"/>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68.55%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25.00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911.69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1117.73</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1117.73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仿宋" w:hAnsi="仿宋" w:eastAsia="仿宋" w:cs="仿宋"/>
                <w:bCs/>
                <w:kern w:val="0"/>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仿宋" w:hAnsi="仿宋" w:eastAsia="仿宋" w:cs="仿宋"/>
                <w:bCs/>
                <w:kern w:val="0"/>
                <w:szCs w:val="21"/>
              </w:rPr>
            </w:pPr>
            <w:bookmarkStart w:id="35" w:name="OLE_LINK12"/>
            <w:r>
              <w:rPr>
                <w:rFonts w:hint="eastAsia" w:ascii="仿宋" w:hAnsi="仿宋" w:eastAsia="仿宋" w:cs="仿宋"/>
                <w:bCs/>
                <w:kern w:val="0"/>
                <w:szCs w:val="21"/>
              </w:rPr>
              <w:t>围绕产业发展需求，聚焦关键技术攻关与示范推广，棉花产业体系以“两稳”“两提”为目标，聚焦棉花生产轻简化、机械化，开展棉花种质创制与新品种选育，解决我省棉花生产方式变革品种缺乏问题。重点对标湖南千亿产业，引进筛选适合山坡岗地及林下种植的甘薯、鲜食玉米、大豆等旱杂粮品种，提升基地周边农户种植效益，辐射带动湘北片区现代农业发展。围绕湖南省“千亿”产业发展的科技需求，以解决制约油料产业发展中的瓶颈问题，促进湖南省油料产业可持续发展。围绕湖南省“千亿”产业发展的科技需求，以解决制约中药材产业发展中的瓶颈问题为总体目标，促进湖南省中药材产业健康可持续发展。体系通过技术创新、示范推广与应急服务，有效支撑湖南省农业高质量发展。。</w:t>
            </w:r>
          </w:p>
          <w:p>
            <w:pPr>
              <w:widowControl/>
              <w:spacing w:line="280" w:lineRule="exact"/>
              <w:jc w:val="left"/>
              <w:textAlignment w:val="center"/>
              <w:rPr>
                <w:rFonts w:ascii="仿宋" w:hAnsi="仿宋" w:eastAsia="仿宋" w:cs="仿宋"/>
                <w:bCs/>
                <w:kern w:val="0"/>
                <w:szCs w:val="21"/>
              </w:rPr>
            </w:pPr>
            <w:r>
              <w:rPr>
                <w:rFonts w:hint="eastAsia" w:ascii="仿宋" w:hAnsi="仿宋" w:eastAsia="仿宋" w:cs="仿宋"/>
                <w:bCs/>
                <w:kern w:val="0"/>
                <w:szCs w:val="21"/>
              </w:rPr>
              <w:t>探索一种新型两熟制模式，开展“油蔬两用冬油菜-夏大豆”模式技术研究与应用。收集不同类型紫苏秸秆，设计不同发酵方案制作紫苏酵素肥，紫苏秸秆的利用有效提高了农业生产废弃物资源利用率和紫苏种植效益</w:t>
            </w:r>
          </w:p>
          <w:bookmarkEnd w:id="35"/>
          <w:p>
            <w:pPr>
              <w:widowControl/>
              <w:spacing w:line="280" w:lineRule="exact"/>
              <w:jc w:val="left"/>
              <w:textAlignment w:val="center"/>
              <w:rPr>
                <w:rFonts w:ascii="仿宋" w:hAnsi="仿宋" w:eastAsia="仿宋" w:cs="仿宋"/>
                <w:bCs/>
                <w:kern w:val="0"/>
                <w:szCs w:val="21"/>
              </w:rPr>
            </w:pPr>
          </w:p>
          <w:p>
            <w:pPr>
              <w:widowControl/>
              <w:spacing w:line="280" w:lineRule="exact"/>
              <w:jc w:val="left"/>
              <w:textAlignment w:val="center"/>
              <w:rPr>
                <w:rFonts w:ascii="仿宋" w:hAnsi="仿宋" w:eastAsia="仿宋" w:cs="仿宋"/>
                <w:bCs/>
                <w:kern w:val="0"/>
                <w:szCs w:val="21"/>
              </w:rPr>
            </w:pPr>
          </w:p>
          <w:p>
            <w:pPr>
              <w:widowControl/>
              <w:spacing w:line="280" w:lineRule="exact"/>
              <w:jc w:val="left"/>
              <w:textAlignment w:val="center"/>
              <w:rPr>
                <w:rFonts w:ascii="仿宋" w:hAnsi="仿宋" w:eastAsia="仿宋" w:cs="仿宋"/>
                <w:bCs/>
                <w:kern w:val="0"/>
                <w:szCs w:val="21"/>
              </w:rPr>
            </w:pPr>
          </w:p>
          <w:p>
            <w:pPr>
              <w:widowControl/>
              <w:spacing w:line="280" w:lineRule="exact"/>
              <w:jc w:val="left"/>
              <w:textAlignment w:val="center"/>
              <w:rPr>
                <w:rFonts w:ascii="仿宋" w:hAnsi="仿宋" w:eastAsia="仿宋" w:cs="仿宋"/>
                <w:bCs/>
                <w:kern w:val="0"/>
                <w:szCs w:val="21"/>
              </w:rPr>
            </w:pPr>
          </w:p>
        </w:tc>
        <w:tc>
          <w:tcPr>
            <w:tcW w:w="4253" w:type="dxa"/>
            <w:gridSpan w:val="4"/>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kern w:val="0"/>
                <w:sz w:val="15"/>
                <w:szCs w:val="15"/>
              </w:rPr>
            </w:pPr>
            <w:r>
              <w:rPr>
                <w:rFonts w:hint="eastAsia" w:ascii="仿宋" w:hAnsi="仿宋" w:eastAsia="仿宋" w:cs="仿宋"/>
                <w:bCs/>
                <w:kern w:val="0"/>
                <w:sz w:val="15"/>
                <w:szCs w:val="15"/>
              </w:rPr>
              <w:t>1.棉花产业体系以“两稳”“两提”为目标，创制高产优质多抗宜机棉花种质46份，筛选镉高积累材料7份，选育新品种（系）9个。开展全程机械化示范5700亩（亩产籽棉550斤）及严格管控区示范236亩（亩产400斤以上），技术培训18次，应急服务15次，申报省级主推品种技术4项，立项标准和规程3项。2.旱粮产业体系湘北试验站集成新品种新技术，建设3个综合展示基地，研发2套技术体系，获国家发明专利1项，发布《棉花间作甘薯栽培技术规程》等2项标准，获软件著作权9项，发表文章2篇。3.油菜产业体系环洞庭湖试验站聚焦稻稻油、棉油轮作模式，筛选短生育期油菜品种，创建百亩绿色示范片。推广高产多抗品种助力万亩示范片建设，开展技术培训26次、应急服务3次，制作技术短视频4份，提交调研报告1份，发布品种宣传册1份。4.中药材产业体系湘北试验站对接5位岗位专家，开展5项技术集成示范，组织产业调研2次、技术指导20次，举办黄精采收观摩会1次，培训种植大户2次。应对极端天气开展救灾服务11次，完成百合新品种省级鉴定1项，发布地方标准2项、技术规程1项。5.围绕油蔬两用冬油菜、优质高产大豆品种的筛选、“油蔬两用冬油菜-夏大豆”模式技术的熟化与集成、“油蔬两用冬油菜-夏大豆”模式的应用与示范等内容开展工作，通过本项目实施，集成的“油蔬两用冬油菜-夏大豆”两熟制新模式，为湖南油料生产提供了示范样板和技术支撑；通过创建该模式高产示范片，带动周边油料生产，为提升油料产业效益奠定坚实基础。6.收集不同类型紫苏秸秆，设计不同发酵方案制作紫苏酵素肥7份，通过发芽试验、盆栽及大田试验开展酵素肥对油菜、棉花、黄精等作物种子萌发及生长的影响试验，紫苏秸秆制作的酵素肥有促进种子萌发和作物生长，以及改善土壤微生物环境的作用，集成紫苏秸秆酵素肥制作与植物促生效果评价技术体系1套，紫苏秸秆的利用有效提高了农业生产废弃物资源利用率和紫苏种植效益。申报“一种以紫苏秸秆为原料的酵素肥生产方法”专利1项，指导湖南应用技术学院2名本科生完成毕业论文。</w:t>
            </w:r>
          </w:p>
          <w:p>
            <w:pPr>
              <w:ind w:firstLine="420" w:firstLineChars="200"/>
              <w:rPr>
                <w:rFonts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绩</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效</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指</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标</w:t>
            </w:r>
          </w:p>
          <w:p>
            <w:pPr>
              <w:ind w:left="640" w:firstLine="420" w:firstLineChars="200"/>
              <w:rPr>
                <w:rFonts w:ascii="Times New Roman" w:hAnsi="Times New Roman" w:eastAsia="宋体" w:cs="Times New Roman"/>
                <w:szCs w:val="24"/>
              </w:rPr>
            </w:pPr>
          </w:p>
          <w:p>
            <w:pPr>
              <w:ind w:firstLine="640"/>
              <w:rPr>
                <w:rFonts w:ascii="Times New Roman" w:hAnsi="Times New Roman" w:eastAsia="宋体" w:cs="Times New Roman"/>
                <w:szCs w:val="24"/>
              </w:rPr>
            </w:pPr>
          </w:p>
          <w:p>
            <w:pPr>
              <w:ind w:left="640" w:firstLine="420" w:firstLineChars="200"/>
              <w:rPr>
                <w:rFonts w:ascii="Times New Roman" w:hAnsi="Times New Roman" w:eastAsia="宋体" w:cs="Times New Roman"/>
                <w:szCs w:val="24"/>
              </w:rPr>
            </w:pPr>
          </w:p>
          <w:p>
            <w:pPr>
              <w:ind w:firstLine="640"/>
              <w:rPr>
                <w:rFonts w:ascii="Times New Roman" w:hAnsi="Times New Roman" w:eastAsia="宋体" w:cs="Times New Roman"/>
                <w:szCs w:val="24"/>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年度</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偏差原因</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分析及</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bookmarkStart w:id="36" w:name="OLE_LINK21" w:colFirst="6" w:colLast="7"/>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产出指标</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(50分)</w:t>
            </w: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创制机采棉种质</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3-4份</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46份</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选育棉花品种</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2-3个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棉花示范面积</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500亩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5700亩</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申报省级棉花主推品种和技术</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繁育黄精种苗</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w:t>
            </w:r>
            <w:r>
              <w:rPr>
                <w:rFonts w:ascii="Times New Roman" w:hAnsi="Times New Roman" w:eastAsia="宋体" w:cs="Times New Roman"/>
                <w:color w:val="000000"/>
                <w:kern w:val="0"/>
                <w:szCs w:val="21"/>
              </w:rPr>
              <w:t>00万株以上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700万株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开展</w:t>
            </w:r>
            <w:r>
              <w:rPr>
                <w:rFonts w:hint="eastAsia" w:ascii="Times New Roman" w:hAnsi="Times New Roman" w:eastAsia="宋体" w:cs="Times New Roman"/>
                <w:color w:val="000000"/>
                <w:kern w:val="0"/>
                <w:szCs w:val="21"/>
              </w:rPr>
              <w:t>旱粮</w:t>
            </w:r>
            <w:r>
              <w:rPr>
                <w:rFonts w:ascii="Times New Roman" w:hAnsi="Times New Roman" w:eastAsia="宋体" w:cs="Times New Roman"/>
                <w:color w:val="000000"/>
                <w:kern w:val="0"/>
                <w:szCs w:val="21"/>
              </w:rPr>
              <w:t>技术培训及技术指导</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4次以上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旱粮示范推广种植面积</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1000亩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　1000亩</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承担旱粮体系岗位试验站试验</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　2项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申报旱粮专利、规程</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210" w:firstLineChars="100"/>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遴选油料品种</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4-6个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6个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sz w:val="22"/>
                <w:szCs w:val="24"/>
              </w:rPr>
              <w:t>筛选优良株系</w:t>
            </w:r>
          </w:p>
        </w:tc>
        <w:tc>
          <w:tcPr>
            <w:tcW w:w="12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sz w:val="22"/>
                <w:szCs w:val="24"/>
              </w:rPr>
              <w:t>10份</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14份</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sz w:val="22"/>
                <w:szCs w:val="24"/>
              </w:rPr>
              <w:t>苗头品系</w:t>
            </w:r>
          </w:p>
        </w:tc>
        <w:tc>
          <w:tcPr>
            <w:tcW w:w="12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sz w:val="22"/>
                <w:szCs w:val="24"/>
              </w:rPr>
              <w:t>1-2个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1个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集成</w:t>
            </w:r>
            <w:r>
              <w:rPr>
                <w:rFonts w:ascii="Times New Roman" w:hAnsi="Times New Roman" w:eastAsia="宋体" w:cs="Times New Roman"/>
                <w:color w:val="000000"/>
                <w:kern w:val="0"/>
                <w:szCs w:val="21"/>
              </w:rPr>
              <w:t>技术体系</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1套</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仿宋" w:hAnsi="仿宋" w:eastAsia="仿宋" w:cs="仿宋"/>
                <w:bCs/>
                <w:kern w:val="0"/>
                <w:szCs w:val="21"/>
              </w:rPr>
              <w:t>旱粮新技术推广</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仿宋" w:hAnsi="仿宋" w:eastAsia="仿宋" w:cs="仿宋"/>
                <w:bCs/>
                <w:kern w:val="0"/>
                <w:szCs w:val="21"/>
              </w:rPr>
              <w:t>1项以上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仿宋" w:hAnsi="仿宋" w:eastAsia="仿宋" w:cs="仿宋"/>
                <w:bCs/>
                <w:kern w:val="0"/>
                <w:szCs w:val="21"/>
              </w:rPr>
              <w:t>　</w:t>
            </w:r>
            <w:r>
              <w:rPr>
                <w:rFonts w:hint="eastAsia" w:ascii="仿宋" w:hAnsi="仿宋" w:eastAsia="仿宋" w:cs="仿宋"/>
                <w:bCs/>
                <w:kern w:val="0"/>
                <w:szCs w:val="21"/>
              </w:rPr>
              <w:t>1项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油料作物展示示范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10-20亩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210" w:firstLineChars="100"/>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20亩</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湖南省棉花团体标准立项</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湖南省棉花地方标准立项</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1项</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仿宋_GB2312" w:hAnsi="Times New Roman" w:eastAsia="宋体" w:cs="Times New Roman"/>
                <w:color w:val="000000"/>
                <w:kern w:val="0"/>
                <w:sz w:val="18"/>
                <w:szCs w:val="18"/>
              </w:rPr>
            </w:pPr>
            <w:r>
              <w:rPr>
                <w:rFonts w:ascii="Times New Roman" w:hAnsi="Times New Roman" w:eastAsia="宋体" w:cs="Times New Roman"/>
                <w:color w:val="000000"/>
                <w:kern w:val="0"/>
                <w:szCs w:val="21"/>
              </w:rPr>
              <w:t>中药材分类质量标准示范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开展中药材分类质量标准示范</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协助构建了中药材重金属快速检测技术</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紫苏综合利用率提高</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油料作物品质提升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 xml:space="preserve">  6%</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 xml:space="preserve">   8%</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项目完成时间</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2024年12月31日前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按时完成</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应急服务</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及时开展</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及时开展应急服务3次，技术服务26次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Times New Roman" w:hAnsi="Times New Roman" w:eastAsia="宋体" w:cs="Times New Roman"/>
                <w:color w:val="000000"/>
                <w:sz w:val="22"/>
                <w:szCs w:val="24"/>
              </w:rPr>
              <w:t>项目研究投入</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bookmarkStart w:id="37" w:name="OLE_LINK6"/>
            <w:r>
              <w:rPr>
                <w:rFonts w:hint="eastAsia" w:ascii="仿宋" w:hAnsi="仿宋" w:eastAsia="仿宋" w:cs="仿宋"/>
                <w:bCs/>
                <w:kern w:val="0"/>
                <w:szCs w:val="21"/>
              </w:rPr>
              <w:t>预算范围内</w:t>
            </w:r>
            <w:bookmarkEnd w:id="37"/>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210" w:firstLineChars="100"/>
              <w:jc w:val="center"/>
              <w:textAlignment w:val="center"/>
              <w:rPr>
                <w:rFonts w:ascii="仿宋" w:hAnsi="仿宋" w:eastAsia="仿宋" w:cs="仿宋"/>
                <w:bCs/>
                <w:kern w:val="0"/>
                <w:szCs w:val="21"/>
              </w:rPr>
            </w:pPr>
            <w:r>
              <w:rPr>
                <w:rFonts w:hint="eastAsia" w:ascii="仿宋" w:hAnsi="仿宋" w:eastAsia="仿宋" w:cs="仿宋"/>
                <w:bCs/>
                <w:kern w:val="0"/>
                <w:szCs w:val="21"/>
              </w:rPr>
              <w:t>预算范围内</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仿宋" w:hAnsi="仿宋" w:eastAsia="仿宋" w:cs="仿宋"/>
                <w:bCs/>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Times New Roman" w:hAnsi="Times New Roman" w:eastAsia="宋体" w:cs="Times New Roman"/>
                <w:color w:val="000000"/>
                <w:kern w:val="0"/>
                <w:szCs w:val="21"/>
              </w:rPr>
              <w:t>试验示范区种植成本</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Times New Roman" w:hAnsi="Times New Roman" w:eastAsia="宋体" w:cs="Times New Roman"/>
                <w:color w:val="000000"/>
                <w:kern w:val="0"/>
                <w:szCs w:val="21"/>
              </w:rPr>
              <w:t>降低5%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Times New Roman" w:hAnsi="Times New Roman" w:eastAsia="宋体" w:cs="Times New Roman"/>
                <w:color w:val="000000"/>
                <w:kern w:val="0"/>
                <w:szCs w:val="21"/>
              </w:rPr>
              <w:t>降低5%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效益指标</w:t>
            </w:r>
          </w:p>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（30分）</w:t>
            </w: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经济效</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棉花亩收益</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1200元</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1500元</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推广中药材新技术、新模式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节约成本5%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节约成本5%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ascii="仿宋" w:hAnsi="仿宋" w:eastAsia="仿宋" w:cs="仿宋"/>
                <w:bCs/>
                <w:kern w:val="0"/>
                <w:szCs w:val="21"/>
              </w:rPr>
              <w:t>林下中药材立体生态</w:t>
            </w:r>
            <w:r>
              <w:rPr>
                <w:rFonts w:hint="eastAsia" w:ascii="仿宋" w:hAnsi="仿宋" w:eastAsia="仿宋" w:cs="仿宋"/>
                <w:bCs/>
                <w:kern w:val="0"/>
                <w:szCs w:val="21"/>
              </w:rPr>
              <w:t>种植示范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亩增效益1000元</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3种模式比单种亩</w:t>
            </w:r>
            <w:r>
              <w:rPr>
                <w:rFonts w:ascii="仿宋" w:hAnsi="仿宋" w:eastAsia="仿宋" w:cs="仿宋"/>
                <w:bCs/>
                <w:kern w:val="0"/>
                <w:szCs w:val="21"/>
              </w:rPr>
              <w:t>增</w:t>
            </w:r>
            <w:r>
              <w:rPr>
                <w:rFonts w:hint="eastAsia" w:ascii="仿宋" w:hAnsi="仿宋" w:eastAsia="仿宋" w:cs="仿宋"/>
                <w:bCs/>
                <w:kern w:val="0"/>
                <w:szCs w:val="21"/>
              </w:rPr>
              <w:t>效益3000元</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Cs/>
                <w:kern w:val="0"/>
                <w:szCs w:val="21"/>
              </w:rPr>
            </w:pPr>
            <w:r>
              <w:rPr>
                <w:rFonts w:hint="eastAsia" w:ascii="Times New Roman" w:hAnsi="Times New Roman" w:eastAsia="宋体" w:cs="Times New Roman"/>
                <w:color w:val="000000"/>
                <w:sz w:val="22"/>
                <w:szCs w:val="24"/>
              </w:rPr>
              <w:t>优质菜用甘薯较普通甘薯亩收益</w:t>
            </w:r>
          </w:p>
        </w:tc>
        <w:tc>
          <w:tcPr>
            <w:tcW w:w="12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Cs/>
                <w:kern w:val="0"/>
                <w:szCs w:val="21"/>
              </w:rPr>
            </w:pPr>
            <w:r>
              <w:rPr>
                <w:rFonts w:hint="eastAsia" w:ascii="Times New Roman" w:hAnsi="Times New Roman" w:eastAsia="宋体" w:cs="Times New Roman"/>
                <w:color w:val="000000"/>
                <w:sz w:val="22"/>
                <w:szCs w:val="24"/>
              </w:rPr>
              <w:t>提高10%以上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bCs/>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11.2%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农户种植油料作物收益</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增加8%</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仿宋" w:hAnsi="仿宋" w:eastAsia="仿宋" w:cs="仿宋"/>
                <w:bCs/>
                <w:kern w:val="0"/>
                <w:szCs w:val="21"/>
              </w:rPr>
            </w:pPr>
            <w:r>
              <w:rPr>
                <w:rFonts w:hint="eastAsia" w:ascii="仿宋" w:hAnsi="仿宋" w:eastAsia="仿宋" w:cs="仿宋"/>
                <w:bCs/>
                <w:kern w:val="0"/>
                <w:szCs w:val="21"/>
              </w:rPr>
              <w:t>增加10%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社会效</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开展棉花技术培训及指导</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8次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18次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中药材开展应急服务</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及时开展</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开展应急服务26次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作物技术培训</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500人次以上</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600人次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油料作物种植积极性</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增强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增强</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生态效</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严格管控区棉田土壤镉含量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下降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下降</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中药材绿色防控技术示范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减少农药实施5%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减少农药实施5%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减少农药使用量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优化</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减低10%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生态环境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提升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提升</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可持续影响指标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环境污染</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改善</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改善</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地力改善</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持续</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持续</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旱粮作物可持续影响指标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带动周边种植1000亩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r>
              <w:rPr>
                <w:rFonts w:hint="eastAsia" w:ascii="Times New Roman" w:hAnsi="Times New Roman" w:eastAsia="宋体" w:cs="Times New Roman"/>
                <w:color w:val="000000"/>
                <w:kern w:val="0"/>
                <w:szCs w:val="21"/>
              </w:rPr>
              <w:t>种植1200亩</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油料作物综合收益</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增加10%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增加12%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满意度</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指标</w:t>
            </w:r>
          </w:p>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（10分）</w:t>
            </w: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企业满意度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农户满意度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96%</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96.85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bl>
    <w:p>
      <w:pPr>
        <w:spacing w:line="560" w:lineRule="exact"/>
        <w:rPr>
          <w:rFonts w:ascii="Times New Roman" w:hAnsi="Times New Roman" w:eastAsia="宋体" w:cs="Times New Roman"/>
          <w:szCs w:val="24"/>
        </w:rPr>
      </w:pPr>
    </w:p>
    <w:p>
      <w:pPr>
        <w:pStyle w:val="17"/>
        <w:spacing w:line="600" w:lineRule="exact"/>
        <w:ind w:firstLine="640" w:firstLineChars="200"/>
        <w:jc w:val="center"/>
        <w:rPr>
          <w:rFonts w:ascii="Times New Roman" w:hAnsi="Times New Roman" w:cs="Times New Roman"/>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3xLOQWAgAAFQQAAA4AAABkcnMvZTJvRG9jLnhtbK1TzY7TMBC+I/EO&#10;lu80aVFX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83qa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98SzkFgIAABUEAAAOAAAAAAAA&#10;AAEAIAAAAB8BAABkcnMvZTJvRG9jLnhtbFBLBQYAAAAABgAGAFkBAACn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50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abstractNum w:abstractNumId="1">
    <w:nsid w:val="C7E6926D"/>
    <w:multiLevelType w:val="singleLevel"/>
    <w:tmpl w:val="C7E6926D"/>
    <w:lvl w:ilvl="0" w:tentative="0">
      <w:start w:val="1"/>
      <w:numFmt w:val="decimal"/>
      <w:suff w:val="nothing"/>
      <w:lvlText w:val="%1、"/>
      <w:lvlJc w:val="left"/>
    </w:lvl>
  </w:abstractNum>
  <w:abstractNum w:abstractNumId="2">
    <w:nsid w:val="3280EA4B"/>
    <w:multiLevelType w:val="singleLevel"/>
    <w:tmpl w:val="3280EA4B"/>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HorizontalSpacing w:val="105"/>
  <w:drawingGridVerticalSpacing w:val="156"/>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0001A"/>
    <w:rsid w:val="00002B49"/>
    <w:rsid w:val="0002229B"/>
    <w:rsid w:val="00024316"/>
    <w:rsid w:val="000273BD"/>
    <w:rsid w:val="0003620C"/>
    <w:rsid w:val="00040CBC"/>
    <w:rsid w:val="000415B7"/>
    <w:rsid w:val="00041E3F"/>
    <w:rsid w:val="00055DAA"/>
    <w:rsid w:val="00061F7B"/>
    <w:rsid w:val="000658A3"/>
    <w:rsid w:val="00074155"/>
    <w:rsid w:val="00080785"/>
    <w:rsid w:val="000A3F69"/>
    <w:rsid w:val="000B20F1"/>
    <w:rsid w:val="000B4563"/>
    <w:rsid w:val="000C5742"/>
    <w:rsid w:val="000F12B7"/>
    <w:rsid w:val="00103957"/>
    <w:rsid w:val="00152C6D"/>
    <w:rsid w:val="00162D39"/>
    <w:rsid w:val="001678BD"/>
    <w:rsid w:val="00182373"/>
    <w:rsid w:val="001957B8"/>
    <w:rsid w:val="001A31D9"/>
    <w:rsid w:val="001A67DB"/>
    <w:rsid w:val="001B67D1"/>
    <w:rsid w:val="001C3C29"/>
    <w:rsid w:val="001D2B79"/>
    <w:rsid w:val="001D51E5"/>
    <w:rsid w:val="001E080D"/>
    <w:rsid w:val="001E487A"/>
    <w:rsid w:val="001E53D0"/>
    <w:rsid w:val="001E6749"/>
    <w:rsid w:val="001F0C3B"/>
    <w:rsid w:val="00202C82"/>
    <w:rsid w:val="00214427"/>
    <w:rsid w:val="00220689"/>
    <w:rsid w:val="00221AFD"/>
    <w:rsid w:val="00226CB7"/>
    <w:rsid w:val="00252450"/>
    <w:rsid w:val="00264552"/>
    <w:rsid w:val="00264EF9"/>
    <w:rsid w:val="00265724"/>
    <w:rsid w:val="0027426B"/>
    <w:rsid w:val="002746B8"/>
    <w:rsid w:val="00296D60"/>
    <w:rsid w:val="002A2B24"/>
    <w:rsid w:val="002E0A30"/>
    <w:rsid w:val="002F5128"/>
    <w:rsid w:val="0030008E"/>
    <w:rsid w:val="0030077D"/>
    <w:rsid w:val="0030335E"/>
    <w:rsid w:val="00312A53"/>
    <w:rsid w:val="003130C4"/>
    <w:rsid w:val="00315C91"/>
    <w:rsid w:val="00316C4B"/>
    <w:rsid w:val="0032192B"/>
    <w:rsid w:val="003265BA"/>
    <w:rsid w:val="00330C55"/>
    <w:rsid w:val="0033283E"/>
    <w:rsid w:val="003479BD"/>
    <w:rsid w:val="003516CC"/>
    <w:rsid w:val="00363368"/>
    <w:rsid w:val="0037197D"/>
    <w:rsid w:val="003768D5"/>
    <w:rsid w:val="00376D47"/>
    <w:rsid w:val="003818CB"/>
    <w:rsid w:val="003926B9"/>
    <w:rsid w:val="003A575B"/>
    <w:rsid w:val="003C2E17"/>
    <w:rsid w:val="003C47E6"/>
    <w:rsid w:val="003C4FC2"/>
    <w:rsid w:val="00401F9A"/>
    <w:rsid w:val="00416E61"/>
    <w:rsid w:val="0042790C"/>
    <w:rsid w:val="004506F9"/>
    <w:rsid w:val="00455F4E"/>
    <w:rsid w:val="00460EFE"/>
    <w:rsid w:val="00462315"/>
    <w:rsid w:val="004717A2"/>
    <w:rsid w:val="00473DF3"/>
    <w:rsid w:val="00487911"/>
    <w:rsid w:val="00490F48"/>
    <w:rsid w:val="00491741"/>
    <w:rsid w:val="004B0CEE"/>
    <w:rsid w:val="004C2A0A"/>
    <w:rsid w:val="004F5EFB"/>
    <w:rsid w:val="004F70E5"/>
    <w:rsid w:val="00500E5F"/>
    <w:rsid w:val="005122EF"/>
    <w:rsid w:val="0051441A"/>
    <w:rsid w:val="00516369"/>
    <w:rsid w:val="00517C33"/>
    <w:rsid w:val="00517D5F"/>
    <w:rsid w:val="00523644"/>
    <w:rsid w:val="00537A90"/>
    <w:rsid w:val="0054069E"/>
    <w:rsid w:val="00544866"/>
    <w:rsid w:val="00552A3D"/>
    <w:rsid w:val="00563701"/>
    <w:rsid w:val="00574CC8"/>
    <w:rsid w:val="005767CC"/>
    <w:rsid w:val="00590D9F"/>
    <w:rsid w:val="00595D26"/>
    <w:rsid w:val="005A74E6"/>
    <w:rsid w:val="005B404E"/>
    <w:rsid w:val="005D4D55"/>
    <w:rsid w:val="005E0E6C"/>
    <w:rsid w:val="005E2CFB"/>
    <w:rsid w:val="005F2103"/>
    <w:rsid w:val="005F3D1C"/>
    <w:rsid w:val="005F4189"/>
    <w:rsid w:val="005F6171"/>
    <w:rsid w:val="005F6DAD"/>
    <w:rsid w:val="006171EE"/>
    <w:rsid w:val="0062378F"/>
    <w:rsid w:val="00632837"/>
    <w:rsid w:val="00641842"/>
    <w:rsid w:val="00651EEC"/>
    <w:rsid w:val="00677BCD"/>
    <w:rsid w:val="00686673"/>
    <w:rsid w:val="00687564"/>
    <w:rsid w:val="00691E8C"/>
    <w:rsid w:val="006920C8"/>
    <w:rsid w:val="006A22C4"/>
    <w:rsid w:val="006A351B"/>
    <w:rsid w:val="006B0422"/>
    <w:rsid w:val="006C1B53"/>
    <w:rsid w:val="006D7730"/>
    <w:rsid w:val="006E5284"/>
    <w:rsid w:val="006E6232"/>
    <w:rsid w:val="006F1B09"/>
    <w:rsid w:val="006F3EB5"/>
    <w:rsid w:val="006F56C8"/>
    <w:rsid w:val="006F6C41"/>
    <w:rsid w:val="00702E34"/>
    <w:rsid w:val="00704395"/>
    <w:rsid w:val="00710FE7"/>
    <w:rsid w:val="00717621"/>
    <w:rsid w:val="00720FF1"/>
    <w:rsid w:val="00727A53"/>
    <w:rsid w:val="007374D5"/>
    <w:rsid w:val="007437D9"/>
    <w:rsid w:val="007502DE"/>
    <w:rsid w:val="007866BE"/>
    <w:rsid w:val="00787B42"/>
    <w:rsid w:val="007A3284"/>
    <w:rsid w:val="007B63FB"/>
    <w:rsid w:val="007C1D37"/>
    <w:rsid w:val="007C4539"/>
    <w:rsid w:val="007F3657"/>
    <w:rsid w:val="00810F0C"/>
    <w:rsid w:val="00811AA2"/>
    <w:rsid w:val="00812ED5"/>
    <w:rsid w:val="008277D9"/>
    <w:rsid w:val="008328A3"/>
    <w:rsid w:val="0084478C"/>
    <w:rsid w:val="00845C29"/>
    <w:rsid w:val="0086638C"/>
    <w:rsid w:val="008764FA"/>
    <w:rsid w:val="008A079D"/>
    <w:rsid w:val="008A1079"/>
    <w:rsid w:val="008A3E8D"/>
    <w:rsid w:val="008A5055"/>
    <w:rsid w:val="008D17F4"/>
    <w:rsid w:val="008F0F1C"/>
    <w:rsid w:val="008F570A"/>
    <w:rsid w:val="009237C4"/>
    <w:rsid w:val="00924635"/>
    <w:rsid w:val="00926B2D"/>
    <w:rsid w:val="00932382"/>
    <w:rsid w:val="00944C48"/>
    <w:rsid w:val="00950252"/>
    <w:rsid w:val="00961E70"/>
    <w:rsid w:val="00963455"/>
    <w:rsid w:val="00967F5D"/>
    <w:rsid w:val="00995D66"/>
    <w:rsid w:val="009A0F95"/>
    <w:rsid w:val="009A46FE"/>
    <w:rsid w:val="009B0026"/>
    <w:rsid w:val="009B3ADF"/>
    <w:rsid w:val="009C31C5"/>
    <w:rsid w:val="009C3B52"/>
    <w:rsid w:val="009E1F23"/>
    <w:rsid w:val="009E2A6A"/>
    <w:rsid w:val="009E6817"/>
    <w:rsid w:val="009E6E9A"/>
    <w:rsid w:val="00A01D2B"/>
    <w:rsid w:val="00A02B99"/>
    <w:rsid w:val="00A1392A"/>
    <w:rsid w:val="00A42218"/>
    <w:rsid w:val="00A65417"/>
    <w:rsid w:val="00A70249"/>
    <w:rsid w:val="00A70B02"/>
    <w:rsid w:val="00A71D9F"/>
    <w:rsid w:val="00A73293"/>
    <w:rsid w:val="00A7394B"/>
    <w:rsid w:val="00A75A17"/>
    <w:rsid w:val="00A92E9F"/>
    <w:rsid w:val="00AB18FF"/>
    <w:rsid w:val="00AC0F94"/>
    <w:rsid w:val="00AD1971"/>
    <w:rsid w:val="00AD5A92"/>
    <w:rsid w:val="00AE3E59"/>
    <w:rsid w:val="00B26269"/>
    <w:rsid w:val="00B32E67"/>
    <w:rsid w:val="00B33BEA"/>
    <w:rsid w:val="00B34D15"/>
    <w:rsid w:val="00B57C9F"/>
    <w:rsid w:val="00B63572"/>
    <w:rsid w:val="00B738A1"/>
    <w:rsid w:val="00B845B3"/>
    <w:rsid w:val="00B85D8B"/>
    <w:rsid w:val="00BA388A"/>
    <w:rsid w:val="00BB4A40"/>
    <w:rsid w:val="00BD6022"/>
    <w:rsid w:val="00BD6C3E"/>
    <w:rsid w:val="00BE3674"/>
    <w:rsid w:val="00C022DB"/>
    <w:rsid w:val="00C10681"/>
    <w:rsid w:val="00C10822"/>
    <w:rsid w:val="00C15C89"/>
    <w:rsid w:val="00C27C0D"/>
    <w:rsid w:val="00C3049A"/>
    <w:rsid w:val="00C31B1E"/>
    <w:rsid w:val="00C32F2E"/>
    <w:rsid w:val="00C73888"/>
    <w:rsid w:val="00C77461"/>
    <w:rsid w:val="00C77645"/>
    <w:rsid w:val="00CC7726"/>
    <w:rsid w:val="00CE04C3"/>
    <w:rsid w:val="00CE34BE"/>
    <w:rsid w:val="00CE6378"/>
    <w:rsid w:val="00CE76A0"/>
    <w:rsid w:val="00CF6D3D"/>
    <w:rsid w:val="00D148C6"/>
    <w:rsid w:val="00D17A8A"/>
    <w:rsid w:val="00D415BA"/>
    <w:rsid w:val="00D47462"/>
    <w:rsid w:val="00D47894"/>
    <w:rsid w:val="00D63780"/>
    <w:rsid w:val="00D644EE"/>
    <w:rsid w:val="00DD06FF"/>
    <w:rsid w:val="00DD40DB"/>
    <w:rsid w:val="00DD5FE9"/>
    <w:rsid w:val="00DE290A"/>
    <w:rsid w:val="00DF1CE7"/>
    <w:rsid w:val="00DF3DC1"/>
    <w:rsid w:val="00E00C7A"/>
    <w:rsid w:val="00E14031"/>
    <w:rsid w:val="00E1618C"/>
    <w:rsid w:val="00E16D98"/>
    <w:rsid w:val="00E37D6C"/>
    <w:rsid w:val="00E55B68"/>
    <w:rsid w:val="00E561AE"/>
    <w:rsid w:val="00E67BE6"/>
    <w:rsid w:val="00E8683C"/>
    <w:rsid w:val="00EA2342"/>
    <w:rsid w:val="00EA238A"/>
    <w:rsid w:val="00EA2B72"/>
    <w:rsid w:val="00EA7DCB"/>
    <w:rsid w:val="00EC0C88"/>
    <w:rsid w:val="00ED7DCB"/>
    <w:rsid w:val="00F54B7C"/>
    <w:rsid w:val="00F74360"/>
    <w:rsid w:val="00FA226B"/>
    <w:rsid w:val="00FB4094"/>
    <w:rsid w:val="00FB462F"/>
    <w:rsid w:val="00FE16FA"/>
    <w:rsid w:val="00FE328A"/>
    <w:rsid w:val="00FE6269"/>
    <w:rsid w:val="00FF5CD6"/>
    <w:rsid w:val="1D97DEFF"/>
    <w:rsid w:val="1DFF72E5"/>
    <w:rsid w:val="1EFC6F07"/>
    <w:rsid w:val="2A6F4F15"/>
    <w:rsid w:val="2FDF85B8"/>
    <w:rsid w:val="2FFFEE04"/>
    <w:rsid w:val="34DF85B0"/>
    <w:rsid w:val="3B8F36BC"/>
    <w:rsid w:val="491FF225"/>
    <w:rsid w:val="4FFD214C"/>
    <w:rsid w:val="5777D4F5"/>
    <w:rsid w:val="59DD8326"/>
    <w:rsid w:val="5DEF592A"/>
    <w:rsid w:val="5FC6BB1E"/>
    <w:rsid w:val="5FF720F1"/>
    <w:rsid w:val="67FF5C0B"/>
    <w:rsid w:val="6BF956B3"/>
    <w:rsid w:val="6EFC0924"/>
    <w:rsid w:val="6FB74722"/>
    <w:rsid w:val="6FEF8B7E"/>
    <w:rsid w:val="71A6591B"/>
    <w:rsid w:val="737D59BA"/>
    <w:rsid w:val="77C37683"/>
    <w:rsid w:val="79D19834"/>
    <w:rsid w:val="79FF515B"/>
    <w:rsid w:val="7E721156"/>
    <w:rsid w:val="7E9E1962"/>
    <w:rsid w:val="7E9F11B4"/>
    <w:rsid w:val="7F37EC1E"/>
    <w:rsid w:val="7F7DCD9D"/>
    <w:rsid w:val="7F970A6F"/>
    <w:rsid w:val="7FC1FFF3"/>
    <w:rsid w:val="7FC69637"/>
    <w:rsid w:val="7FDF8620"/>
    <w:rsid w:val="7FE8C8F7"/>
    <w:rsid w:val="7FFB242F"/>
    <w:rsid w:val="7FFCC730"/>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23"/>
    <w:qFormat/>
    <w:uiPriority w:val="0"/>
    <w:pPr>
      <w:spacing w:line="700" w:lineRule="exact"/>
      <w:jc w:val="center"/>
      <w:outlineLvl w:val="0"/>
    </w:pPr>
    <w:rPr>
      <w:rFonts w:ascii="Times New Roman" w:hAnsi="Times New Roman" w:eastAsia="方正小标宋简体" w:cs="Times New Roman"/>
      <w:bCs/>
      <w:kern w:val="44"/>
      <w:sz w:val="44"/>
      <w:szCs w:val="44"/>
    </w:rPr>
  </w:style>
  <w:style w:type="paragraph" w:styleId="6">
    <w:name w:val="heading 3"/>
    <w:basedOn w:val="1"/>
    <w:next w:val="1"/>
    <w:link w:val="24"/>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link w:val="30"/>
    <w:semiHidden/>
    <w:qFormat/>
    <w:uiPriority w:val="0"/>
    <w:pPr>
      <w:snapToGrid w:val="0"/>
      <w:jc w:val="left"/>
    </w:pPr>
    <w:rPr>
      <w:sz w:val="18"/>
      <w:szCs w:val="18"/>
    </w:rPr>
  </w:style>
  <w:style w:type="paragraph" w:styleId="3">
    <w:name w:val="Body Text First Indent 2"/>
    <w:basedOn w:val="4"/>
    <w:next w:val="1"/>
    <w:link w:val="35"/>
    <w:unhideWhenUsed/>
    <w:qFormat/>
    <w:uiPriority w:val="99"/>
    <w:pPr>
      <w:ind w:firstLine="420" w:firstLineChars="200"/>
    </w:pPr>
  </w:style>
  <w:style w:type="paragraph" w:styleId="4">
    <w:name w:val="Body Text Indent"/>
    <w:basedOn w:val="1"/>
    <w:next w:val="3"/>
    <w:link w:val="33"/>
    <w:unhideWhenUsed/>
    <w:qFormat/>
    <w:uiPriority w:val="0"/>
    <w:pPr>
      <w:widowControl/>
      <w:spacing w:after="120"/>
      <w:ind w:left="420" w:leftChars="200"/>
      <w:jc w:val="left"/>
    </w:pPr>
    <w:rPr>
      <w:rFonts w:ascii="宋体" w:hAnsi="宋体" w:eastAsia="宋体" w:cs="宋体"/>
      <w:kern w:val="0"/>
      <w:sz w:val="24"/>
    </w:rPr>
  </w:style>
  <w:style w:type="paragraph" w:styleId="7">
    <w:name w:val="Body Text"/>
    <w:basedOn w:val="1"/>
    <w:link w:val="31"/>
    <w:qFormat/>
    <w:uiPriority w:val="0"/>
    <w:pPr>
      <w:spacing w:after="120"/>
    </w:pPr>
    <w:rPr>
      <w:rFonts w:ascii="Times New Roman" w:hAnsi="Times New Roman" w:eastAsia="宋体" w:cs="Times New Roman"/>
      <w:szCs w:val="24"/>
    </w:rPr>
  </w:style>
  <w:style w:type="paragraph" w:styleId="8">
    <w:name w:val="Balloon Text"/>
    <w:basedOn w:val="1"/>
    <w:link w:val="19"/>
    <w:unhideWhenUsed/>
    <w:qFormat/>
    <w:uiPriority w:val="99"/>
    <w:rPr>
      <w:sz w:val="18"/>
      <w:szCs w:val="18"/>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5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customStyle="1" w:styleId="15">
    <w:name w:val="页眉 Char"/>
    <w:basedOn w:val="13"/>
    <w:link w:val="10"/>
    <w:qFormat/>
    <w:uiPriority w:val="99"/>
    <w:rPr>
      <w:sz w:val="18"/>
      <w:szCs w:val="18"/>
    </w:rPr>
  </w:style>
  <w:style w:type="character" w:customStyle="1" w:styleId="16">
    <w:name w:val="页脚 Char"/>
    <w:basedOn w:val="13"/>
    <w:link w:val="9"/>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3"/>
    <w:link w:val="8"/>
    <w:semiHidden/>
    <w:qFormat/>
    <w:uiPriority w:val="99"/>
    <w:rPr>
      <w:sz w:val="18"/>
      <w:szCs w:val="18"/>
    </w:rPr>
  </w:style>
  <w:style w:type="character" w:customStyle="1" w:styleId="20">
    <w:name w:val="font01"/>
    <w:basedOn w:val="13"/>
    <w:qFormat/>
    <w:uiPriority w:val="0"/>
    <w:rPr>
      <w:rFonts w:hint="eastAsia" w:ascii="宋体" w:hAnsi="宋体" w:eastAsia="宋体" w:cs="宋体"/>
      <w:color w:val="000000"/>
      <w:sz w:val="22"/>
      <w:szCs w:val="22"/>
      <w:u w:val="none"/>
    </w:rPr>
  </w:style>
  <w:style w:type="character" w:customStyle="1" w:styleId="21">
    <w:name w:val="font21"/>
    <w:basedOn w:val="13"/>
    <w:qFormat/>
    <w:uiPriority w:val="0"/>
    <w:rPr>
      <w:rFonts w:hint="eastAsia" w:ascii="宋体" w:hAnsi="宋体" w:eastAsia="宋体" w:cs="宋体"/>
      <w:color w:val="000000"/>
      <w:sz w:val="24"/>
      <w:szCs w:val="24"/>
      <w:u w:val="none"/>
    </w:rPr>
  </w:style>
  <w:style w:type="character" w:customStyle="1" w:styleId="22">
    <w:name w:val="font11"/>
    <w:basedOn w:val="13"/>
    <w:qFormat/>
    <w:uiPriority w:val="0"/>
    <w:rPr>
      <w:rFonts w:hint="eastAsia" w:ascii="宋体" w:hAnsi="宋体" w:eastAsia="宋体" w:cs="宋体"/>
      <w:color w:val="000000"/>
      <w:sz w:val="24"/>
      <w:szCs w:val="24"/>
      <w:u w:val="none"/>
    </w:rPr>
  </w:style>
  <w:style w:type="character" w:customStyle="1" w:styleId="23">
    <w:name w:val="标题 1 Char"/>
    <w:basedOn w:val="13"/>
    <w:link w:val="5"/>
    <w:qFormat/>
    <w:uiPriority w:val="0"/>
    <w:rPr>
      <w:rFonts w:eastAsia="方正小标宋简体"/>
      <w:bCs/>
      <w:kern w:val="44"/>
      <w:sz w:val="44"/>
      <w:szCs w:val="44"/>
    </w:rPr>
  </w:style>
  <w:style w:type="character" w:customStyle="1" w:styleId="24">
    <w:name w:val="标题 3 Char"/>
    <w:basedOn w:val="13"/>
    <w:link w:val="6"/>
    <w:qFormat/>
    <w:uiPriority w:val="0"/>
    <w:rPr>
      <w:b/>
      <w:bCs/>
      <w:kern w:val="2"/>
      <w:sz w:val="32"/>
      <w:szCs w:val="32"/>
    </w:rPr>
  </w:style>
  <w:style w:type="character" w:customStyle="1" w:styleId="25">
    <w:name w:val="批注框文本 字符"/>
    <w:qFormat/>
    <w:uiPriority w:val="99"/>
    <w:rPr>
      <w:rFonts w:ascii="Calibri" w:hAnsi="Calibri"/>
      <w:kern w:val="2"/>
      <w:sz w:val="18"/>
      <w:szCs w:val="18"/>
    </w:rPr>
  </w:style>
  <w:style w:type="character" w:customStyle="1" w:styleId="26">
    <w:name w:val="页脚 字符"/>
    <w:qFormat/>
    <w:uiPriority w:val="99"/>
    <w:rPr>
      <w:kern w:val="2"/>
      <w:sz w:val="18"/>
      <w:szCs w:val="18"/>
    </w:rPr>
  </w:style>
  <w:style w:type="character" w:customStyle="1" w:styleId="27">
    <w:name w:val="NormalCharacter"/>
    <w:qFormat/>
    <w:uiPriority w:val="99"/>
  </w:style>
  <w:style w:type="character" w:customStyle="1" w:styleId="28">
    <w:name w:val="页眉 字符"/>
    <w:qFormat/>
    <w:uiPriority w:val="99"/>
    <w:rPr>
      <w:kern w:val="2"/>
      <w:sz w:val="18"/>
      <w:szCs w:val="18"/>
    </w:rPr>
  </w:style>
  <w:style w:type="paragraph" w:customStyle="1" w:styleId="29">
    <w:name w:val="表格内容"/>
    <w:basedOn w:val="7"/>
    <w:qFormat/>
    <w:uiPriority w:val="0"/>
  </w:style>
  <w:style w:type="character" w:customStyle="1" w:styleId="30">
    <w:name w:val="脚注文本 Char"/>
    <w:basedOn w:val="13"/>
    <w:link w:val="2"/>
    <w:semiHidden/>
    <w:qFormat/>
    <w:uiPriority w:val="0"/>
    <w:rPr>
      <w:rFonts w:asciiTheme="minorHAnsi" w:hAnsiTheme="minorHAnsi" w:eastAsiaTheme="minorEastAsia" w:cstheme="minorBidi"/>
      <w:kern w:val="2"/>
      <w:sz w:val="18"/>
      <w:szCs w:val="18"/>
    </w:rPr>
  </w:style>
  <w:style w:type="character" w:customStyle="1" w:styleId="31">
    <w:name w:val="正文文本 Char"/>
    <w:basedOn w:val="13"/>
    <w:link w:val="7"/>
    <w:qFormat/>
    <w:uiPriority w:val="0"/>
    <w:rPr>
      <w:kern w:val="2"/>
      <w:sz w:val="21"/>
      <w:szCs w:val="24"/>
    </w:rPr>
  </w:style>
  <w:style w:type="paragraph" w:customStyle="1" w:styleId="32">
    <w:name w:val="_Style 30"/>
    <w:basedOn w:val="4"/>
    <w:next w:val="1"/>
    <w:qFormat/>
    <w:uiPriority w:val="0"/>
    <w:pPr>
      <w:widowControl w:val="0"/>
      <w:spacing w:after="0"/>
      <w:ind w:left="0" w:leftChars="0" w:firstLine="420" w:firstLineChars="200"/>
      <w:jc w:val="both"/>
    </w:pPr>
    <w:rPr>
      <w:rFonts w:ascii="Times New Roman" w:hAnsi="Times New Roman" w:cs="Times New Roman"/>
      <w:kern w:val="2"/>
      <w:sz w:val="21"/>
      <w:szCs w:val="24"/>
    </w:rPr>
  </w:style>
  <w:style w:type="character" w:customStyle="1" w:styleId="33">
    <w:name w:val="正文文本缩进 Char"/>
    <w:basedOn w:val="13"/>
    <w:link w:val="4"/>
    <w:qFormat/>
    <w:uiPriority w:val="0"/>
    <w:rPr>
      <w:rFonts w:ascii="宋体" w:hAnsi="宋体" w:cs="宋体"/>
      <w:sz w:val="24"/>
      <w:szCs w:val="22"/>
    </w:rPr>
  </w:style>
  <w:style w:type="paragraph" w:customStyle="1" w:styleId="3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5">
    <w:name w:val="正文首行缩进 2 Char"/>
    <w:basedOn w:val="33"/>
    <w:link w:val="3"/>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4276</Words>
  <Characters>24378</Characters>
  <Lines>203</Lines>
  <Paragraphs>57</Paragraphs>
  <TotalTime>12</TotalTime>
  <ScaleCrop>false</ScaleCrop>
  <LinksUpToDate>false</LinksUpToDate>
  <CharactersWithSpaces>28597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2025-09-16T17:19:00Z</dcterms:created>
  <dc:creator>李航 null</dc:creator>
  <cp:lastModifiedBy>greatwall</cp:lastModifiedBy>
  <cp:lastPrinted>2024-08-09T10:20:00Z</cp:lastPrinted>
  <dcterms:modified xsi:type="dcterms:W3CDTF">2025-09-16T12:52:25Z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