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rFonts w:ascii="Times New Roman" w:hAnsi="Times New Roman" w:cs="Times New Roman"/>
          <w:sz w:val="56"/>
          <w:szCs w:val="56"/>
        </w:rPr>
      </w:pPr>
    </w:p>
    <w:p>
      <w:pPr>
        <w:pStyle w:val="13"/>
        <w:jc w:val="center"/>
        <w:rPr>
          <w:rFonts w:ascii="Times New Roman" w:hAnsi="Times New Roman" w:cs="Times New Roman"/>
          <w:sz w:val="84"/>
          <w:szCs w:val="84"/>
        </w:rPr>
      </w:pPr>
    </w:p>
    <w:p>
      <w:pPr>
        <w:pStyle w:val="13"/>
        <w:jc w:val="center"/>
        <w:rPr>
          <w:rFonts w:ascii="Times New Roman" w:hAnsi="Times New Roman" w:cs="Times New Roman"/>
          <w:sz w:val="84"/>
          <w:szCs w:val="84"/>
        </w:rPr>
      </w:pPr>
    </w:p>
    <w:p>
      <w:pPr>
        <w:pStyle w:val="13"/>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3"/>
        <w:jc w:val="center"/>
        <w:rPr>
          <w:rFonts w:ascii="Times New Roman" w:hAnsi="Times New Roman" w:cs="Times New Roman"/>
          <w:sz w:val="56"/>
          <w:szCs w:val="56"/>
        </w:rPr>
      </w:pPr>
      <w:r>
        <w:rPr>
          <w:rFonts w:hint="eastAsia" w:ascii="Times New Roman" w:hAnsi="Times New Roman" w:eastAsia="方正小标宋简体" w:cs="Times New Roman"/>
          <w:sz w:val="72"/>
          <w:szCs w:val="72"/>
          <w:lang w:eastAsia="zh-CN"/>
        </w:rPr>
        <w:t>湖南省农作物种子救灾储备中心</w:t>
      </w:r>
      <w:r>
        <w:rPr>
          <w:rFonts w:ascii="Times New Roman" w:hAnsi="Times New Roman" w:eastAsia="方正小标宋简体" w:cs="Times New Roman"/>
          <w:sz w:val="72"/>
          <w:szCs w:val="72"/>
        </w:rPr>
        <w:t>部门决算</w:t>
      </w:r>
    </w:p>
    <w:p>
      <w:pPr>
        <w:pStyle w:val="13"/>
        <w:rPr>
          <w:rFonts w:ascii="Times New Roman" w:hAnsi="Times New Roman" w:cs="Times New Roman"/>
          <w:sz w:val="56"/>
          <w:szCs w:val="56"/>
        </w:rPr>
      </w:pPr>
    </w:p>
    <w:p>
      <w:pPr>
        <w:pStyle w:val="13"/>
        <w:jc w:val="center"/>
        <w:rPr>
          <w:rFonts w:ascii="Times New Roman" w:hAnsi="Times New Roman" w:cs="Times New Roman"/>
          <w:sz w:val="32"/>
          <w:szCs w:val="32"/>
        </w:rPr>
      </w:pPr>
    </w:p>
    <w:p>
      <w:pPr>
        <w:pStyle w:val="13"/>
        <w:jc w:val="center"/>
        <w:rPr>
          <w:rFonts w:ascii="Times New Roman" w:hAnsi="Times New Roman" w:cs="Times New Roman"/>
          <w:sz w:val="32"/>
          <w:szCs w:val="32"/>
        </w:rPr>
      </w:pPr>
    </w:p>
    <w:p>
      <w:pPr>
        <w:pStyle w:val="13"/>
        <w:jc w:val="center"/>
        <w:rPr>
          <w:rFonts w:ascii="Times New Roman" w:hAnsi="Times New Roman" w:cs="Times New Roman"/>
          <w:sz w:val="32"/>
          <w:szCs w:val="32"/>
        </w:rPr>
      </w:pPr>
    </w:p>
    <w:p>
      <w:pPr>
        <w:pStyle w:val="13"/>
        <w:jc w:val="center"/>
        <w:rPr>
          <w:rFonts w:ascii="Times New Roman" w:hAnsi="Times New Roman" w:cs="Times New Roman"/>
          <w:sz w:val="32"/>
          <w:szCs w:val="32"/>
        </w:rPr>
      </w:pPr>
    </w:p>
    <w:p>
      <w:pPr>
        <w:pStyle w:val="13"/>
        <w:jc w:val="center"/>
        <w:rPr>
          <w:rFonts w:ascii="Times New Roman" w:hAnsi="Times New Roman" w:cs="Times New Roman"/>
          <w:sz w:val="32"/>
          <w:szCs w:val="32"/>
        </w:rPr>
      </w:pPr>
    </w:p>
    <w:p>
      <w:pPr>
        <w:pStyle w:val="13"/>
        <w:jc w:val="center"/>
        <w:rPr>
          <w:rFonts w:ascii="Times New Roman" w:hAnsi="Times New Roman" w:cs="Times New Roman"/>
          <w:sz w:val="32"/>
          <w:szCs w:val="32"/>
        </w:rPr>
      </w:pPr>
    </w:p>
    <w:p>
      <w:pPr>
        <w:pStyle w:val="13"/>
        <w:spacing w:line="540" w:lineRule="exact"/>
        <w:jc w:val="center"/>
        <w:rPr>
          <w:rFonts w:ascii="Times New Roman" w:hAnsi="Times New Roman" w:cs="Times New Roman"/>
          <w:sz w:val="56"/>
          <w:szCs w:val="56"/>
        </w:rPr>
      </w:pPr>
    </w:p>
    <w:p>
      <w:pPr>
        <w:rPr>
          <w:rFonts w:ascii="Times New Roman" w:hAnsi="Times New Roman" w:cs="Times New Roman"/>
          <w:b/>
          <w:sz w:val="36"/>
          <w:szCs w:val="28"/>
        </w:rPr>
        <w:sectPr>
          <w:pgSz w:w="11906" w:h="16838"/>
          <w:pgMar w:top="1417" w:right="1588" w:bottom="1417" w:left="1588" w:header="851" w:footer="992" w:gutter="0"/>
          <w:cols w:space="425" w:num="1"/>
          <w:docGrid w:type="lines" w:linePitch="312" w:charSpace="0"/>
        </w:sectPr>
      </w:pPr>
    </w:p>
    <w:p>
      <w:pPr>
        <w:pStyle w:val="13"/>
        <w:spacing w:line="600" w:lineRule="exact"/>
        <w:jc w:val="both"/>
        <w:rPr>
          <w:rFonts w:ascii="Times New Roman" w:hAnsi="Times New Roman" w:cs="Times New Roman"/>
          <w:b/>
          <w:sz w:val="36"/>
          <w:szCs w:val="28"/>
        </w:rPr>
      </w:pPr>
    </w:p>
    <w:p>
      <w:pPr>
        <w:pStyle w:val="13"/>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3"/>
        <w:spacing w:line="600" w:lineRule="exact"/>
        <w:jc w:val="center"/>
        <w:rPr>
          <w:rFonts w:ascii="Times New Roman" w:hAnsi="Times New Roman" w:cs="Times New Roman"/>
          <w:b/>
          <w:sz w:val="36"/>
          <w:szCs w:val="28"/>
        </w:rPr>
      </w:pPr>
    </w:p>
    <w:p>
      <w:pPr>
        <w:pStyle w:val="13"/>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eastAsia="zh-CN"/>
        </w:rPr>
        <w:t>湖南省农作物种子救灾储备中心</w:t>
      </w:r>
      <w:r>
        <w:rPr>
          <w:rFonts w:ascii="Times New Roman" w:hAnsi="Times New Roman" w:cs="Times New Roman"/>
          <w:bCs/>
          <w:sz w:val="32"/>
          <w:szCs w:val="32"/>
        </w:rPr>
        <w:t>概况</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3"/>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3"/>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3"/>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3"/>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3"/>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3"/>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2"/>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3"/>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eastAsia="zh-CN"/>
        </w:rPr>
        <w:t>湖南省农作物种子救灾储备中心</w:t>
      </w:r>
      <w:r>
        <w:rPr>
          <w:rFonts w:ascii="Times New Roman" w:hAnsi="Times New Roman" w:eastAsia="方正小标宋_GBK" w:cs="Times New Roman"/>
          <w:sz w:val="52"/>
          <w:szCs w:val="52"/>
        </w:rPr>
        <w:t>概况</w:t>
      </w:r>
    </w:p>
    <w:p>
      <w:pPr>
        <w:pStyle w:val="3"/>
        <w:ind w:left="0" w:leftChars="0" w:firstLine="0" w:firstLineChars="0"/>
        <w:rPr>
          <w:rFonts w:ascii="Times New Roman" w:hAnsi="Times New Roman" w:cs="Times New Roman"/>
        </w:rPr>
      </w:pPr>
    </w:p>
    <w:p>
      <w:pPr>
        <w:pStyle w:val="14"/>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ind w:firstLine="640" w:firstLineChars="200"/>
        <w:jc w:val="left"/>
        <w:rPr>
          <w:rFonts w:hint="default" w:ascii="Times New Roman" w:hAnsi="Times New Roman" w:eastAsia="仿宋_GB2312" w:cs="Times New Roman"/>
          <w:bCs/>
          <w:kern w:val="0"/>
          <w:sz w:val="32"/>
          <w:szCs w:val="32"/>
          <w:lang w:val="en-US" w:eastAsia="zh-CN"/>
        </w:rPr>
      </w:pPr>
      <w:r>
        <w:rPr>
          <w:rFonts w:hint="eastAsia" w:ascii="Times New Roman" w:hAnsi="Times New Roman" w:eastAsia="仿宋_GB2312" w:cs="Times New Roman"/>
          <w:bCs/>
          <w:kern w:val="0"/>
          <w:sz w:val="32"/>
          <w:szCs w:val="32"/>
          <w:lang w:val="en-US" w:eastAsia="zh-CN"/>
        </w:rPr>
        <w:t>承担国家和省级农业行政主管部门下达的农作物种子救灾备荒储备任务，对储备种子定期检验和更新。</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ind w:firstLine="640" w:firstLineChars="200"/>
        <w:jc w:val="left"/>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（一）内设机构设置。</w:t>
      </w:r>
      <w:r>
        <w:rPr>
          <w:rFonts w:hint="eastAsia" w:ascii="Times New Roman" w:hAnsi="Times New Roman" w:eastAsia="仿宋_GB2312" w:cs="Times New Roman"/>
          <w:bCs/>
          <w:kern w:val="0"/>
          <w:sz w:val="32"/>
          <w:szCs w:val="32"/>
          <w:lang w:eastAsia="zh-CN"/>
        </w:rPr>
        <w:t>湖南省农作物种子救灾储备中心</w:t>
      </w:r>
      <w:r>
        <w:rPr>
          <w:rFonts w:hint="eastAsia" w:ascii="Times New Roman" w:hAnsi="Times New Roman" w:eastAsia="仿宋_GB2312" w:cs="Times New Roman"/>
          <w:bCs/>
          <w:kern w:val="0"/>
          <w:sz w:val="32"/>
          <w:szCs w:val="32"/>
        </w:rPr>
        <w:t>内设机构包括：财务科、储备科</w:t>
      </w:r>
    </w:p>
    <w:p>
      <w:pPr>
        <w:ind w:firstLine="640" w:firstLineChars="200"/>
        <w:jc w:val="left"/>
        <w:rPr>
          <w:rFonts w:ascii="Times New Roman" w:hAnsi="Times New Roman" w:eastAsia="黑体" w:cs="Times New Roman"/>
          <w:sz w:val="28"/>
          <w:szCs w:val="28"/>
        </w:rPr>
      </w:pPr>
      <w:r>
        <w:rPr>
          <w:rFonts w:hint="eastAsia" w:ascii="Times New Roman" w:hAnsi="Times New Roman" w:eastAsia="仿宋_GB2312" w:cs="Times New Roman"/>
          <w:bCs/>
          <w:kern w:val="0"/>
          <w:sz w:val="32"/>
          <w:szCs w:val="32"/>
        </w:rPr>
        <w:t>（二）决算单位构成。</w:t>
      </w:r>
      <w:r>
        <w:rPr>
          <w:rFonts w:hint="eastAsia" w:ascii="Times New Roman" w:hAnsi="Times New Roman" w:eastAsia="仿宋_GB2312" w:cs="Times New Roman"/>
          <w:bCs/>
          <w:kern w:val="0"/>
          <w:sz w:val="32"/>
          <w:szCs w:val="32"/>
          <w:lang w:eastAsia="zh-CN"/>
        </w:rPr>
        <w:t>湖南省农作物种子救灾储备中心</w:t>
      </w:r>
      <w:r>
        <w:rPr>
          <w:rFonts w:hint="eastAsia" w:ascii="Times New Roman" w:hAnsi="Times New Roman" w:eastAsia="仿宋_GB2312" w:cs="Times New Roman"/>
          <w:bCs/>
          <w:kern w:val="0"/>
          <w:sz w:val="32"/>
          <w:szCs w:val="32"/>
        </w:rPr>
        <w:t>202</w:t>
      </w:r>
      <w:r>
        <w:rPr>
          <w:rFonts w:hint="eastAsia" w:ascii="Times New Roman" w:hAnsi="Times New Roman" w:eastAsia="仿宋_GB2312" w:cs="Times New Roman"/>
          <w:bCs/>
          <w:kern w:val="0"/>
          <w:sz w:val="32"/>
          <w:szCs w:val="32"/>
          <w:lang w:val="en-US" w:eastAsia="zh-CN"/>
        </w:rPr>
        <w:t>4</w:t>
      </w:r>
      <w:r>
        <w:rPr>
          <w:rFonts w:hint="eastAsia" w:ascii="Times New Roman" w:hAnsi="Times New Roman" w:eastAsia="仿宋_GB2312" w:cs="Times New Roman"/>
          <w:bCs/>
          <w:kern w:val="0"/>
          <w:sz w:val="32"/>
          <w:szCs w:val="32"/>
        </w:rPr>
        <w:t>年部门决算汇总公开单位构成包括：</w:t>
      </w:r>
      <w:r>
        <w:rPr>
          <w:rFonts w:hint="eastAsia" w:ascii="Times New Roman" w:hAnsi="Times New Roman" w:eastAsia="仿宋_GB2312" w:cs="Times New Roman"/>
          <w:bCs/>
          <w:kern w:val="0"/>
          <w:sz w:val="32"/>
          <w:szCs w:val="32"/>
          <w:lang w:eastAsia="zh-CN"/>
        </w:rPr>
        <w:t>湖南省农作物种子救灾储备中心</w:t>
      </w:r>
      <w:r>
        <w:rPr>
          <w:rFonts w:hint="eastAsia" w:ascii="Times New Roman" w:hAnsi="Times New Roman" w:eastAsia="仿宋_GB2312" w:cs="Times New Roman"/>
          <w:bCs/>
          <w:kern w:val="0"/>
          <w:sz w:val="32"/>
          <w:szCs w:val="32"/>
        </w:rPr>
        <w:t>本级</w:t>
      </w:r>
      <w:r>
        <w:rPr>
          <w:rFonts w:hint="eastAsia" w:ascii="Times New Roman" w:hAnsi="Times New Roman" w:eastAsia="仿宋_GB2312" w:cs="Times New Roman"/>
          <w:bCs/>
          <w:kern w:val="0"/>
          <w:sz w:val="32"/>
          <w:szCs w:val="32"/>
          <w:lang w:eastAsia="zh-CN"/>
        </w:rPr>
        <w:t>。</w:t>
      </w: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2"/>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3"/>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湖南省农作物种子救灾储备中心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p>
      <w:pPr>
        <w:widowControl/>
        <w:jc w:val="left"/>
        <w:textAlignment w:val="center"/>
        <w:rPr>
          <w:rFonts w:ascii="Times New Roman" w:hAnsi="Times New Roman" w:eastAsia="宋体" w:cs="Times New Roman"/>
          <w:color w:val="000000"/>
          <w:kern w:val="0"/>
          <w:sz w:val="24"/>
          <w:szCs w:val="24"/>
          <w:lang w:bidi="ar"/>
        </w:rPr>
      </w:pPr>
    </w:p>
    <w:tbl>
      <w:tblPr>
        <w:tblStyle w:val="9"/>
        <w:tblW w:w="137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327"/>
        <w:gridCol w:w="692"/>
        <w:gridCol w:w="1024"/>
        <w:gridCol w:w="3320"/>
        <w:gridCol w:w="460"/>
        <w:gridCol w:w="29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04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668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196.53</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0.83</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197.36</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使用非财政拨款结余（含专用结余）</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197.36</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29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197.36</w:t>
            </w:r>
          </w:p>
        </w:tc>
      </w:tr>
    </w:tbl>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kern w:val="0"/>
          <w:sz w:val="20"/>
          <w:szCs w:val="20"/>
          <w:lang w:eastAsia="zh-CN" w:bidi="ar"/>
        </w:rPr>
        <w:t>湖南省农作物种子救灾储备中心</w:t>
      </w:r>
      <w:r>
        <w:rPr>
          <w:rFonts w:ascii="Times New Roman" w:hAnsi="Times New Roman" w:eastAsia="仿宋_GB2312" w:cs="Times New Roman"/>
          <w:color w:val="000000"/>
          <w:sz w:val="20"/>
          <w:szCs w:val="20"/>
        </w:rPr>
        <w:tab/>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9"/>
        <w:tblW w:w="149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68"/>
        <w:gridCol w:w="3603"/>
        <w:gridCol w:w="1649"/>
        <w:gridCol w:w="1649"/>
        <w:gridCol w:w="1649"/>
        <w:gridCol w:w="1311"/>
        <w:gridCol w:w="1311"/>
        <w:gridCol w:w="1374"/>
        <w:gridCol w:w="13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6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31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31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37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33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6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6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1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3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6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197.36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196.53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157.46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156.63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157.46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156.63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105.56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104.73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bidi="ar"/>
        </w:rPr>
        <w:t>湖南省农作物种子救灾储备中心</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9"/>
        <w:tblW w:w="144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36"/>
        <w:gridCol w:w="3603"/>
        <w:gridCol w:w="1649"/>
        <w:gridCol w:w="1649"/>
        <w:gridCol w:w="1649"/>
        <w:gridCol w:w="1649"/>
        <w:gridCol w:w="1649"/>
        <w:gridCol w:w="14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7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4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3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7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73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174.82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129.32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45.50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both"/>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bidi="ar"/>
        </w:rPr>
        <w:t>湖南省农作物种子救灾储备中心</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color w:val="000000"/>
          <w:kern w:val="0"/>
          <w:sz w:val="20"/>
          <w:szCs w:val="20"/>
        </w:rPr>
        <w:t>单位：万元</w:t>
      </w:r>
    </w:p>
    <w:tbl>
      <w:tblPr>
        <w:tblStyle w:val="9"/>
        <w:tblW w:w="14889" w:type="dxa"/>
        <w:tblInd w:w="-31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172"/>
        <w:gridCol w:w="523"/>
        <w:gridCol w:w="1540"/>
        <w:gridCol w:w="4173"/>
        <w:gridCol w:w="478"/>
        <w:gridCol w:w="850"/>
        <w:gridCol w:w="1388"/>
        <w:gridCol w:w="1113"/>
        <w:gridCol w:w="16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3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654"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317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17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7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8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65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31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1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196.53</w:t>
            </w: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27.77</w:t>
            </w: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27.77</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138.04</w:t>
            </w: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138.04</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196.53</w:t>
            </w: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174.82</w:t>
            </w: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174.82</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21.71</w:t>
            </w: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21.71</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196.53</w:t>
            </w:r>
          </w:p>
        </w:tc>
        <w:tc>
          <w:tcPr>
            <w:tcW w:w="417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196.53</w:t>
            </w:r>
          </w:p>
        </w:tc>
        <w:tc>
          <w:tcPr>
            <w:tcW w:w="1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196.53</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kern w:val="0"/>
          <w:sz w:val="20"/>
          <w:szCs w:val="20"/>
          <w:lang w:eastAsia="zh-CN" w:bidi="ar"/>
        </w:rPr>
        <w:t>湖南省农作物种子救灾储备中心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单位：万元</w:t>
      </w:r>
    </w:p>
    <w:tbl>
      <w:tblPr>
        <w:tblStyle w:val="9"/>
        <w:tblW w:w="129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018"/>
        <w:gridCol w:w="4750"/>
        <w:gridCol w:w="2060"/>
        <w:gridCol w:w="2061"/>
        <w:gridCol w:w="20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76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182"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475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0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06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06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0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7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7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76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76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174.82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129.32</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45.50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27.77</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27.77</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27.77</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27.77</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4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8.77</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8.77</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92.54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138.04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92.54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4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92.54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92.54</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7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kern w:val="0"/>
          <w:sz w:val="20"/>
          <w:szCs w:val="20"/>
          <w:lang w:eastAsia="zh-CN" w:bidi="ar"/>
        </w:rPr>
        <w:t>湖南省农作物种子救灾储备中心</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9"/>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93.70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7.01</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22.42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5.68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0.97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1.68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37.80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8.77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6.83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0.56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9.00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28.60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19.00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0.67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0.90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9"/>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9"/>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3.34</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8.70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122.30</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18"/>
              </w:rPr>
            </w:pPr>
            <w:r>
              <w:rPr>
                <w:rFonts w:hint="eastAsia" w:ascii="宋体" w:hAnsi="宋体" w:eastAsia="宋体" w:cs="宋体"/>
                <w:i w:val="0"/>
                <w:color w:val="000000"/>
                <w:kern w:val="0"/>
                <w:sz w:val="22"/>
                <w:szCs w:val="22"/>
                <w:u w:val="none"/>
                <w:lang w:val="en-US" w:eastAsia="zh-CN" w:bidi="ar"/>
              </w:rPr>
              <w:t>7.01</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jc w:val="left"/>
        <w:rPr>
          <w:rFonts w:ascii="Times New Roman" w:hAnsi="Times New Roman" w:eastAsia="仿宋_GB2312" w:cs="Times New Roman"/>
          <w:color w:val="000000"/>
          <w:kern w:val="0"/>
          <w:szCs w:val="24"/>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湖南省农作物种子救灾储备中心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9"/>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6"/>
                <w:rFonts w:hint="default" w:ascii="Times New Roman" w:hAnsi="Times New Roman" w:eastAsia="仿宋_GB2312" w:cs="Times New Roman"/>
                <w:b/>
                <w:bCs/>
                <w:lang w:bidi="ar"/>
              </w:rPr>
              <w:t xml:space="preserve">   </w:t>
            </w:r>
            <w:r>
              <w:rPr>
                <w:rStyle w:val="17"/>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公开08表</w:t>
      </w:r>
    </w:p>
    <w:p>
      <w:pPr>
        <w:widowControl/>
        <w:tabs>
          <w:tab w:val="left" w:pos="1326"/>
          <w:tab w:val="left" w:pos="2027"/>
          <w:tab w:val="left" w:pos="4319"/>
          <w:tab w:val="left" w:pos="7634"/>
          <w:tab w:val="left" w:pos="10949"/>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湖南省农作物种子救灾储备中心</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单位：万元</w:t>
      </w:r>
    </w:p>
    <w:tbl>
      <w:tblPr>
        <w:tblStyle w:val="9"/>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18"/>
                <w:rFonts w:hint="default" w:ascii="Times New Roman" w:hAnsi="Times New Roman" w:eastAsia="仿宋_GB2312" w:cs="Times New Roman"/>
                <w:b/>
                <w:bCs/>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2"/>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湖南省农作物种子救灾储备中心</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9"/>
        <w:tblW w:w="14544" w:type="dxa"/>
        <w:jc w:val="center"/>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说明：我单位没有财政拨款“三公”经费支出，故本表无数据。</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3"/>
        <w:rPr>
          <w:rFonts w:ascii="Times New Roman" w:hAnsi="Times New Roman" w:cs="Times New Roman"/>
          <w:sz w:val="72"/>
          <w:szCs w:val="72"/>
        </w:rPr>
      </w:pPr>
    </w:p>
    <w:p>
      <w:pPr>
        <w:pStyle w:val="13"/>
        <w:rPr>
          <w:rFonts w:ascii="Times New Roman" w:hAnsi="Times New Roman" w:cs="Times New Roman"/>
          <w:sz w:val="72"/>
          <w:szCs w:val="72"/>
        </w:rPr>
      </w:pPr>
    </w:p>
    <w:p>
      <w:pPr>
        <w:pStyle w:val="13"/>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center"/>
        <w:rPr>
          <w:rFonts w:ascii="Times New Roman" w:hAnsi="Times New Roman" w:eastAsia="方正小标宋_GBK" w:cs="Times New Roman"/>
          <w:sz w:val="72"/>
          <w:szCs w:val="72"/>
        </w:rPr>
      </w:pPr>
    </w:p>
    <w:p>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197.36</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16.66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7.78</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上年结转结余及人员经费减少。</w:t>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197.36</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197.36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174.82</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129.32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73.97</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45.50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26.03</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196.53</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17.49</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降低</w:t>
      </w:r>
      <w:r>
        <w:rPr>
          <w:rFonts w:hint="eastAsia" w:ascii="Times New Roman" w:hAnsi="Times New Roman" w:eastAsia="仿宋_GB2312" w:cs="Times New Roman"/>
          <w:sz w:val="32"/>
          <w:szCs w:val="32"/>
          <w:lang w:val="en-US" w:eastAsia="zh-CN"/>
        </w:rPr>
        <w:t>8.17</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上年结转结余及人员经费减少。</w:t>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174.82</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12.23</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6.54</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人员经费减少。</w:t>
      </w:r>
    </w:p>
    <w:p>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174.82</w:t>
      </w:r>
      <w:r>
        <w:rPr>
          <w:rFonts w:ascii="Times New Roman" w:hAnsi="Times New Roman" w:eastAsia="仿宋_GB2312" w:cs="Times New Roman"/>
          <w:sz w:val="32"/>
          <w:szCs w:val="32"/>
        </w:rPr>
        <w:t>万元，主要用于以下方面：</w:t>
      </w:r>
      <w:r>
        <w:rPr>
          <w:rFonts w:hint="eastAsia" w:ascii="Times New Roman" w:hAnsi="Times New Roman" w:eastAsia="仿宋_GB2312"/>
          <w:sz w:val="32"/>
          <w:szCs w:val="32"/>
        </w:rPr>
        <w:t>：社会保障和就业（类）支出</w:t>
      </w:r>
      <w:r>
        <w:rPr>
          <w:rFonts w:hint="eastAsia" w:ascii="Times New Roman" w:hAnsi="Times New Roman" w:eastAsia="仿宋_GB2312"/>
          <w:sz w:val="32"/>
          <w:szCs w:val="32"/>
          <w:lang w:val="en-US" w:eastAsia="zh-CN"/>
        </w:rPr>
        <w:t>27.77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15.89</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138.04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78.96</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；住房保障</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9.00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5.15</w:t>
      </w:r>
      <w:r>
        <w:rPr>
          <w:rFonts w:hint="eastAsia" w:ascii="Times New Roman" w:hAnsi="Times New Roman" w:eastAsia="仿宋_GB2312"/>
          <w:sz w:val="32"/>
          <w:szCs w:val="32"/>
        </w:rPr>
        <w:t>%</w:t>
      </w:r>
    </w:p>
    <w:p>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196.53</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174.82</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88.95</w:t>
      </w:r>
      <w:r>
        <w:rPr>
          <w:rFonts w:ascii="Times New Roman" w:hAnsi="Times New Roman" w:eastAsia="仿宋_GB2312" w:cs="Times New Roman"/>
          <w:sz w:val="32"/>
          <w:szCs w:val="32"/>
        </w:rPr>
        <w:t>%，其中：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1、社会保障和就业（类）人力资源和社会保障管理事务（款）事业单位离退休（项）。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19.00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19.00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2、社会保障和就业（类）人力资源和社会保障管理事务（款）机关事业单位基本养老保险缴费支出（项）。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11.90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8.77</w:t>
      </w:r>
      <w:r>
        <w:rPr>
          <w:rFonts w:hint="eastAsia" w:ascii="Times New Roman" w:hAnsi="Times New Roman" w:eastAsia="仿宋_GB2312"/>
          <w:sz w:val="32"/>
          <w:szCs w:val="32"/>
        </w:rPr>
        <w:t>元，完成年初预算的</w:t>
      </w:r>
      <w:r>
        <w:rPr>
          <w:rFonts w:hint="eastAsia" w:ascii="Times New Roman" w:hAnsi="Times New Roman" w:eastAsia="仿宋_GB2312"/>
          <w:sz w:val="32"/>
          <w:szCs w:val="32"/>
          <w:lang w:val="en-US" w:eastAsia="zh-CN"/>
        </w:rPr>
        <w:t>73.70</w:t>
      </w:r>
      <w:r>
        <w:rPr>
          <w:rFonts w:hint="eastAsia" w:ascii="Times New Roman" w:hAnsi="Times New Roman" w:eastAsia="仿宋_GB2312"/>
          <w:sz w:val="32"/>
          <w:szCs w:val="32"/>
        </w:rPr>
        <w:t>%，决算数小于年初预算数的主要原因是：机关事业单位基本养老保险缴费支出</w:t>
      </w:r>
      <w:r>
        <w:rPr>
          <w:rFonts w:hint="eastAsia" w:ascii="Times New Roman" w:hAnsi="Times New Roman" w:eastAsia="仿宋_GB2312"/>
          <w:sz w:val="32"/>
          <w:szCs w:val="32"/>
          <w:lang w:val="en-US" w:eastAsia="zh-CN"/>
        </w:rPr>
        <w:t>年底有结余。</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、农林水（类）农业农村（款）事业运行</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104.73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92.54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88.36</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单位严格控制各项经费支出，人员及公用经费年底有结余</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、农林水（类）农业农村（款）农业生产发展（项）。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51.90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45.50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87.67</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项目跨年实施</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、住房保障（类）住房改革支出（款）住房公积金（项）。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9.00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9.00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129.32</w:t>
      </w:r>
      <w:r>
        <w:rPr>
          <w:rFonts w:ascii="Times New Roman" w:hAnsi="Times New Roman" w:eastAsia="仿宋_GB2312" w:cs="Times New Roman"/>
          <w:sz w:val="32"/>
          <w:szCs w:val="32"/>
        </w:rPr>
        <w:t>万元，其中：</w:t>
      </w:r>
    </w:p>
    <w:p>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122.30</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94.57</w:t>
      </w:r>
      <w:r>
        <w:rPr>
          <w:rFonts w:ascii="Times New Roman" w:hAnsi="Times New Roman" w:eastAsia="仿宋_GB2312" w:cs="Times New Roman"/>
          <w:sz w:val="32"/>
          <w:szCs w:val="32"/>
        </w:rPr>
        <w:t>%,主要包括基本工资、津贴补贴、奖金、伙食补助费</w:t>
      </w:r>
      <w:r>
        <w:rPr>
          <w:rFonts w:hint="eastAsia" w:ascii="Times New Roman" w:hAnsi="Times New Roman" w:eastAsia="仿宋_GB2312" w:cs="Times New Roman"/>
          <w:sz w:val="32"/>
          <w:szCs w:val="32"/>
          <w:lang w:eastAsia="zh-CN"/>
        </w:rPr>
        <w:t>、绩效工资、机关事业单位基本养老保险缴费、职工基本医疗保险缴费、住房公积金、退休费</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w:t>
      </w:r>
    </w:p>
    <w:p>
      <w:pPr>
        <w:pStyle w:val="13"/>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7.02</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5.43</w:t>
      </w:r>
      <w:r>
        <w:rPr>
          <w:rFonts w:ascii="Times New Roman" w:hAnsi="Times New Roman" w:eastAsia="仿宋_GB2312" w:cs="Times New Roman"/>
          <w:sz w:val="32"/>
          <w:szCs w:val="32"/>
        </w:rPr>
        <w:t>%，主要包括</w:t>
      </w:r>
      <w:r>
        <w:rPr>
          <w:rFonts w:hint="eastAsia" w:ascii="Times New Roman" w:hAnsi="Times New Roman" w:eastAsia="仿宋_GB2312" w:cs="Times New Roman"/>
          <w:sz w:val="32"/>
          <w:szCs w:val="32"/>
          <w:lang w:val="en-US" w:eastAsia="zh-CN"/>
        </w:rPr>
        <w:t>工会经费、福利费、其他交通费用</w:t>
      </w:r>
      <w:r>
        <w:rPr>
          <w:rFonts w:ascii="Times New Roman" w:hAnsi="Times New Roman" w:eastAsia="仿宋_GB2312" w:cs="Times New Roman"/>
          <w:sz w:val="32"/>
          <w:szCs w:val="32"/>
        </w:rPr>
        <w:t>。</w:t>
      </w:r>
    </w:p>
    <w:p>
      <w:pPr>
        <w:pStyle w:val="13"/>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3"/>
        <w:overflowPunct w:val="0"/>
        <w:autoSpaceDE/>
        <w:autoSpaceDN/>
        <w:spacing w:line="600" w:lineRule="exact"/>
        <w:ind w:firstLine="640" w:firstLineChars="200"/>
        <w:jc w:val="both"/>
        <w:rPr>
          <w:rFonts w:ascii="Times New Roman" w:hAnsi="Times New Roman" w:eastAsia="仿宋_GB2312" w:cs="Times New Roman"/>
          <w:color w:val="auto"/>
          <w:sz w:val="32"/>
          <w:szCs w:val="32"/>
          <w:highlight w:val="yellow"/>
        </w:rPr>
      </w:pPr>
      <w:r>
        <w:rPr>
          <w:rFonts w:ascii="Times New Roman" w:hAnsi="Times New Roman" w:eastAsia="仿宋_GB2312" w:cs="Times New Roman"/>
          <w:color w:val="auto"/>
          <w:sz w:val="32"/>
          <w:szCs w:val="32"/>
        </w:rPr>
        <w:t>2024年度“三公”经费财政拨款支出预算为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eastAsia="zh-CN"/>
        </w:rPr>
        <w:t>，</w:t>
      </w:r>
      <w:r>
        <w:rPr>
          <w:rFonts w:ascii="Times New Roman" w:hAnsi="Times New Roman" w:eastAsia="仿宋_GB2312" w:cs="Times New Roman"/>
          <w:color w:val="auto"/>
          <w:sz w:val="32"/>
          <w:szCs w:val="32"/>
        </w:rPr>
        <w:t>与</w:t>
      </w:r>
      <w:r>
        <w:rPr>
          <w:rFonts w:hint="eastAsia" w:ascii="Times New Roman" w:hAnsi="Times New Roman" w:eastAsia="仿宋_GB2312" w:cs="Times New Roman"/>
          <w:color w:val="auto"/>
          <w:sz w:val="32"/>
          <w:szCs w:val="32"/>
          <w:lang w:val="en-US" w:eastAsia="zh-CN"/>
        </w:rPr>
        <w:t>上年持平</w:t>
      </w:r>
      <w:r>
        <w:rPr>
          <w:rFonts w:ascii="Times New Roman" w:hAnsi="Times New Roman" w:eastAsia="仿宋_GB2312" w:cs="Times New Roman"/>
          <w:color w:val="auto"/>
          <w:sz w:val="32"/>
          <w:szCs w:val="32"/>
        </w:rPr>
        <w:t>。</w:t>
      </w:r>
    </w:p>
    <w:p>
      <w:pPr>
        <w:pStyle w:val="13"/>
        <w:overflowPunct w:val="0"/>
        <w:autoSpaceDE/>
        <w:autoSpaceDN/>
        <w:spacing w:line="600" w:lineRule="exact"/>
        <w:ind w:firstLine="640" w:firstLineChars="200"/>
        <w:jc w:val="both"/>
        <w:rPr>
          <w:rFonts w:ascii="Times New Roman" w:hAnsi="Times New Roman" w:eastAsia="楷体_GB2312" w:cs="Times New Roman"/>
          <w:b/>
          <w:color w:val="auto"/>
          <w:sz w:val="32"/>
          <w:szCs w:val="32"/>
        </w:rPr>
      </w:pPr>
      <w:r>
        <w:rPr>
          <w:rFonts w:ascii="Times New Roman" w:hAnsi="Times New Roman" w:eastAsia="楷体_GB2312" w:cs="Times New Roman"/>
          <w:b/>
          <w:color w:val="auto"/>
          <w:sz w:val="32"/>
          <w:szCs w:val="32"/>
        </w:rPr>
        <w:t>（二）“三公”经费财政拨款支出决算具体情况说明</w:t>
      </w:r>
    </w:p>
    <w:p>
      <w:pPr>
        <w:pStyle w:val="13"/>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val="en-US" w:eastAsia="zh-CN"/>
        </w:rPr>
      </w:pPr>
      <w:r>
        <w:rPr>
          <w:rFonts w:ascii="Times New Roman" w:hAnsi="Times New Roman" w:eastAsia="仿宋_GB2312" w:cs="Times New Roman"/>
          <w:color w:val="auto"/>
          <w:sz w:val="32"/>
          <w:szCs w:val="32"/>
        </w:rPr>
        <w:t>1.因公出国（境）费支出预算为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万元；与上年相</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。2024年度安排因公出国（境）团组</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个，累计</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人次</w:t>
      </w:r>
      <w:r>
        <w:rPr>
          <w:rFonts w:hint="eastAsia" w:ascii="Times New Roman" w:hAnsi="Times New Roman" w:eastAsia="仿宋_GB2312" w:cs="Times New Roman"/>
          <w:color w:val="auto"/>
          <w:sz w:val="32"/>
          <w:szCs w:val="32"/>
          <w:lang w:eastAsia="zh-CN"/>
        </w:rPr>
        <w:t>。</w:t>
      </w:r>
    </w:p>
    <w:p>
      <w:pPr>
        <w:pStyle w:val="13"/>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2.公务用车购置费及运行维护费支出预算为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万元，与上年相</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。其中：</w:t>
      </w:r>
    </w:p>
    <w:p>
      <w:pPr>
        <w:pStyle w:val="13"/>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公务用车购置费支出预算为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万元，与上年相</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。单位本级更新公务用车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p>
    <w:p>
      <w:pPr>
        <w:pStyle w:val="13"/>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公务用车运行维护费支出预算为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。截止2024年12月31日，我单位开支财政拨款的公务用车保有量为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p>
    <w:p>
      <w:pPr>
        <w:pStyle w:val="13"/>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3.公务接待费支出预算为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万元，与上年相</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。2024年度共接待来访团组</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个、来宾</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人次。</w:t>
      </w:r>
    </w:p>
    <w:p>
      <w:pPr>
        <w:pStyle w:val="13"/>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八、政府性基金预算收入支出决算情况</w:t>
      </w:r>
    </w:p>
    <w:p>
      <w:pPr>
        <w:pStyle w:val="13"/>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eastAsia="zh-CN"/>
        </w:rPr>
      </w:pPr>
      <w:r>
        <w:rPr>
          <w:rFonts w:ascii="Times New Roman" w:hAnsi="Times New Roman" w:eastAsia="仿宋_GB2312" w:cs="Times New Roman"/>
          <w:color w:val="auto"/>
          <w:sz w:val="32"/>
          <w:szCs w:val="32"/>
        </w:rPr>
        <w:t>本单位无政府性基金收支</w:t>
      </w:r>
      <w:r>
        <w:rPr>
          <w:rFonts w:hint="eastAsia" w:ascii="Times New Roman" w:hAnsi="Times New Roman" w:eastAsia="仿宋_GB2312" w:cs="Times New Roman"/>
          <w:color w:val="auto"/>
          <w:sz w:val="32"/>
          <w:szCs w:val="32"/>
          <w:lang w:eastAsia="zh-CN"/>
        </w:rPr>
        <w:t>。</w:t>
      </w:r>
      <w:bookmarkStart w:id="19" w:name="_GoBack"/>
      <w:bookmarkEnd w:id="19"/>
    </w:p>
    <w:p>
      <w:pPr>
        <w:pStyle w:val="13"/>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九、关于机关运行经费支出说明</w:t>
      </w:r>
    </w:p>
    <w:p>
      <w:pPr>
        <w:pStyle w:val="13"/>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本部门2024年度机关运行经费支</w:t>
      </w:r>
      <w:r>
        <w:rPr>
          <w:rFonts w:hint="eastAsia" w:ascii="Times New Roman" w:hAnsi="Times New Roman" w:eastAsia="仿宋_GB2312" w:cs="Times New Roman"/>
          <w:color w:val="auto"/>
          <w:sz w:val="32"/>
          <w:szCs w:val="32"/>
          <w:lang w:val="en-US" w:eastAsia="zh-CN"/>
        </w:rPr>
        <w:t>出0</w:t>
      </w:r>
      <w:r>
        <w:rPr>
          <w:rFonts w:ascii="Times New Roman" w:hAnsi="Times New Roman" w:eastAsia="仿宋_GB2312" w:cs="Times New Roman"/>
          <w:color w:val="auto"/>
          <w:sz w:val="32"/>
          <w:szCs w:val="32"/>
        </w:rPr>
        <w:t>万元，比上年决算数</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w:t>
      </w:r>
    </w:p>
    <w:p>
      <w:pPr>
        <w:pStyle w:val="13"/>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十、一般性支出情况说明</w:t>
      </w:r>
    </w:p>
    <w:p>
      <w:pPr>
        <w:pStyle w:val="13"/>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eastAsia="zh-CN"/>
        </w:rPr>
      </w:pPr>
      <w:r>
        <w:rPr>
          <w:rFonts w:ascii="Times New Roman" w:hAnsi="Times New Roman" w:eastAsia="仿宋_GB2312" w:cs="Times New Roman"/>
          <w:color w:val="auto"/>
          <w:sz w:val="32"/>
          <w:szCs w:val="32"/>
        </w:rPr>
        <w:t>2024年本部门开支会议费</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万元；开支培训费</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val="en-US" w:eastAsia="zh-CN"/>
        </w:rPr>
        <w:t>；未</w:t>
      </w:r>
      <w:r>
        <w:rPr>
          <w:rFonts w:ascii="Times New Roman" w:hAnsi="Times New Roman" w:eastAsia="仿宋_GB2312" w:cs="Times New Roman"/>
          <w:color w:val="auto"/>
          <w:sz w:val="32"/>
          <w:szCs w:val="32"/>
        </w:rPr>
        <w:t>举办节庆、晚会、论坛、赛事活动</w:t>
      </w:r>
      <w:r>
        <w:rPr>
          <w:rFonts w:hint="eastAsia" w:ascii="Times New Roman" w:hAnsi="Times New Roman" w:eastAsia="仿宋_GB2312" w:cs="Times New Roman"/>
          <w:color w:val="auto"/>
          <w:sz w:val="32"/>
          <w:szCs w:val="32"/>
          <w:lang w:eastAsia="zh-CN"/>
        </w:rPr>
        <w:t>。</w:t>
      </w:r>
    </w:p>
    <w:p>
      <w:pPr>
        <w:pStyle w:val="13"/>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3"/>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3.50</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1.80</w:t>
      </w:r>
      <w:r>
        <w:rPr>
          <w:rFonts w:ascii="Times New Roman" w:hAnsi="Times New Roman" w:eastAsia="仿宋_GB2312" w:cs="Times New Roman"/>
          <w:sz w:val="32"/>
          <w:szCs w:val="32"/>
        </w:rPr>
        <w:t>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1.70</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2.70</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77.14</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2.70</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52.94</w:t>
      </w:r>
      <w:r>
        <w:rPr>
          <w:rFonts w:ascii="Times New Roman" w:hAnsi="Times New Roman" w:eastAsia="仿宋_GB2312" w:cs="Times New Roman"/>
          <w:color w:val="auto"/>
          <w:sz w:val="32"/>
          <w:szCs w:val="32"/>
        </w:rPr>
        <w:t>%。</w:t>
      </w:r>
    </w:p>
    <w:p>
      <w:pPr>
        <w:pStyle w:val="13"/>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3"/>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3"/>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45.49</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45.49</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26.02</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pPr>
        <w:ind w:firstLine="640" w:firstLineChars="200"/>
        <w:rPr>
          <w:rFonts w:hint="eastAsia" w:ascii="华文仿宋" w:hAnsi="华文仿宋" w:eastAsia="华文仿宋" w:cs="华文仿宋"/>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196.53</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174.82</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89.95</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98.98</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w:t>
      </w:r>
      <w:r>
        <w:rPr>
          <w:rFonts w:hint="eastAsia" w:ascii="华文仿宋" w:hAnsi="华文仿宋" w:eastAsia="华文仿宋" w:cs="华文仿宋"/>
          <w:sz w:val="32"/>
          <w:szCs w:val="32"/>
        </w:rPr>
        <w:t>一是组织开展国家、省级救灾备荒督导检查</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年初，协助种业处组织四个检查小组对承担2024年度救灾储备任务的企业进行入库检查，共有15家企业承担国家级救灾备荒储备种子115万公斤，其中救灾常规稻种子45万公斤，备荒杂交稻种子70万公斤，省级救灾储备种子共计420万公斤，其中杂交稻种子40万公斤，常规稻种子380万公斤。6-7月，为确保承储种子在关键时刻能拿得出、用得上，组织四个检查小组再次对15家承储企业进行承储种子数量的中期检查，各企业都很好的遵守合同约定，确保承储种子数量。11月，协助种业处组织三个检查小组对承担2025年度救灾储备任务的企业进行入库检查，共有5家企业承担国家级救灾备荒储备种子220万公斤，其中救灾常规稻种子60万公斤，备荒杂交稻种子160万公斤；11家企业承担省级救灾储备种子共计380万公斤，其中杂交稻种子160万公斤，常规稻种子220万公斤。至11月底完成国家救灾备荒储备种子入库检查取样220万公斤，完成率100%，完成省级救灾储备种子入库检查取样348.26万公斤（种子因气候异常，造成隆平种业40万公斤常规稻招标任务中嘉早17大部分质量不达标，实际入库8.26万公斤。），完成率91.6%。二是加强储备种子质量管理，推行种子认证制度</w:t>
      </w:r>
      <w:r>
        <w:rPr>
          <w:rFonts w:hint="eastAsia" w:ascii="华文仿宋" w:hAnsi="华文仿宋" w:eastAsia="华文仿宋" w:cs="华文仿宋"/>
          <w:sz w:val="32"/>
          <w:szCs w:val="32"/>
          <w:lang w:eastAsia="zh-CN"/>
        </w:rPr>
        <w:t>。</w:t>
      </w:r>
      <w:r>
        <w:rPr>
          <w:rFonts w:hint="eastAsia" w:ascii="华文仿宋" w:hAnsi="华文仿宋" w:eastAsia="华文仿宋" w:cs="华文仿宋"/>
          <w:sz w:val="32"/>
          <w:szCs w:val="32"/>
        </w:rPr>
        <w:t>2024年国家和省级救灾备荒储备种子因质量不达标转商47.5万公斤，占储备种子总量的15%，主要问题是种子纯度不达标。如何提高储备种子质量，成为各承储企业无法回避的严峻问题，也对我们储备管理者如何提高储备种子质量提出了迫切要求。6月在种业处领导下，中心召集所有承储企业在长沙召开2024年农作物种子认证示范工作动员会，同时委托华智检测技术有限公司、长沙华智认证服务有限公司对12家中标企业进行种子认证培训，推进储备种子认证试点工作落实。据2025年储备企业认证情况调研，2024年12家救灾储备任务中标企业完成储备种子认证试点1940亩，其中常规稻种子认证试点1300亩，认证补助7.8万元，杂交稻种子认证试点640亩，认证补助5.12万元。种子认证工作顺利推进，认证种子质量认证体系初步建成，企业积极参与认证工作。2024年认证试点工作的开展，为2025年全面推进种子认证开了个好头。据厅巡察组反馈的储备种子问题，结合我省储备实际情况，我们与质检中心在十一月底前完成了近90%的省级和国家救灾备荒储备种子入库检查和取样工作。确保在2025年3月初完成海南纯度鉴定，保证合规储备种子正常调用。</w:t>
      </w:r>
    </w:p>
    <w:p>
      <w:pPr>
        <w:pStyle w:val="13"/>
        <w:overflowPunct w:val="0"/>
        <w:autoSpaceDE/>
        <w:autoSpaceDN/>
        <w:spacing w:line="600" w:lineRule="exact"/>
        <w:ind w:firstLine="640" w:firstLineChars="200"/>
        <w:jc w:val="both"/>
        <w:rPr>
          <w:rFonts w:ascii="Times New Roman" w:hAnsi="Times New Roman" w:eastAsia="仿宋_GB2312" w:cs="Times New Roman"/>
          <w:color w:val="auto"/>
          <w:sz w:val="72"/>
          <w:szCs w:val="72"/>
        </w:rPr>
      </w:pPr>
      <w:r>
        <w:rPr>
          <w:rFonts w:ascii="Times New Roman" w:hAnsi="Times New Roman" w:eastAsia="楷体_GB2312" w:cs="Times New Roman"/>
          <w:b/>
          <w:bCs/>
          <w:color w:val="auto"/>
          <w:kern w:val="2"/>
          <w:sz w:val="32"/>
          <w:szCs w:val="32"/>
        </w:rPr>
        <w:t>（三）评价结果应用情况。</w:t>
      </w:r>
      <w:r>
        <w:rPr>
          <w:rFonts w:hint="eastAsia" w:eastAsia="仿宋_GB2312"/>
          <w:color w:val="auto"/>
          <w:sz w:val="32"/>
          <w:szCs w:val="32"/>
          <w:lang w:val="en-US" w:eastAsia="zh-CN"/>
        </w:rPr>
        <w:t>中心加强预算管理意识，严格按照预算编制的相关制度和要求，结合年度收支计划，科学编制预算，遵循预算管理办法。对评价中发现的问题，及时进行督促整改。</w:t>
      </w: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3"/>
        <w:ind w:firstLine="600" w:firstLineChars="20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一、</w:t>
      </w:r>
      <w:r>
        <w:rPr>
          <w:rFonts w:hint="eastAsia" w:ascii="Times New Roman" w:hAnsi="仿宋" w:eastAsia="仿宋" w:cs="Times New Roman"/>
          <w:color w:val="000000" w:themeColor="text1"/>
          <w:sz w:val="30"/>
          <w:szCs w:val="30"/>
          <w14:textFill>
            <w14:solidFill>
              <w14:schemeClr w14:val="tx1"/>
            </w14:solidFill>
          </w14:textFill>
        </w:rPr>
        <w:t>基</w:t>
      </w:r>
      <w:r>
        <w:rPr>
          <w:rFonts w:ascii="Times New Roman" w:hAnsi="仿宋" w:eastAsia="仿宋" w:cs="Times New Roman"/>
          <w:color w:val="000000" w:themeColor="text1"/>
          <w:sz w:val="30"/>
          <w:szCs w:val="30"/>
          <w14:textFill>
            <w14:solidFill>
              <w14:schemeClr w14:val="tx1"/>
            </w14:solidFill>
          </w14:textFill>
        </w:rPr>
        <w:t>本支出：指为保障机构正常运转、完成日常工作任务而 发生的各项支出，包括人员支出和公用支出。</w:t>
      </w:r>
    </w:p>
    <w:p>
      <w:pPr>
        <w:pStyle w:val="13"/>
        <w:ind w:firstLine="450" w:firstLineChars="15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二、</w:t>
      </w:r>
      <w:r>
        <w:rPr>
          <w:rFonts w:ascii="Times New Roman" w:hAnsi="仿宋" w:eastAsia="仿宋" w:cs="Times New Roman"/>
          <w:color w:val="000000" w:themeColor="text1"/>
          <w:sz w:val="30"/>
          <w:szCs w:val="30"/>
          <w14:textFill>
            <w14:solidFill>
              <w14:schemeClr w14:val="tx1"/>
            </w14:solidFill>
          </w14:textFill>
        </w:rPr>
        <w:t xml:space="preserve"> 项目支出：指在基本支出以外为完成相关行政任务和事业 发展目标所发生的各项支出。 </w:t>
      </w:r>
    </w:p>
    <w:p>
      <w:pPr>
        <w:pStyle w:val="13"/>
        <w:ind w:firstLine="600" w:firstLineChars="200"/>
        <w:rPr>
          <w:rFonts w:ascii="仿宋" w:hAnsi="仿宋" w:eastAsia="仿宋"/>
          <w:bCs/>
          <w:sz w:val="32"/>
          <w:szCs w:val="32"/>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三、</w:t>
      </w:r>
      <w:r>
        <w:rPr>
          <w:rFonts w:ascii="Times New Roman" w:hAnsi="仿宋" w:eastAsia="仿宋" w:cs="Times New Roman"/>
          <w:color w:val="000000" w:themeColor="text1"/>
          <w:sz w:val="30"/>
          <w:szCs w:val="30"/>
          <w14:textFill>
            <w14:solidFill>
              <w14:schemeClr w14:val="tx1"/>
            </w14:solidFill>
          </w14:textFill>
        </w:rPr>
        <w:t>“</w:t>
      </w:r>
      <w:r>
        <w:rPr>
          <w:rFonts w:hint="eastAsia" w:ascii="仿宋" w:hAnsi="仿宋" w:eastAsia="仿宋" w:cs="黑体"/>
          <w:bCs/>
          <w:color w:val="000000"/>
          <w:kern w:val="0"/>
          <w:sz w:val="32"/>
          <w:szCs w:val="32"/>
          <w:lang w:val="en-US" w:eastAsia="zh-CN" w:bidi="ar-SA"/>
        </w:rPr>
        <w:t>“三公”经费:纳入省财政预算管理的“三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四、</w:t>
      </w:r>
      <w:r>
        <w:rPr>
          <w:rFonts w:ascii="Times New Roman" w:hAnsi="仿宋" w:eastAsia="仿宋" w:cs="Times New Roman"/>
          <w:color w:val="000000" w:themeColor="text1"/>
          <w:sz w:val="30"/>
          <w:szCs w:val="30"/>
          <w14:textFill>
            <w14:solidFill>
              <w14:schemeClr w14:val="tx1"/>
            </w14:solidFill>
          </w14:textFill>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center"/>
        <w:rPr>
          <w:rFonts w:ascii="Times New Roman" w:hAnsi="Times New Roman" w:cs="Times New Roman"/>
          <w:sz w:val="72"/>
          <w:szCs w:val="72"/>
        </w:rPr>
      </w:pPr>
    </w:p>
    <w:p>
      <w:pPr>
        <w:pStyle w:val="13"/>
        <w:jc w:val="both"/>
        <w:rPr>
          <w:rFonts w:ascii="Times New Roman" w:hAnsi="Times New Roman" w:cs="Times New Roman"/>
          <w:sz w:val="72"/>
          <w:szCs w:val="72"/>
        </w:rPr>
      </w:pPr>
    </w:p>
    <w:p>
      <w:pPr>
        <w:pStyle w:val="13"/>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3"/>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2024年度部门(单位)整体支出绩效自评报告。</w:t>
      </w:r>
    </w:p>
    <w:p>
      <w:pPr>
        <w:pStyle w:val="13"/>
        <w:spacing w:line="600" w:lineRule="exact"/>
        <w:ind w:firstLine="640" w:firstLineChars="200"/>
        <w:rPr>
          <w:rFonts w:ascii="Times New Roman" w:hAnsi="Times New Roman" w:eastAsia="仿宋_GB2312" w:cs="Times New Roman"/>
          <w:sz w:val="32"/>
          <w:szCs w:val="32"/>
        </w:rPr>
      </w:pPr>
    </w:p>
    <w:p>
      <w:pPr>
        <w:pStyle w:val="13"/>
        <w:jc w:val="center"/>
        <w:rPr>
          <w:rFonts w:ascii="Times New Roman" w:hAnsi="Times New Roman" w:cs="Times New Roman"/>
          <w:sz w:val="72"/>
          <w:szCs w:val="72"/>
        </w:rPr>
      </w:pPr>
    </w:p>
    <w:p>
      <w:pPr>
        <w:spacing w:line="600" w:lineRule="exact"/>
        <w:rPr>
          <w:rFonts w:eastAsia="黑体"/>
          <w:kern w:val="0"/>
          <w:sz w:val="32"/>
          <w:szCs w:val="32"/>
        </w:rPr>
      </w:pPr>
    </w:p>
    <w:p>
      <w:pPr>
        <w:pStyle w:val="2"/>
        <w:rPr>
          <w:rFonts w:eastAsia="黑体"/>
          <w:kern w:val="0"/>
          <w:sz w:val="32"/>
          <w:szCs w:val="32"/>
        </w:rPr>
      </w:pPr>
    </w:p>
    <w:p>
      <w:pPr>
        <w:pStyle w:val="3"/>
        <w:rPr>
          <w:rFonts w:eastAsia="黑体"/>
          <w:kern w:val="0"/>
          <w:sz w:val="32"/>
          <w:szCs w:val="32"/>
        </w:rPr>
      </w:pPr>
    </w:p>
    <w:p>
      <w:pPr>
        <w:rPr>
          <w:rFonts w:eastAsia="黑体"/>
          <w:kern w:val="0"/>
          <w:sz w:val="32"/>
          <w:szCs w:val="32"/>
        </w:rPr>
      </w:pPr>
    </w:p>
    <w:p>
      <w:pPr>
        <w:pStyle w:val="2"/>
        <w:rPr>
          <w:rFonts w:eastAsia="黑体"/>
          <w:kern w:val="0"/>
          <w:sz w:val="32"/>
          <w:szCs w:val="32"/>
        </w:rPr>
      </w:pPr>
    </w:p>
    <w:p>
      <w:pPr>
        <w:pStyle w:val="3"/>
        <w:rPr>
          <w:rFonts w:eastAsia="黑体"/>
          <w:kern w:val="0"/>
          <w:sz w:val="32"/>
          <w:szCs w:val="32"/>
        </w:rPr>
      </w:pPr>
    </w:p>
    <w:p>
      <w:pPr>
        <w:rPr>
          <w:rFonts w:eastAsia="黑体"/>
          <w:kern w:val="0"/>
          <w:sz w:val="32"/>
          <w:szCs w:val="32"/>
        </w:rPr>
      </w:pPr>
    </w:p>
    <w:p>
      <w:pPr>
        <w:pStyle w:val="2"/>
      </w:pPr>
    </w:p>
    <w:p>
      <w:pPr>
        <w:spacing w:line="600" w:lineRule="exact"/>
        <w:rPr>
          <w:rFonts w:eastAsia="黑体"/>
          <w:kern w:val="0"/>
          <w:sz w:val="32"/>
          <w:szCs w:val="32"/>
        </w:rPr>
      </w:pPr>
    </w:p>
    <w:p>
      <w:pPr>
        <w:jc w:val="center"/>
        <w:rPr>
          <w:rFonts w:eastAsia="方正小标宋_GBK"/>
          <w:sz w:val="48"/>
          <w:szCs w:val="48"/>
        </w:rPr>
      </w:pPr>
      <w:r>
        <w:rPr>
          <w:rFonts w:hint="eastAsia" w:eastAsia="方正小标宋_GBK"/>
          <w:sz w:val="48"/>
          <w:szCs w:val="48"/>
          <w:lang w:val="en-US" w:eastAsia="zh-CN"/>
        </w:rPr>
        <w:t>2024</w:t>
      </w:r>
      <w:r>
        <w:rPr>
          <w:rFonts w:eastAsia="方正小标宋_GBK"/>
          <w:sz w:val="48"/>
          <w:szCs w:val="48"/>
        </w:rPr>
        <w:t>年度</w:t>
      </w:r>
      <w:r>
        <w:rPr>
          <w:rFonts w:hint="eastAsia" w:eastAsia="方正小标宋_GBK"/>
          <w:sz w:val="48"/>
          <w:szCs w:val="48"/>
          <w:lang w:val="en-US" w:eastAsia="zh-CN"/>
        </w:rPr>
        <w:t>湖南省农作物种子救灾储备中心</w:t>
      </w:r>
      <w:r>
        <w:rPr>
          <w:rFonts w:eastAsia="方正小标宋_GBK"/>
          <w:sz w:val="48"/>
          <w:szCs w:val="48"/>
        </w:rPr>
        <w:t>整体支出</w:t>
      </w:r>
    </w:p>
    <w:p>
      <w:pPr>
        <w:jc w:val="center"/>
        <w:rPr>
          <w:rFonts w:eastAsia="方正小标宋_GBK"/>
          <w:sz w:val="48"/>
          <w:szCs w:val="48"/>
        </w:rPr>
      </w:pPr>
      <w:r>
        <w:rPr>
          <w:rFonts w:eastAsia="方正小标宋_GBK"/>
          <w:sz w:val="48"/>
          <w:szCs w:val="48"/>
        </w:rPr>
        <w:t>绩效自评报告</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eastAsia="黑体"/>
          <w:sz w:val="36"/>
          <w:szCs w:val="36"/>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spacing w:line="600" w:lineRule="exact"/>
        <w:ind w:firstLine="640" w:firstLineChars="200"/>
        <w:rPr>
          <w:rFonts w:eastAsia="黑体"/>
          <w:sz w:val="32"/>
          <w:szCs w:val="32"/>
        </w:rPr>
      </w:pPr>
      <w:r>
        <w:rPr>
          <w:rFonts w:eastAsia="仿宋_GB2312"/>
          <w:sz w:val="32"/>
          <w:szCs w:val="32"/>
        </w:rPr>
        <w:br w:type="page"/>
      </w:r>
      <w:r>
        <w:rPr>
          <w:rFonts w:eastAsia="黑体"/>
          <w:sz w:val="32"/>
          <w:szCs w:val="32"/>
        </w:rPr>
        <w:t>一、基本情况</w:t>
      </w:r>
    </w:p>
    <w:p>
      <w:pPr>
        <w:spacing w:line="600" w:lineRule="exact"/>
        <w:ind w:firstLine="640" w:firstLineChars="200"/>
        <w:rPr>
          <w:rFonts w:eastAsia="楷体_GB2312"/>
          <w:b/>
          <w:sz w:val="32"/>
          <w:szCs w:val="32"/>
        </w:rPr>
      </w:pPr>
      <w:r>
        <w:rPr>
          <w:rFonts w:eastAsia="楷体_GB2312"/>
          <w:b/>
          <w:sz w:val="32"/>
          <w:szCs w:val="32"/>
        </w:rPr>
        <w:t>（一）单位基本情况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承担国家和省级农业行政主管部门下达的农作物种子救灾备荒储备任务，对储备种子定期检验和更新。</w:t>
      </w:r>
    </w:p>
    <w:p>
      <w:pPr>
        <w:spacing w:line="620" w:lineRule="exact"/>
        <w:ind w:firstLine="640" w:firstLineChars="200"/>
        <w:rPr>
          <w:rFonts w:hint="eastAsia" w:ascii="仿宋" w:hAnsi="仿宋" w:eastAsia="仿宋"/>
          <w:sz w:val="32"/>
          <w:szCs w:val="32"/>
          <w:lang w:eastAsia="zh-CN"/>
        </w:rPr>
      </w:pPr>
      <w:r>
        <w:rPr>
          <w:rFonts w:hint="eastAsia" w:ascii="仿宋_GB2312" w:hAnsi="仿宋" w:eastAsia="仿宋_GB2312"/>
          <w:sz w:val="32"/>
          <w:szCs w:val="32"/>
        </w:rPr>
        <w:t>2．</w:t>
      </w:r>
      <w:r>
        <w:rPr>
          <w:rFonts w:hint="eastAsia" w:ascii="仿宋" w:hAnsi="仿宋" w:eastAsia="仿宋"/>
          <w:sz w:val="32"/>
          <w:szCs w:val="32"/>
          <w:lang w:eastAsia="zh-CN"/>
        </w:rPr>
        <w:t>湖南省农作物种子救灾储备中心</w:t>
      </w:r>
      <w:r>
        <w:rPr>
          <w:rFonts w:hint="eastAsia" w:ascii="仿宋" w:hAnsi="仿宋" w:eastAsia="仿宋"/>
          <w:sz w:val="32"/>
          <w:szCs w:val="32"/>
        </w:rPr>
        <w:t>内设机构包括：财务科、储备科</w:t>
      </w:r>
      <w:r>
        <w:rPr>
          <w:rFonts w:hint="eastAsia" w:ascii="仿宋" w:hAnsi="仿宋" w:eastAsia="仿宋"/>
          <w:sz w:val="32"/>
          <w:szCs w:val="32"/>
          <w:lang w:eastAsia="zh-CN"/>
        </w:rPr>
        <w:t>。</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3．人员情况，</w:t>
      </w:r>
      <w:r>
        <w:rPr>
          <w:rFonts w:hint="eastAsia" w:ascii="仿宋" w:hAnsi="仿宋" w:eastAsia="仿宋"/>
          <w:sz w:val="32"/>
          <w:szCs w:val="32"/>
        </w:rPr>
        <w:t>中心现有在编在职人员</w:t>
      </w:r>
      <w:r>
        <w:rPr>
          <w:rFonts w:hint="eastAsia" w:ascii="仿宋" w:hAnsi="仿宋" w:eastAsia="仿宋"/>
          <w:sz w:val="32"/>
          <w:szCs w:val="32"/>
          <w:lang w:val="en-US" w:eastAsia="zh-CN"/>
        </w:rPr>
        <w:t>4</w:t>
      </w:r>
      <w:r>
        <w:rPr>
          <w:rFonts w:hint="eastAsia" w:ascii="仿宋" w:hAnsi="仿宋" w:eastAsia="仿宋"/>
          <w:sz w:val="32"/>
          <w:szCs w:val="32"/>
        </w:rPr>
        <w:t>人</w:t>
      </w:r>
      <w:r>
        <w:rPr>
          <w:rFonts w:hint="eastAsia" w:ascii="仿宋_GB2312" w:hAnsi="仿宋" w:eastAsia="仿宋_GB2312"/>
          <w:sz w:val="32"/>
          <w:szCs w:val="32"/>
        </w:rPr>
        <w:t>。</w:t>
      </w:r>
    </w:p>
    <w:p>
      <w:pPr>
        <w:spacing w:line="600" w:lineRule="exact"/>
        <w:ind w:firstLine="640" w:firstLineChars="200"/>
        <w:rPr>
          <w:rFonts w:hint="eastAsia" w:ascii="仿宋" w:hAnsi="仿宋" w:eastAsia="仿宋"/>
          <w:b w:val="0"/>
          <w:sz w:val="32"/>
          <w:szCs w:val="32"/>
        </w:rPr>
      </w:pPr>
      <w:r>
        <w:rPr>
          <w:rFonts w:eastAsia="楷体_GB2312"/>
          <w:b/>
          <w:sz w:val="32"/>
          <w:szCs w:val="32"/>
        </w:rPr>
        <w:t>（二）单位年度整体支出绩效目标</w:t>
      </w:r>
      <w:r>
        <w:rPr>
          <w:rFonts w:hint="eastAsia" w:eastAsia="楷体_GB2312"/>
          <w:b/>
          <w:sz w:val="32"/>
          <w:szCs w:val="32"/>
          <w:lang w:eastAsia="zh-CN"/>
        </w:rPr>
        <w:t>：</w:t>
      </w:r>
      <w:r>
        <w:rPr>
          <w:rFonts w:hint="eastAsia" w:ascii="仿宋" w:hAnsi="仿宋" w:eastAsia="仿宋" w:cs="Times New Roman"/>
          <w:color w:val="auto"/>
          <w:sz w:val="32"/>
          <w:szCs w:val="32"/>
        </w:rPr>
        <w:t>完成政府储备种子用量的日常管理</w:t>
      </w:r>
      <w:r>
        <w:rPr>
          <w:rFonts w:hint="eastAsia" w:ascii="仿宋" w:hAnsi="仿宋" w:eastAsia="仿宋"/>
          <w:b w:val="0"/>
          <w:sz w:val="32"/>
          <w:szCs w:val="32"/>
        </w:rPr>
        <w:t>，省级专项资金绩效目标</w:t>
      </w:r>
      <w:r>
        <w:rPr>
          <w:rFonts w:hint="eastAsia" w:ascii="仿宋" w:hAnsi="仿宋" w:eastAsia="仿宋"/>
          <w:b w:val="0"/>
          <w:sz w:val="32"/>
          <w:szCs w:val="32"/>
          <w:lang w:eastAsia="zh-CN"/>
        </w:rPr>
        <w:t>：</w:t>
      </w:r>
      <w:r>
        <w:rPr>
          <w:rFonts w:hint="eastAsia" w:ascii="仿宋" w:hAnsi="仿宋" w:eastAsia="仿宋"/>
          <w:b w:val="0"/>
          <w:sz w:val="32"/>
          <w:szCs w:val="32"/>
          <w:lang w:val="en-US" w:eastAsia="zh-CN"/>
        </w:rPr>
        <w:t>完成</w:t>
      </w:r>
      <w:r>
        <w:rPr>
          <w:rFonts w:hint="eastAsia" w:ascii="仿宋" w:hAnsi="仿宋" w:eastAsia="仿宋"/>
          <w:sz w:val="32"/>
          <w:szCs w:val="32"/>
          <w:lang w:val="en-US" w:eastAsia="zh-CN"/>
        </w:rPr>
        <w:t>早稻集中育秧督导</w:t>
      </w:r>
      <w:r>
        <w:rPr>
          <w:rFonts w:hint="eastAsia" w:ascii="仿宋" w:hAnsi="仿宋" w:eastAsia="仿宋"/>
          <w:b w:val="0"/>
          <w:sz w:val="32"/>
          <w:szCs w:val="32"/>
        </w:rPr>
        <w:t>、其他项目支出（除省级专项资金以外）绩效目标</w:t>
      </w:r>
      <w:r>
        <w:rPr>
          <w:rFonts w:hint="eastAsia" w:ascii="仿宋" w:hAnsi="仿宋" w:eastAsia="仿宋"/>
          <w:b w:val="0"/>
          <w:sz w:val="32"/>
          <w:szCs w:val="32"/>
          <w:lang w:eastAsia="zh-CN"/>
        </w:rPr>
        <w:t>：</w:t>
      </w:r>
      <w:r>
        <w:rPr>
          <w:rFonts w:hint="eastAsia" w:ascii="仿宋" w:hAnsi="仿宋" w:eastAsia="仿宋" w:cs="Times New Roman"/>
          <w:color w:val="auto"/>
          <w:sz w:val="32"/>
          <w:szCs w:val="32"/>
          <w:lang w:val="en-US" w:eastAsia="zh-CN"/>
        </w:rPr>
        <w:t>完成省级救灾备荒种子储备工作</w:t>
      </w:r>
    </w:p>
    <w:p>
      <w:pPr>
        <w:pStyle w:val="14"/>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14"/>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bookmarkStart w:id="3" w:name="OLE_LINK14"/>
      <w:r>
        <w:rPr>
          <w:rFonts w:hint="eastAsia" w:ascii="Times New Roman" w:hAnsi="Times New Roman" w:eastAsia="仿宋_GB2312"/>
          <w:sz w:val="32"/>
          <w:szCs w:val="32"/>
          <w:lang w:val="en-US" w:eastAsia="zh-CN"/>
        </w:rPr>
        <w:t>基本支出全年预算数144.63万元，实际支出129.32万元，预算执行率89.41%，其中人员经费全年预算数135.33万元，实际支出122.30万元，预算执行率90.37%，公用经费全年预算数9.30元，实际支出7.01万元，预算执行率75.38%。</w:t>
      </w:r>
    </w:p>
    <w:bookmarkEnd w:id="3"/>
    <w:p>
      <w:pPr>
        <w:pStyle w:val="14"/>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（二）项目支出情况</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项目支出全年预算数51.90万元，实际支出45.50万元。</w:t>
      </w:r>
      <w:r>
        <w:rPr>
          <w:rFonts w:hint="eastAsia" w:eastAsia="仿宋_GB2312"/>
          <w:sz w:val="32"/>
          <w:szCs w:val="32"/>
          <w:lang w:val="en-US" w:eastAsia="zh-CN"/>
        </w:rPr>
        <w:t>其中省级专项资金9.08万元</w:t>
      </w:r>
      <w:r>
        <w:rPr>
          <w:rFonts w:hint="eastAsia" w:ascii="Times New Roman" w:hAnsi="Times New Roman" w:eastAsia="仿宋_GB2312"/>
          <w:sz w:val="32"/>
          <w:szCs w:val="32"/>
          <w:lang w:val="en-US" w:eastAsia="zh-CN"/>
        </w:rPr>
        <w:t>，主要用于</w:t>
      </w:r>
      <w:bookmarkStart w:id="4" w:name="OLE_LINK12"/>
      <w:r>
        <w:rPr>
          <w:rFonts w:hint="eastAsia" w:ascii="Times New Roman" w:hAnsi="Times New Roman" w:eastAsia="仿宋_GB2312"/>
          <w:sz w:val="32"/>
          <w:szCs w:val="32"/>
          <w:lang w:val="en-US" w:eastAsia="zh-CN"/>
        </w:rPr>
        <w:t>早稻</w:t>
      </w:r>
      <w:bookmarkStart w:id="5" w:name="OLE_LINK7"/>
      <w:r>
        <w:rPr>
          <w:rFonts w:hint="eastAsia" w:ascii="Times New Roman" w:hAnsi="Times New Roman" w:eastAsia="仿宋_GB2312"/>
          <w:sz w:val="32"/>
          <w:szCs w:val="32"/>
          <w:lang w:val="en-US" w:eastAsia="zh-CN"/>
        </w:rPr>
        <w:t>集中育秧督导</w:t>
      </w:r>
      <w:bookmarkEnd w:id="4"/>
      <w:bookmarkEnd w:id="5"/>
      <w:r>
        <w:rPr>
          <w:rFonts w:hint="eastAsia" w:ascii="Times New Roman" w:hAnsi="Times New Roman" w:eastAsia="仿宋_GB2312"/>
          <w:sz w:val="32"/>
          <w:szCs w:val="32"/>
          <w:lang w:val="en-US" w:eastAsia="zh-CN"/>
        </w:rPr>
        <w:t>，其他项目支出36.42，主要用于</w:t>
      </w:r>
      <w:r>
        <w:rPr>
          <w:rFonts w:hint="eastAsia" w:ascii="Times New Roman" w:hAnsi="Times New Roman" w:eastAsia="仿宋_GB2312" w:cs="黑体"/>
          <w:color w:val="000000"/>
          <w:sz w:val="32"/>
          <w:szCs w:val="32"/>
          <w:lang w:val="en-US" w:eastAsia="zh-CN"/>
        </w:rPr>
        <w:t>省级救灾备荒种子储备工作。</w:t>
      </w:r>
    </w:p>
    <w:p>
      <w:pPr>
        <w:pStyle w:val="14"/>
        <w:numPr>
          <w:ilvl w:val="0"/>
          <w:numId w:val="1"/>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pStyle w:val="14"/>
        <w:numPr>
          <w:ilvl w:val="0"/>
          <w:numId w:val="0"/>
        </w:numPr>
        <w:spacing w:line="600" w:lineRule="exact"/>
        <w:ind w:firstLine="0" w:firstLineChars="0"/>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    无</w:t>
      </w:r>
    </w:p>
    <w:p>
      <w:pPr>
        <w:pStyle w:val="14"/>
        <w:numPr>
          <w:ilvl w:val="0"/>
          <w:numId w:val="1"/>
        </w:num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14"/>
        <w:numPr>
          <w:ilvl w:val="0"/>
          <w:numId w:val="0"/>
        </w:numPr>
        <w:spacing w:line="600" w:lineRule="exact"/>
        <w:ind w:firstLine="0" w:firstLineChars="0"/>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    无</w:t>
      </w:r>
    </w:p>
    <w:p>
      <w:pPr>
        <w:pStyle w:val="14"/>
        <w:spacing w:line="600" w:lineRule="exact"/>
        <w:ind w:firstLine="640"/>
        <w:rPr>
          <w:rFonts w:ascii="Times New Roman" w:hAnsi="Times New Roman" w:eastAsia="黑体"/>
          <w:sz w:val="32"/>
          <w:szCs w:val="32"/>
        </w:rPr>
      </w:pPr>
      <w:r>
        <w:rPr>
          <w:rFonts w:ascii="Times New Roman" w:hAnsi="Times New Roman" w:eastAsia="黑体"/>
          <w:sz w:val="32"/>
          <w:szCs w:val="32"/>
        </w:rPr>
        <w:t>五、社会保险基金预算支出情况</w:t>
      </w:r>
    </w:p>
    <w:p>
      <w:pPr>
        <w:spacing w:line="600" w:lineRule="exact"/>
        <w:ind w:firstLine="640" w:firstLineChars="200"/>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无</w:t>
      </w:r>
    </w:p>
    <w:p>
      <w:pPr>
        <w:spacing w:line="600" w:lineRule="exact"/>
        <w:ind w:firstLine="640" w:firstLineChars="200"/>
        <w:rPr>
          <w:rFonts w:eastAsia="黑体"/>
          <w:sz w:val="32"/>
          <w:szCs w:val="32"/>
        </w:rPr>
      </w:pPr>
      <w:r>
        <w:rPr>
          <w:rFonts w:eastAsia="黑体"/>
          <w:sz w:val="32"/>
          <w:szCs w:val="32"/>
        </w:rPr>
        <w:t>六、部门整体支出绩效情况</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w:t>
      </w:r>
      <w:r>
        <w:rPr>
          <w:rFonts w:eastAsia="仿宋_GB2312"/>
          <w:color w:val="000000"/>
          <w:sz w:val="32"/>
          <w:szCs w:val="32"/>
        </w:rPr>
        <w:t>运行成本</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基本支出全年预算数144.63万元，实际支出129.32万元，其中人员经费全年预算数135.33万元，实际支出122.30万元，公用经费全年预算数9.30元，实际支出7.01万元。</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w:t>
      </w:r>
      <w:r>
        <w:rPr>
          <w:rFonts w:eastAsia="仿宋_GB2312"/>
          <w:color w:val="000000"/>
          <w:sz w:val="32"/>
          <w:szCs w:val="32"/>
        </w:rPr>
        <w:t>管理效率</w:t>
      </w:r>
    </w:p>
    <w:p>
      <w:pPr>
        <w:ind w:firstLine="640" w:firstLineChars="200"/>
        <w:rPr>
          <w:rFonts w:hint="eastAsia" w:ascii="华文仿宋" w:hAnsi="华文仿宋" w:eastAsia="华文仿宋" w:cs="华文仿宋"/>
          <w:b/>
          <w:bCs/>
          <w:sz w:val="32"/>
          <w:szCs w:val="32"/>
        </w:rPr>
      </w:pPr>
      <w:r>
        <w:rPr>
          <w:rFonts w:hint="eastAsia" w:ascii="华文仿宋" w:hAnsi="华文仿宋" w:eastAsia="华文仿宋" w:cs="华文仿宋"/>
          <w:b/>
          <w:bCs/>
          <w:sz w:val="32"/>
          <w:szCs w:val="32"/>
        </w:rPr>
        <w:t>坚持政治引领，推进储备发展内生力量</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全面贯彻落实党的二十大精神和党的二十届三中全会精神，深刻领会“两个确立”的历史意义，自觉把“两个维护”作为最重要的政治纪律和政治规矩，始终在思想上政治上行动上同以习近平同志为核心的党中央保持高度一致，扎实推进中心主题教育工作。按照相关要求，拟定《学习计划》，加强理论学习，把学懂弄懂做实习近平新时代中国特色社会主义思想作为首要政治任务，以党员干部学习例会为重点抓手，以干部网络课堂、“学习强国”为重要载体，原文学习“必读篇”、认真学习“选读篇”、系统学习“湖南篇”、深入学习“农业篇”、跟进学习“最新篇”，推动习近平新时代中国特色社会主义思想和党的二十届三中全会精神在储备工作中落地生根、开花结果。教育引导全中心党员干部不断强化政治自觉，切实增强政治认同、思想认同、理论认同、情感认同，自觉用党的创新理论最新成果武装头脑、指导实践、推动工作。顺利开展联合支部书记换届选举工作，完成一名新招聘人员的党员关系转移接收工作，一名培养对象转预备党员的前期工作，吸收培养一名入党积极分子。全年召开党员大会13次，开展了8次集中学习，上了一次党课组织开展赴延安学习、支部联基层慰问浏阳永安丰裕村困难户等主题党日活动。</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3.</w:t>
      </w:r>
      <w:r>
        <w:rPr>
          <w:rFonts w:eastAsia="仿宋_GB2312"/>
          <w:color w:val="000000"/>
          <w:sz w:val="32"/>
          <w:szCs w:val="32"/>
        </w:rPr>
        <w:t>履职效能</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一是组织开展国家、省级救灾备荒督导检查 </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年初，协助种业处组织四个检查小组对承担2024年度救灾储备任务的企业进行入库检查，共有15家企业承担国家级救灾备荒储备种子115万公斤，其中救灾常规稻种子45万公斤，备荒杂交稻种子70万公斤，省级救灾储备种子共计420万公斤，其中杂交稻种子40万公斤，常规稻种子380万公斤。6-7月，为确保承储种子在关键时刻能拿得出、用得上，组织四个检查小组再次对15家承储企业进行承储种子数量的中期检查，各企业都很好的遵守合同约定，确保承储种子数量。</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11月，协助种业处组织三个检查小组对承担2025年度救灾储备任务的企业进行入库检查，共有5家企业承担国家级救灾备荒储备种子220万公斤，其中救灾常规稻种子60万公斤，备荒杂交稻种子160万公斤；11家企业承担省级救灾储备种子共计380万公斤，其中杂交稻种子160万公斤，常规稻种子220万公斤。至11月底完成国家救灾备荒储备种子入库检查取样220万公斤，完成率100%，完成省级救灾储备种子入库检查取样348.26万公斤（种子因气候异常，造成隆平种业40万公斤常规稻招标任务中嘉早17大部分质量不达标，实际入库8.26万公斤。），完成率91.6%。</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二是加强储备种子质量管理，推行种子认证制度</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2024年国家和省级救灾备荒储备种子因质量不达标转商47.5万公斤，占储备种子总量的15%，主要问题是种子纯度不达标。如何提高储备种子质量，成为各承储企业无法回避的严峻问题，也对我们储备管理者如何提高储备种子质量提出了迫切要求。</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6月在种业处领导下，中心召集所有承储企业在长沙召开2024年农作物种子认证示范工作动员会，同时委托华智检测技术有限公司、长沙华智认证服务有限公司对12家中标企业进行种子认证培训，推进储备种子认证试点工作落实。据2025年储备企业认证情况调研，2024年12家救灾储备任务中标企业完成储备种子认证试点1940亩，其中常规稻种子认证试点1300亩，认证补助7.8万元，杂交稻种子认证试点640亩，认证补助5.12万元。种子认证工作顺利推进，认证种子质量认证体系初步建成，企业积极参与认证工作。2024年认证试点工作的开展，为2025年全面推进种子认证开了个好头。</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据厅巡察组反馈的储备种子问题，结合我省储备实际情况，我们与质检中心在十一月底前完成了近90%的省级和国家救灾备荒储备种子入库检查和取样工作。确保在2025年3月初完成海南纯度鉴定，保证合规储备种子正常调用。</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4.</w:t>
      </w:r>
      <w:r>
        <w:rPr>
          <w:rFonts w:eastAsia="仿宋_GB2312"/>
          <w:color w:val="000000"/>
          <w:sz w:val="32"/>
          <w:szCs w:val="32"/>
        </w:rPr>
        <w:t>社会效应</w:t>
      </w:r>
    </w:p>
    <w:p>
      <w:pPr>
        <w:spacing w:line="600" w:lineRule="exact"/>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协助种业处完成储备种子全过程管理工作，除了正常开展的储备种子入库验收，中期检查工作外，还协助种业处召集承储企业，完成储备种子招标合同的签定，督促承储企业按合同规定上报生产计划，备案生产合同，督查生产质量。在储备种子入库前及时印制省级储备专用标签并下发，为储备种子入库验收做好各项准备。同时，对24年的不合格储备种子按照属地管理原则，由属地农业主管部门监督企业进行转商，中心专人负责转商种子相关佐证资料整理并上报种业处备案。对调用的储备种子，尤其是7月以来几个灾情严重的县市储备种子的调拨和使用情况进行实地调研并上报种业处。24年度储备工作结束后，按照种业处要求，督促企业提交相关票据和报告，确保招标资金的及时给付。</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5.</w:t>
      </w:r>
      <w:r>
        <w:rPr>
          <w:rFonts w:eastAsia="仿宋_GB2312"/>
          <w:color w:val="000000"/>
          <w:sz w:val="32"/>
          <w:szCs w:val="32"/>
        </w:rPr>
        <w:t>可持续发展能力</w:t>
      </w:r>
    </w:p>
    <w:p>
      <w:pPr>
        <w:spacing w:line="600" w:lineRule="exact"/>
        <w:ind w:firstLine="640" w:firstLineChars="200"/>
        <w:rPr>
          <w:rFonts w:hint="default" w:ascii="Times New Roman" w:hAnsi="Times New Roman" w:eastAsia="仿宋_GB2312" w:cs="Times New Roman"/>
          <w:b w:val="0"/>
          <w:bCs w:val="0"/>
          <w:color w:val="000000"/>
          <w:sz w:val="32"/>
          <w:szCs w:val="32"/>
        </w:rPr>
      </w:pPr>
      <w:bookmarkStart w:id="6" w:name="OLE_LINK6"/>
      <w:r>
        <w:rPr>
          <w:rFonts w:hint="default" w:ascii="Times New Roman" w:hAnsi="Times New Roman" w:eastAsia="仿宋_GB2312" w:cs="Times New Roman"/>
          <w:b w:val="0"/>
          <w:bCs w:val="0"/>
          <w:color w:val="000000"/>
          <w:sz w:val="32"/>
          <w:szCs w:val="32"/>
        </w:rPr>
        <w:t>坚持政治引领，推进储备发展内生力量</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全面贯彻落实党的二十大精神和党的二十届三中全会精神，深刻领会“两个确立”的历史意义，自觉把“两个维护”作为最重要的政治纪律和政治规矩，始终在思想上政治上行动上同以习近平同志为核心的党中央保持高度一致，扎实推进中心主题教育工作。按照相关要求，拟定《学习计划》，加强理论学习，把学懂弄懂做实习近平新时代中国特色社会主义思想作为首要政治任务，以党员干部学习例会为重点抓手，以干部网络课堂、“学习强国”为重要载体，原文学习“必读篇”、认真学习“选读篇”、系统学习“湖南篇”、深入学习“农业篇”、跟进学习“最新篇”，推动习近平新时代中国特色社会主义思想和党的二十届三中全会精神在储备工作中落地生根、开花结果。教育引导全中心党员干部不断强化政治自觉，切实增强政治认同、思想认同、理论认同、情感认同，自觉用党的创新理论最新成果武装头脑、指导实践、推动工作。顺利开展联合支部书记换届选举工作，完成一名新招聘人员的党员关系转移接收工作，一名培养对象转预备党员的前期工作，吸收培养一名入党积极分子。全年召开党员大会13次，开展了8次集中学习，上了一次党课组织开展赴延安学习、支部联基层慰问浏阳永安丰裕村困难户等主题党日活动。</w:t>
      </w:r>
    </w:p>
    <w:bookmarkEnd w:id="6"/>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6.</w:t>
      </w:r>
      <w:r>
        <w:rPr>
          <w:rFonts w:eastAsia="仿宋_GB2312"/>
          <w:color w:val="000000"/>
          <w:sz w:val="32"/>
          <w:szCs w:val="32"/>
        </w:rPr>
        <w:t>服务对象满意度</w:t>
      </w:r>
    </w:p>
    <w:p>
      <w:pPr>
        <w:pStyle w:val="14"/>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pStyle w:val="13"/>
        <w:keepNext w:val="0"/>
        <w:keepLines w:val="0"/>
        <w:pageBreakBefore w:val="0"/>
        <w:widowControl w:val="0"/>
        <w:kinsoku/>
        <w:wordWrap/>
        <w:overflowPunct/>
        <w:topLinePunct w:val="0"/>
        <w:bidi w:val="0"/>
        <w:snapToGrid/>
        <w:spacing w:line="360" w:lineRule="auto"/>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预算执行率较低，全年</w:t>
      </w:r>
      <w:r>
        <w:rPr>
          <w:rFonts w:hint="eastAsia" w:ascii="仿宋_GB2312" w:hAnsi="仿宋" w:eastAsia="仿宋_GB2312"/>
          <w:sz w:val="32"/>
          <w:szCs w:val="32"/>
        </w:rPr>
        <w:t>预算数为</w:t>
      </w:r>
      <w:r>
        <w:rPr>
          <w:rFonts w:hint="eastAsia" w:ascii="仿宋_GB2312" w:hAnsi="仿宋" w:eastAsia="仿宋_GB2312"/>
          <w:sz w:val="32"/>
          <w:szCs w:val="32"/>
          <w:lang w:val="en-US" w:eastAsia="zh-CN"/>
        </w:rPr>
        <w:t>196.53</w:t>
      </w:r>
      <w:r>
        <w:rPr>
          <w:rFonts w:hint="eastAsia" w:ascii="仿宋_GB2312" w:hAnsi="仿宋" w:eastAsia="仿宋_GB2312"/>
          <w:sz w:val="32"/>
          <w:szCs w:val="32"/>
        </w:rPr>
        <w:t>万元，支出决算数</w:t>
      </w:r>
      <w:r>
        <w:rPr>
          <w:rFonts w:hint="eastAsia" w:ascii="仿宋_GB2312" w:hAnsi="仿宋" w:eastAsia="仿宋_GB2312"/>
          <w:sz w:val="32"/>
          <w:szCs w:val="32"/>
          <w:lang w:val="en-US" w:eastAsia="zh-CN"/>
        </w:rPr>
        <w:t>174.82</w:t>
      </w:r>
      <w:r>
        <w:rPr>
          <w:rFonts w:hint="eastAsia" w:ascii="仿宋_GB2312" w:hAnsi="仿宋" w:eastAsia="仿宋_GB2312"/>
          <w:sz w:val="32"/>
          <w:szCs w:val="32"/>
        </w:rPr>
        <w:t>万元，执行率</w:t>
      </w:r>
      <w:r>
        <w:rPr>
          <w:rFonts w:hint="eastAsia" w:ascii="仿宋_GB2312" w:hAnsi="仿宋" w:eastAsia="仿宋_GB2312"/>
          <w:sz w:val="32"/>
          <w:szCs w:val="32"/>
          <w:lang w:val="en-US" w:eastAsia="zh-CN"/>
        </w:rPr>
        <w:t>88.95%，主要是因为人员经费年初编制与实际有差距，资金的结余。</w:t>
      </w:r>
    </w:p>
    <w:p>
      <w:pPr>
        <w:numPr>
          <w:ilvl w:val="0"/>
          <w:numId w:val="2"/>
        </w:numPr>
        <w:spacing w:line="360" w:lineRule="auto"/>
        <w:ind w:firstLine="640" w:firstLineChars="200"/>
        <w:rPr>
          <w:rFonts w:eastAsia="黑体"/>
          <w:sz w:val="32"/>
          <w:szCs w:val="32"/>
        </w:rPr>
      </w:pPr>
      <w:r>
        <w:rPr>
          <w:rFonts w:eastAsia="黑体"/>
          <w:sz w:val="32"/>
          <w:szCs w:val="32"/>
        </w:rPr>
        <w:t>下一步改进措施</w:t>
      </w:r>
    </w:p>
    <w:p>
      <w:pPr>
        <w:pStyle w:val="2"/>
        <w:numPr>
          <w:ilvl w:val="0"/>
          <w:numId w:val="0"/>
        </w:numPr>
        <w:spacing w:line="360" w:lineRule="auto"/>
        <w:rPr>
          <w:rFonts w:hint="default" w:ascii="Times New Roman" w:hAnsi="Times New Roman" w:eastAsia="仿宋_GB2312" w:cs="黑体"/>
          <w:color w:val="000000"/>
          <w:kern w:val="0"/>
          <w:sz w:val="32"/>
          <w:szCs w:val="32"/>
          <w:lang w:val="en-US" w:eastAsia="zh-CN"/>
        </w:rPr>
      </w:pPr>
      <w:r>
        <w:rPr>
          <w:rFonts w:hint="eastAsia" w:ascii="Times New Roman" w:hAnsi="Times New Roman" w:eastAsia="仿宋_GB2312" w:cs="黑体"/>
          <w:color w:val="000000"/>
          <w:kern w:val="0"/>
          <w:sz w:val="32"/>
          <w:szCs w:val="32"/>
          <w:lang w:val="en-US" w:eastAsia="zh-CN"/>
        </w:rPr>
        <w:t xml:space="preserve">    一是加强预算编制的科学性、合理性，二是加快预算执行进度，提高预算资金的使用效率。</w:t>
      </w:r>
    </w:p>
    <w:p>
      <w:pPr>
        <w:spacing w:line="600" w:lineRule="exact"/>
        <w:ind w:firstLine="640" w:firstLineChars="200"/>
        <w:rPr>
          <w:rFonts w:eastAsia="黑体"/>
          <w:sz w:val="32"/>
          <w:szCs w:val="32"/>
        </w:rPr>
      </w:pPr>
      <w:r>
        <w:rPr>
          <w:rFonts w:eastAsia="黑体"/>
          <w:sz w:val="32"/>
          <w:szCs w:val="32"/>
        </w:rPr>
        <w:t>九、绩效自评结果拟应用和公开情况</w:t>
      </w:r>
    </w:p>
    <w:p>
      <w:pPr>
        <w:widowControl/>
        <w:spacing w:line="600" w:lineRule="exact"/>
        <w:ind w:firstLine="645"/>
        <w:jc w:val="left"/>
        <w:rPr>
          <w:rFonts w:hint="eastAsia" w:eastAsia="仿宋_GB2312"/>
          <w:color w:val="auto"/>
          <w:sz w:val="32"/>
          <w:szCs w:val="32"/>
          <w:lang w:val="en-US" w:eastAsia="zh-CN"/>
        </w:rPr>
      </w:pPr>
      <w:r>
        <w:rPr>
          <w:rFonts w:hint="eastAsia" w:eastAsia="仿宋_GB2312"/>
          <w:color w:val="auto"/>
          <w:sz w:val="32"/>
          <w:szCs w:val="32"/>
          <w:lang w:val="en-US" w:eastAsia="zh-CN"/>
        </w:rPr>
        <w:t>（一）反馈整改。中心加强预算管理意识，严格按照预算编制的相关制度和要求，结合年度收支计划，科学编制预算，遵循预算管理办法。对评价中发现的问题，及时进行督促整改。</w:t>
      </w:r>
    </w:p>
    <w:p>
      <w:pPr>
        <w:widowControl/>
        <w:spacing w:line="600" w:lineRule="exact"/>
        <w:ind w:firstLine="645"/>
        <w:jc w:val="left"/>
        <w:rPr>
          <w:rFonts w:ascii="Times New Roman" w:hAnsi="Times New Roman" w:eastAsia="黑体" w:cs="Times New Roman"/>
          <w:color w:val="auto"/>
          <w:sz w:val="32"/>
          <w:szCs w:val="32"/>
        </w:rPr>
      </w:pPr>
      <w:r>
        <w:rPr>
          <w:rFonts w:hint="eastAsia" w:eastAsia="仿宋_GB2312"/>
          <w:color w:val="auto"/>
          <w:sz w:val="32"/>
          <w:szCs w:val="32"/>
          <w:lang w:val="en-US" w:eastAsia="zh-CN"/>
        </w:rPr>
        <w:t>（二）公开结果。除涉密信息外，中心将按要求</w:t>
      </w:r>
      <w:r>
        <w:rPr>
          <w:rFonts w:hint="eastAsia"/>
          <w:color w:val="auto"/>
          <w:sz w:val="32"/>
          <w:szCs w:val="32"/>
          <w:lang w:val="en-US" w:eastAsia="zh-CN"/>
        </w:rPr>
        <w:t>在</w:t>
      </w:r>
      <w:r>
        <w:rPr>
          <w:rFonts w:hint="eastAsia" w:eastAsia="仿宋_GB2312"/>
          <w:color w:val="auto"/>
          <w:sz w:val="32"/>
          <w:szCs w:val="32"/>
          <w:lang w:val="en-US" w:eastAsia="zh-CN"/>
        </w:rPr>
        <w:t>门户网站全面公开2024年度部门支出绩效自评报告，接受社会监督。</w:t>
      </w:r>
    </w:p>
    <w:p>
      <w:pPr>
        <w:spacing w:line="600" w:lineRule="exact"/>
        <w:ind w:firstLine="640" w:firstLineChars="200"/>
        <w:rPr>
          <w:rFonts w:eastAsia="仿宋_GB2312"/>
          <w:sz w:val="32"/>
          <w:szCs w:val="32"/>
        </w:rPr>
      </w:pPr>
    </w:p>
    <w:p>
      <w:pPr>
        <w:widowControl/>
        <w:jc w:val="left"/>
        <w:rPr>
          <w:rFonts w:eastAsia="仿宋_GB2312"/>
          <w:sz w:val="32"/>
          <w:szCs w:val="32"/>
        </w:rPr>
      </w:pPr>
    </w:p>
    <w:p>
      <w:pPr>
        <w:widowControl/>
        <w:jc w:val="left"/>
        <w:rPr>
          <w:rFonts w:eastAsia="仿宋_GB2312"/>
          <w:sz w:val="32"/>
          <w:szCs w:val="32"/>
        </w:rPr>
      </w:pPr>
    </w:p>
    <w:p>
      <w:pPr>
        <w:widowControl/>
        <w:jc w:val="left"/>
        <w:rPr>
          <w:rFonts w:eastAsia="仿宋_GB2312"/>
          <w:sz w:val="32"/>
          <w:szCs w:val="32"/>
        </w:rPr>
      </w:pPr>
    </w:p>
    <w:p>
      <w:pPr>
        <w:widowControl/>
        <w:jc w:val="left"/>
        <w:rPr>
          <w:rFonts w:eastAsia="仿宋_GB2312"/>
          <w:sz w:val="32"/>
          <w:szCs w:val="32"/>
        </w:rPr>
      </w:pPr>
    </w:p>
    <w:p>
      <w:pPr>
        <w:widowControl/>
        <w:jc w:val="left"/>
        <w:rPr>
          <w:rFonts w:eastAsia="仿宋_GB2312"/>
          <w:sz w:val="32"/>
          <w:szCs w:val="32"/>
        </w:rPr>
      </w:pPr>
    </w:p>
    <w:p>
      <w:pPr>
        <w:widowControl/>
        <w:jc w:val="left"/>
        <w:rPr>
          <w:rFonts w:eastAsia="仿宋_GB2312"/>
          <w:sz w:val="32"/>
          <w:szCs w:val="32"/>
        </w:rPr>
      </w:pPr>
    </w:p>
    <w:p>
      <w:pPr>
        <w:widowControl/>
        <w:jc w:val="left"/>
        <w:rPr>
          <w:rFonts w:eastAsia="仿宋_GB2312"/>
          <w:sz w:val="32"/>
          <w:szCs w:val="32"/>
        </w:rPr>
      </w:pPr>
    </w:p>
    <w:p>
      <w:pPr>
        <w:widowControl/>
        <w:jc w:val="left"/>
        <w:rPr>
          <w:rFonts w:eastAsia="仿宋_GB2312"/>
          <w:sz w:val="32"/>
          <w:szCs w:val="32"/>
        </w:rPr>
      </w:pPr>
    </w:p>
    <w:p>
      <w:pPr>
        <w:pStyle w:val="2"/>
        <w:rPr>
          <w:rFonts w:eastAsia="仿宋_GB2312"/>
          <w:sz w:val="32"/>
          <w:szCs w:val="32"/>
        </w:rPr>
      </w:pPr>
    </w:p>
    <w:p>
      <w:pPr>
        <w:pStyle w:val="3"/>
        <w:rPr>
          <w:rFonts w:eastAsia="仿宋_GB2312"/>
          <w:sz w:val="32"/>
          <w:szCs w:val="32"/>
        </w:rPr>
      </w:pPr>
    </w:p>
    <w:p>
      <w:pPr>
        <w:rPr>
          <w:rFonts w:eastAsia="仿宋_GB2312"/>
          <w:sz w:val="32"/>
          <w:szCs w:val="32"/>
        </w:rPr>
      </w:pPr>
    </w:p>
    <w:p>
      <w:pPr>
        <w:pStyle w:val="2"/>
      </w:pPr>
    </w:p>
    <w:p>
      <w:pPr>
        <w:widowControl/>
        <w:jc w:val="left"/>
        <w:rPr>
          <w:rFonts w:eastAsia="仿宋_GB2312"/>
          <w:sz w:val="32"/>
          <w:szCs w:val="32"/>
        </w:rPr>
      </w:pPr>
    </w:p>
    <w:p>
      <w:pPr>
        <w:rPr>
          <w:rFonts w:eastAsia="仿宋_GB2312"/>
          <w:sz w:val="32"/>
          <w:szCs w:val="32"/>
        </w:rPr>
      </w:pPr>
    </w:p>
    <w:p>
      <w:pPr>
        <w:pStyle w:val="2"/>
      </w:pPr>
    </w:p>
    <w:p>
      <w:pPr>
        <w:widowControl/>
        <w:jc w:val="left"/>
        <w:rPr>
          <w:rFonts w:hint="eastAsia" w:eastAsia="黑体"/>
          <w:sz w:val="32"/>
          <w:szCs w:val="32"/>
          <w:lang w:eastAsia="zh-CN"/>
        </w:rPr>
      </w:pPr>
      <w:r>
        <w:rPr>
          <w:rFonts w:eastAsia="黑体"/>
          <w:sz w:val="32"/>
          <w:szCs w:val="32"/>
        </w:rPr>
        <w:t>附件</w:t>
      </w:r>
      <w:r>
        <w:rPr>
          <w:rFonts w:hint="eastAsia" w:eastAsia="黑体"/>
          <w:sz w:val="32"/>
          <w:szCs w:val="32"/>
          <w:lang w:val="en-US" w:eastAsia="zh-CN"/>
        </w:rPr>
        <w:t>1</w:t>
      </w:r>
    </w:p>
    <w:p>
      <w:pPr>
        <w:spacing w:line="560" w:lineRule="exact"/>
        <w:jc w:val="center"/>
        <w:rPr>
          <w:rFonts w:eastAsia="方正小标宋_GBK"/>
          <w:kern w:val="0"/>
          <w:sz w:val="36"/>
          <w:szCs w:val="36"/>
        </w:rPr>
      </w:pPr>
      <w:r>
        <w:rPr>
          <w:rFonts w:eastAsia="方正小标宋_GBK"/>
          <w:kern w:val="0"/>
          <w:sz w:val="36"/>
          <w:szCs w:val="36"/>
        </w:rPr>
        <w:t>部门整体支出绩效评价基础数据表</w:t>
      </w:r>
    </w:p>
    <w:tbl>
      <w:tblPr>
        <w:tblStyle w:val="9"/>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年实际在职人数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kern w:val="0"/>
                <w:szCs w:val="21"/>
              </w:rPr>
            </w:pPr>
          </w:p>
        </w:tc>
        <w:tc>
          <w:tcPr>
            <w:tcW w:w="2038" w:type="dxa"/>
            <w:gridSpan w:val="2"/>
            <w:noWrap w:val="0"/>
            <w:vAlign w:val="center"/>
          </w:tcPr>
          <w:p>
            <w:pPr>
              <w:widowControl/>
              <w:jc w:val="center"/>
              <w:rPr>
                <w:rFonts w:hint="eastAsia" w:eastAsia="仿宋_GB2312"/>
                <w:kern w:val="0"/>
                <w:szCs w:val="21"/>
                <w:lang w:val="en-US" w:eastAsia="zh-CN"/>
              </w:rPr>
            </w:pPr>
            <w:r>
              <w:rPr>
                <w:rFonts w:hint="eastAsia" w:eastAsia="仿宋_GB2312"/>
                <w:kern w:val="0"/>
                <w:szCs w:val="21"/>
                <w:lang w:val="en-US" w:eastAsia="zh-CN"/>
              </w:rPr>
              <w:t>6</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4</w:t>
            </w: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23</w:t>
            </w:r>
            <w:r>
              <w:rPr>
                <w:rFonts w:eastAsia="仿宋_GB2312"/>
                <w:b/>
                <w:bCs/>
                <w:kern w:val="0"/>
                <w:szCs w:val="21"/>
              </w:rPr>
              <w:t>年决算数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年预算数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pPr>
              <w:widowControl/>
              <w:jc w:val="center"/>
              <w:rPr>
                <w:rFonts w:eastAsia="仿宋_GB2312"/>
                <w:kern w:val="0"/>
                <w:szCs w:val="21"/>
              </w:rPr>
            </w:pPr>
            <w:r>
              <w:rPr>
                <w:rFonts w:hint="eastAsia" w:ascii="Times New Roman" w:hAnsi="Times New Roman" w:eastAsia="仿宋_GB2312" w:cs="Times New Roman"/>
                <w:sz w:val="20"/>
                <w:szCs w:val="20"/>
                <w:highlight w:val="none"/>
                <w:lang w:val="en-US" w:eastAsia="zh-CN"/>
              </w:rPr>
              <w:t xml:space="preserve"> 27.63 </w:t>
            </w:r>
            <w:r>
              <w:rPr>
                <w:rFonts w:eastAsia="仿宋_GB2312"/>
                <w:kern w:val="0"/>
                <w:szCs w:val="21"/>
              </w:rPr>
              <w:t>　</w:t>
            </w:r>
          </w:p>
        </w:tc>
        <w:tc>
          <w:tcPr>
            <w:tcW w:w="2240"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51.90</w:t>
            </w:r>
          </w:p>
        </w:tc>
        <w:tc>
          <w:tcPr>
            <w:tcW w:w="1832" w:type="dxa"/>
            <w:gridSpan w:val="2"/>
            <w:noWrap w:val="0"/>
            <w:vAlign w:val="center"/>
          </w:tcPr>
          <w:p>
            <w:pPr>
              <w:widowControl/>
              <w:jc w:val="center"/>
              <w:rPr>
                <w:rFonts w:hint="default" w:eastAsia="仿宋_GB2312"/>
                <w:kern w:val="0"/>
                <w:szCs w:val="21"/>
                <w:lang w:val="en-US"/>
              </w:rPr>
            </w:pPr>
            <w:r>
              <w:rPr>
                <w:rFonts w:hint="eastAsia" w:eastAsia="仿宋_GB2312"/>
                <w:kern w:val="0"/>
                <w:szCs w:val="21"/>
                <w:lang w:val="en-US" w:eastAsia="zh-CN"/>
              </w:rPr>
              <w:t>45.50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eastAsia" w:eastAsia="仿宋_GB2312"/>
                <w:kern w:val="0"/>
                <w:szCs w:val="21"/>
              </w:rPr>
            </w:pPr>
            <w:r>
              <w:rPr>
                <w:rFonts w:eastAsia="仿宋_GB2312"/>
                <w:kern w:val="0"/>
                <w:szCs w:val="21"/>
              </w:rPr>
              <w:t>3、省级专项资金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27.63</w:t>
            </w: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12.00</w:t>
            </w:r>
          </w:p>
        </w:tc>
        <w:tc>
          <w:tcPr>
            <w:tcW w:w="1832" w:type="dxa"/>
            <w:gridSpan w:val="2"/>
            <w:noWrap w:val="0"/>
            <w:vAlign w:val="center"/>
          </w:tcPr>
          <w:p>
            <w:pPr>
              <w:widowControl/>
              <w:jc w:val="center"/>
              <w:rPr>
                <w:rFonts w:hint="default" w:eastAsia="仿宋_GB2312"/>
                <w:kern w:val="0"/>
                <w:szCs w:val="21"/>
                <w:lang w:val="en-US" w:eastAsia="zh-CN"/>
              </w:rPr>
            </w:pPr>
            <w:bookmarkStart w:id="7" w:name="OLE_LINK15"/>
            <w:r>
              <w:rPr>
                <w:rFonts w:hint="eastAsia" w:eastAsia="仿宋_GB2312"/>
                <w:kern w:val="0"/>
                <w:szCs w:val="21"/>
                <w:lang w:val="en-US" w:eastAsia="zh-CN"/>
              </w:rPr>
              <w:t>9.08</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ind w:firstLine="440" w:firstLineChars="200"/>
              <w:jc w:val="left"/>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现代农业发展</w:t>
            </w:r>
          </w:p>
        </w:tc>
        <w:tc>
          <w:tcPr>
            <w:tcW w:w="2038"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17.63</w:t>
            </w: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12.00</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ind w:firstLine="440" w:firstLineChars="200"/>
              <w:jc w:val="left"/>
              <w:rPr>
                <w:rFonts w:eastAsia="仿宋_GB2312"/>
                <w:kern w:val="0"/>
                <w:szCs w:val="21"/>
              </w:rPr>
            </w:pPr>
            <w:bookmarkStart w:id="8" w:name="OLE_LINK5"/>
            <w:r>
              <w:rPr>
                <w:rFonts w:hint="eastAsia" w:ascii="宋体" w:hAnsi="宋体" w:eastAsia="宋体" w:cs="宋体"/>
                <w:i w:val="0"/>
                <w:color w:val="000000"/>
                <w:kern w:val="0"/>
                <w:sz w:val="22"/>
                <w:szCs w:val="22"/>
                <w:u w:val="none"/>
                <w:lang w:val="en-US" w:eastAsia="zh-CN" w:bidi="ar"/>
              </w:rPr>
              <w:t>重要农产品稳产保供(市县)</w:t>
            </w:r>
            <w:bookmarkEnd w:id="8"/>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10.00</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4、其他事业类发展资金……</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39.90</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36.42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pPr>
              <w:widowControl/>
              <w:spacing w:line="360" w:lineRule="exact"/>
              <w:jc w:val="center"/>
              <w:rPr>
                <w:rFonts w:eastAsia="仿宋_GB2312"/>
                <w:kern w:val="0"/>
                <w:szCs w:val="21"/>
              </w:rPr>
            </w:pPr>
            <w:r>
              <w:rPr>
                <w:rFonts w:hint="eastAsia" w:ascii="Times New Roman" w:hAnsi="Times New Roman" w:eastAsia="仿宋_GB2312" w:cs="Times New Roman"/>
                <w:sz w:val="20"/>
                <w:szCs w:val="20"/>
                <w:highlight w:val="none"/>
                <w:lang w:val="en-US" w:eastAsia="zh-CN"/>
              </w:rPr>
              <w:t>8.78</w:t>
            </w:r>
          </w:p>
        </w:tc>
        <w:tc>
          <w:tcPr>
            <w:tcW w:w="2240"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10.13</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7.01</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pPr>
              <w:widowControl/>
              <w:spacing w:line="360" w:lineRule="exact"/>
              <w:jc w:val="center"/>
              <w:rPr>
                <w:rFonts w:eastAsia="仿宋_GB2312"/>
                <w:color w:val="FF0000"/>
                <w:kern w:val="0"/>
                <w:szCs w:val="21"/>
              </w:rPr>
            </w:pPr>
            <w:r>
              <w:rPr>
                <w:rFonts w:hint="eastAsia" w:ascii="Times New Roman" w:hAnsi="Times New Roman" w:eastAsia="仿宋_GB2312" w:cs="Times New Roman"/>
                <w:color w:val="auto"/>
                <w:sz w:val="20"/>
                <w:szCs w:val="20"/>
                <w:highlight w:val="none"/>
                <w:lang w:val="en-US" w:eastAsia="zh-CN"/>
              </w:rPr>
              <w:t>2.0</w:t>
            </w:r>
          </w:p>
        </w:tc>
        <w:tc>
          <w:tcPr>
            <w:tcW w:w="2240" w:type="dxa"/>
            <w:gridSpan w:val="2"/>
            <w:noWrap w:val="0"/>
            <w:vAlign w:val="center"/>
          </w:tcPr>
          <w:p>
            <w:pPr>
              <w:widowControl/>
              <w:jc w:val="center"/>
              <w:rPr>
                <w:rFonts w:hint="eastAsia" w:eastAsia="仿宋_GB2312"/>
                <w:color w:val="FF0000"/>
                <w:kern w:val="0"/>
                <w:szCs w:val="21"/>
                <w:lang w:val="en-US" w:eastAsia="zh-CN"/>
              </w:rPr>
            </w:pPr>
          </w:p>
        </w:tc>
        <w:tc>
          <w:tcPr>
            <w:tcW w:w="1832" w:type="dxa"/>
            <w:gridSpan w:val="2"/>
            <w:noWrap w:val="0"/>
            <w:vAlign w:val="center"/>
          </w:tcPr>
          <w:p>
            <w:pPr>
              <w:widowControl/>
              <w:jc w:val="center"/>
              <w:rPr>
                <w:rFonts w:eastAsia="仿宋_GB2312"/>
                <w:color w:val="FF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widowControl/>
              <w:jc w:val="center"/>
              <w:rPr>
                <w:rFonts w:eastAsia="仿宋_GB2312"/>
                <w:color w:val="FF0000"/>
                <w:kern w:val="0"/>
                <w:szCs w:val="21"/>
              </w:rPr>
            </w:pPr>
          </w:p>
        </w:tc>
        <w:tc>
          <w:tcPr>
            <w:tcW w:w="1832" w:type="dxa"/>
            <w:gridSpan w:val="2"/>
            <w:noWrap w:val="0"/>
            <w:vAlign w:val="center"/>
          </w:tcPr>
          <w:p>
            <w:pPr>
              <w:widowControl/>
              <w:jc w:val="center"/>
              <w:rPr>
                <w:rFonts w:eastAsia="仿宋_GB2312"/>
                <w:color w:val="FF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1832"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3.50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楼堂馆所控制情况</w:t>
            </w:r>
            <w:r>
              <w:rPr>
                <w:rFonts w:eastAsia="仿宋_GB2312"/>
                <w:kern w:val="0"/>
                <w:szCs w:val="21"/>
              </w:rPr>
              <w:br w:type="textWrapping"/>
            </w:r>
            <w:r>
              <w:rPr>
                <w:rFonts w:eastAsia="仿宋_GB2312"/>
                <w:kern w:val="0"/>
                <w:szCs w:val="21"/>
              </w:rPr>
              <w:t>（20</w:t>
            </w:r>
            <w:r>
              <w:rPr>
                <w:rFonts w:hint="eastAsia" w:eastAsia="仿宋_GB2312"/>
                <w:kern w:val="0"/>
                <w:szCs w:val="21"/>
                <w:lang w:val="en-US" w:eastAsia="zh-CN"/>
              </w:rPr>
              <w:t>24</w:t>
            </w:r>
            <w:r>
              <w:rPr>
                <w:rFonts w:eastAsia="仿宋_GB2312"/>
                <w:kern w:val="0"/>
                <w:szCs w:val="21"/>
              </w:rPr>
              <w:t>年完工项目）</w:t>
            </w:r>
          </w:p>
        </w:tc>
        <w:tc>
          <w:tcPr>
            <w:tcW w:w="1189" w:type="dxa"/>
            <w:noWrap w:val="0"/>
            <w:vAlign w:val="center"/>
          </w:tcPr>
          <w:p>
            <w:pPr>
              <w:widowControl/>
              <w:spacing w:line="240" w:lineRule="exact"/>
              <w:jc w:val="center"/>
              <w:rPr>
                <w:rFonts w:eastAsia="仿宋_GB2312"/>
                <w:bCs/>
                <w:kern w:val="0"/>
                <w:szCs w:val="21"/>
              </w:rPr>
            </w:pPr>
            <w:r>
              <w:rPr>
                <w:rFonts w:eastAsia="仿宋_GB2312"/>
                <w:bCs/>
                <w:kern w:val="0"/>
                <w:szCs w:val="21"/>
              </w:rPr>
              <w:t>批复规模</w:t>
            </w:r>
            <w:r>
              <w:rPr>
                <w:rFonts w:eastAsia="仿宋_GB2312"/>
                <w:bCs/>
                <w:kern w:val="0"/>
                <w:szCs w:val="21"/>
              </w:rPr>
              <w:br w:type="textWrapping"/>
            </w: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kern w:val="0"/>
                <w:szCs w:val="21"/>
              </w:rPr>
            </w:pPr>
          </w:p>
        </w:tc>
        <w:tc>
          <w:tcPr>
            <w:tcW w:w="1189" w:type="dxa"/>
            <w:noWrap w:val="0"/>
            <w:vAlign w:val="center"/>
          </w:tcPr>
          <w:p>
            <w:pPr>
              <w:widowControl/>
              <w:jc w:val="center"/>
              <w:rPr>
                <w:rFonts w:eastAsia="仿宋_GB2312"/>
                <w:kern w:val="0"/>
                <w:szCs w:val="21"/>
              </w:rPr>
            </w:pPr>
            <w:r>
              <w:rPr>
                <w:rFonts w:eastAsia="仿宋_GB2312"/>
                <w:kern w:val="0"/>
                <w:szCs w:val="21"/>
              </w:rPr>
              <w:t>　</w:t>
            </w:r>
          </w:p>
        </w:tc>
        <w:tc>
          <w:tcPr>
            <w:tcW w:w="849" w:type="dxa"/>
            <w:noWrap w:val="0"/>
            <w:vAlign w:val="center"/>
          </w:tcPr>
          <w:p>
            <w:pPr>
              <w:widowControl/>
              <w:jc w:val="left"/>
              <w:rPr>
                <w:rFonts w:eastAsia="仿宋_GB2312"/>
                <w:kern w:val="0"/>
                <w:szCs w:val="21"/>
              </w:rPr>
            </w:pPr>
            <w:r>
              <w:rPr>
                <w:rFonts w:eastAsia="仿宋_GB2312"/>
                <w:kern w:val="0"/>
                <w:szCs w:val="21"/>
              </w:rPr>
              <w:t>　</w:t>
            </w:r>
          </w:p>
        </w:tc>
        <w:tc>
          <w:tcPr>
            <w:tcW w:w="1129" w:type="dxa"/>
            <w:noWrap w:val="0"/>
            <w:vAlign w:val="center"/>
          </w:tcPr>
          <w:p>
            <w:pPr>
              <w:widowControl/>
              <w:jc w:val="left"/>
              <w:rPr>
                <w:rFonts w:eastAsia="仿宋_GB2312"/>
                <w:kern w:val="0"/>
                <w:szCs w:val="21"/>
              </w:rPr>
            </w:pPr>
            <w:r>
              <w:rPr>
                <w:rFonts w:eastAsia="仿宋_GB2312"/>
                <w:kern w:val="0"/>
                <w:szCs w:val="21"/>
              </w:rPr>
              <w:t>　</w:t>
            </w:r>
          </w:p>
        </w:tc>
        <w:tc>
          <w:tcPr>
            <w:tcW w:w="1111" w:type="dxa"/>
            <w:noWrap w:val="0"/>
            <w:vAlign w:val="center"/>
          </w:tcPr>
          <w:p>
            <w:pPr>
              <w:widowControl/>
              <w:jc w:val="left"/>
              <w:rPr>
                <w:rFonts w:eastAsia="仿宋_GB2312"/>
                <w:kern w:val="0"/>
                <w:szCs w:val="21"/>
              </w:rPr>
            </w:pPr>
            <w:r>
              <w:rPr>
                <w:rFonts w:eastAsia="仿宋_GB2312"/>
                <w:kern w:val="0"/>
                <w:szCs w:val="21"/>
              </w:rPr>
              <w:t>　</w:t>
            </w:r>
          </w:p>
        </w:tc>
        <w:tc>
          <w:tcPr>
            <w:tcW w:w="969" w:type="dxa"/>
            <w:noWrap w:val="0"/>
            <w:vAlign w:val="center"/>
          </w:tcPr>
          <w:p>
            <w:pPr>
              <w:widowControl/>
              <w:jc w:val="left"/>
              <w:rPr>
                <w:rFonts w:eastAsia="仿宋_GB2312"/>
                <w:kern w:val="0"/>
                <w:szCs w:val="21"/>
              </w:rPr>
            </w:pPr>
            <w:r>
              <w:rPr>
                <w:rFonts w:eastAsia="仿宋_GB2312"/>
                <w:kern w:val="0"/>
                <w:szCs w:val="21"/>
              </w:rPr>
              <w:t>　</w:t>
            </w:r>
          </w:p>
        </w:tc>
        <w:tc>
          <w:tcPr>
            <w:tcW w:w="863" w:type="dxa"/>
            <w:noWrap w:val="0"/>
            <w:vAlign w:val="center"/>
          </w:tcPr>
          <w:p>
            <w:pPr>
              <w:widowControl/>
              <w:jc w:val="left"/>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pPr>
              <w:widowControl/>
              <w:jc w:val="center"/>
              <w:rPr>
                <w:rFonts w:eastAsia="仿宋_GB2312"/>
                <w:kern w:val="0"/>
                <w:szCs w:val="21"/>
              </w:rPr>
            </w:pPr>
            <w:r>
              <w:rPr>
                <w:rFonts w:eastAsia="仿宋_GB2312"/>
                <w:kern w:val="0"/>
                <w:szCs w:val="21"/>
              </w:rPr>
              <w:t>　</w:t>
            </w:r>
          </w:p>
        </w:tc>
      </w:tr>
    </w:tbl>
    <w:p>
      <w:pPr>
        <w:spacing w:line="360" w:lineRule="exact"/>
        <w:rPr>
          <w:rFonts w:hint="eastAsia" w:eastAsia="黑体"/>
          <w:sz w:val="32"/>
          <w:szCs w:val="32"/>
          <w:lang w:val="en-US" w:eastAsia="zh-CN"/>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r>
        <w:rPr>
          <w:rFonts w:eastAsia="黑体"/>
          <w:sz w:val="32"/>
          <w:szCs w:val="32"/>
        </w:rPr>
        <w:t>附件</w:t>
      </w:r>
      <w:r>
        <w:rPr>
          <w:rFonts w:hint="eastAsia" w:eastAsia="黑体"/>
          <w:sz w:val="32"/>
          <w:szCs w:val="32"/>
          <w:lang w:val="en-US" w:eastAsia="zh-CN"/>
        </w:rPr>
        <w:t>2</w:t>
      </w:r>
    </w:p>
    <w:p>
      <w:pPr>
        <w:widowControl/>
        <w:jc w:val="center"/>
        <w:rPr>
          <w:rFonts w:eastAsia="方正小标宋_GBK"/>
          <w:color w:val="000000"/>
          <w:kern w:val="0"/>
          <w:sz w:val="36"/>
          <w:szCs w:val="36"/>
        </w:rPr>
      </w:pPr>
      <w:r>
        <w:rPr>
          <w:rFonts w:eastAsia="方正小标宋_GBK"/>
          <w:color w:val="000000"/>
          <w:kern w:val="0"/>
          <w:sz w:val="36"/>
          <w:szCs w:val="36"/>
        </w:rPr>
        <w:t>部门整体支出绩效自评表</w:t>
      </w:r>
    </w:p>
    <w:p>
      <w:pPr>
        <w:widowControl/>
        <w:jc w:val="center"/>
        <w:rPr>
          <w:rFonts w:eastAsia="仿宋_GB2312"/>
          <w:color w:val="000000"/>
          <w:kern w:val="0"/>
          <w:szCs w:val="21"/>
        </w:rPr>
      </w:pPr>
      <w:r>
        <w:rPr>
          <w:rFonts w:eastAsia="仿宋_GB2312"/>
          <w:color w:val="000000"/>
          <w:kern w:val="0"/>
          <w:szCs w:val="21"/>
        </w:rPr>
        <w:t xml:space="preserve">（ </w:t>
      </w:r>
      <w:r>
        <w:rPr>
          <w:rFonts w:hint="eastAsia" w:eastAsia="仿宋_GB2312"/>
          <w:color w:val="000000"/>
          <w:kern w:val="0"/>
          <w:szCs w:val="21"/>
          <w:lang w:val="en-US" w:eastAsia="zh-CN"/>
        </w:rPr>
        <w:t>2024</w:t>
      </w:r>
      <w:r>
        <w:rPr>
          <w:rFonts w:eastAsia="仿宋_GB2312"/>
          <w:color w:val="000000"/>
          <w:kern w:val="0"/>
          <w:szCs w:val="21"/>
        </w:rPr>
        <w:t>年度）</w:t>
      </w:r>
    </w:p>
    <w:tbl>
      <w:tblPr>
        <w:tblStyle w:val="9"/>
        <w:tblW w:w="10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95"/>
        <w:gridCol w:w="1252"/>
        <w:gridCol w:w="1114"/>
        <w:gridCol w:w="388"/>
        <w:gridCol w:w="1200"/>
        <w:gridCol w:w="1134"/>
        <w:gridCol w:w="709"/>
        <w:gridCol w:w="898"/>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省级预算部门名称</w:t>
            </w:r>
          </w:p>
        </w:tc>
        <w:tc>
          <w:tcPr>
            <w:tcW w:w="9536" w:type="dxa"/>
            <w:gridSpan w:val="9"/>
            <w:noWrap w:val="0"/>
            <w:vAlign w:val="center"/>
          </w:tcPr>
          <w:p>
            <w:pPr>
              <w:widowControl/>
              <w:jc w:val="center"/>
              <w:rPr>
                <w:rFonts w:eastAsia="仿宋_GB2312"/>
                <w:color w:val="000000"/>
                <w:kern w:val="0"/>
                <w:szCs w:val="21"/>
              </w:rPr>
            </w:pPr>
            <w:r>
              <w:rPr>
                <w:rFonts w:hint="eastAsia" w:eastAsia="仿宋_GB2312"/>
                <w:color w:val="000000"/>
                <w:kern w:val="0"/>
                <w:szCs w:val="21"/>
              </w:rPr>
              <w:t>湖南省农作物种子救灾储备中心</w:t>
            </w: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年度预</w:t>
            </w:r>
          </w:p>
          <w:p>
            <w:pPr>
              <w:widowControl/>
              <w:jc w:val="center"/>
              <w:rPr>
                <w:rFonts w:eastAsia="仿宋_GB2312"/>
                <w:color w:val="000000"/>
                <w:kern w:val="0"/>
                <w:szCs w:val="21"/>
              </w:rPr>
            </w:pPr>
            <w:r>
              <w:rPr>
                <w:rFonts w:eastAsia="仿宋_GB2312"/>
                <w:color w:val="000000"/>
                <w:kern w:val="0"/>
                <w:szCs w:val="21"/>
              </w:rPr>
              <w:t>算申请</w:t>
            </w:r>
            <w:r>
              <w:rPr>
                <w:rFonts w:eastAsia="仿宋_GB2312"/>
                <w:color w:val="000000"/>
                <w:kern w:val="0"/>
                <w:szCs w:val="21"/>
              </w:rPr>
              <w:br w:type="textWrapping"/>
            </w:r>
            <w:r>
              <w:rPr>
                <w:rFonts w:eastAsia="仿宋_GB2312"/>
                <w:color w:val="000000"/>
                <w:kern w:val="0"/>
                <w:szCs w:val="21"/>
              </w:rPr>
              <w:t>（万元）</w:t>
            </w:r>
          </w:p>
        </w:tc>
        <w:tc>
          <w:tcPr>
            <w:tcW w:w="2647" w:type="dxa"/>
            <w:gridSpan w:val="2"/>
            <w:noWrap w:val="0"/>
            <w:vAlign w:val="center"/>
          </w:tcPr>
          <w:p>
            <w:pPr>
              <w:jc w:val="center"/>
              <w:rPr>
                <w:rFonts w:eastAsia="仿宋_GB2312"/>
                <w:szCs w:val="21"/>
              </w:rPr>
            </w:pPr>
          </w:p>
        </w:tc>
        <w:tc>
          <w:tcPr>
            <w:tcW w:w="1114" w:type="dxa"/>
            <w:noWrap w:val="0"/>
            <w:vAlign w:val="center"/>
          </w:tcPr>
          <w:p>
            <w:pPr>
              <w:jc w:val="center"/>
              <w:rPr>
                <w:rFonts w:hint="eastAsia" w:eastAsia="仿宋_GB2312"/>
                <w:szCs w:val="21"/>
              </w:rPr>
            </w:pPr>
            <w:r>
              <w:rPr>
                <w:rFonts w:eastAsia="仿宋_GB2312"/>
                <w:szCs w:val="21"/>
              </w:rPr>
              <w:t>年初</w:t>
            </w:r>
          </w:p>
          <w:p>
            <w:pPr>
              <w:jc w:val="center"/>
              <w:rPr>
                <w:rFonts w:eastAsia="仿宋_GB2312"/>
                <w:szCs w:val="21"/>
              </w:rPr>
            </w:pPr>
            <w:r>
              <w:rPr>
                <w:rFonts w:eastAsia="仿宋_GB2312"/>
                <w:szCs w:val="21"/>
              </w:rPr>
              <w:t>预算数</w:t>
            </w:r>
          </w:p>
        </w:tc>
        <w:tc>
          <w:tcPr>
            <w:tcW w:w="1588" w:type="dxa"/>
            <w:gridSpan w:val="2"/>
            <w:noWrap w:val="0"/>
            <w:vAlign w:val="center"/>
          </w:tcPr>
          <w:p>
            <w:pPr>
              <w:jc w:val="center"/>
              <w:rPr>
                <w:rFonts w:eastAsia="仿宋_GB2312"/>
                <w:szCs w:val="21"/>
              </w:rPr>
            </w:pPr>
            <w:r>
              <w:rPr>
                <w:rFonts w:eastAsia="仿宋_GB2312"/>
                <w:szCs w:val="21"/>
              </w:rPr>
              <w:t>全年预算数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709" w:type="dxa"/>
            <w:noWrap w:val="0"/>
            <w:vAlign w:val="center"/>
          </w:tcPr>
          <w:p>
            <w:pPr>
              <w:jc w:val="center"/>
              <w:rPr>
                <w:rFonts w:eastAsia="仿宋_GB2312"/>
                <w:szCs w:val="21"/>
              </w:rPr>
            </w:pPr>
            <w:r>
              <w:rPr>
                <w:rFonts w:eastAsia="仿宋_GB2312"/>
                <w:szCs w:val="21"/>
              </w:rPr>
              <w:t>分值</w:t>
            </w:r>
          </w:p>
        </w:tc>
        <w:tc>
          <w:tcPr>
            <w:tcW w:w="898" w:type="dxa"/>
            <w:noWrap w:val="0"/>
            <w:vAlign w:val="center"/>
          </w:tcPr>
          <w:p>
            <w:pPr>
              <w:jc w:val="center"/>
              <w:rPr>
                <w:rFonts w:eastAsia="仿宋_GB2312"/>
                <w:szCs w:val="21"/>
              </w:rPr>
            </w:pPr>
            <w:r>
              <w:rPr>
                <w:rFonts w:eastAsia="仿宋_GB2312"/>
                <w:szCs w:val="21"/>
              </w:rPr>
              <w:t>执行率</w:t>
            </w:r>
          </w:p>
        </w:tc>
        <w:tc>
          <w:tcPr>
            <w:tcW w:w="1446"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2647" w:type="dxa"/>
            <w:gridSpan w:val="2"/>
            <w:noWrap w:val="0"/>
            <w:vAlign w:val="center"/>
          </w:tcPr>
          <w:p>
            <w:pPr>
              <w:jc w:val="center"/>
              <w:rPr>
                <w:rFonts w:eastAsia="仿宋_GB2312"/>
                <w:szCs w:val="21"/>
              </w:rPr>
            </w:pPr>
            <w:r>
              <w:rPr>
                <w:rFonts w:eastAsia="仿宋_GB2312"/>
                <w:color w:val="000000"/>
                <w:kern w:val="0"/>
                <w:szCs w:val="21"/>
              </w:rPr>
              <w:t>年度资金总额</w:t>
            </w:r>
          </w:p>
        </w:tc>
        <w:tc>
          <w:tcPr>
            <w:tcW w:w="1114" w:type="dxa"/>
            <w:noWrap w:val="0"/>
            <w:vAlign w:val="center"/>
          </w:tcPr>
          <w:p>
            <w:pPr>
              <w:jc w:val="center"/>
              <w:rPr>
                <w:rFonts w:hint="default" w:eastAsia="仿宋_GB2312"/>
                <w:szCs w:val="21"/>
                <w:lang w:val="en-US" w:eastAsia="zh-CN"/>
              </w:rPr>
            </w:pPr>
            <w:r>
              <w:rPr>
                <w:rFonts w:hint="eastAsia" w:eastAsia="仿宋_GB2312"/>
                <w:szCs w:val="21"/>
                <w:lang w:val="en-US" w:eastAsia="zh-CN"/>
              </w:rPr>
              <w:t>196.53</w:t>
            </w:r>
          </w:p>
        </w:tc>
        <w:tc>
          <w:tcPr>
            <w:tcW w:w="1588" w:type="dxa"/>
            <w:gridSpan w:val="2"/>
            <w:noWrap w:val="0"/>
            <w:vAlign w:val="center"/>
          </w:tcPr>
          <w:p>
            <w:pPr>
              <w:jc w:val="center"/>
              <w:rPr>
                <w:rFonts w:hint="default" w:eastAsia="仿宋_GB2312"/>
                <w:szCs w:val="21"/>
                <w:lang w:val="en-US" w:eastAsia="zh-CN"/>
              </w:rPr>
            </w:pPr>
            <w:r>
              <w:rPr>
                <w:rFonts w:hint="eastAsia" w:eastAsia="仿宋_GB2312"/>
                <w:szCs w:val="21"/>
                <w:lang w:val="en-US" w:eastAsia="zh-CN"/>
              </w:rPr>
              <w:t>196.53</w:t>
            </w:r>
          </w:p>
        </w:tc>
        <w:tc>
          <w:tcPr>
            <w:tcW w:w="1134" w:type="dxa"/>
            <w:noWrap w:val="0"/>
            <w:vAlign w:val="center"/>
          </w:tcPr>
          <w:p>
            <w:pPr>
              <w:jc w:val="center"/>
              <w:rPr>
                <w:rFonts w:hint="default" w:eastAsia="仿宋_GB2312"/>
                <w:szCs w:val="21"/>
                <w:lang w:val="en-US" w:eastAsia="zh-CN"/>
              </w:rPr>
            </w:pPr>
            <w:r>
              <w:rPr>
                <w:rFonts w:hint="eastAsia" w:eastAsia="仿宋_GB2312"/>
                <w:szCs w:val="21"/>
                <w:lang w:val="en-US" w:eastAsia="zh-CN"/>
              </w:rPr>
              <w:t>174.82</w:t>
            </w:r>
          </w:p>
        </w:tc>
        <w:tc>
          <w:tcPr>
            <w:tcW w:w="709" w:type="dxa"/>
            <w:noWrap w:val="0"/>
            <w:vAlign w:val="center"/>
          </w:tcPr>
          <w:p>
            <w:pPr>
              <w:jc w:val="center"/>
              <w:rPr>
                <w:rFonts w:eastAsia="仿宋_GB2312"/>
                <w:szCs w:val="21"/>
              </w:rPr>
            </w:pPr>
            <w:r>
              <w:rPr>
                <w:rFonts w:eastAsia="仿宋_GB2312"/>
                <w:szCs w:val="21"/>
              </w:rPr>
              <w:t>10</w:t>
            </w:r>
          </w:p>
        </w:tc>
        <w:tc>
          <w:tcPr>
            <w:tcW w:w="898" w:type="dxa"/>
            <w:noWrap w:val="0"/>
            <w:vAlign w:val="center"/>
          </w:tcPr>
          <w:p>
            <w:pPr>
              <w:jc w:val="center"/>
              <w:rPr>
                <w:rFonts w:hint="default" w:eastAsia="仿宋_GB2312"/>
                <w:szCs w:val="21"/>
                <w:lang w:val="en-US" w:eastAsia="zh-CN"/>
              </w:rPr>
            </w:pPr>
            <w:r>
              <w:rPr>
                <w:rFonts w:hint="eastAsia" w:eastAsia="仿宋_GB2312"/>
                <w:szCs w:val="21"/>
                <w:lang w:val="en-US" w:eastAsia="zh-CN"/>
              </w:rPr>
              <w:t>88.95%</w:t>
            </w:r>
          </w:p>
        </w:tc>
        <w:tc>
          <w:tcPr>
            <w:tcW w:w="1446" w:type="dxa"/>
            <w:noWrap w:val="0"/>
            <w:vAlign w:val="center"/>
          </w:tcPr>
          <w:p>
            <w:pPr>
              <w:jc w:val="center"/>
              <w:rPr>
                <w:rFonts w:hint="default" w:eastAsia="仿宋_GB2312"/>
                <w:szCs w:val="21"/>
                <w:lang w:val="en-US" w:eastAsia="zh-CN"/>
              </w:rPr>
            </w:pPr>
            <w:r>
              <w:rPr>
                <w:rFonts w:hint="eastAsia" w:eastAsia="仿宋_GB2312"/>
                <w:szCs w:val="21"/>
                <w:lang w:val="en-US"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349" w:type="dxa"/>
            <w:gridSpan w:val="5"/>
            <w:noWrap w:val="0"/>
            <w:vAlign w:val="center"/>
          </w:tcPr>
          <w:p>
            <w:pPr>
              <w:widowControl/>
              <w:jc w:val="left"/>
              <w:rPr>
                <w:rFonts w:eastAsia="仿宋_GB2312"/>
                <w:color w:val="000000"/>
                <w:kern w:val="0"/>
                <w:szCs w:val="21"/>
              </w:rPr>
            </w:pPr>
            <w:r>
              <w:rPr>
                <w:rFonts w:eastAsia="仿宋_GB2312"/>
                <w:color w:val="000000"/>
                <w:kern w:val="0"/>
                <w:szCs w:val="21"/>
              </w:rPr>
              <w:t>按收入性质分：</w:t>
            </w:r>
          </w:p>
        </w:tc>
        <w:tc>
          <w:tcPr>
            <w:tcW w:w="4187" w:type="dxa"/>
            <w:gridSpan w:val="4"/>
            <w:noWrap w:val="0"/>
            <w:vAlign w:val="center"/>
          </w:tcPr>
          <w:p>
            <w:pPr>
              <w:widowControl/>
              <w:jc w:val="left"/>
              <w:rPr>
                <w:rFonts w:eastAsia="仿宋_GB2312"/>
                <w:color w:val="000000"/>
                <w:kern w:val="0"/>
                <w:szCs w:val="21"/>
              </w:rPr>
            </w:pPr>
            <w:r>
              <w:rPr>
                <w:rFonts w:eastAsia="仿宋_GB2312"/>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349" w:type="dxa"/>
            <w:gridSpan w:val="5"/>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xml:space="preserve">  其中：  一般公共预算：</w:t>
            </w:r>
            <w:r>
              <w:rPr>
                <w:rFonts w:hint="eastAsia" w:eastAsia="仿宋_GB2312"/>
                <w:color w:val="000000"/>
                <w:kern w:val="0"/>
                <w:szCs w:val="21"/>
                <w:lang w:val="en-US" w:eastAsia="zh-CN"/>
              </w:rPr>
              <w:t>196.53</w:t>
            </w:r>
          </w:p>
        </w:tc>
        <w:tc>
          <w:tcPr>
            <w:tcW w:w="4187"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其中：基本支出：</w:t>
            </w:r>
            <w:r>
              <w:rPr>
                <w:rFonts w:hint="eastAsia" w:eastAsia="仿宋_GB2312"/>
                <w:color w:val="000000"/>
                <w:kern w:val="0"/>
                <w:szCs w:val="21"/>
                <w:lang w:val="en-US" w:eastAsia="zh-CN"/>
              </w:rPr>
              <w:t>129.32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349" w:type="dxa"/>
            <w:gridSpan w:val="5"/>
            <w:noWrap w:val="0"/>
            <w:vAlign w:val="center"/>
          </w:tcPr>
          <w:p>
            <w:pPr>
              <w:widowControl/>
              <w:ind w:firstLine="840" w:firstLineChars="400"/>
              <w:jc w:val="left"/>
              <w:rPr>
                <w:rFonts w:eastAsia="仿宋_GB2312"/>
                <w:color w:val="000000"/>
                <w:kern w:val="0"/>
                <w:szCs w:val="21"/>
              </w:rPr>
            </w:pPr>
            <w:r>
              <w:rPr>
                <w:rFonts w:eastAsia="仿宋_GB2312"/>
                <w:color w:val="000000"/>
                <w:kern w:val="0"/>
                <w:szCs w:val="21"/>
              </w:rPr>
              <w:t>政府性基金拨款：</w:t>
            </w:r>
          </w:p>
        </w:tc>
        <w:tc>
          <w:tcPr>
            <w:tcW w:w="4187" w:type="dxa"/>
            <w:gridSpan w:val="4"/>
            <w:noWrap w:val="0"/>
            <w:vAlign w:val="center"/>
          </w:tcPr>
          <w:p>
            <w:pPr>
              <w:widowControl/>
              <w:ind w:firstLine="630" w:firstLineChars="300"/>
              <w:jc w:val="left"/>
              <w:rPr>
                <w:rFonts w:hint="default" w:eastAsia="仿宋_GB2312"/>
                <w:color w:val="000000"/>
                <w:kern w:val="0"/>
                <w:szCs w:val="21"/>
                <w:lang w:val="en-US" w:eastAsia="zh-CN"/>
              </w:rPr>
            </w:pPr>
            <w:r>
              <w:rPr>
                <w:rFonts w:eastAsia="仿宋_GB2312"/>
                <w:color w:val="000000"/>
                <w:kern w:val="0"/>
                <w:szCs w:val="21"/>
              </w:rPr>
              <w:t>项目支出：</w:t>
            </w:r>
            <w:r>
              <w:rPr>
                <w:rFonts w:hint="eastAsia" w:eastAsia="仿宋_GB2312"/>
                <w:color w:val="000000"/>
                <w:kern w:val="0"/>
                <w:szCs w:val="21"/>
                <w:lang w:val="en-US" w:eastAsia="zh-CN"/>
              </w:rPr>
              <w:t>45.50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349" w:type="dxa"/>
            <w:gridSpan w:val="5"/>
            <w:noWrap w:val="0"/>
            <w:vAlign w:val="center"/>
          </w:tcPr>
          <w:p>
            <w:pPr>
              <w:widowControl/>
              <w:jc w:val="left"/>
              <w:rPr>
                <w:rFonts w:eastAsia="仿宋_GB2312"/>
                <w:color w:val="000000"/>
                <w:kern w:val="0"/>
                <w:szCs w:val="21"/>
              </w:rPr>
            </w:pPr>
            <w:r>
              <w:rPr>
                <w:rFonts w:eastAsia="仿宋_GB2312"/>
                <w:color w:val="000000"/>
                <w:kern w:val="0"/>
                <w:szCs w:val="21"/>
              </w:rPr>
              <w:t>纳入专户管理的非税收入拨款：</w:t>
            </w:r>
          </w:p>
        </w:tc>
        <w:tc>
          <w:tcPr>
            <w:tcW w:w="4187"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349" w:type="dxa"/>
            <w:gridSpan w:val="5"/>
            <w:noWrap w:val="0"/>
            <w:vAlign w:val="center"/>
          </w:tcPr>
          <w:p>
            <w:pPr>
              <w:widowControl/>
              <w:ind w:firstLine="1470" w:firstLineChars="700"/>
              <w:jc w:val="left"/>
              <w:rPr>
                <w:rFonts w:hint="default" w:eastAsia="仿宋_GB2312"/>
                <w:color w:val="000000"/>
                <w:kern w:val="0"/>
                <w:szCs w:val="21"/>
                <w:lang w:val="en-US" w:eastAsia="zh-CN"/>
              </w:rPr>
            </w:pPr>
            <w:r>
              <w:rPr>
                <w:rFonts w:eastAsia="仿宋_GB2312"/>
                <w:color w:val="000000"/>
                <w:kern w:val="0"/>
                <w:szCs w:val="21"/>
              </w:rPr>
              <w:t>其他资金：</w:t>
            </w:r>
          </w:p>
        </w:tc>
        <w:tc>
          <w:tcPr>
            <w:tcW w:w="4187"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5349" w:type="dxa"/>
            <w:gridSpan w:val="5"/>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187"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80" w:type="dxa"/>
            <w:vMerge w:val="continue"/>
            <w:noWrap w:val="0"/>
            <w:vAlign w:val="center"/>
          </w:tcPr>
          <w:p>
            <w:pPr>
              <w:widowControl/>
              <w:jc w:val="left"/>
              <w:rPr>
                <w:rFonts w:eastAsia="仿宋_GB2312"/>
                <w:color w:val="000000"/>
                <w:kern w:val="0"/>
                <w:szCs w:val="21"/>
              </w:rPr>
            </w:pPr>
          </w:p>
        </w:tc>
        <w:tc>
          <w:tcPr>
            <w:tcW w:w="5349" w:type="dxa"/>
            <w:gridSpan w:val="5"/>
            <w:noWrap w:val="0"/>
            <w:vAlign w:val="center"/>
          </w:tcPr>
          <w:p>
            <w:pPr>
              <w:widowControl/>
              <w:spacing w:line="240" w:lineRule="exact"/>
              <w:jc w:val="both"/>
              <w:rPr>
                <w:rFonts w:eastAsia="仿宋_GB2312"/>
                <w:color w:val="000000"/>
                <w:kern w:val="0"/>
                <w:szCs w:val="21"/>
              </w:rPr>
            </w:pPr>
            <w:bookmarkStart w:id="9" w:name="OLE_LINK13"/>
            <w:r>
              <w:rPr>
                <w:rFonts w:hint="default" w:ascii="Times New Roman" w:hAnsi="Times New Roman" w:eastAsia="仿宋_GB2312" w:cs="Times New Roman"/>
                <w:color w:val="000000"/>
                <w:sz w:val="20"/>
                <w:szCs w:val="20"/>
              </w:rPr>
              <w:t>完成政府储备种子用量的日常管理</w:t>
            </w:r>
            <w:bookmarkEnd w:id="9"/>
          </w:p>
        </w:tc>
        <w:tc>
          <w:tcPr>
            <w:tcW w:w="4187" w:type="dxa"/>
            <w:gridSpan w:val="4"/>
            <w:noWrap w:val="0"/>
            <w:vAlign w:val="center"/>
          </w:tcPr>
          <w:p>
            <w:pPr>
              <w:widowControl/>
              <w:spacing w:line="240" w:lineRule="exact"/>
              <w:jc w:val="left"/>
              <w:rPr>
                <w:rFonts w:eastAsia="仿宋_GB2312"/>
                <w:color w:val="000000"/>
                <w:kern w:val="0"/>
                <w:szCs w:val="21"/>
              </w:rPr>
            </w:pPr>
            <w:r>
              <w:rPr>
                <w:rFonts w:hint="eastAsia" w:ascii="Times New Roman" w:hAnsi="Times New Roman" w:eastAsia="仿宋" w:cs="Times New Roman"/>
                <w:color w:val="000000"/>
                <w:sz w:val="20"/>
                <w:szCs w:val="20"/>
                <w:lang w:val="en-US" w:eastAsia="zh-CN"/>
              </w:rPr>
              <w:t>完成政府储备种子用量的日常管理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395"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52"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502" w:type="dxa"/>
            <w:gridSpan w:val="2"/>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0"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09"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9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46" w:type="dxa"/>
            <w:noWrap w:val="0"/>
            <w:vAlign w:val="top"/>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bookmarkStart w:id="10" w:name="OLE_LINK16" w:colFirst="6" w:colLast="6"/>
          </w:p>
        </w:tc>
        <w:tc>
          <w:tcPr>
            <w:tcW w:w="1395"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数量</w:t>
            </w:r>
          </w:p>
          <w:p>
            <w:pPr>
              <w:widowControl/>
              <w:jc w:val="center"/>
              <w:rPr>
                <w:rFonts w:eastAsia="仿宋_GB2312"/>
                <w:color w:val="000000"/>
                <w:kern w:val="0"/>
                <w:szCs w:val="21"/>
              </w:rPr>
            </w:pPr>
            <w:r>
              <w:rPr>
                <w:rFonts w:eastAsia="仿宋_GB2312"/>
                <w:color w:val="000000"/>
                <w:kern w:val="0"/>
                <w:szCs w:val="21"/>
              </w:rPr>
              <w:t>指标</w:t>
            </w:r>
          </w:p>
        </w:tc>
        <w:tc>
          <w:tcPr>
            <w:tcW w:w="1502" w:type="dxa"/>
            <w:gridSpan w:val="2"/>
            <w:noWrap w:val="0"/>
            <w:vAlign w:val="center"/>
          </w:tcPr>
          <w:p>
            <w:pPr>
              <w:keepNext w:val="0"/>
              <w:keepLines w:val="0"/>
              <w:widowControl/>
              <w:suppressLineNumbers w:val="0"/>
              <w:jc w:val="left"/>
              <w:textAlignment w:val="auto"/>
              <w:rPr>
                <w:rFonts w:hint="eastAsia"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负责300万亩救灾备荒种子供应</w:t>
            </w:r>
          </w:p>
        </w:tc>
        <w:tc>
          <w:tcPr>
            <w:tcW w:w="1200" w:type="dxa"/>
            <w:noWrap w:val="0"/>
            <w:vAlign w:val="center"/>
          </w:tcPr>
          <w:p>
            <w:pPr>
              <w:keepNext w:val="0"/>
              <w:keepLines w:val="0"/>
              <w:widowControl/>
              <w:suppressLineNumbers w:val="0"/>
              <w:jc w:val="left"/>
              <w:textAlignment w:val="auto"/>
              <w:rPr>
                <w:rFonts w:hint="eastAsia"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负责300万亩救灾备荒种子供应</w:t>
            </w:r>
          </w:p>
        </w:tc>
        <w:tc>
          <w:tcPr>
            <w:tcW w:w="1134"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300万亩</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指标</w:t>
            </w:r>
          </w:p>
        </w:tc>
        <w:tc>
          <w:tcPr>
            <w:tcW w:w="1502" w:type="dxa"/>
            <w:gridSpan w:val="2"/>
            <w:noWrap w:val="0"/>
            <w:vAlign w:val="center"/>
          </w:tcPr>
          <w:p>
            <w:pPr>
              <w:keepNext w:val="0"/>
              <w:keepLines w:val="0"/>
              <w:widowControl/>
              <w:suppressLineNumbers w:val="0"/>
              <w:jc w:val="left"/>
              <w:textAlignment w:val="auto"/>
              <w:rPr>
                <w:rFonts w:hint="eastAsia" w:eastAsia="仿宋_GB2312"/>
                <w:color w:val="000000"/>
                <w:kern w:val="0"/>
                <w:szCs w:val="21"/>
              </w:rPr>
            </w:pPr>
            <w:bookmarkStart w:id="11" w:name="OLE_LINK2"/>
            <w:r>
              <w:rPr>
                <w:rFonts w:hint="eastAsia" w:ascii="Times New Roman" w:hAnsi="Times New Roman" w:eastAsia="仿宋_GB2312" w:cs="Times New Roman"/>
                <w:i w:val="0"/>
                <w:color w:val="000000"/>
                <w:kern w:val="0"/>
                <w:sz w:val="21"/>
                <w:szCs w:val="21"/>
                <w:u w:val="none"/>
                <w:lang w:val="en-US" w:eastAsia="zh-CN" w:bidi="ar"/>
              </w:rPr>
              <w:t>保质保量</w:t>
            </w:r>
            <w:bookmarkEnd w:id="11"/>
            <w:r>
              <w:rPr>
                <w:rFonts w:hint="eastAsia" w:ascii="Times New Roman" w:hAnsi="Times New Roman" w:eastAsia="仿宋_GB2312" w:cs="Times New Roman"/>
                <w:i w:val="0"/>
                <w:color w:val="000000"/>
                <w:kern w:val="0"/>
                <w:sz w:val="21"/>
                <w:szCs w:val="21"/>
                <w:u w:val="none"/>
                <w:lang w:val="en-US" w:eastAsia="zh-CN" w:bidi="ar"/>
              </w:rPr>
              <w:t>完成工作任务</w:t>
            </w:r>
          </w:p>
        </w:tc>
        <w:tc>
          <w:tcPr>
            <w:tcW w:w="1200" w:type="dxa"/>
            <w:noWrap w:val="0"/>
            <w:vAlign w:val="center"/>
          </w:tcPr>
          <w:p>
            <w:pPr>
              <w:widowControl/>
              <w:jc w:val="left"/>
              <w:rPr>
                <w:rFonts w:hint="eastAsia"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保质保量</w:t>
            </w:r>
          </w:p>
        </w:tc>
        <w:tc>
          <w:tcPr>
            <w:tcW w:w="1134" w:type="dxa"/>
            <w:noWrap w:val="0"/>
            <w:vAlign w:val="center"/>
          </w:tcPr>
          <w:p>
            <w:pPr>
              <w:widowControl/>
              <w:jc w:val="left"/>
              <w:rPr>
                <w:rFonts w:hint="eastAsia"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保质保量</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时效</w:t>
            </w:r>
          </w:p>
          <w:p>
            <w:pPr>
              <w:widowControl/>
              <w:jc w:val="center"/>
              <w:rPr>
                <w:rFonts w:eastAsia="仿宋_GB2312"/>
                <w:color w:val="000000"/>
                <w:kern w:val="0"/>
                <w:szCs w:val="21"/>
              </w:rPr>
            </w:pPr>
            <w:r>
              <w:rPr>
                <w:rFonts w:eastAsia="仿宋_GB2312"/>
                <w:color w:val="000000"/>
                <w:kern w:val="0"/>
                <w:szCs w:val="21"/>
              </w:rPr>
              <w:t>指标</w:t>
            </w:r>
          </w:p>
        </w:tc>
        <w:tc>
          <w:tcPr>
            <w:tcW w:w="1502"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各项工作完成时间</w:t>
            </w:r>
          </w:p>
        </w:tc>
        <w:tc>
          <w:tcPr>
            <w:tcW w:w="1200" w:type="dxa"/>
            <w:noWrap w:val="0"/>
            <w:vAlign w:val="center"/>
          </w:tcPr>
          <w:p>
            <w:pPr>
              <w:keepNext w:val="0"/>
              <w:keepLines w:val="0"/>
              <w:widowControl/>
              <w:suppressLineNumbers w:val="0"/>
              <w:jc w:val="left"/>
              <w:textAlignment w:val="auto"/>
              <w:rPr>
                <w:rFonts w:hint="eastAsia" w:eastAsia="仿宋_GB2312"/>
                <w:color w:val="000000"/>
                <w:kern w:val="0"/>
                <w:szCs w:val="21"/>
              </w:rPr>
            </w:pPr>
            <w:bookmarkStart w:id="12" w:name="OLE_LINK3"/>
            <w:r>
              <w:rPr>
                <w:rFonts w:hint="eastAsia" w:ascii="Times New Roman" w:hAnsi="Times New Roman" w:eastAsia="仿宋_GB2312" w:cs="Times New Roman"/>
                <w:i w:val="0"/>
                <w:color w:val="000000"/>
                <w:kern w:val="0"/>
                <w:sz w:val="21"/>
                <w:szCs w:val="21"/>
                <w:u w:val="none"/>
                <w:lang w:val="en-US" w:eastAsia="zh-CN" w:bidi="ar"/>
              </w:rPr>
              <w:t>2024年12月31日</w:t>
            </w:r>
            <w:bookmarkEnd w:id="12"/>
          </w:p>
        </w:tc>
        <w:tc>
          <w:tcPr>
            <w:tcW w:w="1134" w:type="dxa"/>
            <w:noWrap w:val="0"/>
            <w:vAlign w:val="center"/>
          </w:tcPr>
          <w:p>
            <w:pPr>
              <w:widowControl/>
              <w:jc w:val="left"/>
              <w:rPr>
                <w:rFonts w:hint="eastAsia" w:eastAsia="仿宋_GB2312"/>
                <w:color w:val="000000"/>
                <w:kern w:val="0"/>
                <w:szCs w:val="21"/>
              </w:rPr>
            </w:pPr>
            <w:r>
              <w:rPr>
                <w:rFonts w:hint="eastAsia" w:eastAsia="仿宋_GB2312"/>
                <w:color w:val="000000"/>
                <w:kern w:val="0"/>
                <w:szCs w:val="21"/>
              </w:rPr>
              <w:t>　</w:t>
            </w:r>
            <w:r>
              <w:rPr>
                <w:rFonts w:hint="eastAsia" w:ascii="Times New Roman" w:hAnsi="Times New Roman" w:eastAsia="仿宋_GB2312" w:cs="Times New Roman"/>
                <w:i w:val="0"/>
                <w:color w:val="000000"/>
                <w:kern w:val="0"/>
                <w:sz w:val="21"/>
                <w:szCs w:val="21"/>
                <w:u w:val="none"/>
                <w:lang w:val="en-US" w:eastAsia="zh-CN" w:bidi="ar"/>
              </w:rPr>
              <w:t>2024年12月31日</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成本</w:t>
            </w:r>
          </w:p>
          <w:p>
            <w:pPr>
              <w:widowControl/>
              <w:jc w:val="center"/>
              <w:rPr>
                <w:rFonts w:eastAsia="仿宋_GB2312"/>
                <w:color w:val="000000"/>
                <w:kern w:val="0"/>
                <w:szCs w:val="21"/>
              </w:rPr>
            </w:pPr>
            <w:r>
              <w:rPr>
                <w:rFonts w:eastAsia="仿宋_GB2312"/>
                <w:color w:val="000000"/>
                <w:kern w:val="0"/>
                <w:szCs w:val="21"/>
              </w:rPr>
              <w:t>指标</w:t>
            </w:r>
          </w:p>
        </w:tc>
        <w:tc>
          <w:tcPr>
            <w:tcW w:w="1502"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各项费用支出</w:t>
            </w:r>
          </w:p>
        </w:tc>
        <w:tc>
          <w:tcPr>
            <w:tcW w:w="1200" w:type="dxa"/>
            <w:noWrap w:val="0"/>
            <w:vAlign w:val="center"/>
          </w:tcPr>
          <w:p>
            <w:pPr>
              <w:keepNext w:val="0"/>
              <w:keepLines w:val="0"/>
              <w:widowControl/>
              <w:suppressLineNumbers w:val="0"/>
              <w:jc w:val="left"/>
              <w:textAlignment w:val="auto"/>
              <w:rPr>
                <w:rFonts w:hint="eastAsia"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控制在预算范围内</w:t>
            </w:r>
          </w:p>
        </w:tc>
        <w:tc>
          <w:tcPr>
            <w:tcW w:w="1134" w:type="dxa"/>
            <w:noWrap w:val="0"/>
            <w:vAlign w:val="center"/>
          </w:tcPr>
          <w:p>
            <w:pPr>
              <w:widowControl/>
              <w:jc w:val="left"/>
              <w:rPr>
                <w:rFonts w:hint="eastAsia" w:eastAsia="仿宋_GB2312"/>
                <w:color w:val="000000"/>
                <w:kern w:val="0"/>
                <w:szCs w:val="21"/>
              </w:rPr>
            </w:pPr>
            <w:r>
              <w:rPr>
                <w:rFonts w:hint="eastAsia" w:eastAsia="仿宋_GB2312"/>
                <w:color w:val="000000"/>
                <w:kern w:val="0"/>
                <w:szCs w:val="21"/>
              </w:rPr>
              <w:t>　</w:t>
            </w:r>
            <w:r>
              <w:rPr>
                <w:rFonts w:hint="eastAsia" w:eastAsia="仿宋_GB2312"/>
                <w:color w:val="000000"/>
                <w:kern w:val="0"/>
                <w:szCs w:val="21"/>
                <w:lang w:val="en-US" w:eastAsia="zh-CN"/>
              </w:rPr>
              <w:t>完成</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效益指标</w:t>
            </w:r>
          </w:p>
          <w:p>
            <w:pPr>
              <w:widowControl/>
              <w:ind w:firstLine="210" w:firstLineChars="100"/>
              <w:jc w:val="left"/>
              <w:rPr>
                <w:rFonts w:eastAsia="仿宋_GB2312"/>
                <w:color w:val="000000"/>
                <w:kern w:val="0"/>
                <w:szCs w:val="21"/>
              </w:rPr>
            </w:pPr>
            <w:r>
              <w:rPr>
                <w:rFonts w:eastAsia="仿宋_GB2312"/>
                <w:color w:val="000000"/>
                <w:kern w:val="0"/>
                <w:szCs w:val="21"/>
              </w:rPr>
              <w:t>（30分）　</w:t>
            </w: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502" w:type="dxa"/>
            <w:gridSpan w:val="2"/>
            <w:noWrap w:val="0"/>
            <w:vAlign w:val="center"/>
          </w:tcPr>
          <w:p>
            <w:pPr>
              <w:keepNext w:val="0"/>
              <w:keepLines w:val="0"/>
              <w:widowControl/>
              <w:suppressLineNumbers w:val="0"/>
              <w:jc w:val="left"/>
              <w:textAlignment w:val="auto"/>
              <w:rPr>
                <w:rFonts w:hint="eastAsia"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保证受灾地区农民生产自救所需种子，荒年种子供应。</w:t>
            </w:r>
          </w:p>
        </w:tc>
        <w:tc>
          <w:tcPr>
            <w:tcW w:w="1200" w:type="dxa"/>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rPr>
              <w:t>　</w:t>
            </w:r>
            <w:r>
              <w:rPr>
                <w:rFonts w:hint="eastAsia" w:eastAsia="仿宋_GB2312"/>
                <w:color w:val="000000"/>
                <w:kern w:val="0"/>
                <w:szCs w:val="21"/>
                <w:lang w:val="en-US" w:eastAsia="zh-CN"/>
              </w:rPr>
              <w:t>完成</w:t>
            </w:r>
          </w:p>
        </w:tc>
        <w:tc>
          <w:tcPr>
            <w:tcW w:w="1134" w:type="dxa"/>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rPr>
              <w:t>　</w:t>
            </w:r>
            <w:bookmarkStart w:id="13" w:name="OLE_LINK1"/>
            <w:r>
              <w:rPr>
                <w:rFonts w:hint="eastAsia" w:eastAsia="仿宋_GB2312"/>
                <w:color w:val="000000"/>
                <w:kern w:val="0"/>
                <w:szCs w:val="21"/>
                <w:lang w:val="en-US" w:eastAsia="zh-CN"/>
              </w:rPr>
              <w:t>完成</w:t>
            </w:r>
            <w:bookmarkEnd w:id="13"/>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502" w:type="dxa"/>
            <w:gridSpan w:val="2"/>
            <w:noWrap w:val="0"/>
            <w:vAlign w:val="center"/>
          </w:tcPr>
          <w:p>
            <w:pPr>
              <w:keepNext w:val="0"/>
              <w:keepLines w:val="0"/>
              <w:widowControl/>
              <w:suppressLineNumbers w:val="0"/>
              <w:jc w:val="left"/>
              <w:textAlignment w:val="auto"/>
              <w:rPr>
                <w:rFonts w:hint="eastAsia"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绿色环保</w:t>
            </w:r>
          </w:p>
        </w:tc>
        <w:tc>
          <w:tcPr>
            <w:tcW w:w="1200" w:type="dxa"/>
            <w:noWrap w:val="0"/>
            <w:vAlign w:val="center"/>
          </w:tcPr>
          <w:p>
            <w:pPr>
              <w:keepNext w:val="0"/>
              <w:keepLines w:val="0"/>
              <w:widowControl/>
              <w:suppressLineNumbers w:val="0"/>
              <w:jc w:val="left"/>
              <w:textAlignment w:val="auto"/>
              <w:rPr>
                <w:rFonts w:hint="eastAsia" w:eastAsia="仿宋_GB2312"/>
                <w:color w:val="000000"/>
                <w:kern w:val="0"/>
                <w:szCs w:val="21"/>
              </w:rPr>
            </w:pPr>
            <w:r>
              <w:rPr>
                <w:rFonts w:hint="eastAsia" w:ascii="Times New Roman" w:hAnsi="Times New Roman" w:eastAsia="仿宋_GB2312" w:cs="Times New Roman"/>
                <w:i w:val="0"/>
                <w:color w:val="000000"/>
                <w:kern w:val="0"/>
                <w:sz w:val="21"/>
                <w:szCs w:val="21"/>
                <w:u w:val="none"/>
                <w:lang w:val="en-US" w:eastAsia="zh-CN" w:bidi="ar"/>
              </w:rPr>
              <w:t>绿色环保</w:t>
            </w:r>
          </w:p>
        </w:tc>
        <w:tc>
          <w:tcPr>
            <w:tcW w:w="1134" w:type="dxa"/>
            <w:noWrap w:val="0"/>
            <w:vAlign w:val="center"/>
          </w:tcPr>
          <w:p>
            <w:pPr>
              <w:widowControl/>
              <w:jc w:val="left"/>
              <w:rPr>
                <w:rFonts w:hint="eastAsia" w:eastAsia="仿宋_GB2312"/>
                <w:color w:val="000000"/>
                <w:kern w:val="0"/>
                <w:szCs w:val="21"/>
              </w:rPr>
            </w:pPr>
            <w:r>
              <w:rPr>
                <w:rFonts w:hint="eastAsia" w:eastAsia="仿宋_GB2312"/>
                <w:color w:val="000000"/>
                <w:kern w:val="0"/>
                <w:szCs w:val="21"/>
              </w:rPr>
              <w:t>　</w:t>
            </w:r>
            <w:r>
              <w:rPr>
                <w:rFonts w:hint="eastAsia" w:eastAsia="仿宋_GB2312"/>
                <w:color w:val="000000"/>
                <w:kern w:val="0"/>
                <w:szCs w:val="21"/>
                <w:lang w:val="en-US" w:eastAsia="zh-CN"/>
              </w:rPr>
              <w:t>完成</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395"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502" w:type="dxa"/>
            <w:gridSpan w:val="2"/>
            <w:noWrap w:val="0"/>
            <w:vAlign w:val="center"/>
          </w:tcPr>
          <w:p>
            <w:pPr>
              <w:widowControl/>
              <w:jc w:val="left"/>
              <w:rPr>
                <w:rFonts w:eastAsia="仿宋_GB2312"/>
                <w:color w:val="000000"/>
                <w:kern w:val="0"/>
                <w:szCs w:val="21"/>
              </w:rPr>
            </w:pPr>
            <w:r>
              <w:rPr>
                <w:rFonts w:hint="eastAsia" w:eastAsia="仿宋_GB2312"/>
                <w:color w:val="000000"/>
                <w:kern w:val="0"/>
                <w:szCs w:val="21"/>
              </w:rPr>
              <w:t>群众满意度</w:t>
            </w:r>
          </w:p>
        </w:tc>
        <w:tc>
          <w:tcPr>
            <w:tcW w:w="1200"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bookmarkStart w:id="14" w:name="OLE_LINK4"/>
            <w:r>
              <w:rPr>
                <w:rFonts w:hint="eastAsia" w:eastAsia="仿宋_GB2312"/>
                <w:color w:val="000000"/>
                <w:kern w:val="0"/>
                <w:szCs w:val="21"/>
                <w:lang w:val="en-US" w:eastAsia="zh-CN"/>
              </w:rPr>
              <w:t>95%</w:t>
            </w:r>
            <w:bookmarkEnd w:id="14"/>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95%</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63" w:type="dxa"/>
            <w:gridSpan w:val="7"/>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09"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98"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98.95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widowControl/>
        <w:jc w:val="left"/>
        <w:rPr>
          <w:rFonts w:eastAsia="黑体"/>
          <w:sz w:val="32"/>
          <w:szCs w:val="32"/>
        </w:rPr>
      </w:pPr>
    </w:p>
    <w:p>
      <w:pPr>
        <w:widowControl/>
        <w:jc w:val="left"/>
        <w:rPr>
          <w:rFonts w:hint="eastAsia" w:eastAsia="黑体"/>
          <w:sz w:val="32"/>
          <w:szCs w:val="32"/>
          <w:lang w:eastAsia="zh-CN"/>
        </w:rPr>
      </w:pPr>
      <w:r>
        <w:rPr>
          <w:rFonts w:eastAsia="黑体"/>
          <w:sz w:val="32"/>
          <w:szCs w:val="32"/>
        </w:rPr>
        <w:br w:type="page"/>
      </w:r>
      <w:r>
        <w:rPr>
          <w:rFonts w:eastAsia="黑体"/>
          <w:sz w:val="32"/>
          <w:szCs w:val="32"/>
        </w:rPr>
        <w:t>附件</w:t>
      </w:r>
      <w:r>
        <w:rPr>
          <w:rFonts w:hint="eastAsia" w:eastAsia="黑体"/>
          <w:sz w:val="32"/>
          <w:szCs w:val="32"/>
          <w:lang w:val="en-US" w:eastAsia="zh-CN"/>
        </w:rPr>
        <w:t>2</w:t>
      </w:r>
    </w:p>
    <w:p>
      <w:pPr>
        <w:widowControl/>
        <w:jc w:val="center"/>
        <w:rPr>
          <w:rFonts w:eastAsia="方正小标宋_GBK"/>
          <w:color w:val="000000"/>
          <w:kern w:val="0"/>
          <w:sz w:val="36"/>
          <w:szCs w:val="36"/>
        </w:rPr>
      </w:pPr>
      <w:bookmarkStart w:id="15" w:name="OLE_LINK11"/>
      <w:r>
        <w:rPr>
          <w:rFonts w:eastAsia="方正小标宋_GBK"/>
          <w:color w:val="000000"/>
          <w:kern w:val="0"/>
          <w:sz w:val="36"/>
          <w:szCs w:val="36"/>
        </w:rPr>
        <w:t>项目支出绩效自评表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2024</w:t>
      </w:r>
      <w:r>
        <w:rPr>
          <w:rFonts w:eastAsia="仿宋_GB2312"/>
          <w:color w:val="000000"/>
          <w:kern w:val="0"/>
          <w:szCs w:val="21"/>
        </w:rPr>
        <w:t>年度）</w:t>
      </w:r>
    </w:p>
    <w:tbl>
      <w:tblPr>
        <w:tblStyle w:val="9"/>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771" w:type="dxa"/>
            <w:gridSpan w:val="8"/>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现代农业农村发展专项</w:t>
            </w: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518"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湖南省农业农村厅</w:t>
            </w:r>
          </w:p>
        </w:tc>
        <w:tc>
          <w:tcPr>
            <w:tcW w:w="1134" w:type="dxa"/>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4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年初</w:t>
            </w:r>
          </w:p>
          <w:p>
            <w:pPr>
              <w:widowControl/>
              <w:jc w:val="center"/>
              <w:rPr>
                <w:rFonts w:eastAsia="仿宋_GB2312"/>
                <w:color w:val="000000"/>
                <w:kern w:val="0"/>
                <w:szCs w:val="21"/>
              </w:rPr>
            </w:pPr>
            <w:r>
              <w:rPr>
                <w:rFonts w:eastAsia="仿宋_GB2312"/>
                <w:color w:val="000000"/>
                <w:kern w:val="0"/>
                <w:szCs w:val="21"/>
              </w:rPr>
              <w:t>预算数</w:t>
            </w:r>
          </w:p>
        </w:tc>
        <w:tc>
          <w:tcPr>
            <w:tcW w:w="120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全年</w:t>
            </w:r>
          </w:p>
          <w:p>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828" w:type="dxa"/>
            <w:noWrap w:val="0"/>
            <w:vAlign w:val="center"/>
          </w:tcPr>
          <w:p>
            <w:pPr>
              <w:jc w:val="center"/>
              <w:rPr>
                <w:rFonts w:eastAsia="仿宋_GB2312"/>
                <w:szCs w:val="21"/>
              </w:rPr>
            </w:pPr>
            <w:r>
              <w:rPr>
                <w:rFonts w:eastAsia="仿宋_GB2312"/>
                <w:szCs w:val="21"/>
              </w:rPr>
              <w:t>分值</w:t>
            </w:r>
          </w:p>
        </w:tc>
        <w:tc>
          <w:tcPr>
            <w:tcW w:w="873" w:type="dxa"/>
            <w:noWrap w:val="0"/>
            <w:vAlign w:val="center"/>
          </w:tcPr>
          <w:p>
            <w:pPr>
              <w:jc w:val="center"/>
              <w:rPr>
                <w:rFonts w:eastAsia="仿宋_GB2312"/>
                <w:szCs w:val="21"/>
              </w:rPr>
            </w:pPr>
            <w:r>
              <w:rPr>
                <w:rFonts w:eastAsia="仿宋_GB2312"/>
                <w:szCs w:val="21"/>
              </w:rPr>
              <w:t>执行率</w:t>
            </w:r>
          </w:p>
        </w:tc>
        <w:tc>
          <w:tcPr>
            <w:tcW w:w="1418"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14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w:t>
            </w:r>
          </w:p>
        </w:tc>
        <w:tc>
          <w:tcPr>
            <w:tcW w:w="120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w:t>
            </w:r>
          </w:p>
        </w:tc>
        <w:tc>
          <w:tcPr>
            <w:tcW w:w="1134"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9.08</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75.67%</w:t>
            </w:r>
          </w:p>
        </w:tc>
        <w:tc>
          <w:tcPr>
            <w:tcW w:w="141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12</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12</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4518"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eastAsia="仿宋_GB2312"/>
                <w:color w:val="000000"/>
                <w:kern w:val="0"/>
                <w:szCs w:val="21"/>
              </w:rPr>
            </w:pPr>
          </w:p>
        </w:tc>
        <w:tc>
          <w:tcPr>
            <w:tcW w:w="4518" w:type="dxa"/>
            <w:gridSpan w:val="4"/>
            <w:noWrap w:val="0"/>
            <w:vAlign w:val="center"/>
          </w:tcPr>
          <w:p>
            <w:pPr>
              <w:widowControl/>
              <w:jc w:val="center"/>
              <w:rPr>
                <w:rFonts w:hint="default" w:eastAsia="仿宋_GB2312"/>
                <w:color w:val="000000"/>
                <w:kern w:val="0"/>
                <w:szCs w:val="21"/>
                <w:lang w:val="en-US" w:eastAsia="zh-CN"/>
              </w:rPr>
            </w:pPr>
            <w:bookmarkStart w:id="16" w:name="OLE_LINK8"/>
            <w:r>
              <w:rPr>
                <w:rFonts w:eastAsia="仿宋_GB2312"/>
                <w:color w:val="000000"/>
                <w:kern w:val="0"/>
                <w:szCs w:val="21"/>
              </w:rPr>
              <w:t>　　</w:t>
            </w:r>
            <w:r>
              <w:rPr>
                <w:rFonts w:hint="eastAsia" w:eastAsia="仿宋_GB2312"/>
                <w:color w:val="000000"/>
                <w:kern w:val="0"/>
                <w:szCs w:val="21"/>
                <w:lang w:val="en-US" w:eastAsia="zh-CN"/>
              </w:rPr>
              <w:t>完成早稻集中育秧督导工作</w:t>
            </w:r>
            <w:bookmarkEnd w:id="16"/>
          </w:p>
        </w:tc>
        <w:tc>
          <w:tcPr>
            <w:tcW w:w="4253" w:type="dxa"/>
            <w:gridSpan w:val="4"/>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完成早稻集中育秧督导工作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149"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9"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149" w:type="dxa"/>
            <w:noWrap w:val="0"/>
            <w:vAlign w:val="center"/>
          </w:tcPr>
          <w:p>
            <w:pPr>
              <w:widowControl/>
              <w:jc w:val="left"/>
              <w:rPr>
                <w:rFonts w:hint="default" w:eastAsia="仿宋_GB2312"/>
                <w:color w:val="000000"/>
                <w:kern w:val="0"/>
                <w:szCs w:val="21"/>
                <w:lang w:val="en-US"/>
              </w:rPr>
            </w:pPr>
            <w:r>
              <w:rPr>
                <w:rFonts w:hint="eastAsia" w:eastAsia="仿宋_GB2312"/>
                <w:color w:val="000000"/>
                <w:kern w:val="0"/>
                <w:szCs w:val="21"/>
                <w:lang w:val="en-US" w:eastAsia="zh-CN"/>
              </w:rPr>
              <w:t>集中育秧督导县</w:t>
            </w:r>
          </w:p>
        </w:tc>
        <w:tc>
          <w:tcPr>
            <w:tcW w:w="120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bookmarkStart w:id="17" w:name="OLE_LINK10"/>
            <w:r>
              <w:rPr>
                <w:rFonts w:hint="eastAsia" w:eastAsia="仿宋_GB2312"/>
                <w:color w:val="000000"/>
                <w:kern w:val="0"/>
                <w:szCs w:val="21"/>
                <w:lang w:val="en-US" w:eastAsia="zh-CN"/>
              </w:rPr>
              <w:t>3个</w:t>
            </w:r>
            <w:bookmarkEnd w:id="17"/>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3个</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149"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督导工作质量</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按文件要求完成</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按文件要求完成</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149"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督导完成时间</w:t>
            </w:r>
          </w:p>
        </w:tc>
        <w:tc>
          <w:tcPr>
            <w:tcW w:w="1209"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2024年8月31日前</w:t>
            </w:r>
          </w:p>
        </w:tc>
        <w:tc>
          <w:tcPr>
            <w:tcW w:w="1134"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按时完成</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center"/>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149"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督导经费</w:t>
            </w:r>
          </w:p>
        </w:tc>
        <w:tc>
          <w:tcPr>
            <w:tcW w:w="120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default" w:ascii="Arial" w:hAnsi="Arial" w:eastAsia="仿宋_GB2312" w:cs="Arial"/>
                <w:color w:val="000000"/>
                <w:kern w:val="0"/>
                <w:szCs w:val="21"/>
              </w:rPr>
              <w:t>≤</w:t>
            </w:r>
            <w:r>
              <w:rPr>
                <w:rFonts w:hint="eastAsia" w:eastAsia="仿宋_GB2312"/>
                <w:color w:val="000000"/>
                <w:kern w:val="0"/>
                <w:szCs w:val="21"/>
                <w:lang w:val="en-US" w:eastAsia="zh-CN"/>
              </w:rPr>
              <w:t>12万元</w:t>
            </w:r>
          </w:p>
        </w:tc>
        <w:tc>
          <w:tcPr>
            <w:tcW w:w="1134"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9.08万元</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149" w:type="dxa"/>
            <w:noWrap w:val="0"/>
            <w:vAlign w:val="center"/>
          </w:tcPr>
          <w:p>
            <w:pPr>
              <w:widowControl/>
              <w:jc w:val="left"/>
              <w:rPr>
                <w:rFonts w:eastAsia="仿宋_GB2312"/>
                <w:color w:val="000000"/>
                <w:kern w:val="0"/>
                <w:szCs w:val="21"/>
              </w:rPr>
            </w:pP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left"/>
              <w:rPr>
                <w:rFonts w:eastAsia="仿宋_GB2312"/>
                <w:color w:val="000000"/>
                <w:kern w:val="0"/>
                <w:szCs w:val="21"/>
              </w:rPr>
            </w:pPr>
            <w:r>
              <w:rPr>
                <w:rFonts w:eastAsia="仿宋_GB2312"/>
                <w:color w:val="000000"/>
                <w:kern w:val="0"/>
                <w:szCs w:val="21"/>
              </w:rPr>
              <w:t>效益指标</w:t>
            </w:r>
          </w:p>
          <w:p>
            <w:pPr>
              <w:widowControl/>
              <w:jc w:val="left"/>
              <w:rPr>
                <w:rFonts w:eastAsia="仿宋_GB2312"/>
                <w:color w:val="000000"/>
                <w:kern w:val="0"/>
                <w:szCs w:val="21"/>
              </w:rPr>
            </w:pPr>
            <w:r>
              <w:rPr>
                <w:rFonts w:eastAsia="仿宋_GB2312"/>
                <w:color w:val="000000"/>
                <w:kern w:val="0"/>
                <w:szCs w:val="21"/>
              </w:rPr>
              <w:t>（30分）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widowControl/>
              <w:jc w:val="left"/>
              <w:rPr>
                <w:rFonts w:eastAsia="仿宋_GB2312"/>
                <w:color w:val="000000"/>
                <w:kern w:val="0"/>
                <w:szCs w:val="21"/>
              </w:rPr>
            </w:pP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保证国家粮食安全</w:t>
            </w:r>
          </w:p>
        </w:tc>
        <w:tc>
          <w:tcPr>
            <w:tcW w:w="1209"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保证</w:t>
            </w:r>
            <w:r>
              <w:rPr>
                <w:rFonts w:eastAsia="仿宋_GB2312"/>
                <w:color w:val="000000"/>
                <w:kern w:val="0"/>
                <w:szCs w:val="21"/>
              </w:rPr>
              <w:t>　</w:t>
            </w:r>
          </w:p>
        </w:tc>
        <w:tc>
          <w:tcPr>
            <w:tcW w:w="1134" w:type="dxa"/>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保证</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30</w:t>
            </w:r>
          </w:p>
        </w:tc>
        <w:tc>
          <w:tcPr>
            <w:tcW w:w="873" w:type="dxa"/>
            <w:noWrap w:val="0"/>
            <w:vAlign w:val="center"/>
          </w:tcPr>
          <w:p>
            <w:pPr>
              <w:widowControl/>
              <w:jc w:val="left"/>
              <w:rPr>
                <w:rFonts w:hint="default" w:eastAsia="仿宋_GB2312"/>
                <w:color w:val="000000"/>
                <w:kern w:val="0"/>
                <w:szCs w:val="21"/>
                <w:lang w:val="en-US"/>
              </w:rPr>
            </w:pPr>
            <w:r>
              <w:rPr>
                <w:rFonts w:eastAsia="仿宋_GB2312"/>
                <w:color w:val="000000"/>
                <w:kern w:val="0"/>
                <w:szCs w:val="21"/>
              </w:rPr>
              <w:t>　</w:t>
            </w:r>
            <w:r>
              <w:rPr>
                <w:rFonts w:hint="eastAsia" w:eastAsia="仿宋_GB2312"/>
                <w:color w:val="000000"/>
                <w:kern w:val="0"/>
                <w:szCs w:val="21"/>
                <w:lang w:val="en-US" w:eastAsia="zh-CN"/>
              </w:rPr>
              <w:t>30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149" w:type="dxa"/>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督导县满意度</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default" w:ascii="Arial" w:hAnsi="Arial" w:eastAsia="仿宋_GB2312" w:cs="Arial"/>
                <w:color w:val="000000"/>
                <w:kern w:val="0"/>
                <w:szCs w:val="21"/>
              </w:rPr>
              <w:t>≥</w:t>
            </w:r>
            <w:r>
              <w:rPr>
                <w:rFonts w:hint="eastAsia" w:eastAsia="仿宋_GB2312"/>
                <w:color w:val="000000"/>
                <w:kern w:val="0"/>
                <w:szCs w:val="21"/>
                <w:lang w:val="en-US" w:eastAsia="zh-CN"/>
              </w:rPr>
              <w:t>95%</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95%</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97.57</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bookmarkEnd w:id="15"/>
    </w:tbl>
    <w:p>
      <w:pPr>
        <w:widowControl/>
        <w:jc w:val="center"/>
        <w:rPr>
          <w:rFonts w:eastAsia="方正小标宋_GBK"/>
          <w:color w:val="000000"/>
          <w:kern w:val="0"/>
          <w:sz w:val="36"/>
          <w:szCs w:val="36"/>
        </w:rPr>
      </w:pPr>
      <w:r>
        <w:rPr>
          <w:rFonts w:eastAsia="黑体"/>
          <w:sz w:val="32"/>
          <w:szCs w:val="32"/>
        </w:rPr>
        <w:br w:type="page"/>
      </w:r>
      <w:r>
        <w:rPr>
          <w:rFonts w:eastAsia="方正小标宋_GBK"/>
          <w:color w:val="000000"/>
          <w:kern w:val="0"/>
          <w:sz w:val="36"/>
          <w:szCs w:val="36"/>
        </w:rPr>
        <w:t>项目支出绩效自评表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2024</w:t>
      </w:r>
      <w:r>
        <w:rPr>
          <w:rFonts w:eastAsia="仿宋_GB2312"/>
          <w:color w:val="000000"/>
          <w:kern w:val="0"/>
          <w:szCs w:val="21"/>
        </w:rPr>
        <w:t>年度）</w:t>
      </w:r>
    </w:p>
    <w:tbl>
      <w:tblPr>
        <w:tblStyle w:val="9"/>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80" w:type="dxa"/>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771" w:type="dxa"/>
            <w:gridSpan w:val="8"/>
            <w:noWrap w:val="0"/>
            <w:vAlign w:val="center"/>
          </w:tcPr>
          <w:p>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其他事业发展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518"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湖南省农业农村厅</w:t>
            </w:r>
          </w:p>
        </w:tc>
        <w:tc>
          <w:tcPr>
            <w:tcW w:w="1134" w:type="dxa"/>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4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年初</w:t>
            </w:r>
          </w:p>
          <w:p>
            <w:pPr>
              <w:widowControl/>
              <w:jc w:val="center"/>
              <w:rPr>
                <w:rFonts w:eastAsia="仿宋_GB2312"/>
                <w:color w:val="000000"/>
                <w:kern w:val="0"/>
                <w:szCs w:val="21"/>
              </w:rPr>
            </w:pPr>
            <w:r>
              <w:rPr>
                <w:rFonts w:eastAsia="仿宋_GB2312"/>
                <w:color w:val="000000"/>
                <w:kern w:val="0"/>
                <w:szCs w:val="21"/>
              </w:rPr>
              <w:t>预算数</w:t>
            </w:r>
          </w:p>
        </w:tc>
        <w:tc>
          <w:tcPr>
            <w:tcW w:w="1209" w:type="dxa"/>
            <w:noWrap w:val="0"/>
            <w:vAlign w:val="center"/>
          </w:tcPr>
          <w:p>
            <w:pPr>
              <w:widowControl/>
              <w:jc w:val="center"/>
              <w:rPr>
                <w:rFonts w:hint="eastAsia" w:eastAsia="仿宋_GB2312"/>
                <w:color w:val="000000"/>
                <w:kern w:val="0"/>
                <w:szCs w:val="21"/>
              </w:rPr>
            </w:pPr>
            <w:r>
              <w:rPr>
                <w:rFonts w:eastAsia="仿宋_GB2312"/>
                <w:color w:val="000000"/>
                <w:kern w:val="0"/>
                <w:szCs w:val="21"/>
              </w:rPr>
              <w:t>全年</w:t>
            </w:r>
          </w:p>
          <w:p>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828" w:type="dxa"/>
            <w:noWrap w:val="0"/>
            <w:vAlign w:val="center"/>
          </w:tcPr>
          <w:p>
            <w:pPr>
              <w:jc w:val="center"/>
              <w:rPr>
                <w:rFonts w:eastAsia="仿宋_GB2312"/>
                <w:szCs w:val="21"/>
              </w:rPr>
            </w:pPr>
            <w:r>
              <w:rPr>
                <w:rFonts w:eastAsia="仿宋_GB2312"/>
                <w:szCs w:val="21"/>
              </w:rPr>
              <w:t>分值</w:t>
            </w:r>
          </w:p>
        </w:tc>
        <w:tc>
          <w:tcPr>
            <w:tcW w:w="873" w:type="dxa"/>
            <w:noWrap w:val="0"/>
            <w:vAlign w:val="center"/>
          </w:tcPr>
          <w:p>
            <w:pPr>
              <w:jc w:val="center"/>
              <w:rPr>
                <w:rFonts w:eastAsia="仿宋_GB2312"/>
                <w:szCs w:val="21"/>
              </w:rPr>
            </w:pPr>
            <w:r>
              <w:rPr>
                <w:rFonts w:eastAsia="仿宋_GB2312"/>
                <w:szCs w:val="21"/>
              </w:rPr>
              <w:t>执行率</w:t>
            </w:r>
          </w:p>
        </w:tc>
        <w:tc>
          <w:tcPr>
            <w:tcW w:w="1418"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14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39.90</w:t>
            </w:r>
          </w:p>
        </w:tc>
        <w:tc>
          <w:tcPr>
            <w:tcW w:w="1209"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39.90</w:t>
            </w:r>
          </w:p>
        </w:tc>
        <w:tc>
          <w:tcPr>
            <w:tcW w:w="1134"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36.41</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91.25%</w:t>
            </w:r>
          </w:p>
        </w:tc>
        <w:tc>
          <w:tcPr>
            <w:tcW w:w="1418" w:type="dxa"/>
            <w:noWrap w:val="0"/>
            <w:vAlign w:val="center"/>
          </w:tcPr>
          <w:p>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39.90</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39.90</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2160" w:type="dxa"/>
            <w:gridSpan w:val="2"/>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14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4518"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80" w:type="dxa"/>
            <w:vMerge w:val="continue"/>
            <w:noWrap w:val="0"/>
            <w:vAlign w:val="center"/>
          </w:tcPr>
          <w:p>
            <w:pPr>
              <w:widowControl/>
              <w:jc w:val="left"/>
              <w:rPr>
                <w:rFonts w:eastAsia="仿宋_GB2312"/>
                <w:color w:val="000000"/>
                <w:kern w:val="0"/>
                <w:szCs w:val="21"/>
              </w:rPr>
            </w:pPr>
          </w:p>
        </w:tc>
        <w:tc>
          <w:tcPr>
            <w:tcW w:w="4518" w:type="dxa"/>
            <w:gridSpan w:val="4"/>
            <w:noWrap w:val="0"/>
            <w:vAlign w:val="center"/>
          </w:tcPr>
          <w:p>
            <w:pPr>
              <w:widowControl/>
              <w:jc w:val="center"/>
              <w:rPr>
                <w:rFonts w:hint="default" w:eastAsia="仿宋_GB2312"/>
                <w:color w:val="000000"/>
                <w:kern w:val="0"/>
                <w:szCs w:val="21"/>
                <w:lang w:val="en-US" w:eastAsia="zh-CN"/>
              </w:rPr>
            </w:pPr>
            <w:bookmarkStart w:id="18" w:name="OLE_LINK9"/>
            <w:r>
              <w:rPr>
                <w:rFonts w:hint="eastAsia" w:ascii="Times New Roman" w:hAnsi="Times New Roman" w:eastAsia="仿宋_GB2312" w:cs="Times New Roman"/>
                <w:color w:val="000000"/>
                <w:sz w:val="20"/>
                <w:szCs w:val="20"/>
                <w:lang w:val="en-US" w:eastAsia="zh-CN"/>
              </w:rPr>
              <w:t>完成</w:t>
            </w:r>
            <w:r>
              <w:rPr>
                <w:rFonts w:hint="default" w:ascii="Times New Roman" w:hAnsi="Times New Roman" w:eastAsia="仿宋_GB2312" w:cs="Times New Roman"/>
                <w:color w:val="000000"/>
                <w:sz w:val="20"/>
                <w:szCs w:val="20"/>
                <w:lang w:val="en-US" w:eastAsia="zh-CN"/>
              </w:rPr>
              <w:t>省级救灾备荒种子</w:t>
            </w:r>
            <w:r>
              <w:rPr>
                <w:rFonts w:hint="eastAsia" w:ascii="Times New Roman" w:hAnsi="Times New Roman" w:eastAsia="仿宋_GB2312" w:cs="Times New Roman"/>
                <w:color w:val="000000"/>
                <w:sz w:val="20"/>
                <w:szCs w:val="20"/>
                <w:lang w:val="en-US" w:eastAsia="zh-CN"/>
              </w:rPr>
              <w:t>储备工作</w:t>
            </w:r>
            <w:bookmarkEnd w:id="18"/>
          </w:p>
        </w:tc>
        <w:tc>
          <w:tcPr>
            <w:tcW w:w="4253" w:type="dxa"/>
            <w:gridSpan w:val="4"/>
            <w:noWrap w:val="0"/>
            <w:vAlign w:val="center"/>
          </w:tcPr>
          <w:p>
            <w:pPr>
              <w:widowControl/>
              <w:jc w:val="left"/>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完成</w:t>
            </w:r>
            <w:r>
              <w:rPr>
                <w:rFonts w:hint="default" w:ascii="Times New Roman" w:hAnsi="Times New Roman" w:eastAsia="仿宋_GB2312" w:cs="Times New Roman"/>
                <w:color w:val="000000"/>
                <w:sz w:val="20"/>
                <w:szCs w:val="20"/>
                <w:lang w:val="en-US" w:eastAsia="zh-CN"/>
              </w:rPr>
              <w:t>省级救灾备荒种子</w:t>
            </w:r>
            <w:r>
              <w:rPr>
                <w:rFonts w:hint="eastAsia" w:ascii="Times New Roman" w:hAnsi="Times New Roman" w:eastAsia="仿宋_GB2312" w:cs="Times New Roman"/>
                <w:color w:val="000000"/>
                <w:sz w:val="20"/>
                <w:szCs w:val="20"/>
                <w:lang w:val="en-US" w:eastAsia="zh-CN"/>
              </w:rPr>
              <w:t>储备工作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149"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9"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149" w:type="dxa"/>
            <w:noWrap w:val="0"/>
            <w:vAlign w:val="center"/>
          </w:tcPr>
          <w:p>
            <w:pPr>
              <w:widowControl/>
              <w:spacing w:line="240" w:lineRule="exact"/>
              <w:jc w:val="left"/>
              <w:rPr>
                <w:rFonts w:hint="default" w:eastAsia="仿宋_GB2312"/>
                <w:color w:val="000000"/>
                <w:kern w:val="0"/>
                <w:szCs w:val="21"/>
                <w:lang w:val="en-US"/>
              </w:rPr>
            </w:pPr>
            <w:r>
              <w:rPr>
                <w:rFonts w:hint="default" w:ascii="Times New Roman" w:hAnsi="Times New Roman" w:eastAsia="仿宋_GB2312" w:cs="Times New Roman"/>
                <w:color w:val="000000"/>
                <w:sz w:val="20"/>
                <w:szCs w:val="20"/>
                <w:lang w:val="en-US" w:eastAsia="zh-CN"/>
              </w:rPr>
              <w:t>省级救灾备荒种子</w:t>
            </w:r>
            <w:r>
              <w:rPr>
                <w:rFonts w:hint="eastAsia" w:ascii="Times New Roman" w:hAnsi="Times New Roman" w:eastAsia="仿宋_GB2312" w:cs="Times New Roman"/>
                <w:color w:val="000000"/>
                <w:sz w:val="20"/>
                <w:szCs w:val="20"/>
                <w:lang w:val="en-US" w:eastAsia="zh-CN"/>
              </w:rPr>
              <w:t>储备量</w:t>
            </w:r>
          </w:p>
        </w:tc>
        <w:tc>
          <w:tcPr>
            <w:tcW w:w="1209" w:type="dxa"/>
            <w:noWrap w:val="0"/>
            <w:vAlign w:val="center"/>
          </w:tcPr>
          <w:p>
            <w:pPr>
              <w:widowControl/>
              <w:spacing w:line="240" w:lineRule="exact"/>
              <w:jc w:val="left"/>
              <w:rPr>
                <w:rFonts w:hint="default" w:eastAsia="仿宋_GB2312"/>
                <w:color w:val="000000"/>
                <w:kern w:val="0"/>
                <w:szCs w:val="21"/>
                <w:lang w:val="en-US" w:eastAsia="zh-CN"/>
              </w:rPr>
            </w:pPr>
            <w:r>
              <w:rPr>
                <w:rFonts w:hint="default" w:ascii="Arial" w:hAnsi="Arial" w:eastAsia="仿宋_GB2312" w:cs="Arial"/>
                <w:color w:val="000000"/>
                <w:sz w:val="20"/>
                <w:szCs w:val="20"/>
                <w:lang w:val="en-US"/>
              </w:rPr>
              <w:t>≥</w:t>
            </w:r>
            <w:r>
              <w:rPr>
                <w:rFonts w:hint="eastAsia" w:ascii="Times New Roman" w:hAnsi="Times New Roman" w:eastAsia="仿宋_GB2312" w:cs="Times New Roman"/>
                <w:color w:val="000000"/>
                <w:sz w:val="20"/>
                <w:szCs w:val="20"/>
                <w:lang w:val="en-US" w:eastAsia="zh-CN"/>
              </w:rPr>
              <w:t>250万公斤</w:t>
            </w:r>
          </w:p>
        </w:tc>
        <w:tc>
          <w:tcPr>
            <w:tcW w:w="1134" w:type="dxa"/>
            <w:noWrap w:val="0"/>
            <w:vAlign w:val="center"/>
          </w:tcPr>
          <w:p>
            <w:pPr>
              <w:widowControl/>
              <w:spacing w:line="240" w:lineRule="exact"/>
              <w:jc w:val="left"/>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288</w:t>
            </w:r>
            <w:r>
              <w:rPr>
                <w:rFonts w:hint="default" w:ascii="Times New Roman" w:hAnsi="Times New Roman" w:eastAsia="仿宋_GB2312" w:cs="Times New Roman"/>
                <w:color w:val="000000"/>
                <w:sz w:val="20"/>
                <w:szCs w:val="20"/>
                <w:lang w:val="en-US" w:eastAsia="zh-CN"/>
              </w:rPr>
              <w:t>万公斤</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149" w:type="dxa"/>
            <w:noWrap w:val="0"/>
            <w:vAlign w:val="center"/>
          </w:tcPr>
          <w:p>
            <w:pPr>
              <w:widowControl/>
              <w:spacing w:line="240" w:lineRule="exact"/>
              <w:jc w:val="left"/>
              <w:rPr>
                <w:rFonts w:hint="default" w:eastAsia="仿宋_GB2312"/>
                <w:color w:val="000000"/>
                <w:kern w:val="0"/>
                <w:szCs w:val="21"/>
                <w:lang w:val="en-US" w:eastAsia="zh-CN"/>
              </w:rPr>
            </w:pPr>
            <w:r>
              <w:rPr>
                <w:rFonts w:hint="eastAsia" w:ascii="Times New Roman" w:hAnsi="Times New Roman" w:eastAsia="仿宋_GB2312" w:cs="Times New Roman"/>
                <w:color w:val="000000"/>
                <w:sz w:val="20"/>
                <w:szCs w:val="20"/>
                <w:lang w:val="en-US" w:eastAsia="zh-CN"/>
              </w:rPr>
              <w:t>对</w:t>
            </w:r>
            <w:r>
              <w:rPr>
                <w:rFonts w:hint="default" w:ascii="Times New Roman" w:hAnsi="Times New Roman" w:eastAsia="仿宋_GB2312" w:cs="Times New Roman"/>
                <w:color w:val="000000"/>
                <w:sz w:val="20"/>
                <w:szCs w:val="20"/>
                <w:lang w:val="en-US" w:eastAsia="zh-CN"/>
              </w:rPr>
              <w:t>省级救灾备荒种子</w:t>
            </w:r>
            <w:r>
              <w:rPr>
                <w:rFonts w:hint="eastAsia" w:ascii="Times New Roman" w:hAnsi="Times New Roman" w:eastAsia="仿宋_GB2312" w:cs="Times New Roman"/>
                <w:color w:val="000000"/>
                <w:sz w:val="20"/>
                <w:szCs w:val="20"/>
                <w:lang w:val="en-US" w:eastAsia="zh-CN"/>
              </w:rPr>
              <w:t>质量进行检查</w:t>
            </w:r>
          </w:p>
        </w:tc>
        <w:tc>
          <w:tcPr>
            <w:tcW w:w="1209" w:type="dxa"/>
            <w:noWrap w:val="0"/>
            <w:vAlign w:val="center"/>
          </w:tcPr>
          <w:p>
            <w:pPr>
              <w:widowControl/>
              <w:spacing w:line="240" w:lineRule="exact"/>
              <w:jc w:val="left"/>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按质量完成</w:t>
            </w:r>
          </w:p>
        </w:tc>
        <w:tc>
          <w:tcPr>
            <w:tcW w:w="1134" w:type="dxa"/>
            <w:noWrap w:val="0"/>
            <w:vAlign w:val="center"/>
          </w:tcPr>
          <w:p>
            <w:pPr>
              <w:widowControl/>
              <w:spacing w:line="240" w:lineRule="exact"/>
              <w:jc w:val="left"/>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完成</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149" w:type="dxa"/>
            <w:noWrap w:val="0"/>
            <w:vAlign w:val="center"/>
          </w:tcPr>
          <w:p>
            <w:pPr>
              <w:widowControl/>
              <w:spacing w:line="240" w:lineRule="exact"/>
              <w:jc w:val="left"/>
              <w:rPr>
                <w:rFonts w:hint="default" w:eastAsia="仿宋_GB2312"/>
                <w:color w:val="000000"/>
                <w:kern w:val="0"/>
                <w:szCs w:val="21"/>
                <w:lang w:val="en-US" w:eastAsia="zh-CN"/>
              </w:rPr>
            </w:pPr>
            <w:r>
              <w:rPr>
                <w:rFonts w:hint="eastAsia" w:ascii="Times New Roman" w:hAnsi="Times New Roman" w:eastAsia="仿宋_GB2312" w:cs="Times New Roman"/>
                <w:color w:val="000000"/>
                <w:sz w:val="20"/>
                <w:szCs w:val="20"/>
                <w:lang w:val="en-US" w:eastAsia="zh-CN"/>
              </w:rPr>
              <w:t>各项工作按时完成</w:t>
            </w:r>
          </w:p>
        </w:tc>
        <w:tc>
          <w:tcPr>
            <w:tcW w:w="1209" w:type="dxa"/>
            <w:noWrap w:val="0"/>
            <w:vAlign w:val="center"/>
          </w:tcPr>
          <w:p>
            <w:pPr>
              <w:widowControl/>
              <w:spacing w:line="240" w:lineRule="exact"/>
              <w:jc w:val="left"/>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按时完成</w:t>
            </w:r>
          </w:p>
        </w:tc>
        <w:tc>
          <w:tcPr>
            <w:tcW w:w="1134" w:type="dxa"/>
            <w:noWrap w:val="0"/>
            <w:vAlign w:val="center"/>
          </w:tcPr>
          <w:p>
            <w:pPr>
              <w:widowControl/>
              <w:spacing w:line="240" w:lineRule="exact"/>
              <w:jc w:val="left"/>
              <w:rPr>
                <w:rFonts w:hint="default" w:eastAsia="仿宋_GB2312"/>
                <w:color w:val="000000"/>
                <w:kern w:val="0"/>
                <w:szCs w:val="21"/>
                <w:lang w:val="en-US" w:eastAsia="zh-CN"/>
              </w:rPr>
            </w:pPr>
            <w:r>
              <w:rPr>
                <w:rFonts w:hint="eastAsia" w:ascii="Times New Roman" w:hAnsi="Times New Roman" w:eastAsia="仿宋_GB2312" w:cs="Times New Roman"/>
                <w:color w:val="000000"/>
                <w:sz w:val="20"/>
                <w:szCs w:val="20"/>
                <w:lang w:val="en-US" w:eastAsia="zh-CN"/>
              </w:rPr>
              <w:t>按时完成</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149" w:type="dxa"/>
            <w:noWrap w:val="0"/>
            <w:vAlign w:val="center"/>
          </w:tcPr>
          <w:p>
            <w:pPr>
              <w:widowControl/>
              <w:spacing w:line="240" w:lineRule="exact"/>
              <w:jc w:val="left"/>
              <w:rPr>
                <w:rFonts w:hint="default" w:eastAsia="仿宋_GB2312"/>
                <w:color w:val="000000"/>
                <w:kern w:val="0"/>
                <w:szCs w:val="21"/>
                <w:lang w:val="en-US" w:eastAsia="zh-CN"/>
              </w:rPr>
            </w:pPr>
            <w:r>
              <w:rPr>
                <w:rFonts w:hint="eastAsia" w:ascii="Times New Roman" w:hAnsi="Times New Roman" w:eastAsia="仿宋_GB2312" w:cs="Times New Roman"/>
                <w:color w:val="000000"/>
                <w:sz w:val="20"/>
                <w:szCs w:val="20"/>
                <w:lang w:val="en-US" w:eastAsia="zh-CN"/>
              </w:rPr>
              <w:t>各项支出控制在预算范围内</w:t>
            </w:r>
          </w:p>
        </w:tc>
        <w:tc>
          <w:tcPr>
            <w:tcW w:w="1209" w:type="dxa"/>
            <w:noWrap w:val="0"/>
            <w:vAlign w:val="center"/>
          </w:tcPr>
          <w:p>
            <w:pPr>
              <w:widowControl/>
              <w:spacing w:line="240" w:lineRule="exact"/>
              <w:jc w:val="left"/>
              <w:rPr>
                <w:rFonts w:hint="default" w:eastAsia="仿宋_GB2312"/>
                <w:color w:val="000000"/>
                <w:kern w:val="0"/>
                <w:szCs w:val="21"/>
                <w:lang w:val="en-US" w:eastAsia="zh-CN"/>
              </w:rPr>
            </w:pPr>
            <w:r>
              <w:rPr>
                <w:rFonts w:hint="default" w:ascii="Arial" w:hAnsi="Arial" w:eastAsia="仿宋_GB2312" w:cs="Arial"/>
                <w:color w:val="000000"/>
                <w:sz w:val="20"/>
                <w:szCs w:val="20"/>
                <w:lang w:val="en-US" w:eastAsia="zh-CN"/>
              </w:rPr>
              <w:t>≤</w:t>
            </w:r>
            <w:r>
              <w:rPr>
                <w:rFonts w:hint="eastAsia" w:ascii="Times New Roman" w:hAnsi="Times New Roman" w:eastAsia="仿宋_GB2312" w:cs="Times New Roman"/>
                <w:color w:val="000000"/>
                <w:sz w:val="20"/>
                <w:szCs w:val="20"/>
                <w:lang w:val="en-US" w:eastAsia="zh-CN"/>
              </w:rPr>
              <w:t>100%</w:t>
            </w:r>
          </w:p>
        </w:tc>
        <w:tc>
          <w:tcPr>
            <w:tcW w:w="1134" w:type="dxa"/>
            <w:noWrap w:val="0"/>
            <w:vAlign w:val="center"/>
          </w:tcPr>
          <w:p>
            <w:pPr>
              <w:widowControl/>
              <w:spacing w:line="240" w:lineRule="exact"/>
              <w:jc w:val="left"/>
              <w:rPr>
                <w:rFonts w:hint="default" w:eastAsia="仿宋_GB2312"/>
                <w:color w:val="000000"/>
                <w:kern w:val="0"/>
                <w:szCs w:val="21"/>
                <w:lang w:val="en-US" w:eastAsia="zh-CN"/>
              </w:rPr>
            </w:pPr>
            <w:r>
              <w:rPr>
                <w:rFonts w:hint="eastAsia" w:ascii="Times New Roman" w:hAnsi="Times New Roman" w:eastAsia="仿宋_GB2312" w:cs="Times New Roman"/>
                <w:color w:val="000000"/>
                <w:sz w:val="20"/>
                <w:szCs w:val="20"/>
                <w:lang w:val="en-US" w:eastAsia="zh-CN"/>
              </w:rPr>
              <w:t>完成</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vMerge w:val="restart"/>
            <w:noWrap w:val="0"/>
            <w:vAlign w:val="center"/>
          </w:tcPr>
          <w:p>
            <w:pPr>
              <w:widowControl/>
              <w:jc w:val="left"/>
              <w:rPr>
                <w:rFonts w:eastAsia="仿宋_GB2312"/>
                <w:color w:val="000000"/>
                <w:kern w:val="0"/>
                <w:szCs w:val="21"/>
              </w:rPr>
            </w:pPr>
            <w:r>
              <w:rPr>
                <w:rFonts w:eastAsia="仿宋_GB2312"/>
                <w:color w:val="000000"/>
                <w:kern w:val="0"/>
                <w:szCs w:val="21"/>
              </w:rPr>
              <w:t>效益指标</w:t>
            </w:r>
          </w:p>
          <w:p>
            <w:pPr>
              <w:widowControl/>
              <w:jc w:val="left"/>
              <w:rPr>
                <w:rFonts w:eastAsia="仿宋_GB2312"/>
                <w:color w:val="000000"/>
                <w:kern w:val="0"/>
                <w:szCs w:val="21"/>
              </w:rPr>
            </w:pPr>
            <w:r>
              <w:rPr>
                <w:rFonts w:eastAsia="仿宋_GB2312"/>
                <w:color w:val="000000"/>
                <w:kern w:val="0"/>
                <w:szCs w:val="21"/>
              </w:rPr>
              <w:t>（30分）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pPr>
              <w:widowControl/>
              <w:spacing w:line="240" w:lineRule="exact"/>
              <w:jc w:val="left"/>
              <w:rPr>
                <w:rFonts w:eastAsia="仿宋_GB2312"/>
                <w:color w:val="000000"/>
                <w:kern w:val="0"/>
                <w:szCs w:val="21"/>
              </w:rPr>
            </w:pPr>
            <w:r>
              <w:rPr>
                <w:rFonts w:hint="default" w:ascii="Times New Roman" w:hAnsi="Times New Roman" w:eastAsia="仿宋_GB2312" w:cs="Times New Roman"/>
                <w:color w:val="000000"/>
                <w:sz w:val="20"/>
                <w:szCs w:val="20"/>
                <w:lang w:val="en-US" w:eastAsia="zh-CN"/>
              </w:rPr>
              <w:t>国家救灾储备</w:t>
            </w:r>
            <w:r>
              <w:rPr>
                <w:rFonts w:hint="eastAsia" w:ascii="Times New Roman" w:hAnsi="Times New Roman" w:eastAsia="仿宋_GB2312" w:cs="Times New Roman"/>
                <w:color w:val="000000"/>
                <w:sz w:val="20"/>
                <w:szCs w:val="20"/>
                <w:lang w:val="en-US" w:eastAsia="zh-CN"/>
              </w:rPr>
              <w:t>验收检查和中期检查</w:t>
            </w:r>
          </w:p>
        </w:tc>
        <w:tc>
          <w:tcPr>
            <w:tcW w:w="1209" w:type="dxa"/>
            <w:noWrap w:val="0"/>
            <w:vAlign w:val="center"/>
          </w:tcPr>
          <w:p>
            <w:pPr>
              <w:widowControl/>
              <w:spacing w:line="240" w:lineRule="exact"/>
              <w:jc w:val="left"/>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参照省级执行</w:t>
            </w:r>
          </w:p>
        </w:tc>
        <w:tc>
          <w:tcPr>
            <w:tcW w:w="1134" w:type="dxa"/>
            <w:noWrap w:val="0"/>
            <w:vAlign w:val="center"/>
          </w:tcPr>
          <w:p>
            <w:pPr>
              <w:widowControl/>
              <w:spacing w:line="240" w:lineRule="exact"/>
              <w:jc w:val="left"/>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完成</w:t>
            </w:r>
          </w:p>
        </w:tc>
        <w:tc>
          <w:tcPr>
            <w:tcW w:w="828"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1080" w:type="dxa"/>
            <w:vMerge w:val="continue"/>
            <w:noWrap w:val="0"/>
            <w:vAlign w:val="center"/>
          </w:tcPr>
          <w:p>
            <w:pPr>
              <w:widowControl/>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149" w:type="dxa"/>
            <w:noWrap w:val="0"/>
            <w:vAlign w:val="center"/>
          </w:tcPr>
          <w:p>
            <w:pPr>
              <w:widowControl/>
              <w:spacing w:line="240" w:lineRule="exact"/>
              <w:jc w:val="left"/>
              <w:rPr>
                <w:rFonts w:hint="default" w:eastAsia="仿宋_GB2312"/>
                <w:color w:val="000000"/>
                <w:kern w:val="0"/>
                <w:szCs w:val="21"/>
                <w:lang w:val="en-US" w:eastAsia="zh-CN"/>
              </w:rPr>
            </w:pPr>
            <w:r>
              <w:rPr>
                <w:rFonts w:hint="eastAsia" w:ascii="Times New Roman" w:hAnsi="Times New Roman" w:eastAsia="仿宋" w:cs="Times New Roman"/>
                <w:color w:val="000000"/>
                <w:sz w:val="20"/>
                <w:szCs w:val="20"/>
                <w:lang w:val="en-US" w:eastAsia="zh-CN"/>
              </w:rPr>
              <w:t>完成2024年度储备招标和安排种子生产</w:t>
            </w:r>
          </w:p>
        </w:tc>
        <w:tc>
          <w:tcPr>
            <w:tcW w:w="1209" w:type="dxa"/>
            <w:noWrap w:val="0"/>
            <w:vAlign w:val="center"/>
          </w:tcPr>
          <w:p>
            <w:pPr>
              <w:widowControl/>
              <w:spacing w:line="240" w:lineRule="exact"/>
              <w:jc w:val="left"/>
              <w:rPr>
                <w:rFonts w:hint="default" w:eastAsia="仿宋_GB2312"/>
                <w:color w:val="000000"/>
                <w:kern w:val="0"/>
                <w:szCs w:val="21"/>
                <w:lang w:val="en-US" w:eastAsia="zh-CN"/>
              </w:rPr>
            </w:pPr>
            <w:r>
              <w:rPr>
                <w:rFonts w:hint="eastAsia" w:ascii="Times New Roman" w:hAnsi="Times New Roman" w:eastAsia="仿宋_GB2312" w:cs="Times New Roman"/>
                <w:color w:val="000000"/>
                <w:sz w:val="20"/>
                <w:szCs w:val="20"/>
                <w:lang w:val="en-US" w:eastAsia="zh-CN"/>
              </w:rPr>
              <w:t>完成</w:t>
            </w:r>
          </w:p>
        </w:tc>
        <w:tc>
          <w:tcPr>
            <w:tcW w:w="1134" w:type="dxa"/>
            <w:noWrap w:val="0"/>
            <w:vAlign w:val="center"/>
          </w:tcPr>
          <w:p>
            <w:pPr>
              <w:widowControl/>
              <w:spacing w:line="240" w:lineRule="exact"/>
              <w:jc w:val="left"/>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完成</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15</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15</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080"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149" w:type="dxa"/>
            <w:noWrap w:val="0"/>
            <w:vAlign w:val="center"/>
          </w:tcPr>
          <w:p>
            <w:pPr>
              <w:widowControl/>
              <w:spacing w:line="240" w:lineRule="exact"/>
              <w:jc w:val="left"/>
              <w:rPr>
                <w:rFonts w:eastAsia="仿宋_GB2312"/>
                <w:color w:val="000000"/>
                <w:kern w:val="0"/>
                <w:szCs w:val="21"/>
              </w:rPr>
            </w:pPr>
            <w:r>
              <w:rPr>
                <w:rFonts w:hint="default" w:ascii="Times New Roman" w:hAnsi="Times New Roman" w:eastAsia="仿宋_GB2312" w:cs="Times New Roman"/>
                <w:color w:val="000000"/>
                <w:sz w:val="20"/>
                <w:szCs w:val="20"/>
              </w:rPr>
              <w:t>服务对象的满意程度</w:t>
            </w:r>
          </w:p>
        </w:tc>
        <w:tc>
          <w:tcPr>
            <w:tcW w:w="1209" w:type="dxa"/>
            <w:noWrap w:val="0"/>
            <w:vAlign w:val="center"/>
          </w:tcPr>
          <w:p>
            <w:pPr>
              <w:widowControl/>
              <w:spacing w:line="240" w:lineRule="exact"/>
              <w:jc w:val="left"/>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90%以上</w:t>
            </w:r>
          </w:p>
        </w:tc>
        <w:tc>
          <w:tcPr>
            <w:tcW w:w="1134" w:type="dxa"/>
            <w:noWrap w:val="0"/>
            <w:vAlign w:val="center"/>
          </w:tcPr>
          <w:p>
            <w:pPr>
              <w:widowControl/>
              <w:spacing w:line="240" w:lineRule="exact"/>
              <w:jc w:val="left"/>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90%</w:t>
            </w:r>
          </w:p>
        </w:tc>
        <w:tc>
          <w:tcPr>
            <w:tcW w:w="828"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pStyle w:val="13"/>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B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Batang">
    <w:altName w:val="Noto Serif CJK JP SemiBold"/>
    <w:panose1 w:val="02030600000101010101"/>
    <w:charset w:val="00"/>
    <w:family w:val="roman"/>
    <w:pitch w:val="default"/>
    <w:sig w:usb0="00000000" w:usb1="00000000" w:usb2="00000030" w:usb3="00000000" w:csb0="0008009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楷体">
    <w:panose1 w:val="02010609060101010101"/>
    <w:charset w:val="86"/>
    <w:family w:val="auto"/>
    <w:pitch w:val="default"/>
    <w:sig w:usb0="800002BF" w:usb1="38CF7CFA" w:usb2="00000016" w:usb3="00000000" w:csb0="00040001" w:csb1="00000000"/>
  </w:font>
  <w:font w:name="Noto Serif CJK JP SemiBold">
    <w:panose1 w:val="02020600000000000000"/>
    <w:charset w:val="86"/>
    <w:family w:val="auto"/>
    <w:pitch w:val="default"/>
    <w:sig w:usb0="30000083" w:usb1="2BDF3C10" w:usb2="00000016" w:usb3="00000000" w:csb0="602E0107"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4CDA96"/>
    <w:multiLevelType w:val="singleLevel"/>
    <w:tmpl w:val="C34CDA96"/>
    <w:lvl w:ilvl="0" w:tentative="0">
      <w:start w:val="3"/>
      <w:numFmt w:val="chineseCounting"/>
      <w:suff w:val="nothing"/>
      <w:lvlText w:val="%1、"/>
      <w:lvlJc w:val="left"/>
      <w:rPr>
        <w:rFonts w:hint="eastAsia"/>
      </w:rPr>
    </w:lvl>
  </w:abstractNum>
  <w:abstractNum w:abstractNumId="1">
    <w:nsid w:val="06BF6DCD"/>
    <w:multiLevelType w:val="singleLevel"/>
    <w:tmpl w:val="06BF6DCD"/>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4684BFF"/>
    <w:rsid w:val="07C82852"/>
    <w:rsid w:val="091C5183"/>
    <w:rsid w:val="19B718CE"/>
    <w:rsid w:val="1BF568DB"/>
    <w:rsid w:val="1C4D63BF"/>
    <w:rsid w:val="1D97DEFF"/>
    <w:rsid w:val="1DFF72E5"/>
    <w:rsid w:val="1EFC6F07"/>
    <w:rsid w:val="277231B0"/>
    <w:rsid w:val="2B3144FA"/>
    <w:rsid w:val="2FDF85B8"/>
    <w:rsid w:val="2FFFEE04"/>
    <w:rsid w:val="34DF85B0"/>
    <w:rsid w:val="35E23DFA"/>
    <w:rsid w:val="3B602C26"/>
    <w:rsid w:val="3B8F36BC"/>
    <w:rsid w:val="3ED1761F"/>
    <w:rsid w:val="42C37C1F"/>
    <w:rsid w:val="491FF225"/>
    <w:rsid w:val="4DA21EB0"/>
    <w:rsid w:val="4E3D296D"/>
    <w:rsid w:val="4FFD214C"/>
    <w:rsid w:val="50855E00"/>
    <w:rsid w:val="5777D4F5"/>
    <w:rsid w:val="59DD8326"/>
    <w:rsid w:val="5C6B4FD9"/>
    <w:rsid w:val="5CCD3038"/>
    <w:rsid w:val="5DBA6B5B"/>
    <w:rsid w:val="5DEF592A"/>
    <w:rsid w:val="5FC6BB1E"/>
    <w:rsid w:val="5FF720F1"/>
    <w:rsid w:val="67FF5C0B"/>
    <w:rsid w:val="6EFC0924"/>
    <w:rsid w:val="6FB74722"/>
    <w:rsid w:val="6FEF8B7E"/>
    <w:rsid w:val="71A6591B"/>
    <w:rsid w:val="72CC285B"/>
    <w:rsid w:val="737D59BA"/>
    <w:rsid w:val="73EE8A31"/>
    <w:rsid w:val="75BF414F"/>
    <w:rsid w:val="77C37683"/>
    <w:rsid w:val="783B0A3B"/>
    <w:rsid w:val="79D19834"/>
    <w:rsid w:val="79FF515B"/>
    <w:rsid w:val="7E9E1962"/>
    <w:rsid w:val="7E9F11B4"/>
    <w:rsid w:val="7F37EC1E"/>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Normal Indent"/>
    <w:basedOn w:val="1"/>
    <w:qFormat/>
    <w:uiPriority w:val="0"/>
    <w:pPr>
      <w:ind w:firstLine="420" w:firstLineChars="200"/>
    </w:pPr>
  </w:style>
  <w:style w:type="paragraph" w:styleId="6">
    <w:name w:val="Balloon Text"/>
    <w:basedOn w:val="1"/>
    <w:link w:val="15"/>
    <w:semiHidden/>
    <w:unhideWhenUsed/>
    <w:qFormat/>
    <w:uiPriority w:val="99"/>
    <w:rPr>
      <w:sz w:val="18"/>
      <w:szCs w:val="18"/>
    </w:rPr>
  </w:style>
  <w:style w:type="paragraph" w:styleId="7">
    <w:name w:val="footer"/>
    <w:basedOn w:val="1"/>
    <w:link w:val="12"/>
    <w:unhideWhenUsed/>
    <w:qFormat/>
    <w:uiPriority w:val="99"/>
    <w:pPr>
      <w:tabs>
        <w:tab w:val="center" w:pos="4153"/>
        <w:tab w:val="right" w:pos="8306"/>
      </w:tabs>
      <w:snapToGrid w:val="0"/>
      <w:jc w:val="left"/>
    </w:pPr>
    <w:rPr>
      <w:sz w:val="18"/>
      <w:szCs w:val="18"/>
    </w:rPr>
  </w:style>
  <w:style w:type="paragraph" w:styleId="8">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1">
    <w:name w:val="页眉 Char"/>
    <w:basedOn w:val="10"/>
    <w:link w:val="8"/>
    <w:qFormat/>
    <w:uiPriority w:val="99"/>
    <w:rPr>
      <w:sz w:val="18"/>
      <w:szCs w:val="18"/>
    </w:rPr>
  </w:style>
  <w:style w:type="character" w:customStyle="1" w:styleId="12">
    <w:name w:val="页脚 Char"/>
    <w:basedOn w:val="10"/>
    <w:link w:val="7"/>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6"/>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1463</Words>
  <Characters>8342</Characters>
  <Lines>69</Lines>
  <Paragraphs>19</Paragraphs>
  <TotalTime>8</TotalTime>
  <ScaleCrop>false</ScaleCrop>
  <LinksUpToDate>false</LinksUpToDate>
  <CharactersWithSpaces>9786</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2025-08-18T18:17:00Z</dcterms:created>
  <dc:creator>李航 null</dc:creator>
  <cp:lastModifiedBy>greatwall</cp:lastModifiedBy>
  <cp:lastPrinted>2024-08-09T02:20:00Z</cp:lastPrinted>
  <dcterms:modified xsi:type="dcterms:W3CDTF">2025-09-16T17:17:16Z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BB7B6AA21D207914D6FDA268992A22D6</vt:lpwstr>
  </property>
</Properties>
</file>