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rFonts w:ascii="Times New Roman" w:hAnsi="Times New Roman" w:cs="Times New Roman"/>
          <w:sz w:val="56"/>
          <w:szCs w:val="56"/>
        </w:rPr>
      </w:pPr>
    </w:p>
    <w:p>
      <w:pPr>
        <w:pStyle w:val="17"/>
        <w:jc w:val="center"/>
        <w:rPr>
          <w:rFonts w:ascii="Times New Roman" w:hAnsi="Times New Roman" w:cs="Times New Roman"/>
          <w:sz w:val="84"/>
          <w:szCs w:val="84"/>
        </w:rPr>
      </w:pPr>
    </w:p>
    <w:p>
      <w:pPr>
        <w:pStyle w:val="17"/>
        <w:jc w:val="center"/>
        <w:rPr>
          <w:rFonts w:ascii="Times New Roman" w:hAnsi="Times New Roman" w:cs="Times New Roman"/>
          <w:sz w:val="84"/>
          <w:szCs w:val="84"/>
        </w:rPr>
      </w:pP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7"/>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湖南省农业技术推广总站</w:t>
      </w: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pPr>
        <w:pStyle w:val="17"/>
        <w:jc w:val="center"/>
        <w:rPr>
          <w:rFonts w:ascii="Times New Roman" w:hAnsi="Times New Roman" w:eastAsia="方正小标宋_GBK" w:cs="Times New Roman"/>
          <w:sz w:val="56"/>
          <w:szCs w:val="56"/>
        </w:rPr>
      </w:pPr>
    </w:p>
    <w:p>
      <w:pPr>
        <w:pStyle w:val="17"/>
        <w:jc w:val="center"/>
        <w:rPr>
          <w:rFonts w:ascii="Times New Roman" w:hAnsi="Times New Roman" w:cs="Times New Roman"/>
          <w:sz w:val="56"/>
          <w:szCs w:val="56"/>
        </w:rPr>
      </w:pPr>
    </w:p>
    <w:p>
      <w:pPr>
        <w:pStyle w:val="17"/>
        <w:rPr>
          <w:rFonts w:ascii="Times New Roman" w:hAnsi="Times New Roman" w:cs="Times New Roman"/>
          <w:sz w:val="56"/>
          <w:szCs w:val="56"/>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7"/>
        <w:spacing w:line="600" w:lineRule="exact"/>
        <w:jc w:val="both"/>
        <w:rPr>
          <w:rFonts w:ascii="Times New Roman" w:hAnsi="Times New Roman" w:cs="Times New Roman"/>
          <w:b/>
          <w:sz w:val="36"/>
          <w:szCs w:val="28"/>
        </w:rPr>
      </w:pPr>
    </w:p>
    <w:p>
      <w:pPr>
        <w:pStyle w:val="17"/>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7"/>
        <w:spacing w:line="600" w:lineRule="exact"/>
        <w:jc w:val="center"/>
        <w:rPr>
          <w:rFonts w:ascii="Times New Roman" w:hAnsi="Times New Roman" w:cs="Times New Roman"/>
          <w:b/>
          <w:sz w:val="36"/>
          <w:szCs w:val="28"/>
        </w:rPr>
      </w:pPr>
    </w:p>
    <w:p>
      <w:pPr>
        <w:pStyle w:val="17"/>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湖南省农业技术推广总站</w:t>
      </w:r>
      <w:r>
        <w:rPr>
          <w:rFonts w:ascii="Times New Roman" w:hAnsi="Times New Roman" w:cs="Times New Roman"/>
          <w:bCs/>
          <w:sz w:val="32"/>
          <w:szCs w:val="32"/>
        </w:rPr>
        <w:t>概况</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7"/>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7"/>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湖南省农业技术推广总站</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8"/>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负责全省农业技术推广体系建设与管理、农技推广队伍建设与人员</w:t>
      </w:r>
      <w:r>
        <w:rPr>
          <w:rFonts w:hint="eastAsia" w:ascii="仿宋" w:hAnsi="仿宋" w:eastAsia="仿宋" w:cs="仿宋"/>
          <w:color w:val="auto"/>
          <w:sz w:val="32"/>
          <w:szCs w:val="32"/>
          <w:lang w:eastAsia="zh-CN"/>
        </w:rPr>
        <w:t>培训，</w:t>
      </w:r>
      <w:r>
        <w:rPr>
          <w:rFonts w:hint="eastAsia" w:ascii="仿宋" w:hAnsi="仿宋" w:eastAsia="仿宋" w:cs="仿宋"/>
          <w:color w:val="auto"/>
          <w:sz w:val="32"/>
          <w:szCs w:val="32"/>
        </w:rPr>
        <w:t>种植业职业技能鉴定；负责</w:t>
      </w:r>
      <w:r>
        <w:rPr>
          <w:rFonts w:hint="eastAsia" w:ascii="仿宋" w:hAnsi="仿宋" w:eastAsia="仿宋" w:cs="仿宋"/>
          <w:color w:val="auto"/>
          <w:sz w:val="32"/>
          <w:szCs w:val="32"/>
          <w:lang w:eastAsia="zh-CN"/>
        </w:rPr>
        <w:t>推广种植业技术，促进农业发展，</w:t>
      </w:r>
      <w:r>
        <w:rPr>
          <w:rFonts w:hint="eastAsia" w:ascii="仿宋" w:hAnsi="仿宋" w:eastAsia="仿宋" w:cs="仿宋"/>
          <w:color w:val="auto"/>
          <w:sz w:val="32"/>
          <w:szCs w:val="32"/>
        </w:rPr>
        <w:t>农业新技术、新品种引进、试验、示范、集成与</w:t>
      </w:r>
      <w:r>
        <w:rPr>
          <w:rFonts w:hint="eastAsia" w:ascii="仿宋" w:hAnsi="仿宋" w:eastAsia="仿宋" w:cs="仿宋"/>
          <w:color w:val="auto"/>
          <w:sz w:val="32"/>
          <w:szCs w:val="32"/>
          <w:lang w:eastAsia="zh-CN"/>
        </w:rPr>
        <w:t>推广，种植业技术培训与技术服务；</w:t>
      </w:r>
      <w:r>
        <w:rPr>
          <w:rFonts w:hint="eastAsia" w:ascii="仿宋" w:hAnsi="仿宋" w:eastAsia="仿宋" w:cs="仿宋"/>
          <w:color w:val="auto"/>
          <w:sz w:val="32"/>
          <w:szCs w:val="32"/>
        </w:rPr>
        <w:t>负责省农业丰收奖评审；负责农业科技声像宣传等。</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olor w:val="auto"/>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color w:val="auto"/>
          <w:sz w:val="32"/>
          <w:szCs w:val="32"/>
          <w:lang w:eastAsia="zh-CN"/>
        </w:rPr>
        <w:t>湖南省农业技术推广总站内设机构包括：</w:t>
      </w:r>
      <w:r>
        <w:rPr>
          <w:rFonts w:hint="eastAsia" w:eastAsia="仿宋_GB2312"/>
          <w:color w:val="auto"/>
          <w:sz w:val="32"/>
          <w:szCs w:val="32"/>
        </w:rPr>
        <w:t>综合科、</w:t>
      </w:r>
      <w:r>
        <w:rPr>
          <w:rFonts w:hint="eastAsia" w:eastAsia="仿宋_GB2312"/>
          <w:color w:val="auto"/>
          <w:sz w:val="32"/>
          <w:szCs w:val="32"/>
          <w:lang w:val="en-US" w:eastAsia="zh-CN"/>
        </w:rPr>
        <w:t>计划</w:t>
      </w:r>
      <w:r>
        <w:rPr>
          <w:rFonts w:hint="eastAsia" w:eastAsia="仿宋_GB2312"/>
          <w:color w:val="auto"/>
          <w:sz w:val="32"/>
          <w:szCs w:val="32"/>
        </w:rPr>
        <w:t>财务科、体系管理科、新技术推广科、声像宣传科</w:t>
      </w:r>
      <w:r>
        <w:rPr>
          <w:rFonts w:hint="eastAsia" w:eastAsia="仿宋_GB2312"/>
          <w:color w:val="auto"/>
          <w:sz w:val="32"/>
          <w:szCs w:val="32"/>
          <w:lang w:val="en-US" w:eastAsia="zh-CN"/>
        </w:rPr>
        <w:t>和</w:t>
      </w:r>
      <w:r>
        <w:rPr>
          <w:rFonts w:hint="eastAsia" w:eastAsia="仿宋_GB2312"/>
          <w:color w:val="auto"/>
          <w:sz w:val="32"/>
          <w:szCs w:val="32"/>
        </w:rPr>
        <w:t>项目管理科</w:t>
      </w:r>
      <w:r>
        <w:rPr>
          <w:rFonts w:hint="eastAsia" w:eastAsia="仿宋_GB2312"/>
          <w:color w:val="auto"/>
          <w:sz w:val="32"/>
          <w:szCs w:val="32"/>
          <w:lang w:val="en-US" w:eastAsia="zh-CN"/>
        </w:rPr>
        <w:t>6个科室</w:t>
      </w:r>
      <w:r>
        <w:rPr>
          <w:rFonts w:hint="eastAsia" w:eastAsia="仿宋_GB2312"/>
          <w:color w:val="auto"/>
          <w:sz w:val="32"/>
          <w:szCs w:val="32"/>
        </w:rPr>
        <w:t>。</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color w:val="auto"/>
          <w:sz w:val="32"/>
          <w:szCs w:val="32"/>
          <w:lang w:eastAsia="zh-CN"/>
        </w:rPr>
        <w:t>湖南省农业技术推广总站</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color w:val="auto"/>
          <w:sz w:val="32"/>
          <w:szCs w:val="32"/>
          <w:lang w:eastAsia="zh-CN"/>
        </w:rPr>
        <w:t>湖南省农业技术推广总站</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7"/>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湖南省农业技术推广总站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Style w:val="13"/>
        <w:tblW w:w="140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337"/>
        <w:gridCol w:w="694"/>
        <w:gridCol w:w="1025"/>
        <w:gridCol w:w="3733"/>
        <w:gridCol w:w="517"/>
        <w:gridCol w:w="27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05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9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913.12</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622.30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913.12</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776.18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37.42</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950.54</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950.54</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sz w:val="20"/>
          <w:szCs w:val="20"/>
          <w:lang w:eastAsia="zh-CN"/>
        </w:rPr>
        <w:t>湖南省农业技术推广总站</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3"/>
        <w:tblW w:w="15525" w:type="dxa"/>
        <w:tblInd w:w="-6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818"/>
        <w:gridCol w:w="3603"/>
        <w:gridCol w:w="1649"/>
        <w:gridCol w:w="1650"/>
        <w:gridCol w:w="1650"/>
        <w:gridCol w:w="1305"/>
        <w:gridCol w:w="1137"/>
        <w:gridCol w:w="1325"/>
        <w:gridCol w:w="1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4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38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4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9" w:hRule="atLeast"/>
        </w:trPr>
        <w:tc>
          <w:tcPr>
            <w:tcW w:w="54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913.12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913.12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114.12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114.12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744.00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744.00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744.00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744.00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8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bl>
    <w:p>
      <w:pPr>
        <w:spacing w:before="120"/>
        <w:rPr>
          <w:rFonts w:ascii="Times New Roman" w:hAnsi="Times New Roman" w:eastAsia="黑体" w:cs="Times New Roman"/>
          <w:bCs/>
          <w:kern w:val="0"/>
          <w:sz w:val="32"/>
          <w:szCs w:val="32"/>
        </w:rPr>
      </w:pPr>
      <w:r>
        <w:rPr>
          <w:rFonts w:ascii="Times New Roman" w:hAnsi="Times New Roman" w:eastAsia="仿宋_GB2312" w:cs="Times New Roman"/>
        </w:rPr>
        <w:t>注：本表反映部门本年度取得的各项收入情况。</w:t>
      </w: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湖南省农业技术推广总站</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3"/>
        <w:tblW w:w="15150" w:type="dxa"/>
        <w:tblInd w:w="-4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91"/>
        <w:gridCol w:w="3997"/>
        <w:gridCol w:w="1649"/>
        <w:gridCol w:w="1649"/>
        <w:gridCol w:w="1649"/>
        <w:gridCol w:w="1390"/>
        <w:gridCol w:w="1355"/>
        <w:gridCol w:w="13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0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99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0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0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776.18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577.54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198.64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622.30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447.28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622.30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447.28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469.28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447.28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153.02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153.02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湖南省农业技术推广总站</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3"/>
        <w:tblW w:w="15575" w:type="dxa"/>
        <w:tblInd w:w="-56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762"/>
        <w:gridCol w:w="523"/>
        <w:gridCol w:w="1540"/>
        <w:gridCol w:w="4100"/>
        <w:gridCol w:w="511"/>
        <w:gridCol w:w="909"/>
        <w:gridCol w:w="1484"/>
        <w:gridCol w:w="1190"/>
        <w:gridCol w:w="1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82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75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7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1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7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913.12</w:t>
            </w: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109.80</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109.80</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622.30</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622.30</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913.12</w:t>
            </w: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776.18</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776.18</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37.42</w:t>
            </w: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174.36</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174.36</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37.42</w:t>
            </w: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7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950.54</w:t>
            </w:r>
          </w:p>
        </w:tc>
        <w:tc>
          <w:tcPr>
            <w:tcW w:w="4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950.54</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950.54</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pStyle w:val="2"/>
        <w:rPr>
          <w:rFonts w:ascii="Times New Roman" w:hAnsi="Times New Roman" w:eastAsia="黑体" w:cs="Times New Roman"/>
          <w:color w:val="000000"/>
          <w:kern w:val="0"/>
          <w:sz w:val="36"/>
          <w:szCs w:val="36"/>
          <w:lang w:bidi="ar"/>
        </w:rPr>
      </w:pPr>
    </w:p>
    <w:p>
      <w:pPr>
        <w:pStyle w:val="3"/>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eastAsia="zh-CN" w:bidi="ar"/>
        </w:rPr>
        <w:t>湖南省农业技术推广总站</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13"/>
        <w:tblW w:w="133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46"/>
        <w:gridCol w:w="4390"/>
        <w:gridCol w:w="2577"/>
        <w:gridCol w:w="2357"/>
        <w:gridCol w:w="2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3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99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3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35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3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3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776.18</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577.54</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109.80</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86.18</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40.68</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40.68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622.30</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447.28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622.30</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447.28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469.28</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447.28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153.02</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3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23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eastAsia="zh-CN" w:bidi="ar"/>
        </w:rPr>
        <w:t>湖南省农业技术推广总站</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3"/>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0"/>
                <w:szCs w:val="20"/>
                <w:u w:val="none"/>
                <w:lang w:val="en-US" w:eastAsia="zh-CN" w:bidi="ar"/>
              </w:rPr>
              <w:t>425.82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79.12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108.00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8.21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81.00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0.18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109.72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13.20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40.68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1.03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26.34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15.50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2.80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44.08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72.60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45.50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13.50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3"/>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3"/>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21.97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10.60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 w:val="20"/>
                <w:szCs w:val="20"/>
              </w:rPr>
            </w:pP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top"/>
          </w:tcPr>
          <w:p>
            <w:pPr>
              <w:jc w:val="center"/>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 w:val="20"/>
                <w:szCs w:val="20"/>
              </w:rPr>
            </w:pPr>
            <w:r>
              <w:rPr>
                <w:rFonts w:hint="eastAsia" w:ascii="宋体" w:hAnsi="宋体" w:eastAsia="宋体" w:cs="宋体"/>
                <w:i w:val="0"/>
                <w:color w:val="000000"/>
                <w:kern w:val="0"/>
                <w:sz w:val="20"/>
                <w:szCs w:val="20"/>
                <w:u w:val="none"/>
                <w:lang w:val="en-US" w:eastAsia="zh-CN" w:bidi="ar"/>
              </w:rPr>
              <w:t>7.24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top"/>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0"/>
                <w:szCs w:val="20"/>
                <w:u w:val="none"/>
                <w:lang w:val="en-US" w:eastAsia="zh-CN" w:bidi="ar"/>
              </w:rPr>
              <w:t>498.42</w:t>
            </w:r>
          </w:p>
        </w:tc>
        <w:tc>
          <w:tcPr>
            <w:tcW w:w="8801" w:type="dxa"/>
            <w:gridSpan w:val="5"/>
            <w:tcBorders>
              <w:top w:val="single" w:color="auto" w:sz="4" w:space="0"/>
              <w:left w:val="nil"/>
              <w:bottom w:val="single" w:color="auto" w:sz="4" w:space="0"/>
              <w:right w:val="single" w:color="auto" w:sz="4" w:space="0"/>
            </w:tcBorders>
            <w:shd w:val="clear" w:color="auto" w:fill="auto"/>
            <w:noWrap/>
            <w:vAlign w:val="top"/>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0"/>
                <w:szCs w:val="20"/>
                <w:u w:val="none"/>
                <w:lang w:val="en-US" w:eastAsia="zh-CN" w:bidi="ar"/>
              </w:rPr>
              <w:t>79.12</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湖南省农业技术推广总站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3"/>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20"/>
                <w:rFonts w:hint="default" w:ascii="Times New Roman" w:hAnsi="Times New Roman" w:eastAsia="仿宋_GB2312" w:cs="Times New Roman"/>
                <w:b/>
                <w:bCs/>
                <w:lang w:bidi="ar"/>
              </w:rPr>
              <w:t xml:space="preserve">   </w:t>
            </w:r>
            <w:r>
              <w:rPr>
                <w:rStyle w:val="21"/>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湖南省农业技术推广总站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3"/>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2"/>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湖南省农业技术推广总站</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3"/>
        <w:tblW w:w="14544" w:type="dxa"/>
        <w:jc w:val="center"/>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11.00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7.80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2.70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2.70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9.71</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7.80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1.91</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1.91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7"/>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950.54</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674.01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41.04</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项目经费减少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913.12</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913.12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776.18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577.54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74.41</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198.64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25.59</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950.54</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674.01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41.04</w:t>
      </w:r>
      <w:r>
        <w:rPr>
          <w:rFonts w:ascii="Times New Roman" w:hAnsi="Times New Roman" w:eastAsia="仿宋_GB2312" w:cs="Times New Roman"/>
          <w:sz w:val="32"/>
          <w:szCs w:val="32"/>
        </w:rPr>
        <w:t>%，主要是因为</w:t>
      </w:r>
      <w:bookmarkStart w:id="3" w:name="OLE_LINK1"/>
      <w:r>
        <w:rPr>
          <w:rFonts w:hint="eastAsia" w:ascii="Times New Roman" w:hAnsi="Times New Roman" w:eastAsia="仿宋_GB2312" w:cs="Times New Roman"/>
          <w:sz w:val="32"/>
          <w:szCs w:val="32"/>
          <w:lang w:val="en-US" w:eastAsia="zh-CN"/>
        </w:rPr>
        <w:t>项目经费减少。</w:t>
      </w:r>
    </w:p>
    <w:bookmarkEnd w:id="3"/>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776.18</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806.30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50.96</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项目经费减少。</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776.18</w:t>
      </w:r>
      <w:r>
        <w:rPr>
          <w:rFonts w:ascii="Times New Roman" w:hAnsi="Times New Roman" w:eastAsia="仿宋_GB2312" w:cs="Times New Roman"/>
          <w:sz w:val="32"/>
          <w:szCs w:val="32"/>
        </w:rPr>
        <w:t>万元，主要用于以下方面：</w:t>
      </w:r>
      <w:r>
        <w:rPr>
          <w:rFonts w:hint="eastAsia" w:ascii="Times New Roman" w:hAnsi="Times New Roman" w:eastAsia="仿宋_GB2312"/>
          <w:sz w:val="32"/>
          <w:szCs w:val="32"/>
          <w:highlight w:val="none"/>
        </w:rPr>
        <w:t>社会保障和就业（类）支出</w:t>
      </w:r>
      <w:r>
        <w:rPr>
          <w:rFonts w:hint="eastAsia" w:ascii="Times New Roman" w:hAnsi="Times New Roman" w:eastAsia="仿宋_GB2312"/>
          <w:sz w:val="32"/>
          <w:szCs w:val="32"/>
          <w:highlight w:val="none"/>
          <w:lang w:val="en-US" w:eastAsia="zh-CN"/>
        </w:rPr>
        <w:t>109.80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14.15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（类）支出</w:t>
      </w:r>
      <w:r>
        <w:rPr>
          <w:rFonts w:hint="eastAsia" w:ascii="Times New Roman" w:hAnsi="Times New Roman" w:eastAsia="仿宋_GB2312"/>
          <w:sz w:val="32"/>
          <w:szCs w:val="32"/>
          <w:highlight w:val="none"/>
          <w:lang w:val="en-US" w:eastAsia="zh-CN"/>
        </w:rPr>
        <w:t>622.30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80.17</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cs="Times New Roman"/>
          <w:sz w:val="32"/>
          <w:szCs w:val="32"/>
          <w:lang w:val="en-US" w:eastAsia="zh-CN"/>
        </w:rPr>
        <w:t>住房保障类</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44.08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5.68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785.02</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776.18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98.88</w:t>
      </w:r>
      <w:r>
        <w:rPr>
          <w:rFonts w:ascii="Times New Roman" w:hAnsi="Times New Roman" w:eastAsia="仿宋_GB2312" w:cs="Times New Roman"/>
          <w:sz w:val="32"/>
          <w:szCs w:val="32"/>
        </w:rPr>
        <w:t>%，其中：</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1、教育支出（类）进修及培训（款）社会保障和就业（类）行政事业单位养老支出（款）培训支出（项）。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于年初预算数的主要原因是：根据相关文件的规定取消了年度补助项目考评及经验交流培训</w:t>
      </w:r>
      <w:r>
        <w:rPr>
          <w:rFonts w:hint="eastAsia" w:ascii="Times New Roman" w:hAnsi="Times New Roman" w:eastAsia="仿宋_GB2312"/>
          <w:sz w:val="32"/>
          <w:szCs w:val="32"/>
          <w:highlight w:val="none"/>
          <w:lang w:val="en-US" w:eastAsia="zh-CN"/>
        </w:rPr>
        <w:t>计划。</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社会保障和就业（类）行政事业单位养老支出（款）社会保障和就业（类）行政事业单位养老支出（款）机关事业行政单位离退休（项）。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45.50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45.50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、社会社会保障和就业（类）行政事业单位养老支出（款）机关事业单位基本养老保险缴费支出（项）。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45.00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40.68</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90.40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人员经费年末有结余。</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社会社会保障和就业（类）抚恤（款）死亡抚恤（项）。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23.62</w:t>
      </w:r>
      <w:r>
        <w:rPr>
          <w:rFonts w:hint="eastAsia" w:ascii="Times New Roman" w:hAnsi="Times New Roman" w:eastAsia="仿宋_GB2312"/>
          <w:sz w:val="32"/>
          <w:szCs w:val="32"/>
          <w:highlight w:val="none"/>
        </w:rPr>
        <w:t>万元，决算数</w:t>
      </w:r>
      <w:r>
        <w:rPr>
          <w:rFonts w:hint="eastAsia" w:ascii="Times New Roman" w:hAnsi="Times New Roman" w:eastAsia="仿宋_GB2312"/>
          <w:sz w:val="32"/>
          <w:szCs w:val="32"/>
          <w:highlight w:val="none"/>
          <w:lang w:val="en-US" w:eastAsia="zh-CN"/>
        </w:rPr>
        <w:t>大</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年中追加</w:t>
      </w:r>
      <w:r>
        <w:rPr>
          <w:rFonts w:hint="eastAsia" w:ascii="Times New Roman" w:hAnsi="Times New Roman" w:eastAsia="仿宋_GB2312"/>
          <w:sz w:val="32"/>
          <w:szCs w:val="32"/>
          <w:highlight w:val="none"/>
        </w:rPr>
        <w:t>抚恤</w:t>
      </w:r>
      <w:r>
        <w:rPr>
          <w:rFonts w:hint="eastAsia" w:ascii="Times New Roman" w:hAnsi="Times New Roman" w:eastAsia="仿宋_GB2312"/>
          <w:sz w:val="32"/>
          <w:szCs w:val="32"/>
          <w:highlight w:val="none"/>
          <w:lang w:val="en-US" w:eastAsia="zh-CN"/>
        </w:rPr>
        <w:t>资金。</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5、农林水</w:t>
      </w:r>
      <w:r>
        <w:rPr>
          <w:rFonts w:hint="eastAsia" w:ascii="Times New Roman" w:hAnsi="Times New Roman" w:eastAsia="仿宋_GB2312"/>
          <w:sz w:val="32"/>
          <w:szCs w:val="32"/>
          <w:highlight w:val="none"/>
        </w:rPr>
        <w:t>（类）农业农村（款）行政运行（项）。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449.10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469.28</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104.50</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大</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年中追加资金。</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（类）农业农村（款）农业生产发展（项）。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190.42</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153.02</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80.86</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：项目跨年实施</w:t>
      </w:r>
      <w:r>
        <w:rPr>
          <w:rFonts w:hint="eastAsia" w:ascii="Times New Roman" w:hAnsi="Times New Roman" w:eastAsia="仿宋_GB2312"/>
          <w:sz w:val="32"/>
          <w:szCs w:val="32"/>
          <w:highlight w:val="none"/>
          <w:lang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住房保障支出</w:t>
      </w:r>
      <w:r>
        <w:rPr>
          <w:rFonts w:hint="eastAsia" w:ascii="Times New Roman" w:hAnsi="Times New Roman" w:eastAsia="仿宋_GB2312"/>
          <w:sz w:val="32"/>
          <w:szCs w:val="32"/>
          <w:highlight w:val="none"/>
        </w:rPr>
        <w:t>（类）住房改革支出（款）住房公积金（项）。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w:t>
      </w:r>
      <w:r>
        <w:rPr>
          <w:rFonts w:hint="eastAsia" w:ascii="Times New Roman" w:hAnsi="Times New Roman" w:eastAsia="仿宋_GB2312"/>
          <w:sz w:val="32"/>
          <w:szCs w:val="32"/>
          <w:highlight w:val="none"/>
          <w:lang w:val="en-US" w:eastAsia="zh-CN"/>
        </w:rPr>
        <w:t>46.00</w:t>
      </w:r>
      <w:r>
        <w:rPr>
          <w:rFonts w:hint="eastAsia" w:ascii="Times New Roman" w:hAnsi="Times New Roman" w:eastAsia="仿宋_GB2312"/>
          <w:sz w:val="32"/>
          <w:szCs w:val="32"/>
          <w:highlight w:val="none"/>
        </w:rPr>
        <w:t>为万元，支出决算为</w:t>
      </w:r>
      <w:r>
        <w:rPr>
          <w:rFonts w:hint="eastAsia" w:ascii="Times New Roman" w:hAnsi="Times New Roman" w:eastAsia="仿宋_GB2312"/>
          <w:sz w:val="32"/>
          <w:szCs w:val="32"/>
          <w:highlight w:val="none"/>
          <w:lang w:val="en-US" w:eastAsia="zh-CN"/>
        </w:rPr>
        <w:t>44.08</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95.83</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人员经费年末有结余。</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577.54</w:t>
      </w:r>
      <w:r>
        <w:rPr>
          <w:rFonts w:ascii="Times New Roman" w:hAnsi="Times New Roman" w:eastAsia="仿宋_GB2312" w:cs="Times New Roman"/>
          <w:sz w:val="32"/>
          <w:szCs w:val="32"/>
        </w:rPr>
        <w:t>万元，其中：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498.42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86.30</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79.12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13.70</w:t>
      </w:r>
      <w:r>
        <w:rPr>
          <w:rFonts w:ascii="Times New Roman" w:hAnsi="Times New Roman" w:eastAsia="仿宋_GB2312" w:cs="Times New Roman"/>
          <w:sz w:val="32"/>
          <w:szCs w:val="32"/>
        </w:rPr>
        <w:t>%，主要包括办公费、印刷费、</w:t>
      </w:r>
      <w:r>
        <w:rPr>
          <w:rFonts w:hint="eastAsia" w:ascii="Times New Roman" w:hAnsi="Times New Roman" w:eastAsia="仿宋_GB2312" w:cs="Times New Roman"/>
          <w:sz w:val="32"/>
          <w:szCs w:val="32"/>
          <w:lang w:val="en-US" w:eastAsia="zh-CN"/>
        </w:rPr>
        <w:t>劳务费、工会经费、劳务费、其他交通费、其他商品和服务支出等</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11.00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9.71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88.27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0.71</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7.89</w:t>
      </w:r>
      <w:r>
        <w:rPr>
          <w:rFonts w:ascii="Times New Roman" w:hAnsi="Times New Roman" w:eastAsia="仿宋_GB2312" w:cs="Times New Roman"/>
          <w:sz w:val="32"/>
          <w:szCs w:val="32"/>
        </w:rPr>
        <w:t>%。决算数小于预算数的主要原因</w:t>
      </w:r>
      <w:r>
        <w:rPr>
          <w:rFonts w:hint="eastAsia" w:ascii="Times New Roman" w:hAnsi="Times New Roman" w:eastAsia="仿宋_GB2312"/>
          <w:sz w:val="32"/>
          <w:szCs w:val="32"/>
          <w:lang w:val="en-US" w:eastAsia="zh-CN"/>
        </w:rPr>
        <w:t>严格控制</w:t>
      </w:r>
      <w:r>
        <w:rPr>
          <w:rFonts w:hint="eastAsia" w:ascii="Times New Roman" w:hAnsi="Times New Roman" w:eastAsia="仿宋_GB2312"/>
          <w:sz w:val="32"/>
          <w:szCs w:val="32"/>
          <w:lang w:eastAsia="zh-CN"/>
        </w:rPr>
        <w:t>三公经费</w:t>
      </w:r>
      <w:r>
        <w:rPr>
          <w:rFonts w:hint="eastAsia" w:ascii="Times New Roman" w:hAnsi="Times New Roman" w:eastAsia="仿宋_GB2312"/>
          <w:sz w:val="32"/>
          <w:szCs w:val="32"/>
          <w:lang w:val="en-US" w:eastAsia="zh-CN"/>
        </w:rPr>
        <w:t>在预算范围内</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本年根据工作安排，因公出国境团组目的地为3个，上年目的地2个，相应费用较上年增加</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7.80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7.80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2.82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56.63</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因公出国境团组目的地为3个，上年目的地2个，相应费用较上年增加</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人次</w:t>
      </w:r>
      <w:r>
        <w:rPr>
          <w:rFonts w:ascii="Times New Roman" w:hAnsi="Times New Roman" w:eastAsia="楷体" w:cs="Times New Roman"/>
          <w:b/>
          <w:bCs/>
          <w:i/>
          <w:color w:val="auto"/>
          <w:sz w:val="32"/>
          <w:szCs w:val="32"/>
        </w:rPr>
        <w:t>,</w:t>
      </w:r>
      <w:r>
        <w:rPr>
          <w:rFonts w:ascii="Times New Roman" w:hAnsi="Times New Roman" w:eastAsia="仿宋_GB2312" w:cs="Times New Roman"/>
          <w:sz w:val="32"/>
          <w:szCs w:val="32"/>
        </w:rPr>
        <w:t>主要包括：</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出访新西兰、瓦努阿图、斐济团支出7.80万元，主要用于出访新西兰、瓦努阿图、斐济对口交流。</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2.70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1.91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7.74</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2.11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52.49</w:t>
      </w:r>
      <w:r>
        <w:rPr>
          <w:rFonts w:ascii="Times New Roman" w:hAnsi="Times New Roman" w:eastAsia="仿宋_GB2312" w:cs="Times New Roman"/>
          <w:sz w:val="32"/>
          <w:szCs w:val="32"/>
        </w:rPr>
        <w:t>%。其中：</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2.70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1.71</w:t>
      </w:r>
      <w:r>
        <w:rPr>
          <w:rFonts w:ascii="Times New Roman" w:hAnsi="Times New Roman" w:eastAsia="仿宋_GB2312" w:cs="Times New Roman"/>
          <w:sz w:val="32"/>
          <w:szCs w:val="32"/>
        </w:rPr>
        <w:t>万元，主要是</w:t>
      </w:r>
      <w:r>
        <w:rPr>
          <w:rFonts w:hint="eastAsia" w:ascii="Times New Roman" w:hAnsi="Times New Roman" w:eastAsia="仿宋_GB2312"/>
          <w:sz w:val="32"/>
          <w:szCs w:val="32"/>
          <w:lang w:eastAsia="zh-CN"/>
        </w:rPr>
        <w:t>公车加油、保养和保险等费用</w:t>
      </w:r>
      <w:r>
        <w:rPr>
          <w:rFonts w:hint="eastAsia" w:ascii="Times New Roman" w:hAnsi="Times New Roman" w:eastAsia="仿宋_GB2312"/>
          <w:sz w:val="32"/>
          <w:szCs w:val="32"/>
        </w:rPr>
        <w:t>支出</w:t>
      </w:r>
      <w:r>
        <w:rPr>
          <w:rFonts w:ascii="Times New Roman" w:hAnsi="Times New Roman" w:eastAsia="仿宋_GB2312" w:cs="Times New Roman"/>
          <w:sz w:val="32"/>
          <w:szCs w:val="32"/>
        </w:rPr>
        <w:t>，完成预算的</w:t>
      </w:r>
      <w:r>
        <w:rPr>
          <w:rFonts w:hint="eastAsia" w:ascii="Times New Roman" w:hAnsi="Times New Roman" w:eastAsia="仿宋_GB2312" w:cs="Times New Roman"/>
          <w:sz w:val="32"/>
          <w:szCs w:val="32"/>
          <w:lang w:val="en-US" w:eastAsia="zh-CN"/>
        </w:rPr>
        <w:t>70.74</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2.11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52.49</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决算数小于预算数的主要原因是</w:t>
      </w:r>
      <w:r>
        <w:rPr>
          <w:rFonts w:hint="eastAsia" w:ascii="Times New Roman" w:hAnsi="Times New Roman" w:eastAsia="仿宋_GB2312" w:cs="Times New Roman"/>
          <w:sz w:val="32"/>
          <w:szCs w:val="32"/>
          <w:highlight w:val="none"/>
          <w:lang w:val="en-US" w:eastAsia="zh-CN"/>
        </w:rPr>
        <w:t>单位厉行节约，严格控制“三公”经费支出</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val="en-US" w:eastAsia="zh-CN"/>
        </w:rPr>
        <w:t>单位出差任务</w:t>
      </w:r>
      <w:bookmarkStart w:id="6" w:name="_GoBack"/>
      <w:bookmarkEnd w:id="6"/>
      <w:r>
        <w:rPr>
          <w:rFonts w:hint="eastAsia" w:ascii="Times New Roman" w:hAnsi="Times New Roman" w:eastAsia="仿宋_GB2312" w:cs="Times New Roman"/>
          <w:sz w:val="32"/>
          <w:szCs w:val="32"/>
          <w:highlight w:val="none"/>
          <w:lang w:val="en-US" w:eastAsia="zh-CN"/>
        </w:rPr>
        <w:t>减少</w:t>
      </w:r>
      <w:r>
        <w:rPr>
          <w:rFonts w:ascii="Times New Roman" w:hAnsi="Times New Roman" w:eastAsia="仿宋_GB2312" w:cs="Times New Roman"/>
          <w:sz w:val="32"/>
          <w:szCs w:val="32"/>
          <w:highlight w:val="none"/>
        </w:rPr>
        <w:t>。截</w:t>
      </w:r>
      <w:r>
        <w:rPr>
          <w:rFonts w:ascii="Times New Roman" w:hAnsi="Times New Roman" w:eastAsia="仿宋_GB2312" w:cs="Times New Roman"/>
          <w:sz w:val="32"/>
          <w:szCs w:val="32"/>
        </w:rPr>
        <w:t>止2024年12月31日，我单位开支财政拨款的公务用车保有量为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val="en-US" w:eastAsia="zh-CN"/>
        </w:rPr>
        <w:t>严格控制</w:t>
      </w:r>
      <w:r>
        <w:rPr>
          <w:rFonts w:hint="eastAsia" w:ascii="Times New Roman" w:hAnsi="Times New Roman" w:eastAsia="仿宋_GB2312"/>
          <w:sz w:val="32"/>
          <w:szCs w:val="32"/>
          <w:lang w:eastAsia="zh-CN"/>
        </w:rPr>
        <w:t>三公经费</w:t>
      </w:r>
      <w:r>
        <w:rPr>
          <w:rFonts w:hint="eastAsia" w:ascii="Times New Roman" w:hAnsi="Times New Roman" w:eastAsia="仿宋_GB2312"/>
          <w:sz w:val="32"/>
          <w:szCs w:val="32"/>
          <w:lang w:val="en-US" w:eastAsia="zh-CN"/>
        </w:rPr>
        <w:t>在预算范围内</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2024年本</w:t>
      </w:r>
      <w:r>
        <w:rPr>
          <w:rFonts w:ascii="Times New Roman" w:hAnsi="Times New Roman" w:eastAsia="仿宋_GB2312" w:cs="Times New Roman"/>
          <w:sz w:val="32"/>
          <w:szCs w:val="32"/>
        </w:rPr>
        <w:t>单位无政府性基金收支</w:t>
      </w:r>
      <w:r>
        <w:rPr>
          <w:rFonts w:hint="eastAsia" w:ascii="Times New Roman" w:hAnsi="Times New Roman" w:eastAsia="仿宋_GB2312" w:cs="Times New Roman"/>
          <w:sz w:val="32"/>
          <w:szCs w:val="32"/>
          <w:lang w:eastAsia="zh-CN"/>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79.12</w:t>
      </w:r>
      <w:r>
        <w:rPr>
          <w:rFonts w:ascii="Times New Roman" w:hAnsi="Times New Roman" w:eastAsia="仿宋_GB2312" w:cs="Times New Roman"/>
          <w:sz w:val="32"/>
          <w:szCs w:val="32"/>
        </w:rPr>
        <w:t>万元，比年初预算数减少</w:t>
      </w:r>
      <w:r>
        <w:rPr>
          <w:rFonts w:hint="eastAsia" w:ascii="Times New Roman" w:hAnsi="Times New Roman" w:eastAsia="仿宋_GB2312" w:cs="Times New Roman"/>
          <w:sz w:val="32"/>
          <w:szCs w:val="32"/>
          <w:lang w:val="en-US" w:eastAsia="zh-CN"/>
        </w:rPr>
        <w:t>3.88</w:t>
      </w:r>
      <w:r>
        <w:rPr>
          <w:rFonts w:ascii="Times New Roman" w:hAnsi="Times New Roman" w:eastAsia="仿宋_GB2312" w:cs="Times New Roman"/>
          <w:sz w:val="32"/>
          <w:szCs w:val="32"/>
        </w:rPr>
        <w:t xml:space="preserve"> 万元，降低</w:t>
      </w:r>
      <w:r>
        <w:rPr>
          <w:rFonts w:hint="eastAsia" w:ascii="Times New Roman" w:hAnsi="Times New Roman" w:eastAsia="仿宋_GB2312" w:cs="Times New Roman"/>
          <w:sz w:val="32"/>
          <w:szCs w:val="32"/>
          <w:lang w:val="en-US" w:eastAsia="zh-CN"/>
        </w:rPr>
        <w:t>4.67</w:t>
      </w:r>
      <w:r>
        <w:rPr>
          <w:rFonts w:ascii="Times New Roman" w:hAnsi="Times New Roman" w:eastAsia="仿宋_GB2312" w:cs="Times New Roman"/>
          <w:sz w:val="32"/>
          <w:szCs w:val="32"/>
        </w:rPr>
        <w:t>%。主要原因是：</w:t>
      </w:r>
      <w:r>
        <w:rPr>
          <w:rFonts w:hint="eastAsia" w:ascii="Times New Roman" w:hAnsi="Times New Roman" w:eastAsia="仿宋_GB2312"/>
          <w:sz w:val="32"/>
          <w:szCs w:val="32"/>
          <w:lang w:val="en-US" w:eastAsia="zh-CN"/>
        </w:rPr>
        <w:t>落实省政府“过紧日子”政策，压减机关运行经费</w:t>
      </w:r>
      <w:r>
        <w:rPr>
          <w:rFonts w:hint="eastAsia" w:ascii="Times New Roman" w:hAnsi="Times New Roman" w:eastAsia="仿宋_GB2312"/>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ind w:firstLine="640" w:firstLineChars="200"/>
        <w:rPr>
          <w:rFonts w:hint="eastAsia" w:ascii="Times New Roman" w:hAnsi="Times New Roman" w:eastAsia="仿宋_GB2312" w:cs="Times New Roman"/>
          <w:b/>
          <w:bCs/>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0.89</w:t>
      </w:r>
      <w:r>
        <w:rPr>
          <w:rFonts w:ascii="Times New Roman" w:hAnsi="Times New Roman" w:eastAsia="仿宋_GB2312" w:cs="Times New Roman"/>
          <w:sz w:val="32"/>
          <w:szCs w:val="32"/>
        </w:rPr>
        <w:t>万元，</w:t>
      </w:r>
      <w:r>
        <w:rPr>
          <w:rFonts w:ascii="Times New Roman" w:hAnsi="Times New Roman" w:eastAsia="仿宋_GB2312" w:cs="Times New Roman"/>
          <w:b w:val="0"/>
          <w:bCs w:val="0"/>
          <w:sz w:val="32"/>
          <w:szCs w:val="32"/>
        </w:rPr>
        <w:t>用于召开</w:t>
      </w:r>
      <w:r>
        <w:rPr>
          <w:rFonts w:hint="eastAsia" w:ascii="Times New Roman" w:hAnsi="Times New Roman" w:eastAsia="仿宋_GB2312" w:cs="Times New Roman"/>
          <w:b w:val="0"/>
          <w:bCs w:val="0"/>
          <w:sz w:val="32"/>
          <w:szCs w:val="32"/>
          <w:lang w:val="en-US" w:eastAsia="zh-CN"/>
        </w:rPr>
        <w:t>下列</w:t>
      </w:r>
      <w:r>
        <w:rPr>
          <w:rFonts w:ascii="Times New Roman" w:hAnsi="Times New Roman" w:eastAsia="仿宋_GB2312" w:cs="Times New Roman"/>
          <w:b w:val="0"/>
          <w:bCs w:val="0"/>
          <w:sz w:val="32"/>
          <w:szCs w:val="32"/>
        </w:rPr>
        <w:t>会议</w:t>
      </w:r>
      <w:r>
        <w:rPr>
          <w:rFonts w:hint="eastAsia" w:ascii="Times New Roman" w:hAnsi="Times New Roman" w:eastAsia="仿宋_GB2312" w:cs="Times New Roman"/>
          <w:b w:val="0"/>
          <w:bCs w:val="0"/>
          <w:sz w:val="32"/>
          <w:szCs w:val="32"/>
          <w:lang w:eastAsia="zh-CN"/>
        </w:rPr>
        <w:t>：</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1、2024年湖南省基层农技特岗（专科）招录工作会议，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2024年基层农技特岗人员（专科）集中录取工作。会议费0.38万元。</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2、2024年湖南省基层农技特岗（本科）招录工作会议，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26</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2024年基层农技特岗人员（本科）集中录取工作。会议费0.51万元。</w:t>
      </w:r>
    </w:p>
    <w:p>
      <w:pPr>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13.39</w:t>
      </w:r>
      <w:r>
        <w:rPr>
          <w:rFonts w:ascii="Times New Roman" w:hAnsi="Times New Roman" w:eastAsia="仿宋_GB2312" w:cs="Times New Roman"/>
          <w:sz w:val="32"/>
          <w:szCs w:val="32"/>
        </w:rPr>
        <w:t>万元，</w:t>
      </w:r>
      <w:r>
        <w:rPr>
          <w:rFonts w:ascii="Times New Roman" w:hAnsi="Times New Roman" w:eastAsia="仿宋_GB2312" w:cs="Times New Roman"/>
          <w:b w:val="0"/>
          <w:bCs w:val="0"/>
          <w:sz w:val="32"/>
          <w:szCs w:val="32"/>
        </w:rPr>
        <w:t>用于开展</w:t>
      </w:r>
      <w:r>
        <w:rPr>
          <w:rFonts w:hint="eastAsia" w:ascii="Times New Roman" w:hAnsi="Times New Roman" w:eastAsia="仿宋_GB2312" w:cs="Times New Roman"/>
          <w:b w:val="0"/>
          <w:bCs w:val="0"/>
          <w:sz w:val="32"/>
          <w:szCs w:val="32"/>
          <w:lang w:val="en-US" w:eastAsia="zh-CN"/>
        </w:rPr>
        <w:t>下列</w:t>
      </w:r>
      <w:r>
        <w:rPr>
          <w:rFonts w:ascii="Times New Roman" w:hAnsi="Times New Roman" w:eastAsia="仿宋_GB2312" w:cs="Times New Roman"/>
          <w:b w:val="0"/>
          <w:bCs w:val="0"/>
          <w:sz w:val="32"/>
          <w:szCs w:val="32"/>
        </w:rPr>
        <w:t>培训</w:t>
      </w:r>
      <w:r>
        <w:rPr>
          <w:rFonts w:hint="eastAsia" w:ascii="Times New Roman" w:hAnsi="Times New Roman" w:eastAsia="仿宋_GB2312" w:cs="Times New Roman"/>
          <w:b w:val="0"/>
          <w:bCs w:val="0"/>
          <w:sz w:val="32"/>
          <w:szCs w:val="32"/>
          <w:lang w:eastAsia="zh-CN"/>
        </w:rPr>
        <w:t>：</w:t>
      </w:r>
    </w:p>
    <w:p>
      <w:pPr>
        <w:ind w:firstLine="640" w:firstLineChars="200"/>
        <w:rPr>
          <w:rFonts w:hint="default" w:eastAsia="仿宋_GB2312"/>
          <w:lang w:val="en-US" w:eastAsia="zh-CN"/>
        </w:rPr>
      </w:pPr>
      <w:r>
        <w:rPr>
          <w:rFonts w:hint="eastAsia" w:ascii="Times New Roman" w:hAnsi="Times New Roman" w:eastAsia="仿宋_GB2312" w:cs="Times New Roman"/>
          <w:sz w:val="32"/>
          <w:szCs w:val="32"/>
          <w:lang w:val="en-US" w:eastAsia="zh-CN"/>
        </w:rPr>
        <w:t>1、农技微视频服务团队交流培训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32</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培训</w:t>
      </w:r>
      <w:r>
        <w:rPr>
          <w:rFonts w:hint="eastAsia" w:ascii="Times New Roman" w:hAnsi="Times New Roman" w:eastAsia="仿宋_GB2312" w:cs="Times New Roman"/>
          <w:sz w:val="32"/>
          <w:szCs w:val="32"/>
          <w:lang w:val="en-US" w:eastAsia="zh-CN"/>
        </w:rPr>
        <w:t>2天，培训费1.75万元。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lang w:val="en-US" w:eastAsia="zh-CN"/>
        </w:rPr>
        <w:t>总结交流2023年农技微视频服务工作经验，研讨2024年工作推进方法、步骤，现场辅导、视频创作实操。</w:t>
      </w:r>
    </w:p>
    <w:p>
      <w:pPr>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2、2024年农技微视频团队创作技能提升培训班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36</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培训</w:t>
      </w:r>
      <w:r>
        <w:rPr>
          <w:rFonts w:hint="eastAsia" w:ascii="Times New Roman" w:hAnsi="Times New Roman" w:eastAsia="仿宋_GB2312" w:cs="Times New Roman"/>
          <w:sz w:val="32"/>
          <w:szCs w:val="32"/>
          <w:lang w:val="en-US" w:eastAsia="zh-CN"/>
        </w:rPr>
        <w:t>2天，培训费1.97万元。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lang w:val="en-US" w:eastAsia="zh-CN"/>
        </w:rPr>
        <w:t>农技微视频团队创作技能提升。</w:t>
      </w:r>
    </w:p>
    <w:p>
      <w:pPr>
        <w:numPr>
          <w:ilvl w:val="0"/>
          <w:numId w:val="0"/>
        </w:numPr>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3、2024年市州站长业务培训，人数14人，培训6天，培训费3.47万元。内容为围绕乡村振兴、农业产业发展及农业先进实用技术等内容开展培训。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74.54</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9.36</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65.18</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74.54</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74.54</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组织对2024年度本部单位整体支出开展绩效自评，涉及项目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198.64</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198.64</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25.60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pStyle w:val="18"/>
        <w:keepNext w:val="0"/>
        <w:keepLines w:val="0"/>
        <w:pageBreakBefore w:val="0"/>
        <w:widowControl/>
        <w:kinsoku/>
        <w:wordWrap/>
        <w:overflowPunct/>
        <w:topLinePunct w:val="0"/>
        <w:bidi w:val="0"/>
        <w:spacing w:line="600" w:lineRule="exact"/>
        <w:ind w:left="0" w:leftChars="0" w:right="0" w:rightChars="0" w:firstLine="640"/>
        <w:jc w:val="left"/>
        <w:textAlignment w:val="auto"/>
        <w:rPr>
          <w:rFonts w:hint="default" w:ascii="Times New Roman" w:hAnsi="Times New Roman" w:eastAsia="仿宋_GB2312" w:cs="Times New Roman"/>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950.54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776.18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81.66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default" w:ascii="Times New Roman" w:hAnsi="Times New Roman" w:eastAsia="楷体_GB2312" w:cs="Times New Roman"/>
          <w:b/>
          <w:bCs/>
          <w:color w:val="000000"/>
          <w:kern w:val="2"/>
          <w:sz w:val="32"/>
          <w:szCs w:val="32"/>
          <w:lang w:val="en-US" w:eastAsia="zh-CN" w:bidi="ar-SA"/>
        </w:rPr>
        <w:t>全力开展农业技术推广服务。</w:t>
      </w:r>
      <w:r>
        <w:rPr>
          <w:rFonts w:hint="default" w:ascii="Times New Roman" w:hAnsi="Times New Roman" w:eastAsia="仿宋_GB2312" w:cs="Times New Roman"/>
          <w:b/>
          <w:bCs/>
          <w:color w:val="000000"/>
          <w:kern w:val="2"/>
          <w:sz w:val="32"/>
          <w:szCs w:val="32"/>
          <w:lang w:val="en-US" w:eastAsia="zh-CN" w:bidi="ar-SA"/>
        </w:rPr>
        <w:t>一是</w:t>
      </w:r>
      <w:r>
        <w:rPr>
          <w:rFonts w:hint="default" w:ascii="Times New Roman" w:hAnsi="Times New Roman" w:eastAsia="仿宋_GB2312" w:cs="Times New Roman"/>
          <w:sz w:val="32"/>
          <w:szCs w:val="32"/>
        </w:rPr>
        <w:t>扎实开展农业实用技术集成示范。围绕粮油作物大面积单产提升行动，开展水稻、油菜等主要粮油作物单产提升关键技术组装集成与示范推广，全省农技推广机构创建以粮油类为主科技示范基地327个。我站重点开展了育秧大棚综合利用、稻稻油、稻再油等技术试验示范。推广一批蔬菜、茶叶、中药材等优质高效、节水节肥节药、立体复合种养等绿色高效技术，支持建设相关技术试验示范基地18个。</w:t>
      </w:r>
      <w:r>
        <w:rPr>
          <w:rFonts w:hint="default" w:ascii="Times New Roman" w:hAnsi="Times New Roman" w:eastAsia="仿宋_GB2312" w:cs="Times New Roman"/>
          <w:b/>
          <w:bCs/>
          <w:color w:val="000000"/>
          <w:kern w:val="2"/>
          <w:sz w:val="32"/>
          <w:szCs w:val="32"/>
          <w:lang w:val="en-US" w:eastAsia="zh-CN" w:bidi="ar-SA"/>
        </w:rPr>
        <w:t>二是</w:t>
      </w:r>
      <w:r>
        <w:rPr>
          <w:rFonts w:hint="default" w:ascii="Times New Roman" w:hAnsi="Times New Roman" w:eastAsia="仿宋_GB2312" w:cs="Times New Roman"/>
          <w:sz w:val="32"/>
          <w:szCs w:val="32"/>
        </w:rPr>
        <w:t>加快先进适用技术入户到田。省级遴选推介32项主导品种和15项主推技术，各地围绕主导品种主推技术创办展示示范基地、遴选技术指导员、培育农民技术员、开展技术示范培训，包村联户开展技术指导服务，构建形成畅通高效的主推技术示范推广渠道。全年开展技术培训800余场次，累计培训大户约1.15万人次。在年初冰冻灾害和年中洪涝灾害期间，组织党员干部赴基层开展救灾补损技术服务10余次，编印发放救灾补损技术手册口袋书800余本。</w:t>
      </w:r>
      <w:r>
        <w:rPr>
          <w:rFonts w:hint="default" w:ascii="Times New Roman" w:hAnsi="Times New Roman" w:eastAsia="仿宋_GB2312" w:cs="Times New Roman"/>
          <w:b/>
          <w:bCs/>
          <w:color w:val="000000"/>
          <w:kern w:val="2"/>
          <w:sz w:val="32"/>
          <w:szCs w:val="32"/>
          <w:lang w:val="en-US" w:eastAsia="zh-CN" w:bidi="ar-SA"/>
        </w:rPr>
        <w:t>三</w:t>
      </w:r>
      <w:r>
        <w:rPr>
          <w:rFonts w:hint="default" w:ascii="Times New Roman" w:hAnsi="Times New Roman" w:eastAsia="仿宋_GB2312" w:cs="Times New Roman"/>
          <w:b/>
          <w:bCs/>
          <w:color w:val="000000"/>
          <w:kern w:val="2"/>
          <w:sz w:val="32"/>
          <w:szCs w:val="32"/>
          <w:lang w:val="zh-CN" w:eastAsia="zh-CN" w:bidi="ar-SA"/>
        </w:rPr>
        <w:t>是</w:t>
      </w:r>
      <w:r>
        <w:rPr>
          <w:rFonts w:hint="default" w:ascii="Times New Roman" w:hAnsi="Times New Roman" w:eastAsia="仿宋_GB2312" w:cs="Times New Roman"/>
          <w:sz w:val="32"/>
          <w:szCs w:val="32"/>
        </w:rPr>
        <w:t>创新农技推广服务机制。省级</w:t>
      </w:r>
      <w:r>
        <w:rPr>
          <w:rFonts w:hint="default" w:ascii="Times New Roman" w:hAnsi="Times New Roman" w:eastAsia="仿宋_GB2312" w:cs="Times New Roman"/>
          <w:sz w:val="32"/>
          <w:szCs w:val="32"/>
          <w:lang w:val="zh-CN"/>
        </w:rPr>
        <w:t>围绕洞庭湘米、早熟油菜</w:t>
      </w:r>
      <w:r>
        <w:rPr>
          <w:rFonts w:hint="default" w:ascii="Times New Roman" w:hAnsi="Times New Roman" w:eastAsia="仿宋_GB2312" w:cs="Times New Roman"/>
          <w:sz w:val="32"/>
          <w:szCs w:val="32"/>
        </w:rPr>
        <w:t>等7</w:t>
      </w:r>
      <w:r>
        <w:rPr>
          <w:rFonts w:hint="default" w:ascii="Times New Roman" w:hAnsi="Times New Roman" w:eastAsia="仿宋_GB2312" w:cs="Times New Roman"/>
          <w:sz w:val="32"/>
          <w:szCs w:val="32"/>
          <w:lang w:val="zh-CN"/>
        </w:rPr>
        <w:t>大产业集群，联合省农科院及湖南农业大学组建省级专家团队，提供全产业链咨询和全程科技服务，</w:t>
      </w:r>
      <w:r>
        <w:rPr>
          <w:rFonts w:hint="default" w:ascii="Times New Roman" w:hAnsi="Times New Roman" w:eastAsia="仿宋_GB2312" w:cs="Times New Roman"/>
          <w:sz w:val="32"/>
          <w:szCs w:val="32"/>
        </w:rPr>
        <w:t>助推全省特色产业发展</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二是</w:t>
      </w:r>
      <w:r>
        <w:rPr>
          <w:rFonts w:hint="default" w:ascii="Times New Roman" w:hAnsi="Times New Roman" w:eastAsia="楷体_GB2312" w:cs="Times New Roman"/>
          <w:b/>
          <w:bCs/>
          <w:color w:val="000000"/>
          <w:kern w:val="2"/>
          <w:sz w:val="32"/>
          <w:szCs w:val="32"/>
          <w:lang w:val="en-US" w:eastAsia="zh-CN" w:bidi="ar-SA"/>
        </w:rPr>
        <w:t>全力推进推广体系能力建设。</w:t>
      </w:r>
      <w:r>
        <w:rPr>
          <w:rFonts w:hint="default" w:ascii="Times New Roman" w:hAnsi="Times New Roman" w:eastAsia="仿宋_GB2312" w:cs="Times New Roman"/>
          <w:b/>
          <w:bCs/>
          <w:color w:val="000000"/>
          <w:kern w:val="2"/>
          <w:sz w:val="32"/>
          <w:szCs w:val="32"/>
          <w:lang w:val="en-US" w:eastAsia="zh-CN" w:bidi="ar-SA"/>
        </w:rPr>
        <w:t>一是</w:t>
      </w:r>
      <w:r>
        <w:rPr>
          <w:rFonts w:hint="default" w:ascii="Times New Roman" w:hAnsi="Times New Roman" w:eastAsia="仿宋_GB2312" w:cs="Times New Roman"/>
          <w:sz w:val="32"/>
          <w:szCs w:val="32"/>
        </w:rPr>
        <w:t>配合做好“一法一办法”执法检查。</w:t>
      </w:r>
      <w:r>
        <w:rPr>
          <w:rFonts w:hint="default" w:ascii="Times New Roman" w:hAnsi="Times New Roman" w:eastAsia="仿宋_GB2312" w:cs="Times New Roman"/>
          <w:sz w:val="32"/>
          <w:szCs w:val="32"/>
          <w:lang w:val="zh-CN"/>
        </w:rPr>
        <w:t>对执法检查提出的</w:t>
      </w:r>
      <w:r>
        <w:rPr>
          <w:rFonts w:hint="default" w:ascii="Times New Roman" w:hAnsi="Times New Roman" w:eastAsia="仿宋_GB2312" w:cs="Times New Roman"/>
          <w:sz w:val="32"/>
          <w:szCs w:val="32"/>
        </w:rPr>
        <w:t>22条审议意见和26个问题进行任务分解，列出审议意见办理任务和检查发现问题整改清单并发至相关省直厅局单位，明确办理时间要求，确保审议意见和问题整改有的放矢。</w:t>
      </w:r>
      <w:r>
        <w:rPr>
          <w:rFonts w:hint="default" w:ascii="Times New Roman" w:hAnsi="Times New Roman" w:eastAsia="仿宋_GB2312" w:cs="Times New Roman"/>
          <w:b/>
          <w:bCs/>
          <w:color w:val="000000"/>
          <w:kern w:val="2"/>
          <w:sz w:val="32"/>
          <w:szCs w:val="32"/>
          <w:lang w:val="en-US" w:eastAsia="zh-CN" w:bidi="ar-SA"/>
        </w:rPr>
        <w:t>二是</w:t>
      </w:r>
      <w:r>
        <w:rPr>
          <w:rFonts w:hint="default" w:ascii="Times New Roman" w:hAnsi="Times New Roman" w:eastAsia="仿宋_GB2312" w:cs="Times New Roman"/>
          <w:sz w:val="32"/>
          <w:szCs w:val="32"/>
        </w:rPr>
        <w:t>持续提升农技人员队伍素质，依托基层农技人员补助项目的实施，分级分类培训农技人员9200余人次（含省级培训400人次），支持557名基层农技人员开展学历提升培训，新招收农技特岗生441名，2024年毕业的750名农技特岗生已全部上岗就业。加强农技推广方式方法创新，利用产业集群专家服务团队、基层农技站长培训等，搭建农业科研人员与基层农技推广机构直接沟通见面平台，促进科技成果加快转化。全省共培育科技示范主体7840户，特聘农技推广员100余名，充分调动社会力量参与农技推广。</w:t>
      </w:r>
      <w:r>
        <w:rPr>
          <w:rFonts w:hint="default" w:ascii="Times New Roman" w:hAnsi="Times New Roman" w:eastAsia="仿宋_GB2312" w:cs="Times New Roman"/>
          <w:b/>
          <w:bCs/>
          <w:color w:val="000000"/>
          <w:kern w:val="2"/>
          <w:sz w:val="32"/>
          <w:szCs w:val="32"/>
          <w:lang w:val="en-US" w:eastAsia="zh-CN" w:bidi="ar-SA"/>
        </w:rPr>
        <w:t>三是</w:t>
      </w:r>
      <w:r>
        <w:rPr>
          <w:rFonts w:hint="default" w:ascii="Times New Roman" w:hAnsi="Times New Roman" w:eastAsia="仿宋_GB2312" w:cs="Times New Roman"/>
          <w:sz w:val="32"/>
          <w:szCs w:val="32"/>
        </w:rPr>
        <w:t>有序推进基层农技推广体系条件建设，引导部分县（60%以上的县）持续开展星级服务创建活动，通过改善办公条件，加强制度建设，创新工作方法等途径，激发乡镇农技人员的工作积极主动性</w:t>
      </w:r>
      <w:r>
        <w:rPr>
          <w:rFonts w:hint="eastAsia" w:ascii="Times New Roman" w:hAnsi="Times New Roman" w:eastAsia="仿宋_GB2312" w:cs="Times New Roman"/>
          <w:sz w:val="32"/>
          <w:szCs w:val="32"/>
          <w:lang w:val="en-US" w:eastAsia="zh-CN"/>
        </w:rPr>
        <w:t>；三是全力提升“互联网+”农技推广信息化水平。一是高产出推进“湘农快拍”提质升级，“湘农快拍”微视频农技服务团队扩大至9个，推动建设一批农技微视频拍摄制作基地，围绕技能提升开展2期培训，进一步将农技专家转化为“田野网红”。全年“湘农快拍”共推出作品221部，各平台播放总量增长201%，粉丝总数同比增长213%，单部作品最高播放量超20万次。二是高效能推动农技大课堂持续发力。农技大课堂数据搬迁至厅信息中心服务器，在厅官网开设专栏，继续围绕主要农作物大面积提单产行动，抓住农业生产和救灾补损关键时间节点，邀请院士专家开展在线讲座，录制《水稻害虫发生趋势及其防治》系列专题课程17节，总访问量达141万次。三是高质量制作技术专题片。拍摄制作了《湖南冰冻灾害后油菜田间管理》《水稻集中育秧技术要点》2部提单产技术专题片，邀请行业内专家对专题片技术进行把关，及时宣推，反响良好。深入农科院、长沙县、汨罗市等地实地拍摄油菜栽培技术系列专题片，目前正按计划制作推出，确保广大农民朋友在油菜种植季及时获得专业技术支持。四是强化中国农技推广APP使用。全省基层农技人员使用率超过80%，依托中国农技推广APP组织基层农技人员、农业科技示范主体、服务专家等开展线上交流学习和科技服务，将农技人员APP活跃度纳入年度粮食生产考核指标中农技人员（种植业）身份确定的主要依据。</w:t>
      </w:r>
      <w:r>
        <w:rPr>
          <w:rFonts w:ascii="Times New Roman" w:hAnsi="Times New Roman" w:eastAsia="仿宋_GB2312" w:cs="Times New Roman"/>
          <w:sz w:val="32"/>
          <w:szCs w:val="32"/>
        </w:rPr>
        <w:t>发现的主要问题及原因：</w:t>
      </w:r>
      <w:r>
        <w:rPr>
          <w:rFonts w:hint="default" w:ascii="Times New Roman" w:hAnsi="Times New Roman" w:eastAsia="仿宋_GB2312" w:cs="Times New Roman"/>
          <w:color w:val="auto"/>
          <w:sz w:val="32"/>
          <w:szCs w:val="32"/>
          <w:highlight w:val="none"/>
          <w:lang w:val="en-US" w:eastAsia="zh-CN"/>
        </w:rPr>
        <w:t>部分项目支出结余较多</w:t>
      </w:r>
      <w:r>
        <w:rPr>
          <w:rFonts w:ascii="Times New Roman" w:hAnsi="Times New Roman" w:eastAsia="仿宋_GB2312" w:cs="Times New Roman"/>
          <w:sz w:val="32"/>
          <w:szCs w:val="32"/>
        </w:rPr>
        <w:t>。下一步改进措施：</w:t>
      </w:r>
      <w:r>
        <w:rPr>
          <w:rStyle w:val="24"/>
          <w:rFonts w:hint="default" w:ascii="Times New Roman" w:hAnsi="Times New Roman" w:eastAsia="仿宋_GB2312" w:cs="Times New Roman"/>
          <w:sz w:val="32"/>
          <w:szCs w:val="32"/>
        </w:rPr>
        <w:t>一是加强与上级主管部门和财政部门的沟通联系，争取资金早日下拨</w:t>
      </w:r>
      <w:r>
        <w:rPr>
          <w:rStyle w:val="24"/>
          <w:rFonts w:hint="default" w:ascii="Times New Roman" w:hAnsi="Times New Roman" w:eastAsia="仿宋_GB2312" w:cs="Times New Roman"/>
          <w:sz w:val="32"/>
          <w:szCs w:val="32"/>
          <w:lang w:eastAsia="zh-CN"/>
        </w:rPr>
        <w:t>。</w:t>
      </w:r>
      <w:r>
        <w:rPr>
          <w:rStyle w:val="24"/>
          <w:rFonts w:hint="default" w:ascii="Times New Roman" w:hAnsi="Times New Roman" w:eastAsia="仿宋_GB2312" w:cs="Times New Roman"/>
          <w:sz w:val="32"/>
          <w:szCs w:val="32"/>
        </w:rPr>
        <w:t>二是</w:t>
      </w:r>
      <w:r>
        <w:rPr>
          <w:rFonts w:hint="default" w:ascii="Times New Roman" w:hAnsi="Times New Roman" w:eastAsia="仿宋_GB2312" w:cs="Times New Roman"/>
          <w:color w:val="auto"/>
          <w:sz w:val="32"/>
          <w:szCs w:val="32"/>
        </w:rPr>
        <w:t>科学合理编制预算，严格执行预算。按照《预算法》《会计法</w:t>
      </w:r>
      <w:r>
        <w:rPr>
          <w:rFonts w:hint="eastAsia"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相关规定，参考近年来的预算执行实际情况，结合年度收支计划，科学编制预算。年中适时按实际需要及时调整预算。</w:t>
      </w:r>
      <w:r>
        <w:rPr>
          <w:rFonts w:hint="default" w:ascii="Times New Roman" w:hAnsi="Times New Roman" w:eastAsia="仿宋_GB2312" w:cs="Times New Roman"/>
          <w:color w:val="auto"/>
          <w:sz w:val="32"/>
          <w:szCs w:val="32"/>
          <w:lang w:eastAsia="zh-CN"/>
        </w:rPr>
        <w:t>三</w:t>
      </w:r>
      <w:r>
        <w:rPr>
          <w:rFonts w:hint="default" w:ascii="Times New Roman" w:hAnsi="Times New Roman" w:eastAsia="仿宋_GB2312" w:cs="Times New Roman"/>
          <w:color w:val="auto"/>
          <w:sz w:val="32"/>
          <w:szCs w:val="32"/>
        </w:rPr>
        <w:t>是强化预算执行，提高资金使用效率。对年初没有预算安排的支出原则上不安排支出，无特殊情况不申请新增追加资金</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对本年无法实施的项目资金统筹安排，充分发挥资金效益</w:t>
      </w:r>
      <w:r>
        <w:rPr>
          <w:rStyle w:val="24"/>
          <w:rFonts w:hint="default" w:ascii="Times New Roman" w:hAnsi="Times New Roman" w:eastAsia="仿宋_GB2312" w:cs="Times New Roman"/>
          <w:sz w:val="32"/>
          <w:szCs w:val="32"/>
        </w:rPr>
        <w:t>。</w:t>
      </w:r>
    </w:p>
    <w:p>
      <w:pPr>
        <w:keepNext w:val="0"/>
        <w:keepLines w:val="0"/>
        <w:pageBreakBefore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仿宋_GB2312" w:cs="Times New Roman"/>
          <w:color w:val="000000"/>
          <w:sz w:val="32"/>
          <w:szCs w:val="32"/>
        </w:rPr>
      </w:pPr>
      <w:r>
        <w:rPr>
          <w:rFonts w:ascii="Times New Roman" w:hAnsi="Times New Roman" w:eastAsia="楷体_GB2312" w:cs="Times New Roman"/>
          <w:b/>
          <w:bCs/>
          <w:color w:val="auto"/>
          <w:kern w:val="2"/>
          <w:sz w:val="32"/>
          <w:szCs w:val="32"/>
        </w:rPr>
        <w:t>（三）评价结果应用情况。</w:t>
      </w:r>
      <w:r>
        <w:rPr>
          <w:rFonts w:hint="default" w:ascii="Times New Roman" w:hAnsi="Times New Roman" w:eastAsia="仿宋_GB2312" w:cs="Times New Roman"/>
          <w:color w:val="000000"/>
          <w:sz w:val="32"/>
          <w:szCs w:val="32"/>
        </w:rPr>
        <w:t>我</w:t>
      </w:r>
      <w:r>
        <w:rPr>
          <w:rFonts w:hint="default" w:ascii="Times New Roman" w:hAnsi="Times New Roman" w:eastAsia="仿宋_GB2312" w:cs="Times New Roman"/>
          <w:color w:val="000000"/>
          <w:sz w:val="32"/>
          <w:szCs w:val="32"/>
          <w:lang w:eastAsia="zh-CN"/>
        </w:rPr>
        <w:t>单位</w:t>
      </w:r>
      <w:r>
        <w:rPr>
          <w:rFonts w:hint="default" w:ascii="Times New Roman" w:hAnsi="Times New Roman" w:eastAsia="仿宋_GB2312" w:cs="Times New Roman"/>
          <w:color w:val="000000"/>
          <w:sz w:val="32"/>
          <w:szCs w:val="32"/>
        </w:rPr>
        <w:t>将对评价中发现的问题，及时进行督促整改。各内设机构要加强预算管理意识，严格按照预算编制的相关制度和要求，结合年度收支计划，科学编制预算，遵循预算管理办法。</w:t>
      </w:r>
    </w:p>
    <w:p>
      <w:pPr>
        <w:pStyle w:val="17"/>
        <w:overflowPunct w:val="0"/>
        <w:autoSpaceDE/>
        <w:autoSpaceDN/>
        <w:spacing w:line="600" w:lineRule="exact"/>
        <w:ind w:firstLine="1440" w:firstLineChars="200"/>
        <w:jc w:val="both"/>
        <w:rPr>
          <w:rFonts w:ascii="Times New Roman" w:hAnsi="Times New Roman" w:eastAsia="仿宋_GB2312" w:cs="Times New Roman"/>
          <w:color w:val="auto"/>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7"/>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7"/>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7"/>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w:t>
      </w:r>
      <w:r>
        <w:rPr>
          <w:rFonts w:hint="eastAsia" w:ascii="仿宋" w:hAnsi="仿宋" w:eastAsia="仿宋" w:cs="黑体"/>
          <w:bCs/>
          <w:color w:val="000000"/>
          <w:kern w:val="0"/>
          <w:sz w:val="32"/>
          <w:szCs w:val="32"/>
          <w:lang w:val="en-US" w:eastAsia="zh-CN" w:bidi="ar-SA"/>
        </w:rPr>
        <w:t>”</w:t>
      </w:r>
      <w:r>
        <w:rPr>
          <w:rFonts w:hint="eastAsia" w:ascii="仿宋" w:hAnsi="仿宋" w:eastAsia="仿宋"/>
          <w:bCs/>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7"/>
        <w:jc w:val="center"/>
        <w:rPr>
          <w:rFonts w:hint="eastAsia" w:ascii="Times New Roman" w:hAnsi="Times New Roman" w:cs="Times New Roman"/>
          <w:sz w:val="72"/>
          <w:szCs w:val="72"/>
          <w:lang w:val="en-US" w:eastAsia="zh-CN"/>
        </w:rPr>
      </w:pPr>
      <w:r>
        <w:rPr>
          <w:rFonts w:hint="eastAsia" w:ascii="Times New Roman" w:hAnsi="Times New Roman" w:cs="Times New Roman"/>
          <w:sz w:val="72"/>
          <w:szCs w:val="72"/>
          <w:lang w:val="en-US" w:eastAsia="zh-CN"/>
        </w:rPr>
        <w:t xml:space="preserve"> </w:t>
      </w:r>
    </w:p>
    <w:p>
      <w:pPr>
        <w:pStyle w:val="17"/>
        <w:jc w:val="center"/>
        <w:rPr>
          <w:rFonts w:hint="eastAsia" w:ascii="Times New Roman" w:hAnsi="Times New Roman" w:cs="Times New Roman"/>
          <w:sz w:val="72"/>
          <w:szCs w:val="72"/>
          <w:lang w:val="en-US" w:eastAsia="zh-CN"/>
        </w:rPr>
      </w:pPr>
    </w:p>
    <w:p>
      <w:pPr>
        <w:pStyle w:val="17"/>
        <w:jc w:val="center"/>
        <w:rPr>
          <w:rFonts w:hint="eastAsia" w:ascii="Times New Roman" w:hAnsi="Times New Roman" w:cs="Times New Roman"/>
          <w:sz w:val="72"/>
          <w:szCs w:val="72"/>
          <w:lang w:val="en-US" w:eastAsia="zh-CN"/>
        </w:rPr>
      </w:pPr>
    </w:p>
    <w:p>
      <w:pPr>
        <w:pStyle w:val="17"/>
        <w:jc w:val="center"/>
        <w:rPr>
          <w:rFonts w:ascii="Times New Roman" w:hAnsi="Times New Roman" w:cs="Times New Roman"/>
          <w:sz w:val="72"/>
          <w:szCs w:val="72"/>
        </w:rPr>
      </w:pPr>
    </w:p>
    <w:p>
      <w:pPr>
        <w:pStyle w:val="17"/>
        <w:jc w:val="both"/>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7"/>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p>
    <w:p>
      <w:pPr>
        <w:pStyle w:val="17"/>
        <w:spacing w:line="600" w:lineRule="exact"/>
        <w:ind w:firstLine="640" w:firstLineChars="200"/>
        <w:rPr>
          <w:rFonts w:ascii="Times New Roman" w:hAnsi="Times New Roman" w:eastAsia="仿宋_GB2312" w:cs="Times New Roman"/>
          <w:sz w:val="32"/>
          <w:szCs w:val="3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9"/>
        <w:keepNext w:val="0"/>
        <w:keepLines w:val="0"/>
        <w:pageBreakBefore w:val="0"/>
        <w:kinsoku/>
        <w:wordWrap/>
        <w:overflowPunct/>
        <w:topLinePunct w:val="0"/>
        <w:bidi w:val="0"/>
        <w:spacing w:after="0" w:line="600" w:lineRule="exact"/>
        <w:ind w:left="0" w:leftChars="0" w:right="0" w:rightChars="0"/>
        <w:textAlignment w:val="auto"/>
        <w:rPr>
          <w:rFonts w:hint="default" w:ascii="Times New Roman" w:hAnsi="Times New Roman" w:cs="Times New Roman"/>
          <w:sz w:val="36"/>
          <w:szCs w:val="36"/>
          <w:lang w:eastAsia="zh-CN"/>
        </w:rPr>
      </w:pPr>
    </w:p>
    <w:p>
      <w:pPr>
        <w:rPr>
          <w:rFonts w:hint="default" w:ascii="Times New Roman" w:hAnsi="Times New Roman" w:cs="Times New Roman"/>
          <w:lang w:eastAsia="zh-CN"/>
        </w:rPr>
      </w:pP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right="0" w:rightChars="0"/>
        <w:jc w:val="center"/>
        <w:textAlignment w:val="auto"/>
        <w:rPr>
          <w:rFonts w:hint="eastAsia" w:ascii="方正书宋_GBK" w:hAnsi="方正书宋_GBK" w:eastAsia="方正书宋_GBK" w:cs="方正书宋_GBK"/>
          <w:b/>
          <w:bCs/>
          <w:sz w:val="44"/>
          <w:szCs w:val="44"/>
          <w:lang w:eastAsia="zh-CN"/>
        </w:rPr>
      </w:pPr>
      <w:r>
        <w:rPr>
          <w:rFonts w:hint="eastAsia" w:ascii="方正书宋_GBK" w:hAnsi="方正书宋_GBK" w:eastAsia="方正书宋_GBK" w:cs="方正书宋_GBK"/>
          <w:b/>
          <w:bCs/>
          <w:sz w:val="44"/>
          <w:szCs w:val="44"/>
          <w:lang w:val="en-US" w:eastAsia="zh-CN"/>
        </w:rPr>
        <w:t>2024年度</w:t>
      </w:r>
      <w:r>
        <w:rPr>
          <w:rFonts w:hint="eastAsia" w:ascii="方正书宋_GBK" w:hAnsi="方正书宋_GBK" w:eastAsia="方正书宋_GBK" w:cs="方正书宋_GBK"/>
          <w:b/>
          <w:bCs/>
          <w:sz w:val="44"/>
          <w:szCs w:val="44"/>
          <w:lang w:eastAsia="zh-CN"/>
        </w:rPr>
        <w:t>湖南省农业技术推广总站</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right="0" w:rightChars="0"/>
        <w:jc w:val="center"/>
        <w:textAlignment w:val="auto"/>
        <w:rPr>
          <w:rFonts w:hint="eastAsia" w:ascii="方正书宋_GBK" w:hAnsi="方正书宋_GBK" w:eastAsia="方正书宋_GBK" w:cs="方正书宋_GBK"/>
          <w:b/>
          <w:bCs/>
          <w:color w:val="000000"/>
          <w:kern w:val="0"/>
          <w:sz w:val="44"/>
          <w:szCs w:val="44"/>
        </w:rPr>
      </w:pPr>
      <w:r>
        <w:rPr>
          <w:rFonts w:hint="eastAsia" w:ascii="方正书宋_GBK" w:hAnsi="方正书宋_GBK" w:eastAsia="方正书宋_GBK" w:cs="方正书宋_GBK"/>
          <w:b/>
          <w:bCs/>
          <w:color w:val="000000"/>
          <w:kern w:val="0"/>
          <w:sz w:val="44"/>
          <w:szCs w:val="44"/>
        </w:rPr>
        <w:t>整体支出绩效</w:t>
      </w:r>
      <w:r>
        <w:rPr>
          <w:rFonts w:hint="eastAsia" w:ascii="方正书宋_GBK" w:hAnsi="方正书宋_GBK" w:eastAsia="方正书宋_GBK" w:cs="方正书宋_GBK"/>
          <w:b/>
          <w:bCs/>
          <w:color w:val="000000"/>
          <w:kern w:val="0"/>
          <w:sz w:val="44"/>
          <w:szCs w:val="44"/>
          <w:lang w:eastAsia="zh-CN"/>
        </w:rPr>
        <w:t>自评</w:t>
      </w:r>
      <w:r>
        <w:rPr>
          <w:rFonts w:hint="eastAsia" w:ascii="方正书宋_GBK" w:hAnsi="方正书宋_GBK" w:eastAsia="方正书宋_GBK" w:cs="方正书宋_GBK"/>
          <w:b/>
          <w:bCs/>
          <w:color w:val="000000"/>
          <w:kern w:val="0"/>
          <w:sz w:val="44"/>
          <w:szCs w:val="44"/>
        </w:rPr>
        <w:t>报告</w:t>
      </w:r>
    </w:p>
    <w:p>
      <w:pPr>
        <w:rPr>
          <w:rFonts w:hint="default" w:ascii="Times New Roman" w:hAnsi="Times New Roman" w:eastAsia="方正小标宋简体" w:cs="Times New Roman"/>
          <w:b/>
          <w:bCs/>
          <w:color w:val="000000"/>
          <w:kern w:val="0"/>
          <w:sz w:val="44"/>
          <w:szCs w:val="44"/>
        </w:rPr>
      </w:pPr>
    </w:p>
    <w:p>
      <w:pPr>
        <w:pStyle w:val="9"/>
        <w:rPr>
          <w:rFonts w:hint="default" w:ascii="Times New Roman" w:hAnsi="Times New Roman" w:eastAsia="方正小标宋简体" w:cs="Times New Roman"/>
          <w:b/>
          <w:bCs/>
          <w:color w:val="000000"/>
          <w:kern w:val="0"/>
          <w:sz w:val="44"/>
          <w:szCs w:val="44"/>
        </w:rPr>
      </w:pPr>
    </w:p>
    <w:p>
      <w:pPr>
        <w:rPr>
          <w:rFonts w:hint="default" w:ascii="Times New Roman" w:hAnsi="Times New Roman" w:eastAsia="方正小标宋简体" w:cs="Times New Roman"/>
          <w:b/>
          <w:bCs/>
          <w:color w:val="000000"/>
          <w:kern w:val="0"/>
          <w:sz w:val="44"/>
          <w:szCs w:val="44"/>
        </w:rPr>
      </w:pPr>
    </w:p>
    <w:p>
      <w:pPr>
        <w:pStyle w:val="9"/>
        <w:rPr>
          <w:rFonts w:hint="default" w:ascii="Times New Roman" w:hAnsi="Times New Roman" w:eastAsia="方正小标宋简体" w:cs="Times New Roman"/>
          <w:b/>
          <w:bCs/>
          <w:color w:val="000000"/>
          <w:kern w:val="0"/>
          <w:sz w:val="44"/>
          <w:szCs w:val="44"/>
        </w:rPr>
      </w:pPr>
    </w:p>
    <w:p>
      <w:pPr>
        <w:rPr>
          <w:rFonts w:hint="default" w:ascii="Times New Roman" w:hAnsi="Times New Roman" w:eastAsia="方正小标宋简体" w:cs="Times New Roman"/>
          <w:b/>
          <w:bCs/>
          <w:color w:val="000000"/>
          <w:kern w:val="0"/>
          <w:sz w:val="44"/>
          <w:szCs w:val="44"/>
        </w:rPr>
      </w:pPr>
    </w:p>
    <w:p>
      <w:pPr>
        <w:pStyle w:val="9"/>
        <w:rPr>
          <w:rFonts w:hint="default" w:ascii="Times New Roman" w:hAnsi="Times New Roman" w:eastAsia="方正小标宋简体" w:cs="Times New Roman"/>
          <w:b/>
          <w:bCs/>
          <w:color w:val="000000"/>
          <w:kern w:val="0"/>
          <w:sz w:val="44"/>
          <w:szCs w:val="44"/>
        </w:rPr>
      </w:pPr>
    </w:p>
    <w:p>
      <w:pPr>
        <w:rPr>
          <w:rFonts w:hint="default" w:ascii="Times New Roman" w:hAnsi="Times New Roman" w:eastAsia="方正小标宋简体" w:cs="Times New Roman"/>
          <w:b/>
          <w:bCs/>
          <w:color w:val="000000"/>
          <w:kern w:val="0"/>
          <w:sz w:val="44"/>
          <w:szCs w:val="44"/>
        </w:rPr>
      </w:pPr>
    </w:p>
    <w:p>
      <w:pPr>
        <w:pStyle w:val="9"/>
        <w:rPr>
          <w:rFonts w:hint="default" w:ascii="Times New Roman" w:hAnsi="Times New Roman" w:eastAsia="方正小标宋简体" w:cs="Times New Roman"/>
          <w:b/>
          <w:bCs/>
          <w:color w:val="000000"/>
          <w:kern w:val="0"/>
          <w:sz w:val="44"/>
          <w:szCs w:val="44"/>
        </w:rPr>
      </w:pPr>
    </w:p>
    <w:p>
      <w:pPr>
        <w:rPr>
          <w:rFonts w:hint="default"/>
        </w:rPr>
      </w:pPr>
    </w:p>
    <w:p>
      <w:pPr>
        <w:rPr>
          <w:rFonts w:hint="default" w:ascii="Times New Roman" w:hAnsi="Times New Roman" w:eastAsia="方正小标宋简体" w:cs="Times New Roman"/>
          <w:b/>
          <w:bCs/>
          <w:color w:val="000000"/>
          <w:kern w:val="0"/>
          <w:sz w:val="44"/>
          <w:szCs w:val="44"/>
        </w:rPr>
      </w:pPr>
    </w:p>
    <w:p>
      <w:pPr>
        <w:pStyle w:val="9"/>
        <w:rPr>
          <w:rFonts w:hint="default" w:ascii="Times New Roman" w:hAnsi="Times New Roman" w:eastAsia="方正小标宋简体" w:cs="Times New Roman"/>
          <w:b/>
          <w:bCs/>
          <w:color w:val="000000"/>
          <w:kern w:val="0"/>
          <w:sz w:val="44"/>
          <w:szCs w:val="44"/>
        </w:rPr>
      </w:pPr>
    </w:p>
    <w:p>
      <w:pPr>
        <w:rPr>
          <w:rFonts w:hint="default" w:ascii="Times New Roman" w:hAnsi="Times New Roman" w:eastAsia="方正小标宋简体" w:cs="Times New Roman"/>
          <w:b/>
          <w:bCs/>
          <w:color w:val="000000"/>
          <w:kern w:val="0"/>
          <w:sz w:val="44"/>
          <w:szCs w:val="44"/>
        </w:rPr>
      </w:pPr>
    </w:p>
    <w:p>
      <w:pPr>
        <w:pStyle w:val="9"/>
        <w:rPr>
          <w:rFonts w:hint="eastAsia" w:asciiTheme="minorEastAsia" w:hAnsiTheme="minorEastAsia" w:eastAsiaTheme="minorEastAsia" w:cstheme="minorEastAsia"/>
          <w:b/>
          <w:bCs/>
          <w:color w:val="000000"/>
          <w:kern w:val="0"/>
          <w:sz w:val="32"/>
          <w:szCs w:val="32"/>
          <w:lang w:eastAsia="zh-CN"/>
        </w:rPr>
      </w:pPr>
      <w:r>
        <w:rPr>
          <w:rFonts w:hint="eastAsia" w:ascii="Times New Roman" w:hAnsi="Times New Roman" w:eastAsia="方正小标宋简体" w:cs="Times New Roman"/>
          <w:b/>
          <w:bCs/>
          <w:color w:val="000000"/>
          <w:kern w:val="0"/>
          <w:sz w:val="44"/>
          <w:szCs w:val="44"/>
          <w:lang w:eastAsia="zh-CN"/>
        </w:rPr>
        <w:t>　　　　　　　</w:t>
      </w:r>
      <w:r>
        <w:rPr>
          <w:rFonts w:hint="eastAsia" w:asciiTheme="minorEastAsia" w:hAnsiTheme="minorEastAsia" w:eastAsiaTheme="minorEastAsia" w:cstheme="minorEastAsia"/>
          <w:b/>
          <w:bCs/>
          <w:color w:val="000000"/>
          <w:kern w:val="0"/>
          <w:sz w:val="32"/>
          <w:szCs w:val="32"/>
          <w:lang w:eastAsia="zh-CN"/>
        </w:rPr>
        <w:t>单位名称（盖章）</w:t>
      </w:r>
    </w:p>
    <w:p>
      <w:pPr>
        <w:pStyle w:val="9"/>
        <w:rPr>
          <w:rFonts w:hint="eastAsia" w:asciiTheme="minorEastAsia" w:hAnsiTheme="minorEastAsia" w:eastAsiaTheme="minorEastAsia" w:cstheme="minorEastAsia"/>
          <w:b/>
          <w:bCs/>
          <w:color w:val="000000"/>
          <w:kern w:val="0"/>
          <w:sz w:val="32"/>
          <w:szCs w:val="32"/>
          <w:lang w:eastAsia="zh-CN"/>
        </w:rPr>
      </w:pPr>
    </w:p>
    <w:p>
      <w:pPr>
        <w:rPr>
          <w:rFonts w:hint="eastAsia"/>
          <w:lang w:eastAsia="zh-CN"/>
        </w:rPr>
      </w:pPr>
    </w:p>
    <w:p>
      <w:pPr>
        <w:pStyle w:val="18"/>
        <w:keepNext w:val="0"/>
        <w:keepLines w:val="0"/>
        <w:pageBreakBefore w:val="0"/>
        <w:widowControl/>
        <w:kinsoku/>
        <w:wordWrap/>
        <w:overflowPunct/>
        <w:topLinePunct w:val="0"/>
        <w:autoSpaceDE/>
        <w:autoSpaceDN/>
        <w:bidi w:val="0"/>
        <w:spacing w:line="600" w:lineRule="exact"/>
        <w:ind w:left="0" w:leftChars="0" w:right="0" w:rightChars="0" w:firstLine="640"/>
        <w:textAlignment w:val="auto"/>
        <w:rPr>
          <w:rFonts w:hint="default" w:ascii="Times New Roman" w:hAnsi="Times New Roman" w:eastAsia="黑体" w:cs="Times New Roman"/>
          <w:sz w:val="32"/>
          <w:szCs w:val="32"/>
        </w:rPr>
        <w:sectPr>
          <w:pgSz w:w="11906" w:h="16838"/>
          <w:pgMar w:top="2098" w:right="1474" w:bottom="1984" w:left="1587" w:header="851" w:footer="992" w:gutter="0"/>
          <w:pgNumType w:fmt="decimal" w:start="1"/>
          <w:cols w:space="0" w:num="1"/>
          <w:rtlGutter w:val="0"/>
          <w:docGrid w:type="linesAndChars" w:linePitch="312" w:charSpace="0"/>
        </w:sectPr>
      </w:pPr>
    </w:p>
    <w:p>
      <w:pPr>
        <w:pStyle w:val="18"/>
        <w:keepNext w:val="0"/>
        <w:keepLines w:val="0"/>
        <w:pageBreakBefore w:val="0"/>
        <w:widowControl/>
        <w:kinsoku/>
        <w:wordWrap/>
        <w:overflowPunct/>
        <w:topLinePunct w:val="0"/>
        <w:autoSpaceDE/>
        <w:autoSpaceDN/>
        <w:bidi w:val="0"/>
        <w:spacing w:line="600" w:lineRule="exact"/>
        <w:ind w:left="0" w:leftChars="0" w:right="0" w:rightChars="0" w:firstLine="64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一、基本情况</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eastAsia="楷体_GB2312"/>
          <w:b/>
          <w:szCs w:val="32"/>
        </w:rPr>
      </w:pPr>
      <w:bookmarkStart w:id="4" w:name="_Toc21071"/>
      <w:r>
        <w:rPr>
          <w:rFonts w:hint="eastAsia" w:ascii="楷体_GB2312" w:hAnsi="楷体_GB2312" w:eastAsia="楷体_GB2312" w:cs="楷体_GB2312"/>
          <w:b/>
          <w:bCs/>
          <w:color w:val="auto"/>
          <w:sz w:val="32"/>
          <w:szCs w:val="32"/>
          <w:highlight w:val="none"/>
        </w:rPr>
        <w:t>（一）</w:t>
      </w:r>
      <w:r>
        <w:rPr>
          <w:rFonts w:eastAsia="楷体_GB2312"/>
          <w:b/>
          <w:szCs w:val="32"/>
        </w:rPr>
        <w:t>单位基本情况</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Times New Roman" w:hAnsi="Times New Roman" w:eastAsia="仿宋" w:cs="Times New Roman"/>
          <w:sz w:val="32"/>
          <w:szCs w:val="32"/>
          <w:lang w:eastAsia="zh-CN"/>
        </w:rPr>
      </w:pPr>
      <w:r>
        <w:rPr>
          <w:rFonts w:hint="eastAsia" w:ascii="楷体_GB2312" w:hAnsi="楷体_GB2312" w:eastAsia="楷体_GB2312" w:cs="楷体_GB2312"/>
          <w:b/>
          <w:bCs/>
          <w:color w:val="auto"/>
          <w:sz w:val="32"/>
          <w:szCs w:val="32"/>
          <w:highlight w:val="none"/>
          <w:lang w:eastAsia="zh-CN"/>
        </w:rPr>
        <w:t>单位</w:t>
      </w:r>
      <w:r>
        <w:rPr>
          <w:rFonts w:hint="eastAsia" w:ascii="楷体_GB2312" w:hAnsi="楷体_GB2312" w:eastAsia="楷体_GB2312" w:cs="楷体_GB2312"/>
          <w:b/>
          <w:bCs/>
          <w:color w:val="auto"/>
          <w:sz w:val="32"/>
          <w:szCs w:val="32"/>
          <w:highlight w:val="none"/>
        </w:rPr>
        <w:t>职能职责</w:t>
      </w:r>
      <w:bookmarkEnd w:id="4"/>
      <w:r>
        <w:rPr>
          <w:rFonts w:hint="eastAsia" w:ascii="楷体_GB2312" w:hAnsi="楷体_GB2312" w:eastAsia="楷体_GB2312" w:cs="楷体_GB2312"/>
          <w:b/>
          <w:bCs/>
          <w:color w:val="auto"/>
          <w:sz w:val="32"/>
          <w:szCs w:val="32"/>
          <w:highlight w:val="none"/>
          <w:lang w:eastAsia="zh-CN"/>
        </w:rPr>
        <w:t>　</w:t>
      </w:r>
      <w:r>
        <w:rPr>
          <w:rFonts w:hint="eastAsia" w:ascii="仿宋_GB2312" w:hAnsi="仿宋_GB2312" w:eastAsia="仿宋_GB2312" w:cs="仿宋_GB2312"/>
          <w:b w:val="0"/>
          <w:bCs w:val="0"/>
          <w:color w:val="auto"/>
          <w:sz w:val="32"/>
          <w:szCs w:val="32"/>
          <w:highlight w:val="none"/>
          <w:lang w:eastAsia="zh-CN"/>
        </w:rPr>
        <w:t>湖南</w:t>
      </w:r>
      <w:r>
        <w:rPr>
          <w:rFonts w:hint="default" w:ascii="Times New Roman" w:hAnsi="Times New Roman" w:eastAsia="仿宋_GB2312" w:cs="Times New Roman"/>
          <w:b w:val="0"/>
          <w:bCs w:val="0"/>
          <w:color w:val="000000"/>
          <w:sz w:val="32"/>
          <w:szCs w:val="32"/>
          <w:lang w:eastAsia="zh-CN"/>
        </w:rPr>
        <w:t>省农业技术推广总站为省农业农村厅二级预算单位，单位性质为参照公务员法管理事业单位，主要职能是：负责全省农业技术推广体系建设与管理、农技推广队伍建设与人员培训，种植业职业技能鉴定；负责推广种植业技术，促进农业发展，农业新技术、新品种引进、试验、示范、集成与推广，种植业技术培训与技术服务；负责省农业丰收奖评审；负责农业科技声像宣传等。</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Times New Roman" w:hAnsi="Times New Roman" w:eastAsia="仿宋_GB2312" w:cs="Times New Roman"/>
          <w:sz w:val="32"/>
          <w:szCs w:val="32"/>
        </w:rPr>
      </w:pPr>
      <w:r>
        <w:rPr>
          <w:rFonts w:hint="default" w:ascii="楷体_GB2312" w:hAnsi="楷体_GB2312" w:eastAsia="楷体_GB2312" w:cs="楷体_GB2312"/>
          <w:b/>
          <w:bCs/>
          <w:color w:val="auto"/>
          <w:sz w:val="32"/>
          <w:szCs w:val="32"/>
          <w:highlight w:val="none"/>
        </w:rPr>
        <w:t>机构设置情况</w:t>
      </w:r>
      <w:r>
        <w:rPr>
          <w:rFonts w:hint="eastAsia" w:ascii="楷体_GB2312" w:hAnsi="楷体_GB2312" w:eastAsia="楷体_GB2312" w:cs="楷体_GB2312"/>
          <w:b/>
          <w:bCs/>
          <w:color w:val="auto"/>
          <w:sz w:val="32"/>
          <w:szCs w:val="32"/>
          <w:highlight w:val="none"/>
          <w:lang w:eastAsia="zh-CN"/>
        </w:rPr>
        <w:t>　</w:t>
      </w:r>
      <w:r>
        <w:rPr>
          <w:rFonts w:hint="default" w:ascii="Times New Roman" w:hAnsi="Times New Roman" w:eastAsia="仿宋_GB2312" w:cs="Times New Roman"/>
          <w:b w:val="0"/>
          <w:bCs w:val="0"/>
          <w:sz w:val="32"/>
          <w:szCs w:val="32"/>
          <w:lang w:eastAsia="zh-CN"/>
        </w:rPr>
        <w:t>湖南省农业技术推广总站</w:t>
      </w:r>
      <w:r>
        <w:rPr>
          <w:rFonts w:hint="default" w:ascii="Times New Roman" w:hAnsi="Times New Roman" w:eastAsia="仿宋_GB2312" w:cs="Times New Roman"/>
          <w:b w:val="0"/>
          <w:bCs w:val="0"/>
          <w:sz w:val="32"/>
          <w:szCs w:val="32"/>
        </w:rPr>
        <w:t>内设机</w:t>
      </w:r>
      <w:r>
        <w:rPr>
          <w:rFonts w:hint="default" w:ascii="Times New Roman" w:hAnsi="Times New Roman" w:eastAsia="仿宋_GB2312" w:cs="Times New Roman"/>
          <w:b w:val="0"/>
          <w:bCs w:val="0"/>
          <w:color w:val="auto"/>
          <w:sz w:val="32"/>
          <w:szCs w:val="32"/>
        </w:rPr>
        <w:t>构包括</w:t>
      </w:r>
      <w:r>
        <w:rPr>
          <w:rFonts w:hint="default" w:ascii="Times New Roman" w:hAnsi="Times New Roman" w:eastAsia="仿宋_GB2312" w:cs="Times New Roman"/>
          <w:b w:val="0"/>
          <w:bCs w:val="0"/>
          <w:sz w:val="32"/>
          <w:szCs w:val="32"/>
        </w:rPr>
        <w:t>：综合科、</w:t>
      </w:r>
      <w:r>
        <w:rPr>
          <w:rFonts w:hint="default" w:ascii="Times New Roman" w:hAnsi="Times New Roman" w:eastAsia="仿宋_GB2312" w:cs="Times New Roman"/>
          <w:b w:val="0"/>
          <w:bCs w:val="0"/>
          <w:sz w:val="32"/>
          <w:szCs w:val="32"/>
          <w:lang w:val="en-US" w:eastAsia="zh-CN"/>
        </w:rPr>
        <w:t>计划</w:t>
      </w:r>
      <w:r>
        <w:rPr>
          <w:rFonts w:hint="default" w:ascii="Times New Roman" w:hAnsi="Times New Roman" w:eastAsia="仿宋_GB2312" w:cs="Times New Roman"/>
          <w:b w:val="0"/>
          <w:bCs w:val="0"/>
          <w:sz w:val="32"/>
          <w:szCs w:val="32"/>
        </w:rPr>
        <w:t>财务科、体系管理科、新技术推广科、声像宣传科</w:t>
      </w:r>
      <w:r>
        <w:rPr>
          <w:rFonts w:hint="default" w:ascii="Times New Roman" w:hAnsi="Times New Roman" w:eastAsia="仿宋_GB2312" w:cs="Times New Roman"/>
          <w:b w:val="0"/>
          <w:bCs w:val="0"/>
          <w:sz w:val="32"/>
          <w:szCs w:val="32"/>
          <w:lang w:val="en-US" w:eastAsia="zh-CN"/>
        </w:rPr>
        <w:t>和</w:t>
      </w:r>
      <w:r>
        <w:rPr>
          <w:rFonts w:hint="default" w:ascii="Times New Roman" w:hAnsi="Times New Roman" w:eastAsia="仿宋_GB2312" w:cs="Times New Roman"/>
          <w:b w:val="0"/>
          <w:bCs w:val="0"/>
          <w:sz w:val="32"/>
          <w:szCs w:val="32"/>
        </w:rPr>
        <w:t>项目管理科</w:t>
      </w:r>
      <w:r>
        <w:rPr>
          <w:rFonts w:hint="default" w:ascii="Times New Roman" w:hAnsi="Times New Roman" w:eastAsia="仿宋_GB2312" w:cs="Times New Roman"/>
          <w:b w:val="0"/>
          <w:bCs w:val="0"/>
          <w:sz w:val="32"/>
          <w:szCs w:val="32"/>
          <w:lang w:val="en-US" w:eastAsia="zh-CN"/>
        </w:rPr>
        <w:t>6个科室</w:t>
      </w:r>
      <w:r>
        <w:rPr>
          <w:rFonts w:hint="default" w:ascii="Times New Roman" w:hAnsi="Times New Roman" w:eastAsia="仿宋_GB2312" w:cs="Times New Roman"/>
          <w:b w:val="0"/>
          <w:bCs w:val="0"/>
          <w:sz w:val="32"/>
          <w:szCs w:val="32"/>
        </w:rPr>
        <w:t>。</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Times New Roman" w:hAnsi="Times New Roman" w:eastAsia="仿宋_GB2312" w:cs="Times New Roman"/>
          <w:sz w:val="32"/>
          <w:szCs w:val="32"/>
        </w:rPr>
      </w:pPr>
      <w:bookmarkStart w:id="5" w:name="_Toc24595"/>
      <w:r>
        <w:rPr>
          <w:rFonts w:hint="default" w:ascii="楷体_GB2312" w:hAnsi="楷体_GB2312" w:eastAsia="楷体_GB2312" w:cs="楷体_GB2312"/>
          <w:b/>
          <w:bCs/>
          <w:color w:val="auto"/>
          <w:sz w:val="32"/>
          <w:szCs w:val="32"/>
          <w:highlight w:val="none"/>
        </w:rPr>
        <w:t>人员编制</w:t>
      </w:r>
      <w:r>
        <w:rPr>
          <w:rFonts w:hint="eastAsia" w:ascii="楷体_GB2312" w:hAnsi="楷体_GB2312" w:eastAsia="楷体_GB2312" w:cs="楷体_GB2312"/>
          <w:b/>
          <w:bCs/>
          <w:color w:val="auto"/>
          <w:sz w:val="32"/>
          <w:szCs w:val="32"/>
          <w:highlight w:val="none"/>
          <w:lang w:eastAsia="zh-CN"/>
        </w:rPr>
        <w:t>及实有人数</w:t>
      </w:r>
      <w:r>
        <w:rPr>
          <w:rFonts w:hint="default" w:ascii="楷体_GB2312" w:hAnsi="楷体_GB2312" w:eastAsia="楷体_GB2312" w:cs="楷体_GB2312"/>
          <w:b/>
          <w:bCs/>
          <w:color w:val="auto"/>
          <w:sz w:val="32"/>
          <w:szCs w:val="32"/>
          <w:highlight w:val="none"/>
        </w:rPr>
        <w:t>情况</w:t>
      </w:r>
      <w:bookmarkEnd w:id="5"/>
      <w:r>
        <w:rPr>
          <w:rFonts w:hint="eastAsia" w:ascii="楷体_GB2312" w:hAnsi="楷体_GB2312" w:eastAsia="楷体_GB2312" w:cs="楷体_GB2312"/>
          <w:b/>
          <w:bCs/>
          <w:color w:val="auto"/>
          <w:sz w:val="32"/>
          <w:szCs w:val="32"/>
          <w:highlight w:val="none"/>
          <w:lang w:eastAsia="zh-CN"/>
        </w:rPr>
        <w:t>　</w:t>
      </w:r>
      <w:r>
        <w:rPr>
          <w:rFonts w:hint="default" w:ascii="Times New Roman" w:hAnsi="Times New Roman" w:eastAsia="仿宋_GB2312" w:cs="Times New Roman"/>
          <w:b w:val="0"/>
          <w:bCs w:val="0"/>
          <w:sz w:val="32"/>
          <w:szCs w:val="32"/>
          <w:lang w:eastAsia="zh-CN"/>
        </w:rPr>
        <w:t>截至202</w:t>
      </w: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lang w:eastAsia="zh-CN"/>
        </w:rPr>
        <w:t>年末，我站</w:t>
      </w:r>
      <w:r>
        <w:rPr>
          <w:rFonts w:hint="default" w:ascii="Times New Roman" w:hAnsi="Times New Roman" w:eastAsia="仿宋_GB2312" w:cs="Times New Roman"/>
          <w:b w:val="0"/>
          <w:bCs w:val="0"/>
          <w:sz w:val="32"/>
          <w:szCs w:val="32"/>
        </w:rPr>
        <w:t>编制</w:t>
      </w:r>
      <w:r>
        <w:rPr>
          <w:rFonts w:hint="default" w:ascii="Times New Roman" w:hAnsi="Times New Roman" w:eastAsia="仿宋_GB2312" w:cs="Times New Roman"/>
          <w:b w:val="0"/>
          <w:bCs w:val="0"/>
          <w:sz w:val="32"/>
          <w:szCs w:val="32"/>
          <w:lang w:eastAsia="zh-CN"/>
        </w:rPr>
        <w:t>数为</w:t>
      </w:r>
      <w:r>
        <w:rPr>
          <w:rFonts w:hint="default" w:ascii="Times New Roman" w:hAnsi="Times New Roman" w:eastAsia="仿宋_GB2312" w:cs="Times New Roman"/>
          <w:b w:val="0"/>
          <w:bCs w:val="0"/>
          <w:sz w:val="32"/>
          <w:szCs w:val="32"/>
          <w:lang w:val="en-US" w:eastAsia="zh-CN"/>
        </w:rPr>
        <w:t>25人</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color w:val="auto"/>
          <w:sz w:val="32"/>
          <w:szCs w:val="32"/>
        </w:rPr>
        <w:t>在职人员2</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人</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eastAsia="zh-CN"/>
        </w:rPr>
        <w:t>其中</w:t>
      </w:r>
      <w:r>
        <w:rPr>
          <w:rFonts w:hint="default" w:ascii="Times New Roman" w:hAnsi="Times New Roman" w:eastAsia="仿宋_GB2312" w:cs="Times New Roman"/>
          <w:b w:val="0"/>
          <w:bCs w:val="0"/>
          <w:color w:val="auto"/>
          <w:sz w:val="32"/>
          <w:szCs w:val="32"/>
        </w:rPr>
        <w:t>处级干部7人、一级主任科员</w:t>
      </w:r>
      <w:r>
        <w:rPr>
          <w:rFonts w:hint="default" w:ascii="Times New Roman" w:hAnsi="Times New Roman" w:eastAsia="仿宋_GB2312" w:cs="Times New Roman"/>
          <w:b w:val="0"/>
          <w:bCs w:val="0"/>
          <w:color w:val="auto"/>
          <w:sz w:val="32"/>
          <w:szCs w:val="32"/>
          <w:lang w:val="en-US" w:eastAsia="zh-CN"/>
        </w:rPr>
        <w:t>3</w:t>
      </w:r>
      <w:r>
        <w:rPr>
          <w:rFonts w:hint="default" w:ascii="Times New Roman" w:hAnsi="Times New Roman" w:eastAsia="仿宋_GB2312" w:cs="Times New Roman"/>
          <w:b w:val="0"/>
          <w:bCs w:val="0"/>
          <w:color w:val="auto"/>
          <w:sz w:val="32"/>
          <w:szCs w:val="32"/>
        </w:rPr>
        <w:t>人、二级主任科员</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rPr>
        <w:t>人、</w:t>
      </w:r>
      <w:r>
        <w:rPr>
          <w:rFonts w:hint="default" w:ascii="Times New Roman" w:hAnsi="Times New Roman" w:eastAsia="仿宋_GB2312" w:cs="Times New Roman"/>
          <w:b w:val="0"/>
          <w:bCs w:val="0"/>
          <w:color w:val="auto"/>
          <w:sz w:val="32"/>
          <w:szCs w:val="32"/>
          <w:lang w:val="en-US" w:eastAsia="zh-CN"/>
        </w:rPr>
        <w:t>三</w:t>
      </w:r>
      <w:r>
        <w:rPr>
          <w:rFonts w:hint="default" w:ascii="Times New Roman" w:hAnsi="Times New Roman" w:eastAsia="仿宋_GB2312" w:cs="Times New Roman"/>
          <w:b w:val="0"/>
          <w:bCs w:val="0"/>
          <w:color w:val="auto"/>
          <w:sz w:val="32"/>
          <w:szCs w:val="32"/>
        </w:rPr>
        <w:t>级主任科员</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rPr>
        <w:t>人</w:t>
      </w:r>
      <w:r>
        <w:rPr>
          <w:rFonts w:hint="default" w:ascii="Times New Roman" w:hAnsi="Times New Roman" w:eastAsia="仿宋_GB2312" w:cs="Times New Roman"/>
          <w:b w:val="0"/>
          <w:bCs w:val="0"/>
          <w:color w:val="auto"/>
          <w:sz w:val="32"/>
          <w:szCs w:val="32"/>
          <w:lang w:eastAsia="zh-CN"/>
        </w:rPr>
        <w:t>、四</w:t>
      </w:r>
      <w:r>
        <w:rPr>
          <w:rFonts w:hint="default" w:ascii="Times New Roman" w:hAnsi="Times New Roman" w:eastAsia="仿宋_GB2312" w:cs="Times New Roman"/>
          <w:b w:val="0"/>
          <w:bCs w:val="0"/>
          <w:color w:val="auto"/>
          <w:sz w:val="32"/>
          <w:szCs w:val="32"/>
        </w:rPr>
        <w:t>级主任科员</w:t>
      </w:r>
      <w:r>
        <w:rPr>
          <w:rFonts w:hint="default" w:ascii="Times New Roman" w:hAnsi="Times New Roman" w:eastAsia="仿宋_GB2312" w:cs="Times New Roman"/>
          <w:b w:val="0"/>
          <w:bCs w:val="0"/>
          <w:color w:val="auto"/>
          <w:sz w:val="32"/>
          <w:szCs w:val="32"/>
          <w:lang w:val="en-US" w:eastAsia="zh-CN"/>
        </w:rPr>
        <w:t>3</w:t>
      </w:r>
      <w:r>
        <w:rPr>
          <w:rFonts w:hint="default" w:ascii="Times New Roman" w:hAnsi="Times New Roman" w:eastAsia="仿宋_GB2312" w:cs="Times New Roman"/>
          <w:b w:val="0"/>
          <w:bCs w:val="0"/>
          <w:color w:val="auto"/>
          <w:sz w:val="32"/>
          <w:szCs w:val="32"/>
        </w:rPr>
        <w:t>人、</w:t>
      </w:r>
      <w:r>
        <w:rPr>
          <w:rFonts w:hint="default" w:ascii="Times New Roman" w:hAnsi="Times New Roman" w:eastAsia="仿宋_GB2312" w:cs="Times New Roman"/>
          <w:b w:val="0"/>
          <w:bCs w:val="0"/>
          <w:color w:val="auto"/>
          <w:sz w:val="32"/>
          <w:szCs w:val="32"/>
          <w:lang w:eastAsia="zh-CN"/>
        </w:rPr>
        <w:t>试用期</w:t>
      </w:r>
      <w:r>
        <w:rPr>
          <w:rFonts w:hint="default" w:ascii="Times New Roman" w:hAnsi="Times New Roman" w:eastAsia="仿宋_GB2312" w:cs="Times New Roman"/>
          <w:b w:val="0"/>
          <w:bCs w:val="0"/>
          <w:color w:val="auto"/>
          <w:sz w:val="32"/>
          <w:szCs w:val="32"/>
          <w:lang w:val="en-US" w:eastAsia="zh-CN"/>
        </w:rPr>
        <w:t>1人、</w:t>
      </w:r>
      <w:r>
        <w:rPr>
          <w:rFonts w:hint="default" w:ascii="Times New Roman" w:hAnsi="Times New Roman" w:eastAsia="仿宋_GB2312" w:cs="Times New Roman"/>
          <w:b w:val="0"/>
          <w:bCs w:val="0"/>
          <w:color w:val="auto"/>
          <w:sz w:val="32"/>
          <w:szCs w:val="32"/>
        </w:rPr>
        <w:t>工勤人员</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rPr>
        <w:t>人</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sz w:val="32"/>
          <w:szCs w:val="32"/>
        </w:rPr>
        <w:t>退休人员</w:t>
      </w:r>
      <w:r>
        <w:rPr>
          <w:rFonts w:hint="default"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rPr>
        <w:t>人。</w:t>
      </w:r>
    </w:p>
    <w:p>
      <w:pPr>
        <w:numPr>
          <w:ilvl w:val="0"/>
          <w:numId w:val="0"/>
        </w:numPr>
        <w:spacing w:line="570" w:lineRule="atLeast"/>
        <w:rPr>
          <w:rFonts w:hint="eastAsia" w:ascii="仿宋_GB2312" w:hAnsi="仿宋_GB2312" w:eastAsia="仿宋_GB2312" w:cs="仿宋_GB2312"/>
          <w:sz w:val="32"/>
          <w:szCs w:val="32"/>
          <w:lang w:val="en-US" w:eastAsia="zh-CN"/>
        </w:rPr>
      </w:pPr>
      <w:r>
        <w:rPr>
          <w:rFonts w:hint="eastAsia" w:eastAsia="楷体_GB2312"/>
          <w:b/>
          <w:sz w:val="32"/>
          <w:szCs w:val="32"/>
          <w:lang w:eastAsia="zh-CN"/>
        </w:rPr>
        <w:t>　　（二）</w:t>
      </w:r>
      <w:r>
        <w:rPr>
          <w:rFonts w:eastAsia="楷体_GB2312"/>
          <w:b/>
          <w:sz w:val="32"/>
          <w:szCs w:val="32"/>
        </w:rPr>
        <w:t>单位年度整体支出绩效目标，省级专项资金绩效目标</w:t>
      </w:r>
      <w:r>
        <w:rPr>
          <w:rFonts w:hint="eastAsia" w:eastAsia="楷体_GB2312"/>
          <w:b/>
          <w:sz w:val="32"/>
          <w:szCs w:val="32"/>
          <w:lang w:eastAsia="zh-CN"/>
        </w:rPr>
        <w:t>　</w:t>
      </w:r>
      <w:r>
        <w:rPr>
          <w:rFonts w:hint="eastAsia" w:ascii="仿宋_GB2312" w:hAnsi="仿宋_GB2312" w:eastAsia="仿宋_GB2312" w:cs="仿宋_GB2312"/>
          <w:b w:val="0"/>
          <w:bCs/>
          <w:sz w:val="32"/>
          <w:szCs w:val="32"/>
          <w:lang w:eastAsia="zh-CN"/>
        </w:rPr>
        <w:t>单位年度整体支出绩效目标是：</w:t>
      </w:r>
      <w:r>
        <w:rPr>
          <w:rFonts w:hint="eastAsia" w:ascii="仿宋_GB2312" w:hAnsi="仿宋_GB2312" w:eastAsia="仿宋_GB2312" w:cs="仿宋_GB2312"/>
          <w:sz w:val="32"/>
          <w:szCs w:val="32"/>
          <w:lang w:val="en-US" w:eastAsia="zh-CN"/>
        </w:rPr>
        <w:t>深入贯彻落实习近平总书记关于“三农”工作的重要论述和对湖南重要讲话重要指示批示精神，围绕建设农业强省目标，</w:t>
      </w:r>
      <w:r>
        <w:rPr>
          <w:rFonts w:hint="eastAsia" w:ascii="仿宋_GB2312" w:hAnsi="仿宋_GB2312" w:eastAsia="仿宋_GB2312" w:cs="仿宋_GB2312"/>
          <w:i w:val="0"/>
          <w:caps w:val="0"/>
          <w:color w:val="000000"/>
          <w:spacing w:val="0"/>
          <w:sz w:val="32"/>
          <w:szCs w:val="32"/>
          <w:shd w:val="clear" w:color="auto" w:fill="FFFFFF"/>
          <w:lang w:val="en-US" w:eastAsia="zh-CN"/>
        </w:rPr>
        <w:t>深化农技推广体系改革建设，强化农技推广机构公益性职责履行，加强先进适用技术集成示范推广，加快信息化服务手段普及应用，大力提升农技推广服务效能，为加快建设农业强省、实现农业农村现代化提供强有力支撑。</w:t>
      </w:r>
      <w:r>
        <w:rPr>
          <w:rFonts w:hint="eastAsia" w:ascii="仿宋_GB2312" w:hAnsi="仿宋_GB2312" w:eastAsia="仿宋_GB2312" w:cs="仿宋_GB2312"/>
          <w:sz w:val="32"/>
          <w:szCs w:val="32"/>
          <w:lang w:val="en-US" w:eastAsia="zh-CN"/>
        </w:rPr>
        <w:t>积极推进基层农技推广体系建设、农业技术推广服务和“互联网+”农技推广的创新，完成国家粮食安全考核指标任务。加强基层队伍能力提升，完成农技特岗生定向培养工作。积极开展农业实用技术集成示范。搭建农技协同推广平台，</w:t>
      </w:r>
      <w:r>
        <w:rPr>
          <w:rFonts w:hint="eastAsia" w:ascii="仿宋_GB2312" w:hAnsi="仿宋_GB2312" w:eastAsia="仿宋_GB2312" w:cs="仿宋_GB2312"/>
          <w:color w:val="auto"/>
          <w:sz w:val="32"/>
          <w:szCs w:val="32"/>
          <w:lang w:val="en-US" w:eastAsia="zh-CN"/>
        </w:rPr>
        <w:t>开展产业集群专家全产业链服务。</w:t>
      </w:r>
      <w:r>
        <w:rPr>
          <w:rFonts w:hint="eastAsia" w:ascii="仿宋_GB2312" w:hAnsi="仿宋_GB2312" w:eastAsia="仿宋_GB2312" w:cs="仿宋_GB2312"/>
          <w:sz w:val="32"/>
          <w:szCs w:val="32"/>
          <w:lang w:val="en-US" w:eastAsia="zh-CN"/>
        </w:rPr>
        <w:t>农技服务信息化水平进一步提升。</w:t>
      </w:r>
    </w:p>
    <w:p>
      <w:pPr>
        <w:numPr>
          <w:ilvl w:val="0"/>
          <w:numId w:val="0"/>
        </w:numPr>
        <w:spacing w:line="570" w:lineRule="atLeast"/>
        <w:rPr>
          <w:rFonts w:hint="eastAsia" w:eastAsia="楷体_GB2312"/>
          <w:lang w:eastAsia="zh-CN"/>
        </w:rPr>
      </w:pPr>
      <w:r>
        <w:rPr>
          <w:rFonts w:hint="eastAsia" w:eastAsia="楷体_GB2312"/>
          <w:b/>
          <w:sz w:val="32"/>
          <w:szCs w:val="32"/>
          <w:lang w:eastAsia="zh-CN"/>
        </w:rPr>
        <w:t>　　</w:t>
      </w:r>
      <w:r>
        <w:rPr>
          <w:rFonts w:hint="eastAsia" w:ascii="仿宋_GB2312" w:hAnsi="仿宋_GB2312" w:eastAsia="仿宋_GB2312" w:cs="仿宋_GB2312"/>
          <w:b w:val="0"/>
          <w:bCs/>
          <w:sz w:val="32"/>
          <w:szCs w:val="32"/>
        </w:rPr>
        <w:t>省级专项资金绩效目标</w:t>
      </w:r>
      <w:r>
        <w:rPr>
          <w:rFonts w:hint="eastAsia" w:ascii="仿宋_GB2312" w:hAnsi="仿宋_GB2312" w:eastAsia="仿宋_GB2312" w:cs="仿宋_GB2312"/>
          <w:b w:val="0"/>
          <w:bCs/>
          <w:sz w:val="32"/>
          <w:szCs w:val="32"/>
          <w:lang w:eastAsia="zh-CN"/>
        </w:rPr>
        <w:t>是</w:t>
      </w:r>
      <w:r>
        <w:rPr>
          <w:rFonts w:hint="eastAsia" w:ascii="仿宋_GB2312" w:hAnsi="仿宋_GB2312" w:eastAsia="仿宋_GB2312" w:cs="仿宋_GB2312"/>
          <w:sz w:val="32"/>
          <w:szCs w:val="32"/>
          <w:lang w:val="en-US" w:eastAsia="zh-CN"/>
        </w:rPr>
        <w:t>加强农业技术推广体系建设和管理、农业技术推广队伍管理和培训，拓展“互联网+农技推广”平台和队伍建设，加强农业技术推广工作指导，引入声像技术精准服务现代农业，组织开展农业新技术引进、示范和推广。参加集中育秧设施建设督导、早稻集中育秧指导和水稻面积核查，完成厅里安排的早稻集中育秧任务。</w:t>
      </w:r>
      <w:r>
        <w:rPr>
          <w:color w:val="000000"/>
          <w:kern w:val="0"/>
          <w:sz w:val="21"/>
          <w:szCs w:val="21"/>
        </w:rPr>
        <w:t>　</w:t>
      </w:r>
    </w:p>
    <w:p>
      <w:pPr>
        <w:pStyle w:val="18"/>
        <w:keepNext w:val="0"/>
        <w:keepLines w:val="0"/>
        <w:pageBreakBefore w:val="0"/>
        <w:widowControl/>
        <w:numPr>
          <w:ilvl w:val="0"/>
          <w:numId w:val="1"/>
        </w:numPr>
        <w:kinsoku/>
        <w:wordWrap/>
        <w:overflowPunct/>
        <w:topLinePunct w:val="0"/>
        <w:bidi w:val="0"/>
        <w:spacing w:line="600" w:lineRule="exact"/>
        <w:ind w:left="0" w:leftChars="0" w:right="0" w:rightChars="0" w:firstLine="64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一般公共预算支出情况</w:t>
      </w:r>
    </w:p>
    <w:p>
      <w:pPr>
        <w:pStyle w:val="18"/>
        <w:keepNext w:val="0"/>
        <w:keepLines w:val="0"/>
        <w:pageBreakBefore w:val="0"/>
        <w:widowControl/>
        <w:kinsoku/>
        <w:wordWrap/>
        <w:overflowPunct/>
        <w:topLinePunct w:val="0"/>
        <w:bidi w:val="0"/>
        <w:spacing w:line="600" w:lineRule="exact"/>
        <w:ind w:left="0" w:leftChars="0" w:right="0" w:rightChars="0" w:firstLine="0" w:firstLineChars="0"/>
        <w:textAlignment w:val="auto"/>
        <w:rPr>
          <w:rFonts w:hint="default" w:ascii="Times New Roman" w:hAnsi="Times New Roman" w:eastAsia="仿宋" w:cs="Times New Roman"/>
          <w:color w:val="auto"/>
          <w:sz w:val="32"/>
          <w:szCs w:val="32"/>
        </w:rPr>
      </w:pPr>
      <w:r>
        <w:rPr>
          <w:rFonts w:hint="default" w:ascii="Times New Roman" w:hAnsi="Times New Roman" w:eastAsia="楷体" w:cs="Times New Roman"/>
          <w:sz w:val="32"/>
          <w:szCs w:val="32"/>
        </w:rPr>
        <w:t xml:space="preserve">   </w:t>
      </w:r>
      <w:r>
        <w:rPr>
          <w:rFonts w:hint="default" w:ascii="Times New Roman" w:hAnsi="Times New Roman" w:eastAsia="楷体" w:cs="Times New Roman"/>
          <w:color w:val="auto"/>
          <w:sz w:val="32"/>
          <w:szCs w:val="32"/>
        </w:rPr>
        <w:t xml:space="preserve"> </w:t>
      </w:r>
      <w:r>
        <w:rPr>
          <w:rFonts w:hint="default" w:ascii="Times New Roman" w:hAnsi="Times New Roman" w:eastAsia="仿宋" w:cs="Times New Roman"/>
          <w:color w:val="auto"/>
          <w:sz w:val="32"/>
          <w:szCs w:val="32"/>
          <w:shd w:val="clear" w:color="auto" w:fill="FFFFFF"/>
          <w:lang w:eastAsia="zh-CN"/>
        </w:rPr>
        <w:t>202</w:t>
      </w:r>
      <w:r>
        <w:rPr>
          <w:rFonts w:hint="default" w:ascii="Times New Roman" w:hAnsi="Times New Roman" w:eastAsia="仿宋" w:cs="Times New Roman"/>
          <w:color w:val="auto"/>
          <w:sz w:val="32"/>
          <w:szCs w:val="32"/>
          <w:shd w:val="clear" w:color="auto" w:fill="FFFFFF"/>
          <w:lang w:val="en-US" w:eastAsia="zh-CN"/>
        </w:rPr>
        <w:t>4</w:t>
      </w:r>
      <w:r>
        <w:rPr>
          <w:rFonts w:hint="default" w:ascii="Times New Roman" w:hAnsi="Times New Roman" w:eastAsia="仿宋" w:cs="Times New Roman"/>
          <w:color w:val="auto"/>
          <w:sz w:val="32"/>
          <w:szCs w:val="32"/>
          <w:shd w:val="clear" w:color="auto" w:fill="FFFFFF"/>
          <w:lang w:eastAsia="zh-CN"/>
        </w:rPr>
        <w:t>年</w:t>
      </w:r>
      <w:r>
        <w:rPr>
          <w:rFonts w:hint="default" w:ascii="Times New Roman" w:hAnsi="Times New Roman" w:eastAsia="仿宋" w:cs="Times New Roman"/>
          <w:color w:val="auto"/>
          <w:sz w:val="32"/>
          <w:szCs w:val="32"/>
        </w:rPr>
        <w:t>财政</w:t>
      </w:r>
      <w:r>
        <w:rPr>
          <w:rFonts w:hint="default" w:ascii="Times New Roman" w:hAnsi="Times New Roman" w:eastAsia="仿宋" w:cs="Times New Roman"/>
          <w:color w:val="auto"/>
          <w:sz w:val="32"/>
          <w:szCs w:val="32"/>
          <w:lang w:eastAsia="zh-CN"/>
        </w:rPr>
        <w:t>下达预算资金</w:t>
      </w:r>
      <w:r>
        <w:rPr>
          <w:rFonts w:hint="default" w:ascii="Times New Roman" w:hAnsi="Times New Roman" w:eastAsia="仿宋" w:cs="Times New Roman"/>
          <w:color w:val="auto"/>
          <w:sz w:val="32"/>
          <w:szCs w:val="32"/>
          <w:lang w:val="en-US" w:eastAsia="zh-CN"/>
        </w:rPr>
        <w:t>950.54万元，全年财政拨款支出776.18万元，执行率为81.66%。</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楷体_GB2312" w:hAnsi="楷体_GB2312" w:eastAsia="楷体_GB2312" w:cs="楷体_GB2312"/>
          <w:b/>
          <w:bCs/>
          <w:color w:val="auto"/>
          <w:sz w:val="32"/>
          <w:szCs w:val="32"/>
          <w:highlight w:val="none"/>
        </w:rPr>
      </w:pPr>
      <w:r>
        <w:rPr>
          <w:rFonts w:hint="default" w:ascii="楷体_GB2312" w:hAnsi="楷体_GB2312" w:eastAsia="楷体_GB2312" w:cs="楷体_GB2312"/>
          <w:b/>
          <w:bCs/>
          <w:color w:val="auto"/>
          <w:sz w:val="32"/>
          <w:szCs w:val="32"/>
          <w:highlight w:val="none"/>
          <w:lang w:eastAsia="zh-CN"/>
        </w:rPr>
        <w:t>（一）</w:t>
      </w:r>
      <w:r>
        <w:rPr>
          <w:rFonts w:hint="default" w:ascii="楷体_GB2312" w:hAnsi="楷体_GB2312" w:eastAsia="楷体_GB2312" w:cs="楷体_GB2312"/>
          <w:b/>
          <w:bCs/>
          <w:color w:val="auto"/>
          <w:sz w:val="32"/>
          <w:szCs w:val="32"/>
          <w:highlight w:val="none"/>
        </w:rPr>
        <w:t>基本支出情况</w:t>
      </w:r>
    </w:p>
    <w:p>
      <w:pPr>
        <w:pStyle w:val="17"/>
        <w:keepNext w:val="0"/>
        <w:keepLines w:val="0"/>
        <w:pageBreakBefore w:val="0"/>
        <w:widowControl w:val="0"/>
        <w:kinsoku/>
        <w:wordWrap/>
        <w:overflowPunct/>
        <w:topLinePunct w:val="0"/>
        <w:bidi w:val="0"/>
        <w:snapToGrid/>
        <w:spacing w:line="600" w:lineRule="exact"/>
        <w:ind w:left="0" w:leftChars="0" w:right="0" w:righ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年度财政拨款基本支出</w:t>
      </w:r>
      <w:r>
        <w:rPr>
          <w:rFonts w:hint="default" w:ascii="Times New Roman" w:hAnsi="Times New Roman" w:eastAsia="仿宋_GB2312" w:cs="Times New Roman"/>
          <w:color w:val="auto"/>
          <w:sz w:val="32"/>
          <w:szCs w:val="32"/>
          <w:lang w:val="en-US" w:eastAsia="zh-CN"/>
        </w:rPr>
        <w:t>577.54</w:t>
      </w:r>
      <w:r>
        <w:rPr>
          <w:rFonts w:hint="default" w:ascii="Times New Roman" w:hAnsi="Times New Roman" w:eastAsia="仿宋_GB2312" w:cs="Times New Roman"/>
          <w:color w:val="auto"/>
          <w:sz w:val="32"/>
          <w:szCs w:val="32"/>
        </w:rPr>
        <w:t>万元，其中：</w:t>
      </w:r>
      <w:r>
        <w:rPr>
          <w:rFonts w:hint="default" w:ascii="Times New Roman" w:hAnsi="Times New Roman" w:eastAsia="仿宋_GB2312" w:cs="Times New Roman"/>
          <w:b w:val="0"/>
          <w:bCs w:val="0"/>
          <w:color w:val="auto"/>
          <w:sz w:val="32"/>
          <w:szCs w:val="32"/>
        </w:rPr>
        <w:t>人员经费</w:t>
      </w:r>
      <w:r>
        <w:rPr>
          <w:rFonts w:hint="default" w:ascii="Times New Roman" w:hAnsi="Times New Roman" w:eastAsia="仿宋_GB2312" w:cs="Times New Roman"/>
          <w:color w:val="auto"/>
          <w:sz w:val="32"/>
          <w:szCs w:val="32"/>
          <w:lang w:val="en-US" w:eastAsia="zh-CN"/>
        </w:rPr>
        <w:t>498.42</w:t>
      </w:r>
      <w:r>
        <w:rPr>
          <w:rFonts w:hint="default" w:ascii="Times New Roman" w:hAnsi="Times New Roman" w:eastAsia="仿宋_GB2312" w:cs="Times New Roman"/>
          <w:color w:val="auto"/>
          <w:sz w:val="32"/>
          <w:szCs w:val="32"/>
        </w:rPr>
        <w:t>万元，占基本支出的</w:t>
      </w:r>
      <w:r>
        <w:rPr>
          <w:rFonts w:hint="default" w:ascii="Times New Roman" w:hAnsi="Times New Roman" w:eastAsia="仿宋_GB2312" w:cs="Times New Roman"/>
          <w:color w:val="auto"/>
          <w:sz w:val="32"/>
          <w:szCs w:val="32"/>
          <w:lang w:val="en-US" w:eastAsia="zh-CN"/>
        </w:rPr>
        <w:t>86.3</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主要包括基本工资、津贴补贴、奖金、伙食补助费</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绩效工资、住房公积金、退休费、抚恤金、生活补助等。</w:t>
      </w:r>
      <w:r>
        <w:rPr>
          <w:rFonts w:hint="default" w:ascii="Times New Roman" w:hAnsi="Times New Roman" w:eastAsia="仿宋_GB2312" w:cs="Times New Roman"/>
          <w:b w:val="0"/>
          <w:bCs w:val="0"/>
          <w:color w:val="auto"/>
          <w:sz w:val="32"/>
          <w:szCs w:val="32"/>
        </w:rPr>
        <w:t>公用经费</w:t>
      </w:r>
      <w:r>
        <w:rPr>
          <w:rFonts w:hint="default" w:ascii="Times New Roman" w:hAnsi="Times New Roman" w:eastAsia="仿宋_GB2312" w:cs="Times New Roman"/>
          <w:color w:val="auto"/>
          <w:sz w:val="32"/>
          <w:szCs w:val="32"/>
          <w:lang w:val="en-US" w:eastAsia="zh-CN"/>
        </w:rPr>
        <w:t>79.12</w:t>
      </w:r>
      <w:r>
        <w:rPr>
          <w:rFonts w:hint="default" w:ascii="Times New Roman" w:hAnsi="Times New Roman" w:eastAsia="仿宋_GB2312" w:cs="Times New Roman"/>
          <w:color w:val="auto"/>
          <w:sz w:val="32"/>
          <w:szCs w:val="32"/>
        </w:rPr>
        <w:t>万元，占基本支出的</w:t>
      </w:r>
      <w:r>
        <w:rPr>
          <w:rFonts w:hint="default" w:ascii="Times New Roman" w:hAnsi="Times New Roman" w:eastAsia="仿宋_GB2312" w:cs="Times New Roman"/>
          <w:color w:val="auto"/>
          <w:sz w:val="32"/>
          <w:szCs w:val="32"/>
          <w:lang w:val="en-US" w:eastAsia="zh-CN"/>
        </w:rPr>
        <w:t>13.7</w:t>
      </w:r>
      <w:r>
        <w:rPr>
          <w:rFonts w:hint="default" w:ascii="Times New Roman" w:hAnsi="Times New Roman" w:eastAsia="仿宋_GB2312" w:cs="Times New Roman"/>
          <w:color w:val="auto"/>
          <w:sz w:val="32"/>
          <w:szCs w:val="32"/>
        </w:rPr>
        <w:t>%，主要包括办公费、印刷费、</w:t>
      </w:r>
      <w:r>
        <w:rPr>
          <w:rFonts w:hint="default" w:ascii="Times New Roman" w:hAnsi="Times New Roman" w:eastAsia="仿宋_GB2312" w:cs="Times New Roman"/>
          <w:color w:val="auto"/>
          <w:sz w:val="32"/>
          <w:szCs w:val="32"/>
          <w:lang w:val="en-US" w:eastAsia="zh-CN"/>
        </w:rPr>
        <w:t>水费、物业管理费、差旅费、工会经费、福利费、其他交通费用等。</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楷体_GB2312" w:hAnsi="楷体_GB2312" w:eastAsia="楷体_GB2312" w:cs="楷体_GB2312"/>
          <w:b/>
          <w:bCs/>
          <w:color w:val="auto"/>
          <w:sz w:val="32"/>
          <w:szCs w:val="32"/>
          <w:highlight w:val="none"/>
        </w:rPr>
      </w:pPr>
      <w:r>
        <w:rPr>
          <w:rFonts w:hint="default" w:ascii="楷体_GB2312" w:hAnsi="楷体_GB2312" w:eastAsia="楷体_GB2312" w:cs="楷体_GB2312"/>
          <w:b/>
          <w:bCs/>
          <w:color w:val="auto"/>
          <w:sz w:val="32"/>
          <w:szCs w:val="32"/>
          <w:highlight w:val="none"/>
          <w:lang w:eastAsia="zh-CN"/>
        </w:rPr>
        <w:t>（二）</w:t>
      </w:r>
      <w:r>
        <w:rPr>
          <w:rFonts w:hint="default" w:ascii="楷体_GB2312" w:hAnsi="楷体_GB2312" w:eastAsia="楷体_GB2312" w:cs="楷体_GB2312"/>
          <w:b/>
          <w:bCs/>
          <w:color w:val="auto"/>
          <w:sz w:val="32"/>
          <w:szCs w:val="32"/>
          <w:highlight w:val="none"/>
        </w:rPr>
        <w:t>项目支出情况</w:t>
      </w:r>
    </w:p>
    <w:p>
      <w:pPr>
        <w:pStyle w:val="18"/>
        <w:keepNext w:val="0"/>
        <w:keepLines w:val="0"/>
        <w:pageBreakBefore w:val="0"/>
        <w:widowControl/>
        <w:kinsoku/>
        <w:wordWrap/>
        <w:overflowPunct/>
        <w:topLinePunct w:val="0"/>
        <w:bidi w:val="0"/>
        <w:spacing w:line="600" w:lineRule="exact"/>
        <w:ind w:left="0" w:leftChars="0" w:right="0" w:rightChars="0" w:firstLine="640"/>
        <w:textAlignment w:val="auto"/>
        <w:rPr>
          <w:rFonts w:hint="default" w:ascii="Times New Roman" w:hAnsi="Times New Roman" w:eastAsia="仿宋" w:cs="Times New Roman"/>
          <w:color w:val="FF0000"/>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财政拨款</w:t>
      </w:r>
      <w:r>
        <w:rPr>
          <w:rFonts w:hint="eastAsia" w:ascii="仿宋_GB2312" w:hAnsi="仿宋_GB2312" w:eastAsia="仿宋_GB2312" w:cs="仿宋_GB2312"/>
          <w:sz w:val="32"/>
          <w:szCs w:val="32"/>
          <w:lang w:eastAsia="zh-CN"/>
        </w:rPr>
        <w:t>农业生产发展</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198.64</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农业综合技术示范推广项目支出</w:t>
      </w:r>
      <w:r>
        <w:rPr>
          <w:rFonts w:hint="eastAsia" w:ascii="仿宋_GB2312" w:hAnsi="仿宋_GB2312" w:eastAsia="仿宋_GB2312" w:cs="仿宋_GB2312"/>
          <w:sz w:val="32"/>
          <w:szCs w:val="32"/>
          <w:lang w:val="en-US" w:eastAsia="zh-CN"/>
        </w:rPr>
        <w:t>50.6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优势特色产业集群项目支出</w:t>
      </w:r>
      <w:r>
        <w:rPr>
          <w:rFonts w:hint="eastAsia" w:ascii="仿宋_GB2312" w:hAnsi="仿宋_GB2312" w:eastAsia="仿宋_GB2312" w:cs="仿宋_GB2312"/>
          <w:sz w:val="32"/>
          <w:szCs w:val="32"/>
          <w:lang w:val="en-US" w:eastAsia="zh-CN"/>
        </w:rPr>
        <w:t>86.63万元，国家现代农业产业园及农业产业强镇项目支出11.68万元，集中育秧及督导项目支出4.11万元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执行率为55.95%</w:t>
      </w:r>
      <w:r>
        <w:rPr>
          <w:rFonts w:hint="eastAsia" w:ascii="仿宋_GB2312" w:hAnsi="仿宋_GB2312" w:eastAsia="仿宋_GB2312" w:cs="仿宋_GB2312"/>
          <w:color w:val="auto"/>
          <w:sz w:val="32"/>
          <w:szCs w:val="32"/>
        </w:rPr>
        <w:t>。</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楷体_GB2312" w:hAnsi="楷体_GB2312" w:eastAsia="楷体_GB2312" w:cs="楷体_GB2312"/>
          <w:b/>
          <w:bCs/>
          <w:color w:val="auto"/>
          <w:sz w:val="32"/>
          <w:szCs w:val="32"/>
          <w:highlight w:val="none"/>
        </w:rPr>
      </w:pPr>
      <w:r>
        <w:rPr>
          <w:rFonts w:hint="default" w:ascii="楷体_GB2312" w:hAnsi="楷体_GB2312" w:eastAsia="楷体_GB2312" w:cs="楷体_GB2312"/>
          <w:b/>
          <w:bCs/>
          <w:color w:val="auto"/>
          <w:sz w:val="32"/>
          <w:szCs w:val="32"/>
          <w:highlight w:val="none"/>
        </w:rPr>
        <w:t>（</w:t>
      </w:r>
      <w:r>
        <w:rPr>
          <w:rFonts w:hint="default" w:ascii="楷体_GB2312" w:hAnsi="楷体_GB2312" w:eastAsia="楷体_GB2312" w:cs="楷体_GB2312"/>
          <w:b/>
          <w:bCs/>
          <w:color w:val="auto"/>
          <w:sz w:val="32"/>
          <w:szCs w:val="32"/>
          <w:highlight w:val="none"/>
          <w:lang w:eastAsia="zh-CN"/>
        </w:rPr>
        <w:t>三</w:t>
      </w:r>
      <w:r>
        <w:rPr>
          <w:rFonts w:hint="default" w:ascii="楷体_GB2312" w:hAnsi="楷体_GB2312" w:eastAsia="楷体_GB2312" w:cs="楷体_GB2312"/>
          <w:b/>
          <w:bCs/>
          <w:color w:val="auto"/>
          <w:sz w:val="32"/>
          <w:szCs w:val="32"/>
          <w:highlight w:val="none"/>
        </w:rPr>
        <w:t>）省级专项资金项目支出情况。</w:t>
      </w:r>
    </w:p>
    <w:p>
      <w:pPr>
        <w:keepNext w:val="0"/>
        <w:keepLines w:val="0"/>
        <w:pageBreakBefore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仿宋" w:cs="Times New Roman"/>
          <w:color w:val="auto"/>
          <w:sz w:val="32"/>
          <w:szCs w:val="32"/>
          <w:lang w:eastAsia="zh-CN"/>
        </w:rPr>
      </w:pPr>
      <w:r>
        <w:rPr>
          <w:rFonts w:hint="default" w:ascii="Times New Roman" w:hAnsi="Times New Roman" w:eastAsia="仿宋_GB2312" w:cs="Times New Roman"/>
          <w:color w:val="auto"/>
          <w:sz w:val="32"/>
          <w:szCs w:val="32"/>
          <w:lang w:eastAsia="zh-CN"/>
        </w:rPr>
        <w:t>省本级专项预算支出为</w:t>
      </w:r>
      <w:r>
        <w:rPr>
          <w:rFonts w:hint="default" w:ascii="Times New Roman" w:hAnsi="Times New Roman" w:eastAsia="仿宋_GB2312" w:cs="Times New Roman"/>
          <w:color w:val="auto"/>
          <w:sz w:val="32"/>
          <w:szCs w:val="32"/>
          <w:lang w:val="en-US" w:eastAsia="zh-CN"/>
        </w:rPr>
        <w:t>198.64</w:t>
      </w:r>
      <w:r>
        <w:rPr>
          <w:rFonts w:hint="default" w:ascii="Times New Roman" w:hAnsi="Times New Roman" w:eastAsia="仿宋_GB2312" w:cs="Times New Roman"/>
          <w:color w:val="auto"/>
          <w:sz w:val="32"/>
          <w:szCs w:val="32"/>
          <w:lang w:eastAsia="zh-CN"/>
        </w:rPr>
        <w:t>万元，支出明细为：农业综合技术示范推广项目支出</w:t>
      </w:r>
      <w:r>
        <w:rPr>
          <w:rFonts w:hint="default" w:ascii="Times New Roman" w:hAnsi="Times New Roman" w:eastAsia="仿宋_GB2312" w:cs="Times New Roman"/>
          <w:color w:val="auto"/>
          <w:sz w:val="32"/>
          <w:szCs w:val="32"/>
          <w:lang w:val="en-US" w:eastAsia="zh-CN"/>
        </w:rPr>
        <w:t>50.6</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优势特色产业集群项目支出</w:t>
      </w:r>
      <w:r>
        <w:rPr>
          <w:rFonts w:hint="default" w:ascii="Times New Roman" w:hAnsi="Times New Roman" w:eastAsia="仿宋_GB2312" w:cs="Times New Roman"/>
          <w:color w:val="auto"/>
          <w:sz w:val="32"/>
          <w:szCs w:val="32"/>
          <w:lang w:val="en-US" w:eastAsia="zh-CN"/>
        </w:rPr>
        <w:t>86.63万元，国家现代农业产业园及农业产业强镇项目支出11.68万元，集中育秧及督</w:t>
      </w:r>
      <w:r>
        <w:rPr>
          <w:rFonts w:hint="eastAsia" w:ascii="Times New Roman" w:hAnsi="Times New Roman" w:eastAsia="仿宋_GB2312" w:cs="Times New Roman"/>
          <w:color w:val="auto"/>
          <w:sz w:val="32"/>
          <w:szCs w:val="32"/>
          <w:lang w:val="en-US" w:eastAsia="zh-CN"/>
        </w:rPr>
        <w:t>导项目</w:t>
      </w:r>
      <w:r>
        <w:rPr>
          <w:rFonts w:hint="default" w:ascii="Times New Roman" w:hAnsi="Times New Roman" w:eastAsia="仿宋_GB2312" w:cs="Times New Roman"/>
          <w:color w:val="auto"/>
          <w:sz w:val="32"/>
          <w:szCs w:val="32"/>
          <w:lang w:val="en-US" w:eastAsia="zh-CN"/>
        </w:rPr>
        <w:t>4.11万元</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bidi w:val="0"/>
        <w:spacing w:line="600" w:lineRule="exact"/>
        <w:ind w:left="0" w:leftChars="0" w:right="0" w:rightChars="0"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三</w:t>
      </w:r>
      <w:r>
        <w:rPr>
          <w:rFonts w:hint="default" w:ascii="Times New Roman" w:hAnsi="Times New Roman" w:eastAsia="黑体" w:cs="Times New Roman"/>
          <w:sz w:val="32"/>
          <w:szCs w:val="32"/>
        </w:rPr>
        <w:t>、政府性基金预算支出情况</w:t>
      </w:r>
    </w:p>
    <w:p>
      <w:pPr>
        <w:pStyle w:val="18"/>
        <w:keepNext w:val="0"/>
        <w:keepLines w:val="0"/>
        <w:pageBreakBefore w:val="0"/>
        <w:widowControl/>
        <w:kinsoku/>
        <w:wordWrap/>
        <w:overflowPunct/>
        <w:topLinePunct w:val="0"/>
        <w:bidi w:val="0"/>
        <w:spacing w:line="600" w:lineRule="exact"/>
        <w:ind w:left="0" w:leftChars="0" w:right="0" w:rightChars="0"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我</w:t>
      </w:r>
      <w:r>
        <w:rPr>
          <w:rFonts w:hint="default" w:ascii="Times New Roman" w:hAnsi="Times New Roman" w:eastAsia="仿宋_GB2312" w:cs="Times New Roman"/>
          <w:color w:val="000000"/>
          <w:sz w:val="32"/>
          <w:szCs w:val="32"/>
          <w:lang w:eastAsia="zh-CN"/>
        </w:rPr>
        <w:t>单位202</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年</w:t>
      </w:r>
      <w:r>
        <w:rPr>
          <w:rFonts w:hint="default" w:ascii="Times New Roman" w:hAnsi="Times New Roman" w:eastAsia="仿宋_GB2312" w:cs="Times New Roman"/>
          <w:color w:val="000000"/>
          <w:sz w:val="32"/>
          <w:szCs w:val="32"/>
        </w:rPr>
        <w:t>无政府性基金预算支出。</w:t>
      </w:r>
    </w:p>
    <w:p>
      <w:pPr>
        <w:pStyle w:val="18"/>
        <w:keepNext w:val="0"/>
        <w:keepLines w:val="0"/>
        <w:pageBreakBefore w:val="0"/>
        <w:widowControl/>
        <w:kinsoku/>
        <w:wordWrap/>
        <w:overflowPunct/>
        <w:topLinePunct w:val="0"/>
        <w:bidi w:val="0"/>
        <w:spacing w:line="600" w:lineRule="exact"/>
        <w:ind w:left="0" w:leftChars="0" w:right="0" w:rightChars="0"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四</w:t>
      </w:r>
      <w:r>
        <w:rPr>
          <w:rFonts w:hint="default" w:ascii="Times New Roman" w:hAnsi="Times New Roman" w:eastAsia="黑体" w:cs="Times New Roman"/>
          <w:sz w:val="32"/>
          <w:szCs w:val="32"/>
        </w:rPr>
        <w:t>、国有资本经营预算支出情况</w:t>
      </w:r>
    </w:p>
    <w:p>
      <w:pPr>
        <w:pStyle w:val="18"/>
        <w:keepNext w:val="0"/>
        <w:keepLines w:val="0"/>
        <w:pageBreakBefore w:val="0"/>
        <w:widowControl/>
        <w:kinsoku/>
        <w:wordWrap/>
        <w:overflowPunct/>
        <w:topLinePunct w:val="0"/>
        <w:bidi w:val="0"/>
        <w:spacing w:line="600" w:lineRule="exact"/>
        <w:ind w:left="0" w:leftChars="0" w:right="0" w:rightChars="0"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我</w:t>
      </w:r>
      <w:r>
        <w:rPr>
          <w:rFonts w:hint="default" w:ascii="Times New Roman" w:hAnsi="Times New Roman" w:eastAsia="仿宋_GB2312" w:cs="Times New Roman"/>
          <w:color w:val="000000"/>
          <w:sz w:val="32"/>
          <w:szCs w:val="32"/>
          <w:lang w:eastAsia="zh-CN"/>
        </w:rPr>
        <w:t>单位202</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年</w:t>
      </w:r>
      <w:r>
        <w:rPr>
          <w:rFonts w:hint="default" w:ascii="Times New Roman" w:hAnsi="Times New Roman" w:eastAsia="仿宋_GB2312" w:cs="Times New Roman"/>
          <w:color w:val="000000"/>
          <w:sz w:val="32"/>
          <w:szCs w:val="32"/>
        </w:rPr>
        <w:t>无国有资本经营预算支出。</w:t>
      </w:r>
    </w:p>
    <w:p>
      <w:pPr>
        <w:pStyle w:val="18"/>
        <w:keepNext w:val="0"/>
        <w:keepLines w:val="0"/>
        <w:pageBreakBefore w:val="0"/>
        <w:widowControl/>
        <w:kinsoku/>
        <w:wordWrap/>
        <w:overflowPunct/>
        <w:topLinePunct w:val="0"/>
        <w:bidi w:val="0"/>
        <w:spacing w:line="600" w:lineRule="exact"/>
        <w:ind w:left="0" w:leftChars="0" w:right="0" w:rightChars="0"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五</w:t>
      </w:r>
      <w:r>
        <w:rPr>
          <w:rFonts w:hint="default" w:ascii="Times New Roman" w:hAnsi="Times New Roman" w:eastAsia="黑体" w:cs="Times New Roman"/>
          <w:sz w:val="32"/>
          <w:szCs w:val="32"/>
        </w:rPr>
        <w:t>、社会保险基金预算支出情况</w:t>
      </w:r>
    </w:p>
    <w:p>
      <w:pPr>
        <w:pStyle w:val="18"/>
        <w:keepNext w:val="0"/>
        <w:keepLines w:val="0"/>
        <w:pageBreakBefore w:val="0"/>
        <w:widowControl/>
        <w:kinsoku/>
        <w:wordWrap/>
        <w:overflowPunct/>
        <w:topLinePunct w:val="0"/>
        <w:bidi w:val="0"/>
        <w:spacing w:line="600" w:lineRule="exact"/>
        <w:ind w:left="0" w:leftChars="0" w:right="0" w:rightChars="0"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我</w:t>
      </w:r>
      <w:r>
        <w:rPr>
          <w:rFonts w:hint="default" w:ascii="Times New Roman" w:hAnsi="Times New Roman" w:eastAsia="仿宋_GB2312" w:cs="Times New Roman"/>
          <w:color w:val="000000"/>
          <w:sz w:val="32"/>
          <w:szCs w:val="32"/>
          <w:lang w:eastAsia="zh-CN"/>
        </w:rPr>
        <w:t>单位202</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年</w:t>
      </w:r>
      <w:r>
        <w:rPr>
          <w:rFonts w:hint="default" w:ascii="Times New Roman" w:hAnsi="Times New Roman" w:eastAsia="仿宋_GB2312" w:cs="Times New Roman"/>
          <w:color w:val="000000"/>
          <w:sz w:val="32"/>
          <w:szCs w:val="32"/>
        </w:rPr>
        <w:t>无社会保险基金预算支出。</w:t>
      </w:r>
    </w:p>
    <w:p>
      <w:pPr>
        <w:keepNext w:val="0"/>
        <w:keepLines w:val="0"/>
        <w:pageBreakBefore w:val="0"/>
        <w:widowControl/>
        <w:kinsoku/>
        <w:wordWrap/>
        <w:overflowPunct/>
        <w:topLinePunct w:val="0"/>
        <w:bidi w:val="0"/>
        <w:spacing w:line="600" w:lineRule="exact"/>
        <w:ind w:left="0" w:leftChars="0" w:right="0" w:rightChars="0" w:firstLine="645"/>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六</w:t>
      </w:r>
      <w:r>
        <w:rPr>
          <w:rFonts w:hint="default" w:ascii="Times New Roman" w:hAnsi="Times New Roman" w:eastAsia="黑体" w:cs="Times New Roman"/>
          <w:sz w:val="32"/>
          <w:szCs w:val="32"/>
        </w:rPr>
        <w:t>、部门</w:t>
      </w:r>
      <w:r>
        <w:rPr>
          <w:rFonts w:hint="default" w:ascii="Times New Roman" w:hAnsi="Times New Roman" w:eastAsia="黑体" w:cs="Times New Roman"/>
          <w:sz w:val="32"/>
          <w:szCs w:val="32"/>
          <w:lang w:eastAsia="zh-CN"/>
        </w:rPr>
        <w:t>整体</w:t>
      </w:r>
      <w:r>
        <w:rPr>
          <w:rFonts w:hint="default" w:ascii="Times New Roman" w:hAnsi="Times New Roman" w:eastAsia="黑体" w:cs="Times New Roman"/>
          <w:sz w:val="32"/>
          <w:szCs w:val="32"/>
        </w:rPr>
        <w:t>支出绩效情况</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楷体_GB2312" w:hAnsi="楷体_GB2312" w:eastAsia="楷体_GB2312" w:cs="楷体_GB2312"/>
          <w:b/>
          <w:bCs/>
          <w:color w:val="auto"/>
          <w:sz w:val="32"/>
          <w:szCs w:val="32"/>
          <w:highlight w:val="none"/>
        </w:rPr>
      </w:pPr>
      <w:r>
        <w:rPr>
          <w:rFonts w:hint="default" w:ascii="楷体_GB2312" w:hAnsi="楷体_GB2312" w:eastAsia="楷体_GB2312" w:cs="楷体_GB2312"/>
          <w:b/>
          <w:bCs/>
          <w:color w:val="auto"/>
          <w:sz w:val="32"/>
          <w:szCs w:val="32"/>
          <w:highlight w:val="none"/>
        </w:rPr>
        <w:t>（一）绩效评价结果</w:t>
      </w:r>
    </w:p>
    <w:p>
      <w:pPr>
        <w:keepNext w:val="0"/>
        <w:keepLines w:val="0"/>
        <w:pageBreakBefore w:val="0"/>
        <w:widowControl/>
        <w:kinsoku/>
        <w:wordWrap/>
        <w:overflowPunct/>
        <w:topLinePunct w:val="0"/>
        <w:bidi w:val="0"/>
        <w:spacing w:line="600" w:lineRule="exact"/>
        <w:ind w:left="0" w:leftChars="0" w:right="0" w:rightChars="0" w:firstLine="645"/>
        <w:jc w:val="left"/>
        <w:textAlignment w:val="auto"/>
        <w:rPr>
          <w:rFonts w:hint="default" w:ascii="Times New Roman" w:hAnsi="Times New Roman" w:cs="Times New Roman"/>
        </w:rPr>
      </w:pPr>
      <w:r>
        <w:rPr>
          <w:rFonts w:hint="default" w:ascii="Times New Roman" w:hAnsi="Times New Roman" w:eastAsia="仿宋_GB2312" w:cs="Times New Roman"/>
          <w:color w:val="auto"/>
          <w:sz w:val="32"/>
          <w:szCs w:val="32"/>
          <w:lang w:val="en-US" w:eastAsia="zh-CN"/>
        </w:rPr>
        <w:t>根据《</w:t>
      </w:r>
      <w:r>
        <w:rPr>
          <w:rFonts w:hint="default" w:ascii="Times New Roman" w:hAnsi="Times New Roman" w:eastAsia="仿宋_GB2312" w:cs="Times New Roman"/>
          <w:color w:val="auto"/>
          <w:sz w:val="32"/>
          <w:szCs w:val="32"/>
        </w:rPr>
        <w:t>湖南省财政厅关于开展</w:t>
      </w:r>
      <w:r>
        <w:rPr>
          <w:rFonts w:hint="default" w:ascii="Times New Roman" w:hAnsi="Times New Roman" w:eastAsia="仿宋_GB2312" w:cs="Times New Roman"/>
          <w:color w:val="auto"/>
          <w:sz w:val="32"/>
          <w:szCs w:val="32"/>
          <w:lang w:eastAsia="zh-CN"/>
        </w:rPr>
        <w:t>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年</w:t>
      </w:r>
      <w:r>
        <w:rPr>
          <w:rFonts w:hint="default" w:ascii="Times New Roman" w:hAnsi="Times New Roman" w:eastAsia="仿宋_GB2312" w:cs="Times New Roman"/>
          <w:color w:val="auto"/>
          <w:sz w:val="32"/>
          <w:szCs w:val="32"/>
        </w:rPr>
        <w:t>度</w:t>
      </w:r>
      <w:r>
        <w:rPr>
          <w:rFonts w:hint="default" w:ascii="Times New Roman" w:hAnsi="Times New Roman" w:eastAsia="仿宋_GB2312" w:cs="Times New Roman"/>
          <w:color w:val="auto"/>
          <w:sz w:val="32"/>
          <w:szCs w:val="32"/>
          <w:lang w:val="en-US" w:eastAsia="zh-CN"/>
        </w:rPr>
        <w:t>省级预算部门</w:t>
      </w:r>
      <w:r>
        <w:rPr>
          <w:rFonts w:hint="default" w:ascii="Times New Roman" w:hAnsi="Times New Roman" w:eastAsia="仿宋_GB2312" w:cs="Times New Roman"/>
          <w:color w:val="auto"/>
          <w:sz w:val="32"/>
          <w:szCs w:val="32"/>
        </w:rPr>
        <w:t>绩效自评</w:t>
      </w:r>
      <w:r>
        <w:rPr>
          <w:rFonts w:hint="default" w:ascii="Times New Roman" w:hAnsi="Times New Roman" w:eastAsia="仿宋_GB2312" w:cs="Times New Roman"/>
          <w:color w:val="auto"/>
          <w:sz w:val="32"/>
          <w:szCs w:val="32"/>
          <w:lang w:val="en-US" w:eastAsia="zh-CN"/>
        </w:rPr>
        <w:t>和部门评价</w:t>
      </w:r>
      <w:r>
        <w:rPr>
          <w:rFonts w:hint="default" w:ascii="Times New Roman" w:hAnsi="Times New Roman" w:eastAsia="仿宋_GB2312" w:cs="Times New Roman"/>
          <w:color w:val="auto"/>
          <w:sz w:val="32"/>
          <w:szCs w:val="32"/>
        </w:rPr>
        <w:t>的通知</w:t>
      </w:r>
      <w:r>
        <w:rPr>
          <w:rFonts w:hint="default" w:ascii="Times New Roman" w:hAnsi="Times New Roman" w:eastAsia="仿宋_GB2312" w:cs="Times New Roman"/>
          <w:color w:val="auto"/>
          <w:sz w:val="32"/>
          <w:szCs w:val="32"/>
          <w:lang w:val="en-US" w:eastAsia="zh-CN"/>
        </w:rPr>
        <w:t>》相关规定，在基础数据分析及处理的基础上，湖南省农业技术推广总站2024年度部门整体支出绩效评价综合得分为98分，其</w:t>
      </w:r>
      <w:r>
        <w:rPr>
          <w:rFonts w:hint="default" w:ascii="Times New Roman" w:hAnsi="Times New Roman" w:eastAsia="仿宋_GB2312" w:cs="Times New Roman"/>
          <w:color w:val="auto"/>
          <w:sz w:val="32"/>
          <w:szCs w:val="32"/>
          <w:highlight w:val="none"/>
          <w:lang w:val="en-US" w:eastAsia="zh-CN"/>
        </w:rPr>
        <w:t>中产出指标</w:t>
      </w:r>
      <w:r>
        <w:rPr>
          <w:rFonts w:hint="eastAsia" w:ascii="Times New Roman" w:hAnsi="Times New Roman" w:eastAsia="仿宋_GB2312" w:cs="Times New Roman"/>
          <w:color w:val="auto"/>
          <w:sz w:val="32"/>
          <w:szCs w:val="32"/>
          <w:highlight w:val="none"/>
          <w:lang w:val="en-US" w:eastAsia="zh-CN"/>
        </w:rPr>
        <w:t>（60分）</w:t>
      </w:r>
      <w:r>
        <w:rPr>
          <w:rFonts w:hint="default" w:ascii="Times New Roman" w:hAnsi="Times New Roman" w:eastAsia="仿宋_GB2312" w:cs="Times New Roman"/>
          <w:color w:val="auto"/>
          <w:sz w:val="32"/>
          <w:szCs w:val="32"/>
          <w:highlight w:val="none"/>
          <w:lang w:val="en-US" w:eastAsia="zh-CN"/>
        </w:rPr>
        <w:t>得分</w:t>
      </w:r>
      <w:r>
        <w:rPr>
          <w:rFonts w:hint="eastAsia" w:ascii="Times New Roman" w:hAnsi="Times New Roman"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lang w:val="en-US" w:eastAsia="zh-CN"/>
        </w:rPr>
        <w:t>分、效益指标</w:t>
      </w:r>
      <w:r>
        <w:rPr>
          <w:rFonts w:hint="eastAsia" w:ascii="Times New Roman" w:hAnsi="Times New Roman" w:eastAsia="仿宋_GB2312" w:cs="Times New Roman"/>
          <w:color w:val="auto"/>
          <w:sz w:val="32"/>
          <w:szCs w:val="32"/>
          <w:highlight w:val="none"/>
          <w:lang w:val="en-US" w:eastAsia="zh-CN"/>
        </w:rPr>
        <w:t>（30分）</w:t>
      </w:r>
      <w:r>
        <w:rPr>
          <w:rFonts w:hint="default" w:ascii="Times New Roman" w:hAnsi="Times New Roman" w:eastAsia="仿宋_GB2312" w:cs="Times New Roman"/>
          <w:color w:val="auto"/>
          <w:sz w:val="32"/>
          <w:szCs w:val="32"/>
          <w:highlight w:val="none"/>
          <w:lang w:val="en-US" w:eastAsia="zh-CN"/>
        </w:rPr>
        <w:t>得分</w:t>
      </w:r>
      <w:r>
        <w:rPr>
          <w:rFonts w:hint="eastAsia" w:ascii="Times New Roman" w:hAnsi="Times New Roman" w:eastAsia="仿宋_GB2312" w:cs="Times New Roman"/>
          <w:color w:val="auto"/>
          <w:sz w:val="32"/>
          <w:szCs w:val="32"/>
          <w:highlight w:val="none"/>
          <w:lang w:val="en-US" w:eastAsia="zh-CN"/>
        </w:rPr>
        <w:t>28</w:t>
      </w:r>
      <w:r>
        <w:rPr>
          <w:rFonts w:hint="default" w:ascii="Times New Roman" w:hAnsi="Times New Roman" w:eastAsia="仿宋_GB2312" w:cs="Times New Roman"/>
          <w:color w:val="auto"/>
          <w:sz w:val="32"/>
          <w:szCs w:val="32"/>
          <w:highlight w:val="none"/>
          <w:lang w:val="en-US" w:eastAsia="zh-CN"/>
        </w:rPr>
        <w:t>分、满意度指标</w:t>
      </w:r>
      <w:r>
        <w:rPr>
          <w:rFonts w:hint="eastAsia" w:ascii="Times New Roman" w:hAnsi="Times New Roman" w:eastAsia="仿宋_GB2312" w:cs="Times New Roman"/>
          <w:color w:val="auto"/>
          <w:sz w:val="32"/>
          <w:szCs w:val="32"/>
          <w:highlight w:val="none"/>
          <w:lang w:val="en-US" w:eastAsia="zh-CN"/>
        </w:rPr>
        <w:t>（10分）</w:t>
      </w:r>
      <w:r>
        <w:rPr>
          <w:rFonts w:hint="default" w:ascii="Times New Roman" w:hAnsi="Times New Roman" w:eastAsia="仿宋_GB2312" w:cs="Times New Roman"/>
          <w:color w:val="auto"/>
          <w:sz w:val="32"/>
          <w:szCs w:val="32"/>
          <w:highlight w:val="none"/>
          <w:lang w:val="en-US" w:eastAsia="zh-CN"/>
        </w:rPr>
        <w:t>得分10分。</w:t>
      </w:r>
      <w:r>
        <w:rPr>
          <w:rFonts w:hint="eastAsia" w:ascii="Times New Roman" w:hAnsi="Times New Roman" w:eastAsia="仿宋_GB2312" w:cs="Times New Roman"/>
          <w:color w:val="auto"/>
          <w:sz w:val="32"/>
          <w:szCs w:val="32"/>
          <w:highlight w:val="none"/>
          <w:lang w:val="en-US" w:eastAsia="zh-CN"/>
        </w:rPr>
        <w:t>预算执行率自评得分9.5分。</w:t>
      </w:r>
      <w:r>
        <w:rPr>
          <w:rFonts w:hint="default" w:ascii="Times New Roman" w:hAnsi="Times New Roman" w:eastAsia="仿宋_GB2312" w:cs="Times New Roman"/>
          <w:color w:val="auto"/>
          <w:sz w:val="32"/>
          <w:szCs w:val="32"/>
          <w:highlight w:val="none"/>
          <w:lang w:val="en-US" w:eastAsia="zh-CN"/>
        </w:rPr>
        <w:t>主要绩效情况如下：</w:t>
      </w:r>
    </w:p>
    <w:p>
      <w:pPr>
        <w:pStyle w:val="25"/>
        <w:keepNext w:val="0"/>
        <w:keepLines w:val="0"/>
        <w:pageBreakBefore w:val="0"/>
        <w:widowControl w:val="0"/>
        <w:kinsoku/>
        <w:wordWrap/>
        <w:overflowPunct/>
        <w:topLinePunct w:val="0"/>
        <w:autoSpaceDE/>
        <w:autoSpaceDN/>
        <w:bidi w:val="0"/>
        <w:spacing w:line="600" w:lineRule="exact"/>
        <w:ind w:left="0" w:leftChars="0" w:right="0" w:rightChars="0"/>
        <w:textAlignment w:val="auto"/>
        <w:outlineLvl w:val="1"/>
        <w:rPr>
          <w:rFonts w:hint="default" w:ascii="楷体_GB2312" w:hAnsi="楷体_GB2312" w:eastAsia="楷体_GB2312" w:cs="楷体_GB2312"/>
          <w:b/>
          <w:bCs/>
          <w:color w:val="auto"/>
          <w:sz w:val="32"/>
          <w:szCs w:val="32"/>
          <w:highlight w:val="none"/>
        </w:rPr>
      </w:pPr>
      <w:r>
        <w:rPr>
          <w:rFonts w:hint="default" w:ascii="楷体_GB2312" w:hAnsi="楷体_GB2312" w:eastAsia="楷体_GB2312" w:cs="楷体_GB2312"/>
          <w:b/>
          <w:bCs/>
          <w:color w:val="auto"/>
          <w:sz w:val="32"/>
          <w:szCs w:val="32"/>
          <w:highlight w:val="none"/>
          <w:lang w:eastAsia="zh-CN"/>
        </w:rPr>
        <w:t>（</w:t>
      </w:r>
      <w:r>
        <w:rPr>
          <w:rFonts w:hint="default" w:ascii="楷体_GB2312" w:hAnsi="楷体_GB2312" w:eastAsia="楷体_GB2312" w:cs="楷体_GB2312"/>
          <w:b/>
          <w:bCs/>
          <w:color w:val="auto"/>
          <w:sz w:val="32"/>
          <w:szCs w:val="32"/>
          <w:highlight w:val="none"/>
          <w:lang w:val="en-US" w:eastAsia="zh-CN"/>
        </w:rPr>
        <w:t>二）</w:t>
      </w:r>
      <w:r>
        <w:rPr>
          <w:rFonts w:hint="default" w:ascii="楷体_GB2312" w:hAnsi="楷体_GB2312" w:eastAsia="楷体_GB2312" w:cs="楷体_GB2312"/>
          <w:b/>
          <w:bCs/>
          <w:color w:val="auto"/>
          <w:sz w:val="32"/>
          <w:szCs w:val="32"/>
          <w:highlight w:val="none"/>
        </w:rPr>
        <w:t>绩效情况分析</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Times New Roman" w:hAnsi="Times New Roman" w:eastAsia="仿宋_GB2312" w:cs="Times New Roman"/>
          <w:i w:val="0"/>
          <w:caps w:val="0"/>
          <w:color w:val="000000" w:themeColor="text1"/>
          <w:spacing w:val="0"/>
          <w:sz w:val="32"/>
          <w:szCs w:val="32"/>
          <w:shd w:val="clear" w:color="auto" w:fill="FFFFFF"/>
          <w:lang w:val="en-US" w:eastAsia="zh-CN"/>
          <w14:textFill>
            <w14:solidFill>
              <w14:schemeClr w14:val="tx1"/>
            </w14:solidFill>
          </w14:textFill>
        </w:rPr>
      </w:pPr>
      <w:r>
        <w:rPr>
          <w:rFonts w:hint="default" w:ascii="Times New Roman" w:hAnsi="Times New Roman" w:eastAsia="仿宋_GB2312" w:cs="Times New Roman"/>
          <w:sz w:val="32"/>
          <w:szCs w:val="32"/>
          <w:lang w:val="en-US" w:eastAsia="zh-CN"/>
        </w:rPr>
        <w:t>2024年我站在厅党组的坚强领导下，坚持以习近平新时代中国特色社会主义思想为指导，全面贯彻落实党的二十大精神，深入贯彻落实习近平总书记关于“三农”工作的重要论述和对湖南重要讲话重要指示批示精神，围绕建设农业强省目标，</w:t>
      </w:r>
      <w:r>
        <w:rPr>
          <w:rFonts w:hint="default" w:ascii="Times New Roman" w:hAnsi="Times New Roman" w:eastAsia="仿宋_GB2312" w:cs="Times New Roman"/>
          <w:i w:val="0"/>
          <w:caps w:val="0"/>
          <w:color w:val="000000" w:themeColor="text1"/>
          <w:spacing w:val="0"/>
          <w:sz w:val="32"/>
          <w:szCs w:val="32"/>
          <w:shd w:val="clear" w:color="auto" w:fill="FFFFFF"/>
          <w:lang w:val="en-US" w:eastAsia="zh-CN"/>
          <w14:textFill>
            <w14:solidFill>
              <w14:schemeClr w14:val="tx1"/>
            </w14:solidFill>
          </w14:textFill>
        </w:rPr>
        <w:t>深化农技推广体系改革建设，强化农技推广机构公益性职责履行，加强先进适用技术集成示范推广，加快信息化服务手段普及应用，大力提升农技推广服务效能，为加快建设农业强省、实现农业农村现代化提供强有力支撑。</w:t>
      </w:r>
    </w:p>
    <w:p>
      <w:pPr>
        <w:keepNext w:val="0"/>
        <w:keepLines w:val="0"/>
        <w:pageBreakBefore w:val="0"/>
        <w:kinsoku/>
        <w:wordWrap/>
        <w:overflowPunct/>
        <w:topLinePunct w:val="0"/>
        <w:bidi w:val="0"/>
        <w:snapToGrid w:val="0"/>
        <w:spacing w:line="600" w:lineRule="exact"/>
        <w:ind w:left="0" w:leftChars="0"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color w:val="000000"/>
          <w:kern w:val="2"/>
          <w:sz w:val="32"/>
          <w:szCs w:val="32"/>
          <w:lang w:val="en-US" w:eastAsia="zh-CN" w:bidi="ar-SA"/>
        </w:rPr>
        <w:t>1、全力开展农业技术推广服务。</w:t>
      </w:r>
      <w:r>
        <w:rPr>
          <w:rFonts w:hint="default" w:ascii="Times New Roman" w:hAnsi="Times New Roman" w:eastAsia="仿宋_GB2312" w:cs="Times New Roman"/>
          <w:b/>
          <w:bCs/>
          <w:color w:val="000000"/>
          <w:kern w:val="2"/>
          <w:sz w:val="32"/>
          <w:szCs w:val="32"/>
          <w:lang w:val="en-US" w:eastAsia="zh-CN" w:bidi="ar-SA"/>
        </w:rPr>
        <w:t>一是</w:t>
      </w:r>
      <w:r>
        <w:rPr>
          <w:rFonts w:hint="default" w:ascii="Times New Roman" w:hAnsi="Times New Roman" w:eastAsia="仿宋_GB2312" w:cs="Times New Roman"/>
          <w:sz w:val="32"/>
          <w:szCs w:val="32"/>
        </w:rPr>
        <w:t>扎实开展农业实用技术集成示范。围绕粮油作物大面积单产提升行动，开展水稻、油菜等主要粮油作物单产提升关键技术组装集成与示范推广，全省农技推广机构创建以粮油类为主科技示范基地327个。我站重点开展了育秧大棚综合利用、稻稻油、稻再油等技术试验示范。推广一批蔬菜、茶叶、中药材等优质高效、节水节肥节药、立体复合种养等绿色高效技术，支持建设相关技术试验示范基地18个。</w:t>
      </w:r>
      <w:r>
        <w:rPr>
          <w:rFonts w:hint="default" w:ascii="Times New Roman" w:hAnsi="Times New Roman" w:eastAsia="仿宋_GB2312" w:cs="Times New Roman"/>
          <w:b/>
          <w:bCs/>
          <w:color w:val="000000"/>
          <w:kern w:val="2"/>
          <w:sz w:val="32"/>
          <w:szCs w:val="32"/>
          <w:lang w:val="en-US" w:eastAsia="zh-CN" w:bidi="ar-SA"/>
        </w:rPr>
        <w:t>二是</w:t>
      </w:r>
      <w:r>
        <w:rPr>
          <w:rFonts w:hint="default" w:ascii="Times New Roman" w:hAnsi="Times New Roman" w:eastAsia="仿宋_GB2312" w:cs="Times New Roman"/>
          <w:sz w:val="32"/>
          <w:szCs w:val="32"/>
        </w:rPr>
        <w:t>加快先进适用技术入户到田。省级遴选推介32项主导品种和15项主推技术，各地围绕主导品种主推技术创办展示示范基地、遴选技术指导员、培育农民技术员、开展技术示范培训，包村联户开展技术指导服务，构建形成畅通高效的主推技术示范推广渠道。全年开展技术培训800余场次，累计培训大户约1.15万人次。在年初冰冻灾害和年中洪涝灾害期间，组织党员干部赴基层开展救灾补损技术服务10余次，编印发放救灾补损技术手册口袋书800余本。</w:t>
      </w:r>
      <w:r>
        <w:rPr>
          <w:rFonts w:hint="default" w:ascii="Times New Roman" w:hAnsi="Times New Roman" w:eastAsia="仿宋_GB2312" w:cs="Times New Roman"/>
          <w:b/>
          <w:bCs/>
          <w:color w:val="000000"/>
          <w:kern w:val="2"/>
          <w:sz w:val="32"/>
          <w:szCs w:val="32"/>
          <w:lang w:val="en-US" w:eastAsia="zh-CN" w:bidi="ar-SA"/>
        </w:rPr>
        <w:t>三</w:t>
      </w:r>
      <w:r>
        <w:rPr>
          <w:rFonts w:hint="default" w:ascii="Times New Roman" w:hAnsi="Times New Roman" w:eastAsia="仿宋_GB2312" w:cs="Times New Roman"/>
          <w:b/>
          <w:bCs/>
          <w:color w:val="000000"/>
          <w:kern w:val="2"/>
          <w:sz w:val="32"/>
          <w:szCs w:val="32"/>
          <w:lang w:val="zh-CN" w:eastAsia="zh-CN" w:bidi="ar-SA"/>
        </w:rPr>
        <w:t>是</w:t>
      </w:r>
      <w:r>
        <w:rPr>
          <w:rFonts w:hint="default" w:ascii="Times New Roman" w:hAnsi="Times New Roman" w:eastAsia="仿宋_GB2312" w:cs="Times New Roman"/>
          <w:sz w:val="32"/>
          <w:szCs w:val="32"/>
        </w:rPr>
        <w:t>创新农技推广服务机制。省级</w:t>
      </w:r>
      <w:r>
        <w:rPr>
          <w:rFonts w:hint="default" w:ascii="Times New Roman" w:hAnsi="Times New Roman" w:eastAsia="仿宋_GB2312" w:cs="Times New Roman"/>
          <w:sz w:val="32"/>
          <w:szCs w:val="32"/>
          <w:lang w:val="zh-CN"/>
        </w:rPr>
        <w:t>围绕洞庭湘米、早熟油菜</w:t>
      </w:r>
      <w:r>
        <w:rPr>
          <w:rFonts w:hint="default" w:ascii="Times New Roman" w:hAnsi="Times New Roman" w:eastAsia="仿宋_GB2312" w:cs="Times New Roman"/>
          <w:sz w:val="32"/>
          <w:szCs w:val="32"/>
        </w:rPr>
        <w:t>等7</w:t>
      </w:r>
      <w:r>
        <w:rPr>
          <w:rFonts w:hint="default" w:ascii="Times New Roman" w:hAnsi="Times New Roman" w:eastAsia="仿宋_GB2312" w:cs="Times New Roman"/>
          <w:sz w:val="32"/>
          <w:szCs w:val="32"/>
          <w:lang w:val="zh-CN"/>
        </w:rPr>
        <w:t>大产业集群，联合省农科院及湖南农业大学组建省级专家团队，提供全产业链咨询和全程科技服务，</w:t>
      </w:r>
      <w:r>
        <w:rPr>
          <w:rFonts w:hint="default" w:ascii="Times New Roman" w:hAnsi="Times New Roman" w:eastAsia="仿宋_GB2312" w:cs="Times New Roman"/>
          <w:sz w:val="32"/>
          <w:szCs w:val="32"/>
        </w:rPr>
        <w:t>助推全省特色产业发展。</w:t>
      </w:r>
    </w:p>
    <w:p>
      <w:pPr>
        <w:keepNext w:val="0"/>
        <w:keepLines w:val="0"/>
        <w:pageBreakBefore w:val="0"/>
        <w:kinsoku/>
        <w:wordWrap/>
        <w:overflowPunct/>
        <w:topLinePunct w:val="0"/>
        <w:bidi w:val="0"/>
        <w:snapToGrid w:val="0"/>
        <w:spacing w:line="600" w:lineRule="exact"/>
        <w:ind w:left="0" w:leftChars="0"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color w:val="000000"/>
          <w:kern w:val="2"/>
          <w:sz w:val="32"/>
          <w:szCs w:val="32"/>
          <w:lang w:val="en-US" w:eastAsia="zh-CN" w:bidi="ar-SA"/>
        </w:rPr>
        <w:t>2、全力推进推广体系能力建设。</w:t>
      </w:r>
      <w:r>
        <w:rPr>
          <w:rFonts w:hint="default" w:ascii="Times New Roman" w:hAnsi="Times New Roman" w:eastAsia="仿宋_GB2312" w:cs="Times New Roman"/>
          <w:b/>
          <w:bCs/>
          <w:color w:val="000000"/>
          <w:kern w:val="2"/>
          <w:sz w:val="32"/>
          <w:szCs w:val="32"/>
          <w:lang w:val="en-US" w:eastAsia="zh-CN" w:bidi="ar-SA"/>
        </w:rPr>
        <w:t>一是</w:t>
      </w:r>
      <w:r>
        <w:rPr>
          <w:rFonts w:hint="default" w:ascii="Times New Roman" w:hAnsi="Times New Roman" w:eastAsia="仿宋_GB2312" w:cs="Times New Roman"/>
          <w:sz w:val="32"/>
          <w:szCs w:val="32"/>
        </w:rPr>
        <w:t>配合做好“一法一办法”执法检查。</w:t>
      </w:r>
      <w:r>
        <w:rPr>
          <w:rFonts w:hint="default" w:ascii="Times New Roman" w:hAnsi="Times New Roman" w:eastAsia="仿宋_GB2312" w:cs="Times New Roman"/>
          <w:sz w:val="32"/>
          <w:szCs w:val="32"/>
          <w:lang w:val="zh-CN"/>
        </w:rPr>
        <w:t>对执法检查提出的</w:t>
      </w:r>
      <w:r>
        <w:rPr>
          <w:rFonts w:hint="default" w:ascii="Times New Roman" w:hAnsi="Times New Roman" w:eastAsia="仿宋_GB2312" w:cs="Times New Roman"/>
          <w:sz w:val="32"/>
          <w:szCs w:val="32"/>
        </w:rPr>
        <w:t>22条审议意见和26个问题进行任务分解，列出审议意见办理任务和检查发现问题整改清单并发至相关省直厅局单位，明确办理时间要求，确保审议意见和问题整改有的放矢。</w:t>
      </w:r>
      <w:r>
        <w:rPr>
          <w:rFonts w:hint="default" w:ascii="Times New Roman" w:hAnsi="Times New Roman" w:eastAsia="仿宋_GB2312" w:cs="Times New Roman"/>
          <w:b/>
          <w:bCs/>
          <w:color w:val="000000"/>
          <w:kern w:val="2"/>
          <w:sz w:val="32"/>
          <w:szCs w:val="32"/>
          <w:lang w:val="en-US" w:eastAsia="zh-CN" w:bidi="ar-SA"/>
        </w:rPr>
        <w:t>二是</w:t>
      </w:r>
      <w:r>
        <w:rPr>
          <w:rFonts w:hint="default" w:ascii="Times New Roman" w:hAnsi="Times New Roman" w:eastAsia="仿宋_GB2312" w:cs="Times New Roman"/>
          <w:sz w:val="32"/>
          <w:szCs w:val="32"/>
        </w:rPr>
        <w:t>持续提升农技人员队伍素质，依托基层农技人员补助项目的实施，分级分类培训农技人员9200余人次（含省级培训400人次），支持557名基层农技人员开展学历提升培训，新招收农技特岗生441名，2024年毕业的750名农技特岗生已全部上岗就业。加强农技推广方式方法创新，利用产业集群专家服务团队、基层农技站长培训等，搭建农业科研人员与基层农技推广机构直接沟通见面平台，促进科技成果加快转化。全省共培育科技示范主体7840户，特聘农技推广员100余名，充分调动社会力量参与农技推广。</w:t>
      </w:r>
      <w:r>
        <w:rPr>
          <w:rFonts w:hint="default" w:ascii="Times New Roman" w:hAnsi="Times New Roman" w:eastAsia="仿宋_GB2312" w:cs="Times New Roman"/>
          <w:b/>
          <w:bCs/>
          <w:color w:val="000000"/>
          <w:kern w:val="2"/>
          <w:sz w:val="32"/>
          <w:szCs w:val="32"/>
          <w:lang w:val="en-US" w:eastAsia="zh-CN" w:bidi="ar-SA"/>
        </w:rPr>
        <w:t>三是</w:t>
      </w:r>
      <w:r>
        <w:rPr>
          <w:rFonts w:hint="default" w:ascii="Times New Roman" w:hAnsi="Times New Roman" w:eastAsia="仿宋_GB2312" w:cs="Times New Roman"/>
          <w:sz w:val="32"/>
          <w:szCs w:val="32"/>
        </w:rPr>
        <w:t>有序推进基层农技推广体系条件建设，引导部分县（60%以上的县）持续开展星级服务创建活动，通过改善办公条件，加强制度建设，创新工作方法等途径，激发乡镇农技人员的工作积极主动性。</w:t>
      </w:r>
    </w:p>
    <w:p>
      <w:pPr>
        <w:keepNext w:val="0"/>
        <w:keepLines w:val="0"/>
        <w:pageBreakBefore w:val="0"/>
        <w:kinsoku/>
        <w:wordWrap/>
        <w:overflowPunct/>
        <w:topLinePunct w:val="0"/>
        <w:autoSpaceDE/>
        <w:autoSpaceDN/>
        <w:bidi w:val="0"/>
        <w:adjustRightInd/>
        <w:snapToGrid w:val="0"/>
        <w:spacing w:line="540" w:lineRule="exact"/>
        <w:ind w:left="0" w:leftChars="0" w:right="0" w:rightChars="0" w:firstLine="640" w:firstLineChars="200"/>
        <w:textAlignment w:val="auto"/>
        <w:rPr>
          <w:rStyle w:val="23"/>
          <w:rFonts w:hint="default" w:ascii="Times New Roman" w:hAnsi="Times New Roman" w:cs="Times New Roman"/>
          <w:sz w:val="32"/>
          <w:szCs w:val="32"/>
          <w:lang w:bidi="ar"/>
        </w:rPr>
      </w:pPr>
      <w:r>
        <w:rPr>
          <w:rFonts w:hint="default" w:ascii="Times New Roman" w:hAnsi="Times New Roman" w:eastAsia="楷体_GB2312" w:cs="Times New Roman"/>
          <w:b/>
          <w:bCs/>
          <w:color w:val="000000"/>
          <w:kern w:val="2"/>
          <w:sz w:val="32"/>
          <w:szCs w:val="32"/>
          <w:lang w:val="en-US" w:eastAsia="zh-CN" w:bidi="ar-SA"/>
        </w:rPr>
        <w:t>3、全力提升“互联网+”农技推广信息化水平。</w:t>
      </w:r>
      <w:r>
        <w:rPr>
          <w:rFonts w:hint="default" w:ascii="Times New Roman" w:hAnsi="Times New Roman" w:eastAsia="仿宋_GB2312" w:cs="Times New Roman"/>
          <w:b/>
          <w:bCs/>
          <w:color w:val="000000"/>
          <w:kern w:val="2"/>
          <w:sz w:val="32"/>
          <w:szCs w:val="32"/>
          <w:lang w:val="en-US" w:eastAsia="zh-CN" w:bidi="ar-SA"/>
        </w:rPr>
        <w:t>一是</w:t>
      </w:r>
      <w:r>
        <w:rPr>
          <w:rFonts w:hint="default" w:ascii="Times New Roman" w:hAnsi="Times New Roman" w:eastAsia="仿宋_GB2312" w:cs="Times New Roman"/>
          <w:sz w:val="32"/>
          <w:szCs w:val="32"/>
        </w:rPr>
        <w:t>高产出推进“湘农快拍”提质升级，“湘农快拍”微视频农技服务团队扩大至9个，推动建设一批农技微视频拍摄制作基地，围绕技能提升开展2期培训，进一步将农技专家转化为“田野网红”。全年“湘农快拍”共推出作品221部，各平台播放总量增长201%，粉丝总数同比增长213%，单部作品最高播放量超20万次。</w:t>
      </w:r>
      <w:r>
        <w:rPr>
          <w:rFonts w:hint="default" w:ascii="Times New Roman" w:hAnsi="Times New Roman" w:eastAsia="仿宋_GB2312" w:cs="Times New Roman"/>
          <w:b/>
          <w:bCs/>
          <w:color w:val="000000"/>
          <w:kern w:val="2"/>
          <w:sz w:val="32"/>
          <w:szCs w:val="32"/>
          <w:lang w:val="en-US" w:eastAsia="zh-CN" w:bidi="ar-SA"/>
        </w:rPr>
        <w:t>二是</w:t>
      </w:r>
      <w:r>
        <w:rPr>
          <w:rFonts w:hint="default" w:ascii="Times New Roman" w:hAnsi="Times New Roman" w:eastAsia="仿宋_GB2312" w:cs="Times New Roman"/>
          <w:sz w:val="32"/>
          <w:szCs w:val="32"/>
        </w:rPr>
        <w:t>高效能推动农技大课堂持续发力。农技大课堂数据搬迁至厅信息中心服务器，在厅官网开设专栏，继续围绕主要农作物大面积提单产行动，抓住农业生产和救灾补损关键时间节点</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邀请院士</w:t>
      </w:r>
      <w:r>
        <w:rPr>
          <w:rFonts w:hint="default" w:ascii="Times New Roman" w:hAnsi="Times New Roman" w:eastAsia="仿宋_GB2312" w:cs="Times New Roman"/>
          <w:sz w:val="32"/>
          <w:szCs w:val="32"/>
          <w:lang w:val="zh-CN"/>
        </w:rPr>
        <w:t>专家</w:t>
      </w:r>
      <w:r>
        <w:rPr>
          <w:rFonts w:hint="default" w:ascii="Times New Roman" w:hAnsi="Times New Roman" w:eastAsia="仿宋_GB2312" w:cs="Times New Roman"/>
          <w:sz w:val="32"/>
          <w:szCs w:val="32"/>
        </w:rPr>
        <w:t>开展在线讲座，录制《水稻害虫发生趋势及其防治》系列专题课程17节，总访问量达141万次。</w:t>
      </w:r>
      <w:r>
        <w:rPr>
          <w:rFonts w:hint="default" w:ascii="Times New Roman" w:hAnsi="Times New Roman" w:eastAsia="仿宋_GB2312" w:cs="Times New Roman"/>
          <w:b/>
          <w:bCs/>
          <w:color w:val="000000"/>
          <w:kern w:val="2"/>
          <w:sz w:val="32"/>
          <w:szCs w:val="32"/>
          <w:lang w:val="en-US" w:eastAsia="zh-CN" w:bidi="ar-SA"/>
        </w:rPr>
        <w:t>三是</w:t>
      </w:r>
      <w:r>
        <w:rPr>
          <w:rFonts w:hint="default" w:ascii="Times New Roman" w:hAnsi="Times New Roman" w:eastAsia="仿宋_GB2312" w:cs="Times New Roman"/>
          <w:sz w:val="32"/>
          <w:szCs w:val="32"/>
        </w:rPr>
        <w:t>高质量制作技术专题片。拍摄制作了《湖南冰冻灾害后油菜田间管理》《水稻集中育秧技术要点》2部提单产技术专题片，邀请行业内专家对专题片技术进行把关，及时宣推，反响良好。深入农科院、长沙县、汨罗市等地实地拍摄油菜栽培技术系列专题片，目前正按计划制作推出，确保广大农民朋友在油菜种植季及时获得专业技术支持。四是强化中国农技推广APP使用。全省基层农技人员使用率超过80%，依托中国农技推广APP组织基层农技人员、农业科技示范主体、服务专家等开展线上交流学习和科技服务，将农技人员APP活跃度纳入年度粮食生产考核指标中农技人员（种植业）身份确定的主要依据。</w:t>
      </w:r>
    </w:p>
    <w:p>
      <w:pPr>
        <w:pStyle w:val="18"/>
        <w:keepNext w:val="0"/>
        <w:keepLines w:val="0"/>
        <w:pageBreakBefore w:val="0"/>
        <w:widowControl/>
        <w:kinsoku/>
        <w:wordWrap/>
        <w:overflowPunct/>
        <w:topLinePunct w:val="0"/>
        <w:autoSpaceDE/>
        <w:autoSpaceDN/>
        <w:bidi w:val="0"/>
        <w:adjustRightInd/>
        <w:spacing w:line="540" w:lineRule="exact"/>
        <w:ind w:left="0" w:leftChars="0" w:right="0" w:rightChars="0"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七</w:t>
      </w:r>
      <w:r>
        <w:rPr>
          <w:rFonts w:hint="default" w:ascii="Times New Roman" w:hAnsi="Times New Roman" w:eastAsia="黑体" w:cs="Times New Roman"/>
          <w:sz w:val="32"/>
          <w:szCs w:val="32"/>
        </w:rPr>
        <w:t>、存在的问题及原因分析</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部分项目支出结余较多，</w:t>
      </w:r>
      <w:r>
        <w:rPr>
          <w:rFonts w:hint="default" w:ascii="Times New Roman" w:hAnsi="Times New Roman" w:eastAsia="仿宋_GB2312" w:cs="Times New Roman"/>
          <w:color w:val="auto"/>
          <w:sz w:val="32"/>
          <w:szCs w:val="32"/>
          <w:highlight w:val="none"/>
        </w:rPr>
        <w:t>在今后工作</w:t>
      </w:r>
      <w:r>
        <w:rPr>
          <w:rFonts w:hint="default" w:ascii="Times New Roman" w:hAnsi="Times New Roman" w:eastAsia="仿宋_GB2312" w:cs="Times New Roman"/>
          <w:color w:val="auto"/>
          <w:sz w:val="32"/>
          <w:szCs w:val="32"/>
          <w:highlight w:val="none"/>
          <w:lang w:val="en-US" w:eastAsia="zh-CN"/>
        </w:rPr>
        <w:t>中</w:t>
      </w:r>
      <w:r>
        <w:rPr>
          <w:rFonts w:hint="default" w:ascii="Times New Roman" w:hAnsi="Times New Roman" w:eastAsia="仿宋_GB2312" w:cs="Times New Roman"/>
          <w:color w:val="auto"/>
          <w:sz w:val="32"/>
          <w:szCs w:val="32"/>
          <w:highlight w:val="none"/>
        </w:rPr>
        <w:t>需加强年初部门预算编制</w:t>
      </w:r>
      <w:r>
        <w:rPr>
          <w:rFonts w:hint="default" w:ascii="Times New Roman" w:hAnsi="Times New Roman" w:eastAsia="仿宋_GB2312" w:cs="Times New Roman"/>
          <w:color w:val="auto"/>
          <w:sz w:val="32"/>
          <w:szCs w:val="32"/>
          <w:highlight w:val="none"/>
          <w:lang w:eastAsia="zh-CN"/>
        </w:rPr>
        <w:t>的精准度</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根据当年工作计划</w:t>
      </w:r>
      <w:r>
        <w:rPr>
          <w:rFonts w:hint="default" w:ascii="Times New Roman" w:hAnsi="Times New Roman" w:eastAsia="仿宋_GB2312" w:cs="Times New Roman"/>
          <w:color w:val="auto"/>
          <w:sz w:val="32"/>
          <w:szCs w:val="32"/>
          <w:highlight w:val="none"/>
        </w:rPr>
        <w:t>细化项目预算</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盘活资金，</w:t>
      </w:r>
      <w:r>
        <w:rPr>
          <w:rFonts w:hint="default" w:ascii="Times New Roman" w:hAnsi="Times New Roman" w:eastAsia="仿宋_GB2312" w:cs="Times New Roman"/>
          <w:color w:val="auto"/>
          <w:sz w:val="32"/>
          <w:szCs w:val="32"/>
          <w:highlight w:val="none"/>
        </w:rPr>
        <w:t>加大预算执行力度，提高资金使用效率。</w:t>
      </w:r>
    </w:p>
    <w:p>
      <w:pPr>
        <w:keepNext w:val="0"/>
        <w:keepLines w:val="0"/>
        <w:pageBreakBefore w:val="0"/>
        <w:widowControl/>
        <w:kinsoku/>
        <w:wordWrap/>
        <w:overflowPunct/>
        <w:topLinePunct w:val="0"/>
        <w:autoSpaceDE/>
        <w:autoSpaceDN/>
        <w:bidi w:val="0"/>
        <w:adjustRightInd/>
        <w:spacing w:line="540" w:lineRule="exact"/>
        <w:ind w:left="0" w:leftChars="0" w:right="0" w:rightChars="0"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八</w:t>
      </w:r>
      <w:r>
        <w:rPr>
          <w:rFonts w:hint="default" w:ascii="Times New Roman" w:hAnsi="Times New Roman" w:eastAsia="黑体" w:cs="Times New Roman"/>
          <w:sz w:val="32"/>
          <w:szCs w:val="32"/>
        </w:rPr>
        <w:t>、下一步改进措施</w:t>
      </w:r>
    </w:p>
    <w:p>
      <w:pPr>
        <w:pStyle w:val="18"/>
        <w:keepNext w:val="0"/>
        <w:keepLines w:val="0"/>
        <w:pageBreakBefore w:val="0"/>
        <w:widowControl/>
        <w:kinsoku/>
        <w:wordWrap/>
        <w:overflowPunct/>
        <w:topLinePunct w:val="0"/>
        <w:autoSpaceDE/>
        <w:autoSpaceDN/>
        <w:bidi w:val="0"/>
        <w:adjustRightInd/>
        <w:spacing w:line="540" w:lineRule="exact"/>
        <w:ind w:left="0" w:leftChars="0" w:right="0" w:rightChars="0" w:firstLine="640"/>
        <w:jc w:val="left"/>
        <w:textAlignment w:val="auto"/>
        <w:rPr>
          <w:rFonts w:hint="default" w:ascii="Times New Roman" w:hAnsi="Times New Roman" w:eastAsia="仿宋_GB2312" w:cs="Times New Roman"/>
          <w:sz w:val="32"/>
          <w:szCs w:val="32"/>
        </w:rPr>
      </w:pPr>
      <w:r>
        <w:rPr>
          <w:rStyle w:val="24"/>
          <w:rFonts w:hint="default" w:ascii="Times New Roman" w:hAnsi="Times New Roman" w:eastAsia="仿宋_GB2312" w:cs="Times New Roman"/>
          <w:sz w:val="32"/>
          <w:szCs w:val="32"/>
        </w:rPr>
        <w:t>一是加强与上级主管部门和财政部门的沟通联系，争取资金早日下拨</w:t>
      </w:r>
      <w:r>
        <w:rPr>
          <w:rStyle w:val="24"/>
          <w:rFonts w:hint="default" w:ascii="Times New Roman" w:hAnsi="Times New Roman" w:eastAsia="仿宋_GB2312" w:cs="Times New Roman"/>
          <w:sz w:val="32"/>
          <w:szCs w:val="32"/>
          <w:lang w:eastAsia="zh-CN"/>
        </w:rPr>
        <w:t>。</w:t>
      </w:r>
      <w:r>
        <w:rPr>
          <w:rStyle w:val="24"/>
          <w:rFonts w:hint="default" w:ascii="Times New Roman" w:hAnsi="Times New Roman" w:eastAsia="仿宋_GB2312" w:cs="Times New Roman"/>
          <w:sz w:val="32"/>
          <w:szCs w:val="32"/>
        </w:rPr>
        <w:t>二是</w:t>
      </w:r>
      <w:r>
        <w:rPr>
          <w:rFonts w:hint="default" w:ascii="Times New Roman" w:hAnsi="Times New Roman" w:eastAsia="仿宋_GB2312" w:cs="Times New Roman"/>
          <w:color w:val="auto"/>
          <w:sz w:val="32"/>
          <w:szCs w:val="32"/>
        </w:rPr>
        <w:t>科学合理编制预算，严格执行预算。按照《预算法》《会计法</w:t>
      </w:r>
      <w:r>
        <w:rPr>
          <w:rFonts w:hint="eastAsia"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相关规定，参考近年来的预算执行实际情况，结合年度收支计划，科学编制预算。年中适时按实际需要及时调整预算。</w:t>
      </w:r>
      <w:r>
        <w:rPr>
          <w:rFonts w:hint="default" w:ascii="Times New Roman" w:hAnsi="Times New Roman" w:eastAsia="仿宋_GB2312" w:cs="Times New Roman"/>
          <w:color w:val="auto"/>
          <w:sz w:val="32"/>
          <w:szCs w:val="32"/>
          <w:lang w:eastAsia="zh-CN"/>
        </w:rPr>
        <w:t>三</w:t>
      </w:r>
      <w:r>
        <w:rPr>
          <w:rFonts w:hint="default" w:ascii="Times New Roman" w:hAnsi="Times New Roman" w:eastAsia="仿宋_GB2312" w:cs="Times New Roman"/>
          <w:color w:val="auto"/>
          <w:sz w:val="32"/>
          <w:szCs w:val="32"/>
        </w:rPr>
        <w:t>是强化预算执行，提高资金使用效率。对年初没有预算安排的支出原则上不安排支出，无特殊情况不申请新增追加资金</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对本年无法实施的项目资金统筹安排，充分发挥资金效益</w:t>
      </w:r>
      <w:r>
        <w:rPr>
          <w:rStyle w:val="24"/>
          <w:rFonts w:hint="default" w:ascii="Times New Roman" w:hAnsi="Times New Roman" w:eastAsia="仿宋_GB2312" w:cs="Times New Roman"/>
          <w:sz w:val="32"/>
          <w:szCs w:val="32"/>
        </w:rPr>
        <w:t>。</w:t>
      </w:r>
    </w:p>
    <w:p>
      <w:pPr>
        <w:pStyle w:val="26"/>
        <w:keepNext w:val="0"/>
        <w:keepLines w:val="0"/>
        <w:pageBreakBefore w:val="0"/>
        <w:numPr>
          <w:ilvl w:val="0"/>
          <w:numId w:val="2"/>
        </w:numPr>
        <w:kinsoku/>
        <w:wordWrap/>
        <w:overflowPunct/>
        <w:topLinePunct w:val="0"/>
        <w:autoSpaceDE/>
        <w:autoSpaceDN/>
        <w:bidi w:val="0"/>
        <w:adjustRightInd/>
        <w:spacing w:line="540" w:lineRule="exact"/>
        <w:ind w:left="0" w:leftChars="0" w:right="0" w:rightChars="0"/>
        <w:textAlignment w:val="auto"/>
        <w:outlineLvl w:val="0"/>
        <w:rPr>
          <w:rFonts w:hint="default" w:ascii="Times New Roman" w:hAnsi="Times New Roman" w:eastAsia="黑体" w:cs="Times New Roman"/>
          <w:sz w:val="32"/>
          <w:szCs w:val="32"/>
        </w:rPr>
      </w:pPr>
      <w:r>
        <w:rPr>
          <w:rFonts w:hint="default" w:ascii="Times New Roman" w:hAnsi="Times New Roman" w:cs="Times New Roman"/>
          <w:color w:val="auto"/>
          <w:sz w:val="32"/>
          <w:szCs w:val="32"/>
          <w:lang w:val="en-US" w:eastAsia="zh-CN"/>
        </w:rPr>
        <w:t>绩效自评结果拟应用和公开情况</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我</w:t>
      </w:r>
      <w:r>
        <w:rPr>
          <w:rFonts w:hint="default" w:ascii="Times New Roman" w:hAnsi="Times New Roman" w:eastAsia="仿宋_GB2312" w:cs="Times New Roman"/>
          <w:color w:val="000000"/>
          <w:sz w:val="32"/>
          <w:szCs w:val="32"/>
          <w:lang w:eastAsia="zh-CN"/>
        </w:rPr>
        <w:t>单位</w:t>
      </w:r>
      <w:r>
        <w:rPr>
          <w:rFonts w:hint="default" w:ascii="Times New Roman" w:hAnsi="Times New Roman" w:eastAsia="仿宋_GB2312" w:cs="Times New Roman"/>
          <w:color w:val="000000"/>
          <w:sz w:val="32"/>
          <w:szCs w:val="32"/>
        </w:rPr>
        <w:t>将对评价中发现的问题，及时进行督促整改。各内设机构要加强预算管理意识，严格按照预算编制的相关制度和要求，结合年度收支计划，科学编制预算，遵循预算管理办法。</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除涉密信息外，</w:t>
      </w:r>
      <w:r>
        <w:rPr>
          <w:rFonts w:hint="default" w:ascii="Times New Roman" w:hAnsi="Times New Roman" w:eastAsia="仿宋_GB2312" w:cs="Times New Roman"/>
          <w:sz w:val="32"/>
          <w:szCs w:val="32"/>
        </w:rPr>
        <w:t>本绩效自评报告将于规定的时间内在湖南省农业农村厅门户网站上进行公示，接受社会的监督。</w:t>
      </w:r>
    </w:p>
    <w:p>
      <w:pPr>
        <w:pStyle w:val="26"/>
        <w:keepNext w:val="0"/>
        <w:keepLines w:val="0"/>
        <w:pageBreakBefore w:val="0"/>
        <w:numPr>
          <w:ilvl w:val="0"/>
          <w:numId w:val="2"/>
        </w:numPr>
        <w:kinsoku/>
        <w:wordWrap/>
        <w:overflowPunct/>
        <w:topLinePunct w:val="0"/>
        <w:autoSpaceDE/>
        <w:autoSpaceDN/>
        <w:bidi w:val="0"/>
        <w:adjustRightInd/>
        <w:spacing w:line="540" w:lineRule="exact"/>
        <w:ind w:left="0" w:leftChars="0" w:right="0" w:rightChars="0"/>
        <w:textAlignment w:val="auto"/>
        <w:outlineLvl w:val="0"/>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其他需要说明的情况</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无其他需要说明的情况。</w:t>
      </w:r>
    </w:p>
    <w:p>
      <w:pPr>
        <w:keepNext w:val="0"/>
        <w:keepLines w:val="0"/>
        <w:pageBreakBefore w:val="0"/>
        <w:widowControl/>
        <w:kinsoku/>
        <w:wordWrap/>
        <w:overflowPunct/>
        <w:topLinePunct w:val="0"/>
        <w:autoSpaceDE/>
        <w:autoSpaceDN/>
        <w:bidi w:val="0"/>
        <w:adjustRightInd/>
        <w:spacing w:line="540" w:lineRule="exact"/>
        <w:ind w:right="0" w:rightChars="0"/>
        <w:jc w:val="left"/>
        <w:textAlignment w:val="auto"/>
        <w:rPr>
          <w:rFonts w:hint="default" w:ascii="Times New Roman" w:hAnsi="Times New Roman" w:eastAsia="仿宋_GB2312" w:cs="Times New Roman"/>
          <w:color w:val="000000"/>
          <w:sz w:val="32"/>
          <w:szCs w:val="32"/>
        </w:rPr>
      </w:pPr>
    </w:p>
    <w:p>
      <w:pPr>
        <w:keepNext w:val="0"/>
        <w:keepLines w:val="0"/>
        <w:pageBreakBefore w:val="0"/>
        <w:widowControl/>
        <w:kinsoku/>
        <w:wordWrap/>
        <w:overflowPunct/>
        <w:topLinePunct w:val="0"/>
        <w:autoSpaceDE/>
        <w:autoSpaceDN/>
        <w:bidi w:val="0"/>
        <w:adjustRightInd/>
        <w:spacing w:line="540" w:lineRule="exact"/>
        <w:ind w:left="0" w:leftChars="0" w:right="0" w:rightChars="0" w:firstLine="645"/>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sz w:val="32"/>
          <w:szCs w:val="32"/>
          <w:highlight w:val="none"/>
        </w:rPr>
        <w:t>附件：</w:t>
      </w: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部门整体支出绩效评价基础数据表</w:t>
      </w:r>
    </w:p>
    <w:p>
      <w:pPr>
        <w:keepNext w:val="0"/>
        <w:keepLines w:val="0"/>
        <w:pageBreakBefore w:val="0"/>
        <w:widowControl/>
        <w:numPr>
          <w:ilvl w:val="0"/>
          <w:numId w:val="3"/>
        </w:numPr>
        <w:kinsoku/>
        <w:wordWrap/>
        <w:overflowPunct/>
        <w:topLinePunct w:val="0"/>
        <w:autoSpaceDE/>
        <w:autoSpaceDN/>
        <w:bidi w:val="0"/>
        <w:adjustRightInd/>
        <w:spacing w:line="540" w:lineRule="exact"/>
        <w:ind w:left="0" w:leftChars="0" w:right="0" w:rightChars="0" w:firstLine="1622" w:firstLineChars="507"/>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部门整体支出绩效自评表</w:t>
      </w:r>
    </w:p>
    <w:p>
      <w:pPr>
        <w:pStyle w:val="3"/>
        <w:keepNext w:val="0"/>
        <w:keepLines w:val="0"/>
        <w:pageBreakBefore w:val="0"/>
        <w:numPr>
          <w:ilvl w:val="0"/>
          <w:numId w:val="3"/>
        </w:numPr>
        <w:kinsoku/>
        <w:wordWrap/>
        <w:overflowPunct/>
        <w:topLinePunct w:val="0"/>
        <w:autoSpaceDE/>
        <w:autoSpaceDN/>
        <w:bidi w:val="0"/>
        <w:adjustRightInd/>
        <w:spacing w:after="0" w:line="540" w:lineRule="exact"/>
        <w:ind w:left="0" w:leftChars="0" w:right="0" w:rightChars="0" w:firstLine="1622" w:firstLineChars="507"/>
        <w:textAlignment w:val="auto"/>
        <w:rPr>
          <w:rFonts w:hint="default"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项目支出绩效自评表—现代农业生产发展</w:t>
      </w:r>
    </w:p>
    <w:p>
      <w:pPr>
        <w:pStyle w:val="3"/>
        <w:keepNext w:val="0"/>
        <w:keepLines w:val="0"/>
        <w:pageBreakBefore w:val="0"/>
        <w:numPr>
          <w:ilvl w:val="0"/>
          <w:numId w:val="3"/>
        </w:numPr>
        <w:kinsoku/>
        <w:wordWrap/>
        <w:overflowPunct/>
        <w:topLinePunct w:val="0"/>
        <w:autoSpaceDE/>
        <w:autoSpaceDN/>
        <w:bidi w:val="0"/>
        <w:adjustRightInd/>
        <w:spacing w:after="0" w:line="540" w:lineRule="exact"/>
        <w:ind w:left="0" w:leftChars="0" w:right="0" w:rightChars="0" w:firstLine="1622" w:firstLineChars="507"/>
        <w:textAlignment w:val="auto"/>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项目支出绩效自评表—其他事业发展资金</w:t>
      </w:r>
    </w:p>
    <w:p>
      <w:pPr>
        <w:pStyle w:val="3"/>
        <w:keepNext w:val="0"/>
        <w:keepLines w:val="0"/>
        <w:pageBreakBefore w:val="0"/>
        <w:numPr>
          <w:ilvl w:val="0"/>
          <w:numId w:val="0"/>
        </w:numPr>
        <w:kinsoku/>
        <w:wordWrap/>
        <w:overflowPunct/>
        <w:topLinePunct w:val="0"/>
        <w:bidi w:val="0"/>
        <w:spacing w:after="0" w:line="600" w:lineRule="exact"/>
        <w:ind w:leftChars="507" w:right="0" w:rightChars="0"/>
        <w:textAlignment w:val="auto"/>
        <w:rPr>
          <w:rFonts w:hint="default" w:ascii="Times New Roman" w:hAnsi="Times New Roman" w:eastAsia="仿宋_GB2312" w:cs="Times New Roman"/>
          <w:sz w:val="32"/>
          <w:szCs w:val="32"/>
          <w:highlight w:val="none"/>
          <w:lang w:val="en-US" w:eastAsia="zh-CN"/>
        </w:rPr>
      </w:pPr>
    </w:p>
    <w:p>
      <w:pPr>
        <w:pStyle w:val="3"/>
        <w:keepNext w:val="0"/>
        <w:keepLines w:val="0"/>
        <w:pageBreakBefore w:val="0"/>
        <w:kinsoku/>
        <w:wordWrap/>
        <w:overflowPunct/>
        <w:topLinePunct w:val="0"/>
        <w:bidi w:val="0"/>
        <w:spacing w:after="0" w:line="600" w:lineRule="exact"/>
        <w:ind w:left="0" w:leftChars="0" w:right="0" w:rightChars="0"/>
        <w:textAlignment w:val="auto"/>
        <w:rPr>
          <w:rFonts w:hint="default" w:ascii="Times New Roman" w:hAnsi="Times New Roman" w:eastAsia="仿宋_GB2312" w:cs="Times New Roman"/>
          <w:sz w:val="32"/>
          <w:szCs w:val="32"/>
          <w:highlight w:val="none"/>
        </w:rPr>
      </w:pPr>
    </w:p>
    <w:p>
      <w:pPr>
        <w:pStyle w:val="3"/>
        <w:keepNext w:val="0"/>
        <w:keepLines w:val="0"/>
        <w:pageBreakBefore w:val="0"/>
        <w:kinsoku/>
        <w:wordWrap/>
        <w:overflowPunct/>
        <w:topLinePunct w:val="0"/>
        <w:bidi w:val="0"/>
        <w:spacing w:after="0" w:line="600" w:lineRule="exact"/>
        <w:ind w:left="0" w:leftChars="0" w:right="0" w:rightChars="0"/>
        <w:textAlignment w:val="auto"/>
        <w:rPr>
          <w:rFonts w:hint="default" w:ascii="Times New Roman" w:hAnsi="Times New Roman" w:eastAsia="仿宋_GB2312" w:cs="Times New Roman"/>
          <w:sz w:val="32"/>
          <w:szCs w:val="32"/>
        </w:rPr>
      </w:pPr>
    </w:p>
    <w:p>
      <w:pPr>
        <w:pStyle w:val="3"/>
        <w:keepNext w:val="0"/>
        <w:keepLines w:val="0"/>
        <w:pageBreakBefore w:val="0"/>
        <w:kinsoku/>
        <w:wordWrap/>
        <w:overflowPunct/>
        <w:topLinePunct w:val="0"/>
        <w:bidi w:val="0"/>
        <w:spacing w:after="0" w:line="600" w:lineRule="exact"/>
        <w:ind w:left="0" w:leftChars="0" w:right="0" w:rightChars="0"/>
        <w:textAlignment w:val="auto"/>
        <w:rPr>
          <w:rFonts w:hint="default" w:ascii="Times New Roman" w:hAnsi="Times New Roman" w:eastAsia="仿宋_GB2312" w:cs="Times New Roman"/>
          <w:sz w:val="32"/>
          <w:szCs w:val="32"/>
        </w:rPr>
      </w:pPr>
    </w:p>
    <w:p>
      <w:pPr>
        <w:pStyle w:val="3"/>
        <w:keepNext w:val="0"/>
        <w:keepLines w:val="0"/>
        <w:pageBreakBefore w:val="0"/>
        <w:kinsoku/>
        <w:wordWrap/>
        <w:overflowPunct/>
        <w:topLinePunct w:val="0"/>
        <w:bidi w:val="0"/>
        <w:spacing w:after="0" w:line="600" w:lineRule="exact"/>
        <w:ind w:left="0" w:leftChars="0" w:right="0" w:rightChars="0"/>
        <w:textAlignment w:val="auto"/>
        <w:rPr>
          <w:rFonts w:hint="default" w:ascii="Times New Roman" w:hAnsi="Times New Roman" w:eastAsia="仿宋_GB2312" w:cs="Times New Roman"/>
          <w:sz w:val="32"/>
          <w:szCs w:val="32"/>
        </w:rPr>
      </w:pPr>
    </w:p>
    <w:p>
      <w:pPr>
        <w:spacing w:after="120" w:afterLines="50" w:line="600" w:lineRule="exact"/>
        <w:jc w:val="left"/>
        <w:rPr>
          <w:rFonts w:hint="eastAsia" w:ascii="Times New Roman" w:hAnsi="Times New Roman" w:eastAsia="方正小标宋_GBK" w:cs="Times New Roman"/>
          <w:sz w:val="36"/>
          <w:szCs w:val="36"/>
          <w:lang w:eastAsia="zh-CN"/>
        </w:rPr>
      </w:pPr>
      <w:r>
        <w:rPr>
          <w:rFonts w:hint="default" w:ascii="Times New Roman" w:hAnsi="Times New Roman" w:eastAsia="方正小标宋_GBK" w:cs="Times New Roman"/>
          <w:sz w:val="36"/>
          <w:szCs w:val="36"/>
          <w:lang w:eastAsia="zh-CN"/>
        </w:rPr>
        <w:t>附件</w:t>
      </w:r>
      <w:r>
        <w:rPr>
          <w:rFonts w:hint="eastAsia" w:ascii="Times New Roman" w:hAnsi="Times New Roman" w:eastAsia="方正小标宋_GBK" w:cs="Times New Roman"/>
          <w:sz w:val="36"/>
          <w:szCs w:val="36"/>
          <w:lang w:val="en-US" w:eastAsia="zh-CN"/>
        </w:rPr>
        <w:t>1：</w:t>
      </w: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4</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3"/>
        <w:tblW w:w="9673" w:type="dxa"/>
        <w:jc w:val="center"/>
        <w:tblLayout w:type="fixed"/>
        <w:tblCellMar>
          <w:top w:w="0" w:type="dxa"/>
          <w:left w:w="108" w:type="dxa"/>
          <w:bottom w:w="0" w:type="dxa"/>
          <w:right w:w="108" w:type="dxa"/>
        </w:tblCellMar>
      </w:tblPr>
      <w:tblGrid>
        <w:gridCol w:w="3323"/>
        <w:gridCol w:w="1187"/>
        <w:gridCol w:w="1077"/>
        <w:gridCol w:w="934"/>
        <w:gridCol w:w="1166"/>
        <w:gridCol w:w="1026"/>
        <w:gridCol w:w="960"/>
      </w:tblGrid>
      <w:tr>
        <w:tblPrEx>
          <w:tblCellMar>
            <w:top w:w="0" w:type="dxa"/>
            <w:left w:w="108" w:type="dxa"/>
            <w:bottom w:w="0" w:type="dxa"/>
            <w:right w:w="108" w:type="dxa"/>
          </w:tblCellMar>
        </w:tblPrEx>
        <w:trPr>
          <w:trHeight w:val="500" w:hRule="atLeast"/>
          <w:jc w:val="center"/>
        </w:trPr>
        <w:tc>
          <w:tcPr>
            <w:tcW w:w="332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264"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10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4</w:t>
            </w:r>
            <w:r>
              <w:rPr>
                <w:rFonts w:hint="default" w:ascii="Times New Roman" w:hAnsi="Times New Roman" w:eastAsia="仿宋_GB2312" w:cs="Times New Roman"/>
                <w:b/>
                <w:bCs/>
                <w:sz w:val="20"/>
                <w:szCs w:val="20"/>
              </w:rPr>
              <w:t>年实际在职人数</w:t>
            </w:r>
          </w:p>
        </w:tc>
        <w:tc>
          <w:tcPr>
            <w:tcW w:w="1986"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CellMar>
            <w:top w:w="0" w:type="dxa"/>
            <w:left w:w="108" w:type="dxa"/>
            <w:bottom w:w="0" w:type="dxa"/>
            <w:right w:w="108" w:type="dxa"/>
          </w:tblCellMar>
        </w:tblPrEx>
        <w:trPr>
          <w:trHeight w:val="486" w:hRule="atLeast"/>
          <w:jc w:val="center"/>
        </w:trPr>
        <w:tc>
          <w:tcPr>
            <w:tcW w:w="332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264"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25</w:t>
            </w:r>
          </w:p>
        </w:tc>
        <w:tc>
          <w:tcPr>
            <w:tcW w:w="210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20</w:t>
            </w:r>
            <w:r>
              <w:rPr>
                <w:rFonts w:hint="default" w:ascii="Times New Roman" w:hAnsi="Times New Roman" w:eastAsia="仿宋_GB2312" w:cs="Times New Roman"/>
                <w:sz w:val="20"/>
                <w:szCs w:val="20"/>
              </w:rPr>
              <w:t>　</w:t>
            </w:r>
          </w:p>
        </w:tc>
        <w:tc>
          <w:tcPr>
            <w:tcW w:w="1986"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80%</w:t>
            </w:r>
            <w:r>
              <w:rPr>
                <w:rFonts w:hint="default" w:ascii="Times New Roman" w:hAnsi="Times New Roman" w:eastAsia="仿宋_GB2312" w:cs="Times New Roman"/>
                <w:sz w:val="20"/>
                <w:szCs w:val="20"/>
              </w:rPr>
              <w:t>　</w:t>
            </w:r>
          </w:p>
        </w:tc>
      </w:tr>
      <w:tr>
        <w:tblPrEx>
          <w:tblCellMar>
            <w:top w:w="0" w:type="dxa"/>
            <w:left w:w="108" w:type="dxa"/>
            <w:bottom w:w="0" w:type="dxa"/>
            <w:right w:w="108" w:type="dxa"/>
          </w:tblCellMar>
        </w:tblPrEx>
        <w:trPr>
          <w:trHeight w:val="523"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4</w:t>
            </w:r>
            <w:r>
              <w:rPr>
                <w:rFonts w:hint="default" w:ascii="Times New Roman" w:hAnsi="Times New Roman" w:eastAsia="仿宋_GB2312" w:cs="Times New Roman"/>
                <w:b/>
                <w:bCs/>
                <w:sz w:val="20"/>
                <w:szCs w:val="20"/>
              </w:rPr>
              <w:t>年预算数</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4</w:t>
            </w:r>
            <w:r>
              <w:rPr>
                <w:rFonts w:hint="default" w:ascii="Times New Roman" w:hAnsi="Times New Roman" w:eastAsia="仿宋_GB2312" w:cs="Times New Roman"/>
                <w:b/>
                <w:bCs/>
                <w:sz w:val="20"/>
                <w:szCs w:val="20"/>
              </w:rPr>
              <w:t>年决算数</w:t>
            </w:r>
          </w:p>
        </w:tc>
      </w:tr>
      <w:tr>
        <w:tblPrEx>
          <w:tblCellMar>
            <w:top w:w="0" w:type="dxa"/>
            <w:left w:w="108" w:type="dxa"/>
            <w:bottom w:w="0" w:type="dxa"/>
            <w:right w:w="108" w:type="dxa"/>
          </w:tblCellMar>
        </w:tblPrEx>
        <w:trPr>
          <w:trHeight w:val="483"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9</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11</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9.71</w:t>
            </w:r>
          </w:p>
        </w:tc>
      </w:tr>
      <w:tr>
        <w:tblPrEx>
          <w:tblCellMar>
            <w:top w:w="0" w:type="dxa"/>
            <w:left w:w="108" w:type="dxa"/>
            <w:bottom w:w="0" w:type="dxa"/>
            <w:right w:w="108" w:type="dxa"/>
          </w:tblCellMar>
        </w:tblPrEx>
        <w:trPr>
          <w:trHeight w:val="319"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4.02</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2.7</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1.91</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4.02</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2.7</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1.91</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4.98</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7.8</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7.8</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0.5</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tblPrEx>
          <w:tblCellMar>
            <w:top w:w="0" w:type="dxa"/>
            <w:left w:w="108" w:type="dxa"/>
            <w:bottom w:w="0" w:type="dxa"/>
            <w:right w:w="108" w:type="dxa"/>
          </w:tblCellMar>
        </w:tblPrEx>
        <w:trPr>
          <w:trHeight w:val="483"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915.62</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r>
              <w:rPr>
                <w:rFonts w:hint="eastAsia" w:ascii="Times New Roman" w:hAnsi="Times New Roman" w:eastAsia="仿宋_GB2312" w:cs="Times New Roman"/>
                <w:color w:val="auto"/>
                <w:sz w:val="20"/>
                <w:szCs w:val="20"/>
                <w:highlight w:val="none"/>
                <w:lang w:val="en-US" w:eastAsia="zh-CN"/>
              </w:rPr>
              <w:t>355.04</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198.64</w:t>
            </w:r>
          </w:p>
        </w:tc>
      </w:tr>
      <w:tr>
        <w:tblPrEx>
          <w:tblCellMar>
            <w:top w:w="0" w:type="dxa"/>
            <w:left w:w="108" w:type="dxa"/>
            <w:bottom w:w="0" w:type="dxa"/>
            <w:right w:w="108" w:type="dxa"/>
          </w:tblCellMar>
        </w:tblPrEx>
        <w:trPr>
          <w:trHeight w:val="346"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0</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其他事业发展资金</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73.05</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220.04</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143.93</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842.57</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135</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54.71</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19"/>
                <w:szCs w:val="19"/>
                <w:lang w:val="en-US" w:eastAsia="zh-CN"/>
              </w:rPr>
            </w:pPr>
            <w:r>
              <w:rPr>
                <w:rFonts w:hint="eastAsia" w:ascii="Times New Roman" w:hAnsi="Times New Roman" w:eastAsia="仿宋_GB2312" w:cs="Times New Roman"/>
                <w:sz w:val="19"/>
                <w:szCs w:val="19"/>
                <w:lang w:val="en-US" w:eastAsia="zh-CN"/>
              </w:rPr>
              <w:t>农业生产发展项目</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422.71</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135</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54.71　　</w:t>
            </w:r>
          </w:p>
        </w:tc>
      </w:tr>
      <w:tr>
        <w:tblPrEx>
          <w:tblCellMar>
            <w:top w:w="0" w:type="dxa"/>
            <w:left w:w="108" w:type="dxa"/>
            <w:bottom w:w="0" w:type="dxa"/>
            <w:right w:w="108" w:type="dxa"/>
          </w:tblCellMar>
        </w:tblPrEx>
        <w:trPr>
          <w:trHeight w:val="482"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81.4</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83</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79.12</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b w:val="0"/>
                <w:bCs w:val="0"/>
                <w:color w:val="auto"/>
                <w:sz w:val="21"/>
                <w:szCs w:val="21"/>
                <w:highlight w:val="none"/>
                <w:u w:val="none"/>
                <w:lang w:val="en-US" w:eastAsia="zh-CN"/>
              </w:rPr>
              <w:t>5</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5</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8.2</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7.46</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r>
              <w:rPr>
                <w:rFonts w:hint="eastAsia" w:ascii="Times New Roman" w:hAnsi="Times New Roman" w:eastAsia="仿宋_GB2312" w:cs="Times New Roman"/>
                <w:color w:val="auto"/>
                <w:sz w:val="20"/>
                <w:szCs w:val="20"/>
                <w:highlight w:val="none"/>
                <w:lang w:val="en-US" w:eastAsia="zh-CN"/>
              </w:rPr>
              <w:t>7.5</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5.99</w:t>
            </w:r>
          </w:p>
        </w:tc>
      </w:tr>
      <w:tr>
        <w:tblPrEx>
          <w:tblCellMar>
            <w:top w:w="0" w:type="dxa"/>
            <w:left w:w="108" w:type="dxa"/>
            <w:bottom w:w="0" w:type="dxa"/>
            <w:right w:w="108" w:type="dxa"/>
          </w:tblCellMar>
        </w:tblPrEx>
        <w:trPr>
          <w:trHeight w:val="9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5</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5</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color w:val="auto"/>
                <w:sz w:val="20"/>
                <w:szCs w:val="20"/>
                <w:highlight w:val="none"/>
                <w:lang w:val="en-US" w:eastAsia="zh-CN"/>
              </w:rPr>
              <w:t>0</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264"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10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986"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CellMar>
            <w:top w:w="0" w:type="dxa"/>
            <w:left w:w="108" w:type="dxa"/>
            <w:bottom w:w="0" w:type="dxa"/>
            <w:right w:w="108" w:type="dxa"/>
          </w:tblCellMar>
        </w:tblPrEx>
        <w:trPr>
          <w:trHeight w:val="0" w:hRule="atLeast"/>
          <w:jc w:val="center"/>
        </w:trPr>
        <w:tc>
          <w:tcPr>
            <w:tcW w:w="3323"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年完工项目）</w:t>
            </w:r>
          </w:p>
        </w:tc>
        <w:tc>
          <w:tcPr>
            <w:tcW w:w="1187"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077"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934"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66"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26"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18"/>
                <w:szCs w:val="18"/>
              </w:rPr>
              <w:t>投资概算控制率</w:t>
            </w:r>
          </w:p>
        </w:tc>
      </w:tr>
      <w:tr>
        <w:tblPrEx>
          <w:tblCellMar>
            <w:top w:w="0" w:type="dxa"/>
            <w:left w:w="108" w:type="dxa"/>
            <w:bottom w:w="0" w:type="dxa"/>
            <w:right w:w="108" w:type="dxa"/>
          </w:tblCellMar>
        </w:tblPrEx>
        <w:trPr>
          <w:trHeight w:val="0" w:hRule="atLeast"/>
          <w:jc w:val="center"/>
        </w:trPr>
        <w:tc>
          <w:tcPr>
            <w:tcW w:w="3323"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7"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77"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34"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66"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26"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CellMar>
            <w:top w:w="0" w:type="dxa"/>
            <w:left w:w="108" w:type="dxa"/>
            <w:bottom w:w="0" w:type="dxa"/>
            <w:right w:w="108" w:type="dxa"/>
          </w:tblCellMar>
        </w:tblPrEx>
        <w:trPr>
          <w:trHeight w:val="534" w:hRule="atLeast"/>
          <w:jc w:val="center"/>
        </w:trPr>
        <w:tc>
          <w:tcPr>
            <w:tcW w:w="3323"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50"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keepNext w:val="0"/>
        <w:keepLines w:val="0"/>
        <w:pageBreakBefore w:val="0"/>
        <w:widowControl/>
        <w:kinsoku/>
        <w:wordWrap/>
        <w:overflowPunct/>
        <w:topLinePunct w:val="0"/>
        <w:autoSpaceDE/>
        <w:autoSpaceDN/>
        <w:bidi w:val="0"/>
        <w:adjustRightInd/>
        <w:snapToGrid/>
        <w:spacing w:after="0" w:afterLines="0" w:line="400" w:lineRule="exact"/>
        <w:jc w:val="left"/>
        <w:textAlignment w:val="auto"/>
        <w:rPr>
          <w:rFonts w:hint="default" w:ascii="Times New Roman" w:hAnsi="Times New Roman" w:eastAsia="黑体" w:cs="Times New Roman"/>
          <w:sz w:val="24"/>
          <w:szCs w:val="24"/>
          <w:lang w:val="en-US" w:eastAsia="zh-CN"/>
        </w:rPr>
      </w:pPr>
      <w:r>
        <w:rPr>
          <w:rFonts w:hint="default" w:ascii="Times New Roman" w:hAnsi="Times New Roman" w:eastAsia="仿宋_GB2312" w:cs="Times New Roman"/>
          <w:sz w:val="22"/>
        </w:rPr>
        <w:br w:type="page"/>
      </w:r>
      <w:r>
        <w:rPr>
          <w:rFonts w:hint="default" w:ascii="Times New Roman" w:hAnsi="Times New Roman" w:eastAsia="方正小标宋_GBK" w:cs="Times New Roman"/>
          <w:color w:val="000000"/>
          <w:sz w:val="36"/>
          <w:szCs w:val="36"/>
        </w:rPr>
        <w:t>附件</w:t>
      </w:r>
      <w:r>
        <w:rPr>
          <w:rFonts w:hint="eastAsia" w:ascii="Times New Roman" w:hAnsi="Times New Roman" w:eastAsia="方正小标宋_GBK" w:cs="Times New Roman"/>
          <w:color w:val="000000"/>
          <w:sz w:val="36"/>
          <w:szCs w:val="36"/>
          <w:lang w:val="en-US" w:eastAsia="zh-CN"/>
        </w:rPr>
        <w:t>2：</w:t>
      </w:r>
    </w:p>
    <w:p>
      <w:pPr>
        <w:keepNext w:val="0"/>
        <w:keepLines w:val="0"/>
        <w:pageBreakBefore w:val="0"/>
        <w:widowControl/>
        <w:kinsoku/>
        <w:wordWrap/>
        <w:overflowPunct/>
        <w:topLinePunct w:val="0"/>
        <w:autoSpaceDE/>
        <w:autoSpaceDN/>
        <w:bidi w:val="0"/>
        <w:adjustRightInd/>
        <w:snapToGrid/>
        <w:spacing w:after="120" w:afterLines="50" w:line="400" w:lineRule="exact"/>
        <w:jc w:val="center"/>
        <w:textAlignment w:val="auto"/>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4</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3"/>
        <w:tblW w:w="10187" w:type="dxa"/>
        <w:jc w:val="center"/>
        <w:tblLayout w:type="fixed"/>
        <w:tblCellMar>
          <w:top w:w="0" w:type="dxa"/>
          <w:left w:w="108" w:type="dxa"/>
          <w:bottom w:w="0" w:type="dxa"/>
          <w:right w:w="108" w:type="dxa"/>
        </w:tblCellMar>
      </w:tblPr>
      <w:tblGrid>
        <w:gridCol w:w="682"/>
        <w:gridCol w:w="1071"/>
        <w:gridCol w:w="1181"/>
        <w:gridCol w:w="1854"/>
        <w:gridCol w:w="1091"/>
        <w:gridCol w:w="1752"/>
        <w:gridCol w:w="654"/>
        <w:gridCol w:w="873"/>
        <w:gridCol w:w="1029"/>
      </w:tblGrid>
      <w:tr>
        <w:tblPrEx>
          <w:tblCellMar>
            <w:top w:w="0" w:type="dxa"/>
            <w:left w:w="108" w:type="dxa"/>
            <w:bottom w:w="0" w:type="dxa"/>
            <w:right w:w="108" w:type="dxa"/>
          </w:tblCellMar>
        </w:tblPrEx>
        <w:trPr>
          <w:trHeight w:val="370" w:hRule="atLeast"/>
          <w:jc w:val="center"/>
        </w:trPr>
        <w:tc>
          <w:tcPr>
            <w:tcW w:w="293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253"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湖南省农业技术推广总站</w:t>
            </w:r>
          </w:p>
        </w:tc>
      </w:tr>
      <w:tr>
        <w:tblPrEx>
          <w:tblCellMar>
            <w:top w:w="0" w:type="dxa"/>
            <w:left w:w="108" w:type="dxa"/>
            <w:bottom w:w="0" w:type="dxa"/>
            <w:right w:w="108" w:type="dxa"/>
          </w:tblCellMar>
        </w:tblPrEx>
        <w:trPr>
          <w:trHeight w:val="278" w:hRule="atLeast"/>
          <w:jc w:val="center"/>
        </w:trPr>
        <w:tc>
          <w:tcPr>
            <w:tcW w:w="682"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年度预算申请</w:t>
            </w:r>
            <w:r>
              <w:rPr>
                <w:rFonts w:hint="default" w:ascii="Times New Roman" w:hAnsi="Times New Roman" w:eastAsia="仿宋_GB2312" w:cs="Times New Roman"/>
                <w:color w:val="000000"/>
                <w:sz w:val="20"/>
                <w:szCs w:val="20"/>
              </w:rPr>
              <w:br w:type="textWrapping"/>
            </w:r>
            <w:r>
              <w:rPr>
                <w:rFonts w:hint="eastAsia" w:ascii="Times New Roman" w:hAnsi="Times New Roman" w:eastAsia="仿宋_GB2312" w:cs="Times New Roman"/>
                <w:color w:val="000000"/>
                <w:sz w:val="20"/>
                <w:szCs w:val="20"/>
                <w:lang w:val="en-US" w:eastAsia="zh-CN"/>
              </w:rPr>
              <w:t>(</w:t>
            </w:r>
            <w:r>
              <w:rPr>
                <w:rFonts w:hint="default" w:ascii="Times New Roman" w:hAnsi="Times New Roman" w:eastAsia="仿宋_GB2312" w:cs="Times New Roman"/>
                <w:color w:val="000000"/>
                <w:sz w:val="20"/>
                <w:szCs w:val="20"/>
              </w:rPr>
              <w:t>万元</w:t>
            </w:r>
            <w:r>
              <w:rPr>
                <w:rFonts w:hint="eastAsia" w:ascii="Times New Roman" w:hAnsi="Times New Roman" w:eastAsia="仿宋_GB2312" w:cs="Times New Roman"/>
                <w:color w:val="000000"/>
                <w:sz w:val="20"/>
                <w:szCs w:val="20"/>
                <w:lang w:val="en-US" w:eastAsia="zh-CN"/>
              </w:rPr>
              <w:t>)</w:t>
            </w:r>
          </w:p>
        </w:tc>
        <w:tc>
          <w:tcPr>
            <w:tcW w:w="2252"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85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09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pacing w:val="-20"/>
                <w:sz w:val="20"/>
                <w:szCs w:val="20"/>
              </w:rPr>
              <w:t>全年预算数</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5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2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CellMar>
            <w:top w:w="0" w:type="dxa"/>
            <w:left w:w="108" w:type="dxa"/>
            <w:bottom w:w="0" w:type="dxa"/>
            <w:right w:w="108" w:type="dxa"/>
          </w:tblCellMar>
        </w:tblPrEx>
        <w:trPr>
          <w:trHeight w:val="237" w:hRule="atLeast"/>
          <w:jc w:val="center"/>
        </w:trPr>
        <w:tc>
          <w:tcPr>
            <w:tcW w:w="682"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252"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85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FFFFFF" w:themeColor="background1"/>
                <w:sz w:val="20"/>
                <w:szCs w:val="20"/>
                <w:lang w:val="en-US" w:eastAsia="zh-CN"/>
                <w14:textFill>
                  <w14:solidFill>
                    <w14:schemeClr w14:val="bg1"/>
                  </w14:solidFill>
                </w14:textFill>
              </w:rPr>
            </w:pPr>
            <w:r>
              <w:rPr>
                <w:rFonts w:hint="eastAsia" w:ascii="Times New Roman" w:hAnsi="Times New Roman" w:eastAsia="仿宋_GB2312" w:cs="Times New Roman"/>
                <w:color w:val="auto"/>
                <w:sz w:val="20"/>
                <w:szCs w:val="20"/>
                <w:highlight w:val="none"/>
                <w:lang w:val="en-US" w:eastAsia="zh-CN"/>
              </w:rPr>
              <w:t>785.02</w:t>
            </w:r>
          </w:p>
        </w:tc>
        <w:tc>
          <w:tcPr>
            <w:tcW w:w="109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950.54</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776.18</w:t>
            </w:r>
          </w:p>
        </w:tc>
        <w:tc>
          <w:tcPr>
            <w:tcW w:w="65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81.66%</w:t>
            </w:r>
          </w:p>
        </w:tc>
        <w:tc>
          <w:tcPr>
            <w:tcW w:w="102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9.5</w:t>
            </w:r>
          </w:p>
        </w:tc>
      </w:tr>
      <w:tr>
        <w:tblPrEx>
          <w:tblCellMar>
            <w:top w:w="0" w:type="dxa"/>
            <w:left w:w="108" w:type="dxa"/>
            <w:bottom w:w="0" w:type="dxa"/>
            <w:right w:w="108" w:type="dxa"/>
          </w:tblCellMar>
        </w:tblPrEx>
        <w:trPr>
          <w:jc w:val="center"/>
        </w:trPr>
        <w:tc>
          <w:tcPr>
            <w:tcW w:w="682"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97"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CellMar>
            <w:top w:w="0" w:type="dxa"/>
            <w:left w:w="108" w:type="dxa"/>
            <w:bottom w:w="0" w:type="dxa"/>
            <w:right w:w="108" w:type="dxa"/>
          </w:tblCellMar>
        </w:tblPrEx>
        <w:trPr>
          <w:jc w:val="center"/>
        </w:trPr>
        <w:tc>
          <w:tcPr>
            <w:tcW w:w="682"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97"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950.54</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577.54</w:t>
            </w:r>
          </w:p>
        </w:tc>
      </w:tr>
      <w:tr>
        <w:tblPrEx>
          <w:tblCellMar>
            <w:top w:w="0" w:type="dxa"/>
            <w:left w:w="108" w:type="dxa"/>
            <w:bottom w:w="0" w:type="dxa"/>
            <w:right w:w="108" w:type="dxa"/>
          </w:tblCellMar>
        </w:tblPrEx>
        <w:trPr>
          <w:jc w:val="center"/>
        </w:trPr>
        <w:tc>
          <w:tcPr>
            <w:tcW w:w="682"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97"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198.64</w:t>
            </w:r>
          </w:p>
        </w:tc>
      </w:tr>
      <w:tr>
        <w:tblPrEx>
          <w:tblCellMar>
            <w:top w:w="0" w:type="dxa"/>
            <w:left w:w="108" w:type="dxa"/>
            <w:bottom w:w="0" w:type="dxa"/>
            <w:right w:w="108" w:type="dxa"/>
          </w:tblCellMar>
        </w:tblPrEx>
        <w:trPr>
          <w:jc w:val="center"/>
        </w:trPr>
        <w:tc>
          <w:tcPr>
            <w:tcW w:w="682"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97"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260" w:hRule="atLeast"/>
          <w:jc w:val="center"/>
        </w:trPr>
        <w:tc>
          <w:tcPr>
            <w:tcW w:w="682"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97" w:type="dxa"/>
            <w:gridSpan w:val="4"/>
            <w:tcBorders>
              <w:top w:val="nil"/>
              <w:left w:val="nil"/>
              <w:bottom w:val="single" w:color="auto" w:sz="4" w:space="0"/>
              <w:right w:val="single" w:color="auto" w:sz="4" w:space="0"/>
            </w:tcBorders>
            <w:noWrap w:val="0"/>
            <w:vAlign w:val="center"/>
          </w:tcPr>
          <w:p>
            <w:pPr>
              <w:widowControl/>
              <w:spacing w:line="240" w:lineRule="exact"/>
              <w:ind w:left="5596" w:leftChars="665" w:hanging="4200" w:hangingChars="2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其他资金：</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682"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97"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CellMar>
            <w:top w:w="0" w:type="dxa"/>
            <w:left w:w="108" w:type="dxa"/>
            <w:bottom w:w="0" w:type="dxa"/>
            <w:right w:w="108" w:type="dxa"/>
          </w:tblCellMar>
        </w:tblPrEx>
        <w:trPr>
          <w:trHeight w:val="570" w:hRule="atLeast"/>
          <w:jc w:val="center"/>
        </w:trPr>
        <w:tc>
          <w:tcPr>
            <w:tcW w:w="682"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97"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仿宋_GB2312" w:hAnsi="仿宋_GB2312" w:eastAsia="仿宋_GB2312" w:cs="仿宋_GB2312"/>
                <w:sz w:val="20"/>
                <w:szCs w:val="20"/>
                <w:lang w:val="en-US" w:eastAsia="zh-CN"/>
              </w:rPr>
              <w:t>深入贯彻落实习近平总书记关于“三农”工作的重要论述和对湖南重要讲话重要指示批示精神，围绕建设农业强省目标，</w:t>
            </w:r>
            <w:r>
              <w:rPr>
                <w:rFonts w:hint="default" w:ascii="Times New Roman" w:hAnsi="Times New Roman" w:eastAsia="仿宋_GB2312" w:cs="Times New Roman"/>
                <w:i w:val="0"/>
                <w:caps w:val="0"/>
                <w:color w:val="000000"/>
                <w:spacing w:val="0"/>
                <w:sz w:val="20"/>
                <w:szCs w:val="20"/>
                <w:shd w:val="clear" w:color="auto" w:fill="FFFFFF"/>
                <w:lang w:val="en-US" w:eastAsia="zh-CN"/>
              </w:rPr>
              <w:t>深化农技推广体系改革建设，强化农技推广机构公益性职责履行，加强先进适用技术集成示范推广，加快信息化服务手段普及应用，大力提升农技推广服务效能，为加快建设农业强省、实现农业农村现代化提供强有力支撑。</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仿宋_GB2312" w:hAnsi="仿宋_GB2312" w:eastAsia="仿宋_GB2312" w:cs="仿宋_GB2312"/>
                <w:sz w:val="20"/>
                <w:szCs w:val="20"/>
                <w:lang w:val="en-US" w:eastAsia="zh-CN"/>
              </w:rPr>
              <w:t>积极推进基层农技推广体系建设、农业技术推广服务和“互联网+”农技推广的创新，完成国家粮食安全考核指标任务。加强基层队伍能力提升，完成农技特岗生定向培养工作。积极开展农业实用技术集成示范。搭建农技协同推广平台，</w:t>
            </w:r>
            <w:r>
              <w:rPr>
                <w:rFonts w:hint="eastAsia" w:ascii="仿宋_GB2312" w:hAnsi="仿宋_GB2312" w:eastAsia="仿宋_GB2312" w:cs="仿宋_GB2312"/>
                <w:color w:val="auto"/>
                <w:sz w:val="20"/>
                <w:szCs w:val="20"/>
                <w:lang w:val="en-US" w:eastAsia="zh-CN"/>
              </w:rPr>
              <w:t>开展产业集群专家全产业链服务。</w:t>
            </w:r>
            <w:r>
              <w:rPr>
                <w:rFonts w:hint="eastAsia" w:ascii="仿宋_GB2312" w:hAnsi="仿宋_GB2312" w:eastAsia="仿宋_GB2312" w:cs="仿宋_GB2312"/>
                <w:sz w:val="20"/>
                <w:szCs w:val="20"/>
                <w:lang w:val="en-US" w:eastAsia="zh-CN"/>
              </w:rPr>
              <w:t>农技服务信息化水平进一步提升。</w:t>
            </w:r>
          </w:p>
        </w:tc>
      </w:tr>
      <w:tr>
        <w:tblPrEx>
          <w:tblCellMar>
            <w:top w:w="0" w:type="dxa"/>
            <w:left w:w="108" w:type="dxa"/>
            <w:bottom w:w="0" w:type="dxa"/>
            <w:right w:w="108" w:type="dxa"/>
          </w:tblCellMar>
        </w:tblPrEx>
        <w:trPr>
          <w:jc w:val="center"/>
        </w:trPr>
        <w:tc>
          <w:tcPr>
            <w:tcW w:w="682"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7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8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8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pacing w:val="-20"/>
                <w:sz w:val="20"/>
                <w:szCs w:val="20"/>
              </w:rPr>
              <w:t>年度指标值</w:t>
            </w:r>
          </w:p>
        </w:tc>
        <w:tc>
          <w:tcPr>
            <w:tcW w:w="1752"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9"/>
                <w:szCs w:val="19"/>
                <w:lang w:eastAsia="zh-CN"/>
              </w:rPr>
              <w:t>自评</w:t>
            </w:r>
            <w:r>
              <w:rPr>
                <w:rFonts w:hint="default" w:ascii="Times New Roman" w:hAnsi="Times New Roman" w:eastAsia="仿宋_GB2312" w:cs="Times New Roman"/>
                <w:color w:val="000000"/>
                <w:sz w:val="19"/>
                <w:szCs w:val="19"/>
              </w:rPr>
              <w:t>得分</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19"/>
                <w:szCs w:val="19"/>
              </w:rPr>
              <w:t>偏差原因分析及改进措施</w:t>
            </w:r>
          </w:p>
        </w:tc>
      </w:tr>
      <w:tr>
        <w:tblPrEx>
          <w:tblCellMar>
            <w:top w:w="0" w:type="dxa"/>
            <w:left w:w="108" w:type="dxa"/>
            <w:bottom w:w="0" w:type="dxa"/>
            <w:right w:w="108" w:type="dxa"/>
          </w:tblCellMar>
        </w:tblPrEx>
        <w:trPr>
          <w:trHeight w:val="442"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en-US" w:eastAsia="zh-CN"/>
              </w:rPr>
              <w:t>60</w:t>
            </w:r>
            <w:r>
              <w:rPr>
                <w:rFonts w:hint="default" w:ascii="Times New Roman" w:hAnsi="Times New Roman" w:eastAsia="仿宋_GB2312" w:cs="Times New Roman"/>
                <w:color w:val="000000"/>
                <w:sz w:val="20"/>
                <w:szCs w:val="20"/>
              </w:rPr>
              <w:t>分)</w:t>
            </w:r>
          </w:p>
        </w:tc>
        <w:tc>
          <w:tcPr>
            <w:tcW w:w="1181"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8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省</w:t>
            </w:r>
            <w:r>
              <w:rPr>
                <w:rFonts w:hint="eastAsia" w:ascii="Times New Roman" w:hAnsi="Times New Roman" w:eastAsia="仿宋_GB2312" w:cs="Times New Roman"/>
                <w:color w:val="000000"/>
                <w:sz w:val="20"/>
                <w:szCs w:val="20"/>
                <w:lang w:val="en-US" w:eastAsia="zh-CN"/>
              </w:rPr>
              <w:t>市</w:t>
            </w:r>
            <w:r>
              <w:rPr>
                <w:rFonts w:hint="eastAsia" w:ascii="Times New Roman" w:hAnsi="Times New Roman" w:eastAsia="仿宋_GB2312" w:cs="Times New Roman"/>
                <w:color w:val="000000"/>
                <w:sz w:val="20"/>
                <w:szCs w:val="20"/>
                <w:lang w:eastAsia="zh-CN"/>
              </w:rPr>
              <w:t>县</w:t>
            </w:r>
            <w:r>
              <w:rPr>
                <w:rFonts w:hint="eastAsia" w:ascii="Times New Roman" w:hAnsi="Times New Roman" w:eastAsia="仿宋_GB2312" w:cs="Times New Roman"/>
                <w:color w:val="000000"/>
                <w:sz w:val="20"/>
                <w:szCs w:val="20"/>
                <w:lang w:val="en-US" w:eastAsia="zh-CN"/>
              </w:rPr>
              <w:t>各</w:t>
            </w:r>
            <w:r>
              <w:rPr>
                <w:rFonts w:hint="eastAsia" w:ascii="Times New Roman" w:hAnsi="Times New Roman" w:eastAsia="仿宋_GB2312" w:cs="Times New Roman"/>
                <w:color w:val="000000"/>
                <w:sz w:val="20"/>
                <w:szCs w:val="20"/>
                <w:lang w:eastAsia="zh-CN"/>
              </w:rPr>
              <w:t>培训农技人员天数</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rPr>
            </w:pPr>
            <w:r>
              <w:rPr>
                <w:rFonts w:hint="eastAsia" w:ascii="Times New Roman" w:hAnsi="Times New Roman" w:eastAsia="仿宋_GB2312" w:cs="Times New Roman"/>
                <w:color w:val="auto"/>
                <w:sz w:val="20"/>
                <w:szCs w:val="20"/>
                <w:lang w:val="en-US" w:eastAsia="zh-CN"/>
              </w:rPr>
              <w:t>≥5天/人</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eastAsia="zh-CN"/>
              </w:rPr>
              <w:t>已完成</w:t>
            </w:r>
            <w:r>
              <w:rPr>
                <w:rFonts w:hint="eastAsia" w:ascii="Times New Roman" w:hAnsi="Times New Roman" w:eastAsia="仿宋_GB2312" w:cs="Times New Roman"/>
                <w:color w:val="auto"/>
                <w:sz w:val="20"/>
                <w:szCs w:val="20"/>
                <w:lang w:val="en-US" w:eastAsia="zh-CN"/>
              </w:rPr>
              <w:t xml:space="preserve"> </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81"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854" w:type="dxa"/>
            <w:tcBorders>
              <w:top w:val="nil"/>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olor w:val="000000"/>
                <w:sz w:val="20"/>
                <w:szCs w:val="20"/>
              </w:rPr>
              <w:t>建设</w:t>
            </w:r>
            <w:r>
              <w:rPr>
                <w:rFonts w:hint="eastAsia" w:ascii="Times New Roman" w:hAnsi="Times New Roman" w:eastAsia="仿宋_GB2312"/>
                <w:color w:val="000000"/>
                <w:sz w:val="20"/>
                <w:szCs w:val="20"/>
                <w:lang w:val="en-US" w:eastAsia="zh-CN"/>
              </w:rPr>
              <w:t>种植业</w:t>
            </w:r>
            <w:r>
              <w:rPr>
                <w:rFonts w:hint="eastAsia" w:ascii="Times New Roman" w:hAnsi="Times New Roman" w:eastAsia="仿宋_GB2312"/>
                <w:color w:val="000000"/>
                <w:sz w:val="20"/>
                <w:szCs w:val="20"/>
              </w:rPr>
              <w:t>农业科技示范基地</w:t>
            </w:r>
          </w:p>
        </w:tc>
        <w:tc>
          <w:tcPr>
            <w:tcW w:w="109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auto"/>
                <w:kern w:val="2"/>
                <w:sz w:val="20"/>
                <w:szCs w:val="20"/>
                <w:lang w:val="en-US" w:eastAsia="zh-CN" w:bidi="ar-SA"/>
              </w:rPr>
            </w:pPr>
            <w:r>
              <w:rPr>
                <w:rFonts w:hint="eastAsia" w:ascii="宋体" w:hAnsi="宋体" w:eastAsia="宋体" w:cs="宋体"/>
                <w:color w:val="auto"/>
                <w:sz w:val="20"/>
                <w:szCs w:val="20"/>
                <w:lang w:val="en-US" w:eastAsia="zh-CN"/>
              </w:rPr>
              <w:t>≥</w:t>
            </w:r>
            <w:r>
              <w:rPr>
                <w:rFonts w:hint="eastAsia" w:ascii="Times New Roman" w:hAnsi="Times New Roman" w:eastAsia="仿宋_GB2312"/>
                <w:color w:val="auto"/>
                <w:sz w:val="20"/>
                <w:szCs w:val="20"/>
                <w:lang w:val="en-US" w:eastAsia="zh-CN"/>
              </w:rPr>
              <w:t>167个</w:t>
            </w:r>
          </w:p>
        </w:tc>
        <w:tc>
          <w:tcPr>
            <w:tcW w:w="175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olor w:val="auto"/>
                <w:sz w:val="20"/>
                <w:szCs w:val="20"/>
                <w:lang w:val="en-US" w:eastAsia="zh-CN"/>
              </w:rPr>
              <w:t>完成193个</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81"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8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组织</w:t>
            </w:r>
            <w:r>
              <w:rPr>
                <w:rFonts w:hint="eastAsia" w:ascii="Times New Roman" w:hAnsi="Times New Roman" w:eastAsia="仿宋_GB2312" w:cs="Times New Roman"/>
                <w:color w:val="000000"/>
                <w:sz w:val="20"/>
                <w:szCs w:val="20"/>
                <w:lang w:val="en-US" w:eastAsia="zh-CN"/>
              </w:rPr>
              <w:t>农技人员</w:t>
            </w:r>
            <w:r>
              <w:rPr>
                <w:rFonts w:hint="eastAsia" w:ascii="Times New Roman" w:hAnsi="Times New Roman" w:eastAsia="仿宋_GB2312" w:cs="Times New Roman"/>
                <w:color w:val="000000"/>
                <w:sz w:val="20"/>
                <w:szCs w:val="20"/>
                <w:lang w:eastAsia="zh-CN"/>
              </w:rPr>
              <w:t>培训人数</w:t>
            </w:r>
          </w:p>
        </w:tc>
        <w:tc>
          <w:tcPr>
            <w:tcW w:w="109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auto"/>
                <w:sz w:val="20"/>
                <w:szCs w:val="20"/>
                <w:lang w:val="en-US" w:eastAsia="zh-CN"/>
              </w:rPr>
            </w:pPr>
            <w:r>
              <w:rPr>
                <w:rFonts w:hint="eastAsia" w:ascii="宋体" w:hAnsi="宋体" w:eastAsia="宋体" w:cs="宋体"/>
                <w:color w:val="auto"/>
                <w:sz w:val="20"/>
                <w:szCs w:val="20"/>
                <w:lang w:val="en-US" w:eastAsia="zh-CN"/>
              </w:rPr>
              <w:t>≥</w:t>
            </w:r>
            <w:r>
              <w:rPr>
                <w:rFonts w:hint="eastAsia" w:ascii="Times New Roman" w:hAnsi="Times New Roman" w:eastAsia="仿宋_GB2312"/>
                <w:color w:val="auto"/>
                <w:sz w:val="20"/>
                <w:szCs w:val="20"/>
                <w:lang w:val="en-US" w:eastAsia="zh-CN"/>
              </w:rPr>
              <w:t>7000人</w:t>
            </w:r>
          </w:p>
        </w:tc>
        <w:tc>
          <w:tcPr>
            <w:tcW w:w="175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olor w:val="auto"/>
                <w:sz w:val="20"/>
                <w:szCs w:val="20"/>
                <w:lang w:eastAsia="zh-CN"/>
              </w:rPr>
              <w:t>完成</w:t>
            </w:r>
            <w:r>
              <w:rPr>
                <w:rFonts w:hint="eastAsia" w:ascii="Times New Roman" w:hAnsi="Times New Roman" w:eastAsia="仿宋_GB2312"/>
                <w:color w:val="auto"/>
                <w:sz w:val="20"/>
                <w:szCs w:val="20"/>
                <w:lang w:val="en-US" w:eastAsia="zh-CN"/>
              </w:rPr>
              <w:t>7564人</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484"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81"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8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eastAsia="zh-CN"/>
              </w:rPr>
              <w:t>农技微视频技能提升培训天数</w:t>
            </w:r>
            <w:r>
              <w:rPr>
                <w:rFonts w:hint="eastAsia" w:ascii="Times New Roman" w:hAnsi="Times New Roman" w:eastAsia="仿宋_GB2312" w:cs="Times New Roman"/>
                <w:color w:val="auto"/>
                <w:sz w:val="20"/>
                <w:szCs w:val="20"/>
                <w:lang w:val="en-US" w:eastAsia="zh-CN"/>
              </w:rPr>
              <w:t xml:space="preserve"> </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≥3天</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已完成4天</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9</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9</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557"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81" w:type="dxa"/>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854" w:type="dxa"/>
            <w:tcBorders>
              <w:top w:val="nil"/>
              <w:left w:val="nil"/>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Times New Roman" w:hAnsi="Times New Roman" w:eastAsia="仿宋_GB2312" w:cs="Times New Roman"/>
                <w:color w:val="000000"/>
                <w:sz w:val="20"/>
                <w:szCs w:val="20"/>
                <w:lang w:eastAsia="zh-CN"/>
              </w:rPr>
            </w:pPr>
            <w:r>
              <w:rPr>
                <w:rFonts w:hint="eastAsia" w:ascii="仿宋_GB2312" w:hAnsi="仿宋_GB2312" w:eastAsia="仿宋_GB2312" w:cs="仿宋_GB2312"/>
                <w:color w:val="000000"/>
                <w:kern w:val="0"/>
                <w:sz w:val="20"/>
                <w:szCs w:val="20"/>
                <w:lang w:eastAsia="zh-CN"/>
              </w:rPr>
              <w:t>定向培养特岗生上岗率</w:t>
            </w:r>
          </w:p>
        </w:tc>
        <w:tc>
          <w:tcPr>
            <w:tcW w:w="1091" w:type="dxa"/>
            <w:tcBorders>
              <w:top w:val="nil"/>
              <w:left w:val="nil"/>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Times New Roman" w:hAnsi="Times New Roman" w:eastAsia="仿宋_GB2312" w:cs="Times New Roman"/>
                <w:color w:val="auto"/>
                <w:sz w:val="20"/>
                <w:szCs w:val="20"/>
                <w:lang w:val="en-US" w:eastAsia="zh-CN"/>
              </w:rPr>
            </w:pPr>
            <w:r>
              <w:rPr>
                <w:rFonts w:hint="eastAsia" w:ascii="宋体" w:hAnsi="宋体" w:eastAsia="宋体" w:cs="宋体"/>
                <w:color w:val="auto"/>
                <w:sz w:val="20"/>
                <w:szCs w:val="20"/>
                <w:lang w:val="en-US" w:eastAsia="zh-CN"/>
              </w:rPr>
              <w:t>≥90％</w:t>
            </w:r>
          </w:p>
        </w:tc>
        <w:tc>
          <w:tcPr>
            <w:tcW w:w="1752" w:type="dxa"/>
            <w:tcBorders>
              <w:top w:val="nil"/>
              <w:left w:val="nil"/>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Times New Roman" w:hAnsi="Times New Roman" w:eastAsia="仿宋_GB2312" w:cs="Times New Roman"/>
                <w:color w:val="auto"/>
                <w:sz w:val="20"/>
                <w:szCs w:val="20"/>
                <w:lang w:val="en-US" w:eastAsia="zh-CN"/>
              </w:rPr>
            </w:pPr>
            <w:r>
              <w:rPr>
                <w:rFonts w:hint="eastAsia" w:ascii="宋体" w:hAnsi="宋体" w:eastAsia="宋体" w:cs="宋体"/>
                <w:color w:val="auto"/>
                <w:sz w:val="19"/>
                <w:szCs w:val="19"/>
                <w:lang w:val="en-US" w:eastAsia="zh-CN"/>
              </w:rPr>
              <w:t>完成100</w:t>
            </w:r>
            <w:r>
              <w:rPr>
                <w:rFonts w:hint="eastAsia" w:ascii="宋体" w:hAnsi="宋体" w:eastAsia="宋体" w:cs="宋体"/>
                <w:color w:val="000000"/>
                <w:kern w:val="0"/>
                <w:sz w:val="19"/>
                <w:szCs w:val="19"/>
                <w:lang w:val="en-US" w:eastAsia="zh-CN"/>
              </w:rPr>
              <w:t>％</w:t>
            </w:r>
            <w:r>
              <w:rPr>
                <w:rFonts w:hint="eastAsia" w:ascii="宋体" w:hAnsi="宋体" w:eastAsia="宋体" w:cs="宋体"/>
                <w:color w:val="000000"/>
                <w:kern w:val="0"/>
                <w:sz w:val="18"/>
                <w:szCs w:val="18"/>
              </w:rPr>
              <w:t>　</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543"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854"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 xml:space="preserve">农技特岗毕业生入编时间 </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rPr>
            </w:pPr>
            <w:r>
              <w:rPr>
                <w:rFonts w:hint="eastAsia" w:ascii="宋体" w:hAnsi="宋体" w:eastAsia="宋体" w:cs="宋体"/>
                <w:color w:val="000000"/>
                <w:kern w:val="0"/>
                <w:sz w:val="18"/>
                <w:szCs w:val="18"/>
                <w:lang w:val="en-US" w:eastAsia="zh-CN"/>
              </w:rPr>
              <w:t>2024年底前</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已完成</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90"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continue"/>
            <w:tcBorders>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81" w:type="dxa"/>
            <w:tcBorders>
              <w:top w:val="single" w:color="auto" w:sz="4" w:space="0"/>
              <w:left w:val="nil"/>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成本指标</w:t>
            </w:r>
          </w:p>
        </w:tc>
        <w:tc>
          <w:tcPr>
            <w:tcW w:w="185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控制在预算内</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在预算内</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已控制在预算内</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558"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en-US" w:eastAsia="zh-CN"/>
              </w:rPr>
              <w:t>30</w:t>
            </w:r>
            <w:r>
              <w:rPr>
                <w:rFonts w:hint="default" w:ascii="Times New Roman" w:hAnsi="Times New Roman" w:eastAsia="仿宋_GB2312" w:cs="Times New Roman"/>
                <w:color w:val="000000"/>
                <w:sz w:val="20"/>
                <w:szCs w:val="20"/>
              </w:rPr>
              <w:t>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eastAsia="zh-CN"/>
              </w:rPr>
              <w:t>全省水稻产量提高</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有所提高</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kern w:val="2"/>
                <w:sz w:val="20"/>
                <w:szCs w:val="20"/>
                <w:lang w:val="en-US" w:eastAsia="zh-CN" w:bidi="ar-SA"/>
              </w:rPr>
            </w:pPr>
            <w:r>
              <w:rPr>
                <w:rFonts w:hint="eastAsia" w:ascii="Times New Roman" w:hAnsi="Times New Roman" w:eastAsia="仿宋_GB2312" w:cs="Times New Roman"/>
                <w:color w:val="auto"/>
                <w:sz w:val="20"/>
                <w:szCs w:val="20"/>
                <w:lang w:val="en-US" w:eastAsia="zh-CN"/>
              </w:rPr>
              <w:t>有所提高</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572"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《农技大课堂》授课在线点击量</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宋体" w:hAnsi="宋体" w:eastAsia="宋体" w:cs="宋体"/>
                <w:color w:val="auto"/>
                <w:sz w:val="18"/>
                <w:szCs w:val="18"/>
                <w:lang w:val="en-US" w:eastAsia="zh-CN"/>
              </w:rPr>
              <w:t>≥100万人次</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≥140万人次</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544" w:hRule="atLeast"/>
          <w:jc w:val="center"/>
        </w:trPr>
        <w:tc>
          <w:tcPr>
            <w:tcW w:w="682"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7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854" w:type="dxa"/>
            <w:tcBorders>
              <w:top w:val="nil"/>
              <w:left w:val="nil"/>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Times New Roman" w:hAnsi="Times New Roman" w:eastAsia="仿宋" w:cs="Times New Roman"/>
                <w:color w:val="auto"/>
                <w:sz w:val="20"/>
                <w:szCs w:val="20"/>
                <w:lang w:eastAsia="zh-CN"/>
              </w:rPr>
            </w:pPr>
            <w:r>
              <w:rPr>
                <w:rFonts w:hint="eastAsia" w:ascii="仿宋_GB2312" w:hAnsi="仿宋_GB2312" w:eastAsia="仿宋_GB2312" w:cs="仿宋_GB2312"/>
                <w:color w:val="000000"/>
                <w:kern w:val="0"/>
                <w:sz w:val="20"/>
                <w:szCs w:val="20"/>
                <w:lang w:eastAsia="zh-CN"/>
              </w:rPr>
              <w:t>远程技术指导服务用户活跃度</w:t>
            </w:r>
          </w:p>
        </w:tc>
        <w:tc>
          <w:tcPr>
            <w:tcW w:w="1091" w:type="dxa"/>
            <w:tcBorders>
              <w:top w:val="nil"/>
              <w:left w:val="nil"/>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Times New Roman" w:hAnsi="Times New Roman" w:eastAsia="仿宋_GB2312" w:cs="Times New Roman"/>
                <w:color w:val="auto"/>
                <w:sz w:val="20"/>
                <w:szCs w:val="20"/>
                <w:lang w:eastAsia="zh-CN"/>
              </w:rPr>
            </w:pPr>
            <w:r>
              <w:rPr>
                <w:rFonts w:hint="eastAsia" w:ascii="宋体" w:hAnsi="宋体" w:eastAsia="宋体" w:cs="宋体"/>
                <w:color w:val="000000"/>
                <w:kern w:val="0"/>
                <w:sz w:val="18"/>
                <w:szCs w:val="18"/>
                <w:lang w:eastAsia="zh-CN"/>
              </w:rPr>
              <w:t>逐步提高</w:t>
            </w:r>
          </w:p>
        </w:tc>
        <w:tc>
          <w:tcPr>
            <w:tcW w:w="1752" w:type="dxa"/>
            <w:tcBorders>
              <w:top w:val="nil"/>
              <w:left w:val="nil"/>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Times New Roman" w:hAnsi="Times New Roman" w:eastAsia="仿宋_GB2312" w:cs="Times New Roman"/>
                <w:color w:val="auto"/>
                <w:sz w:val="20"/>
                <w:szCs w:val="20"/>
                <w:lang w:eastAsia="zh-CN"/>
              </w:rPr>
            </w:pPr>
            <w:r>
              <w:rPr>
                <w:rFonts w:hint="eastAsia" w:ascii="宋体" w:hAnsi="宋体" w:eastAsia="宋体" w:cs="宋体"/>
                <w:color w:val="000000"/>
                <w:kern w:val="0"/>
                <w:sz w:val="18"/>
                <w:szCs w:val="18"/>
                <w:lang w:eastAsia="zh-CN"/>
              </w:rPr>
              <w:t>有所提高并在全国排名前列</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9</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574" w:hRule="atLeast"/>
          <w:jc w:val="center"/>
        </w:trPr>
        <w:tc>
          <w:tcPr>
            <w:tcW w:w="68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71" w:type="dxa"/>
            <w:tcBorders>
              <w:top w:val="single" w:color="auto" w:sz="4" w:space="0"/>
              <w:left w:val="nil"/>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pacing w:val="-20"/>
                <w:sz w:val="20"/>
                <w:szCs w:val="20"/>
              </w:rPr>
            </w:pPr>
            <w:r>
              <w:rPr>
                <w:rFonts w:hint="default" w:ascii="Times New Roman" w:hAnsi="Times New Roman" w:eastAsia="仿宋_GB2312" w:cs="Times New Roman"/>
                <w:color w:val="000000"/>
                <w:spacing w:val="-20"/>
                <w:sz w:val="20"/>
                <w:szCs w:val="20"/>
              </w:rPr>
              <w:t>满意度指标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81"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19"/>
                <w:szCs w:val="19"/>
              </w:rPr>
              <w:t>服务对象满意度指标</w:t>
            </w:r>
          </w:p>
        </w:tc>
        <w:tc>
          <w:tcPr>
            <w:tcW w:w="18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服务对象的满意程度</w:t>
            </w:r>
          </w:p>
        </w:tc>
        <w:tc>
          <w:tcPr>
            <w:tcW w:w="109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90%以上</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95%</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400" w:hRule="atLeast"/>
          <w:jc w:val="center"/>
        </w:trPr>
        <w:tc>
          <w:tcPr>
            <w:tcW w:w="7631"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98</w:t>
            </w:r>
          </w:p>
        </w:tc>
        <w:tc>
          <w:tcPr>
            <w:tcW w:w="102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bl>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Times New Roman" w:hAnsi="Times New Roman" w:eastAsia="仿宋_GB2312" w:cs="Times New Roman"/>
          <w:sz w:val="22"/>
          <w:szCs w:val="22"/>
        </w:rPr>
      </w:pP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刘绚</w:t>
      </w:r>
      <w:r>
        <w:rPr>
          <w:rFonts w:hint="default"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2025.04.07</w:t>
      </w:r>
      <w:r>
        <w:rPr>
          <w:rFonts w:hint="default"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 xml:space="preserve">82227136    </w:t>
      </w:r>
      <w:r>
        <w:rPr>
          <w:rFonts w:hint="default" w:ascii="Times New Roman" w:hAnsi="Times New Roman" w:eastAsia="仿宋_GB2312" w:cs="Times New Roman"/>
          <w:sz w:val="22"/>
          <w:szCs w:val="22"/>
        </w:rPr>
        <w:t>单位负责人签字：</w:t>
      </w:r>
    </w:p>
    <w:p>
      <w:pPr>
        <w:pStyle w:val="2"/>
        <w:rPr>
          <w:rFonts w:hint="eastAsia"/>
          <w:lang w:eastAsia="zh-CN"/>
        </w:rPr>
      </w:pPr>
    </w:p>
    <w:p>
      <w:pPr>
        <w:pStyle w:val="6"/>
        <w:keepNext/>
        <w:keepLines/>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sz w:val="30"/>
          <w:szCs w:val="30"/>
        </w:rPr>
      </w:pPr>
    </w:p>
    <w:p>
      <w:pPr>
        <w:pStyle w:val="6"/>
        <w:keepNext/>
        <w:keepLines/>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eastAsia" w:eastAsia="黑体"/>
          <w:sz w:val="30"/>
          <w:szCs w:val="30"/>
          <w:lang w:eastAsia="zh-CN"/>
        </w:rPr>
      </w:pPr>
      <w:r>
        <w:rPr>
          <w:sz w:val="30"/>
          <w:szCs w:val="30"/>
        </w:rPr>
        <w:t>附件3</w:t>
      </w:r>
      <w:r>
        <w:rPr>
          <w:rFonts w:hint="eastAsia"/>
          <w:sz w:val="30"/>
          <w:szCs w:val="30"/>
          <w:lang w:eastAsia="zh-CN"/>
        </w:rPr>
        <w:t>：</w:t>
      </w:r>
    </w:p>
    <w:p>
      <w:pPr>
        <w:pStyle w:val="5"/>
        <w:keepNext/>
        <w:keepLines/>
        <w:pageBreakBefore w:val="0"/>
        <w:widowControl w:val="0"/>
        <w:kinsoku/>
        <w:wordWrap/>
        <w:overflowPunct/>
        <w:topLinePunct w:val="0"/>
        <w:autoSpaceDE/>
        <w:autoSpaceDN/>
        <w:bidi w:val="0"/>
        <w:adjustRightInd/>
        <w:snapToGrid/>
        <w:spacing w:before="144" w:beforeLines="25" w:line="280" w:lineRule="exact"/>
        <w:jc w:val="center"/>
        <w:textAlignment w:val="auto"/>
        <w:rPr>
          <w:rFonts w:hint="eastAsia" w:eastAsiaTheme="minorEastAsia"/>
          <w:color w:val="auto"/>
          <w:sz w:val="36"/>
          <w:szCs w:val="36"/>
          <w:lang w:val="en-US" w:eastAsia="zh-CN"/>
        </w:rPr>
      </w:pPr>
      <w:r>
        <w:rPr>
          <w:color w:val="auto"/>
          <w:sz w:val="36"/>
          <w:szCs w:val="36"/>
        </w:rPr>
        <w:t>项目支出绩效自评表</w:t>
      </w:r>
      <w:r>
        <w:rPr>
          <w:rFonts w:hint="eastAsia"/>
          <w:color w:val="auto"/>
          <w:sz w:val="36"/>
          <w:szCs w:val="36"/>
          <w:lang w:eastAsia="zh-CN"/>
        </w:rPr>
        <w:t>　</w:t>
      </w:r>
    </w:p>
    <w:p>
      <w:pPr>
        <w:widowControl/>
        <w:adjustRightInd/>
        <w:snapToGrid/>
        <w:spacing w:line="240" w:lineRule="auto"/>
        <w:ind w:firstLine="0" w:firstLineChars="0"/>
        <w:jc w:val="both"/>
        <w:rPr>
          <w:color w:val="000000"/>
          <w:kern w:val="0"/>
          <w:sz w:val="21"/>
          <w:szCs w:val="21"/>
        </w:rPr>
      </w:pPr>
      <w:r>
        <w:rPr>
          <w:rFonts w:hint="eastAsia"/>
          <w:color w:val="000000"/>
          <w:kern w:val="0"/>
          <w:sz w:val="21"/>
          <w:szCs w:val="21"/>
          <w:lang w:eastAsia="zh-CN"/>
        </w:rPr>
        <w:t>　　　　　　　　　　　　　　　　　　</w:t>
      </w: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3"/>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78"/>
        <w:gridCol w:w="1091"/>
        <w:gridCol w:w="1418"/>
        <w:gridCol w:w="1268"/>
        <w:gridCol w:w="1200"/>
        <w:gridCol w:w="655"/>
        <w:gridCol w:w="913"/>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9048"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highlight w:val="none"/>
              </w:rPr>
            </w:pPr>
            <w:r>
              <w:rPr>
                <w:rFonts w:hint="eastAsia"/>
                <w:b w:val="0"/>
                <w:bCs w:val="0"/>
                <w:color w:val="000000"/>
                <w:kern w:val="0"/>
                <w:sz w:val="22"/>
                <w:szCs w:val="22"/>
                <w:highlight w:val="none"/>
                <w:lang w:eastAsia="zh-CN"/>
              </w:rPr>
              <w:t>　　　　　　　　　　　　　　　</w:t>
            </w:r>
            <w:r>
              <w:rPr>
                <w:rFonts w:hint="eastAsia"/>
                <w:b w:val="0"/>
                <w:bCs w:val="0"/>
                <w:color w:val="auto"/>
                <w:kern w:val="0"/>
                <w:sz w:val="22"/>
                <w:szCs w:val="22"/>
                <w:highlight w:val="none"/>
                <w:lang w:eastAsia="zh-CN"/>
              </w:rPr>
              <w:t>现代农业生产发展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855"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宋体"/>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993"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eastAsia="zh-CN"/>
              </w:rPr>
            </w:pPr>
            <w:r>
              <w:rPr>
                <w:rFonts w:hint="eastAsia"/>
                <w:color w:val="000000"/>
                <w:kern w:val="0"/>
                <w:sz w:val="21"/>
                <w:szCs w:val="21"/>
                <w:lang w:eastAsia="zh-CN"/>
              </w:rPr>
              <w:t>湖南省农业技术推广总站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auto"/>
                <w:kern w:val="0"/>
                <w:sz w:val="21"/>
                <w:szCs w:val="21"/>
              </w:rPr>
            </w:pPr>
            <w:r>
              <w:rPr>
                <w:color w:val="auto"/>
                <w:kern w:val="0"/>
                <w:sz w:val="21"/>
                <w:szCs w:val="21"/>
              </w:rPr>
              <w:t>项目资金</w:t>
            </w:r>
            <w:r>
              <w:rPr>
                <w:color w:val="auto"/>
                <w:kern w:val="0"/>
                <w:sz w:val="21"/>
                <w:szCs w:val="21"/>
              </w:rPr>
              <w:br w:type="textWrapping"/>
            </w:r>
            <w:r>
              <w:rPr>
                <w:color w:val="auto"/>
                <w:kern w:val="0"/>
                <w:sz w:val="21"/>
                <w:szCs w:val="21"/>
              </w:rPr>
              <w:t>（万元）</w:t>
            </w: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auto"/>
                <w:kern w:val="0"/>
                <w:sz w:val="21"/>
                <w:szCs w:val="21"/>
              </w:rPr>
            </w:pPr>
            <w:r>
              <w:rPr>
                <w:color w:val="auto"/>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auto"/>
                <w:kern w:val="0"/>
                <w:sz w:val="21"/>
                <w:szCs w:val="21"/>
              </w:rPr>
            </w:pPr>
            <w:r>
              <w:rPr>
                <w:color w:val="auto"/>
                <w:kern w:val="0"/>
                <w:sz w:val="21"/>
                <w:szCs w:val="21"/>
              </w:rPr>
              <w:t>年初预算数</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auto"/>
                <w:kern w:val="0"/>
                <w:sz w:val="21"/>
                <w:szCs w:val="21"/>
              </w:rPr>
            </w:pPr>
            <w:r>
              <w:rPr>
                <w:color w:val="auto"/>
                <w:kern w:val="0"/>
                <w:sz w:val="21"/>
                <w:szCs w:val="21"/>
              </w:rPr>
              <w:t>全年预算数</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both"/>
              <w:textAlignment w:val="center"/>
              <w:rPr>
                <w:color w:val="auto"/>
                <w:sz w:val="21"/>
                <w:szCs w:val="21"/>
              </w:rPr>
            </w:pPr>
            <w:r>
              <w:rPr>
                <w:color w:val="auto"/>
                <w:sz w:val="19"/>
                <w:szCs w:val="19"/>
              </w:rPr>
              <w:t>全年执行数</w:t>
            </w:r>
          </w:p>
        </w:tc>
        <w:tc>
          <w:tcPr>
            <w:tcW w:w="65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color w:val="auto"/>
                <w:sz w:val="21"/>
                <w:szCs w:val="21"/>
              </w:rPr>
            </w:pPr>
            <w:r>
              <w:rPr>
                <w:color w:val="auto"/>
                <w:sz w:val="21"/>
                <w:szCs w:val="21"/>
              </w:rPr>
              <w:t>分值</w:t>
            </w:r>
          </w:p>
        </w:tc>
        <w:tc>
          <w:tcPr>
            <w:tcW w:w="91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color w:val="auto"/>
                <w:sz w:val="21"/>
                <w:szCs w:val="21"/>
              </w:rPr>
            </w:pPr>
            <w:r>
              <w:rPr>
                <w:color w:val="auto"/>
                <w:sz w:val="21"/>
                <w:szCs w:val="21"/>
              </w:rPr>
              <w:t>执行率</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color w:val="auto"/>
                <w:sz w:val="21"/>
                <w:szCs w:val="21"/>
              </w:rPr>
            </w:pPr>
            <w:r>
              <w:rPr>
                <w:color w:val="auto"/>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auto"/>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auto"/>
                <w:kern w:val="0"/>
                <w:sz w:val="21"/>
                <w:szCs w:val="21"/>
              </w:rPr>
            </w:pPr>
            <w:r>
              <w:rPr>
                <w:color w:val="auto"/>
                <w:kern w:val="0"/>
                <w:sz w:val="21"/>
                <w:szCs w:val="21"/>
              </w:rPr>
              <w:t>年度资金总额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lang w:val="en-US" w:eastAsia="zh-CN"/>
              </w:rPr>
            </w:pPr>
            <w:r>
              <w:rPr>
                <w:i w:val="0"/>
                <w:iCs w:val="0"/>
                <w:color w:val="auto"/>
                <w:kern w:val="0"/>
                <w:sz w:val="21"/>
                <w:szCs w:val="21"/>
              </w:rPr>
              <w:t>　</w:t>
            </w:r>
            <w:r>
              <w:rPr>
                <w:rFonts w:hint="eastAsia"/>
                <w:i w:val="0"/>
                <w:iCs w:val="0"/>
                <w:color w:val="auto"/>
                <w:kern w:val="0"/>
                <w:sz w:val="21"/>
                <w:szCs w:val="21"/>
                <w:lang w:val="en-US" w:eastAsia="zh-CN"/>
              </w:rPr>
              <w:t>135</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lang w:val="en-US" w:eastAsia="zh-CN"/>
              </w:rPr>
            </w:pPr>
            <w:r>
              <w:rPr>
                <w:i w:val="0"/>
                <w:iCs w:val="0"/>
                <w:color w:val="auto"/>
                <w:kern w:val="0"/>
                <w:sz w:val="21"/>
                <w:szCs w:val="21"/>
              </w:rPr>
              <w:t>　</w:t>
            </w:r>
            <w:r>
              <w:rPr>
                <w:rFonts w:hint="eastAsia"/>
                <w:i w:val="0"/>
                <w:iCs w:val="0"/>
                <w:color w:val="auto"/>
                <w:kern w:val="0"/>
                <w:sz w:val="21"/>
                <w:szCs w:val="21"/>
                <w:lang w:val="en-US" w:eastAsia="zh-CN"/>
              </w:rPr>
              <w:t>135</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highlight w:val="none"/>
                <w:lang w:val="en-US" w:eastAsia="zh-CN"/>
              </w:rPr>
            </w:pPr>
            <w:r>
              <w:rPr>
                <w:i w:val="0"/>
                <w:iCs w:val="0"/>
                <w:color w:val="auto"/>
                <w:kern w:val="0"/>
                <w:sz w:val="21"/>
                <w:szCs w:val="21"/>
                <w:highlight w:val="none"/>
              </w:rPr>
              <w:t>　</w:t>
            </w:r>
            <w:r>
              <w:rPr>
                <w:rFonts w:hint="eastAsia"/>
                <w:i w:val="0"/>
                <w:iCs w:val="0"/>
                <w:color w:val="auto"/>
                <w:kern w:val="0"/>
                <w:sz w:val="21"/>
                <w:szCs w:val="21"/>
                <w:highlight w:val="none"/>
                <w:lang w:val="en-US" w:eastAsia="zh-CN"/>
              </w:rPr>
              <w:t>54.71</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i w:val="0"/>
                <w:iCs w:val="0"/>
                <w:color w:val="auto"/>
                <w:kern w:val="0"/>
                <w:sz w:val="21"/>
                <w:szCs w:val="21"/>
              </w:rPr>
            </w:pPr>
            <w:r>
              <w:rPr>
                <w:i w:val="0"/>
                <w:iCs w:val="0"/>
                <w:color w:val="auto"/>
                <w:kern w:val="0"/>
                <w:sz w:val="21"/>
                <w:szCs w:val="21"/>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i w:val="0"/>
                <w:iCs w:val="0"/>
                <w:color w:val="auto"/>
                <w:sz w:val="18"/>
                <w:szCs w:val="18"/>
                <w:lang w:val="en-US" w:eastAsia="zh-CN"/>
              </w:rPr>
            </w:pPr>
            <w:r>
              <w:rPr>
                <w:rFonts w:hint="eastAsia"/>
                <w:i w:val="0"/>
                <w:iCs w:val="0"/>
                <w:color w:val="auto"/>
                <w:sz w:val="18"/>
                <w:szCs w:val="18"/>
                <w:lang w:val="en-US" w:eastAsia="zh-CN"/>
              </w:rPr>
              <w:t>40.53%</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i w:val="0"/>
                <w:iCs w:val="0"/>
                <w:color w:val="auto"/>
                <w:kern w:val="0"/>
                <w:sz w:val="21"/>
                <w:szCs w:val="21"/>
                <w:lang w:val="en-US" w:eastAsia="zh-CN"/>
              </w:rPr>
            </w:pPr>
            <w:r>
              <w:rPr>
                <w:rFonts w:hint="eastAsia"/>
                <w:i w:val="0"/>
                <w:iCs w:val="0"/>
                <w:color w:val="auto"/>
                <w:kern w:val="0"/>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auto"/>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auto"/>
                <w:kern w:val="0"/>
                <w:sz w:val="21"/>
                <w:szCs w:val="21"/>
              </w:rPr>
            </w:pPr>
            <w:r>
              <w:rPr>
                <w:color w:val="auto"/>
                <w:kern w:val="0"/>
                <w:sz w:val="21"/>
                <w:szCs w:val="21"/>
              </w:rPr>
              <w:t>其中：当年财政拨款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lang w:val="en-US" w:eastAsia="zh-CN"/>
              </w:rPr>
            </w:pPr>
            <w:r>
              <w:rPr>
                <w:i w:val="0"/>
                <w:iCs w:val="0"/>
                <w:color w:val="auto"/>
                <w:kern w:val="0"/>
                <w:sz w:val="21"/>
                <w:szCs w:val="21"/>
              </w:rPr>
              <w:t>　</w:t>
            </w:r>
            <w:r>
              <w:rPr>
                <w:rFonts w:hint="eastAsia"/>
                <w:i w:val="0"/>
                <w:iCs w:val="0"/>
                <w:color w:val="auto"/>
                <w:kern w:val="0"/>
                <w:sz w:val="21"/>
                <w:szCs w:val="21"/>
                <w:lang w:val="en-US" w:eastAsia="zh-CN"/>
              </w:rPr>
              <w:t>112</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lang w:val="en-US" w:eastAsia="zh-CN"/>
              </w:rPr>
            </w:pPr>
            <w:r>
              <w:rPr>
                <w:i w:val="0"/>
                <w:iCs w:val="0"/>
                <w:color w:val="auto"/>
                <w:kern w:val="0"/>
                <w:sz w:val="21"/>
                <w:szCs w:val="21"/>
              </w:rPr>
              <w:t>　</w:t>
            </w:r>
            <w:r>
              <w:rPr>
                <w:rFonts w:hint="eastAsia"/>
                <w:i w:val="0"/>
                <w:iCs w:val="0"/>
                <w:color w:val="auto"/>
                <w:kern w:val="0"/>
                <w:sz w:val="21"/>
                <w:szCs w:val="21"/>
                <w:lang w:val="en-US" w:eastAsia="zh-CN"/>
              </w:rPr>
              <w:t>112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highlight w:val="none"/>
                <w:lang w:val="en-US" w:eastAsia="zh-CN"/>
              </w:rPr>
            </w:pPr>
            <w:r>
              <w:rPr>
                <w:i w:val="0"/>
                <w:iCs w:val="0"/>
                <w:color w:val="auto"/>
                <w:kern w:val="0"/>
                <w:sz w:val="21"/>
                <w:szCs w:val="21"/>
                <w:highlight w:val="none"/>
              </w:rPr>
              <w:t>　</w:t>
            </w:r>
            <w:r>
              <w:rPr>
                <w:rFonts w:hint="eastAsia"/>
                <w:i w:val="0"/>
                <w:iCs w:val="0"/>
                <w:color w:val="auto"/>
                <w:kern w:val="0"/>
                <w:sz w:val="21"/>
                <w:szCs w:val="21"/>
                <w:highlight w:val="none"/>
                <w:lang w:val="en-US" w:eastAsia="zh-CN"/>
              </w:rPr>
              <w:t>36.25</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i w:val="0"/>
                <w:iCs w:val="0"/>
                <w:color w:val="auto"/>
                <w:kern w:val="0"/>
                <w:sz w:val="21"/>
                <w:szCs w:val="21"/>
              </w:rPr>
            </w:pPr>
            <w:r>
              <w:rPr>
                <w:i w:val="0"/>
                <w:iCs w:val="0"/>
                <w:color w:val="auto"/>
                <w:kern w:val="0"/>
                <w:sz w:val="21"/>
                <w:szCs w:val="21"/>
              </w:rPr>
              <w:t>　</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i w:val="0"/>
                <w:iCs w:val="0"/>
                <w:color w:val="auto"/>
                <w:kern w:val="0"/>
                <w:sz w:val="21"/>
                <w:szCs w:val="21"/>
              </w:rPr>
            </w:pPr>
            <w:r>
              <w:rPr>
                <w:i w:val="0"/>
                <w:iCs w:val="0"/>
                <w:color w:val="auto"/>
                <w:kern w:val="0"/>
                <w:sz w:val="21"/>
                <w:szCs w:val="21"/>
              </w:rPr>
              <w:t>　</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i w:val="0"/>
                <w:iCs w:val="0"/>
                <w:color w:val="auto"/>
                <w:kern w:val="0"/>
                <w:sz w:val="21"/>
                <w:szCs w:val="21"/>
              </w:rPr>
            </w:pPr>
            <w:r>
              <w:rPr>
                <w:i w:val="0"/>
                <w:iCs w:val="0"/>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auto"/>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auto"/>
                <w:kern w:val="0"/>
                <w:sz w:val="21"/>
                <w:szCs w:val="21"/>
              </w:rPr>
            </w:pPr>
            <w:r>
              <w:rPr>
                <w:color w:val="auto"/>
                <w:kern w:val="0"/>
                <w:sz w:val="21"/>
                <w:szCs w:val="21"/>
              </w:rPr>
              <w:t>上年结转资金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lang w:val="en-US" w:eastAsia="zh-CN"/>
              </w:rPr>
            </w:pPr>
            <w:r>
              <w:rPr>
                <w:i w:val="0"/>
                <w:iCs w:val="0"/>
                <w:color w:val="auto"/>
                <w:kern w:val="0"/>
                <w:sz w:val="21"/>
                <w:szCs w:val="21"/>
              </w:rPr>
              <w:t>　</w:t>
            </w:r>
            <w:r>
              <w:rPr>
                <w:rFonts w:hint="eastAsia"/>
                <w:i w:val="0"/>
                <w:iCs w:val="0"/>
                <w:color w:val="auto"/>
                <w:kern w:val="0"/>
                <w:sz w:val="21"/>
                <w:szCs w:val="21"/>
                <w:lang w:val="en-US" w:eastAsia="zh-CN"/>
              </w:rPr>
              <w:t>23</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lang w:val="en-US" w:eastAsia="zh-CN"/>
              </w:rPr>
            </w:pPr>
            <w:r>
              <w:rPr>
                <w:i w:val="0"/>
                <w:iCs w:val="0"/>
                <w:color w:val="auto"/>
                <w:kern w:val="0"/>
                <w:sz w:val="21"/>
                <w:szCs w:val="21"/>
              </w:rPr>
              <w:t>　</w:t>
            </w:r>
            <w:r>
              <w:rPr>
                <w:rFonts w:hint="eastAsia"/>
                <w:i w:val="0"/>
                <w:iCs w:val="0"/>
                <w:color w:val="auto"/>
                <w:kern w:val="0"/>
                <w:sz w:val="21"/>
                <w:szCs w:val="21"/>
                <w:lang w:val="en-US" w:eastAsia="zh-CN"/>
              </w:rPr>
              <w:t>23</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i w:val="0"/>
                <w:iCs w:val="0"/>
                <w:color w:val="auto"/>
                <w:kern w:val="0"/>
                <w:sz w:val="21"/>
                <w:szCs w:val="21"/>
                <w:highlight w:val="none"/>
                <w:lang w:val="en-US" w:eastAsia="zh-CN"/>
              </w:rPr>
            </w:pPr>
            <w:r>
              <w:rPr>
                <w:i w:val="0"/>
                <w:iCs w:val="0"/>
                <w:color w:val="auto"/>
                <w:kern w:val="0"/>
                <w:sz w:val="21"/>
                <w:szCs w:val="21"/>
                <w:highlight w:val="none"/>
              </w:rPr>
              <w:t>　</w:t>
            </w:r>
            <w:r>
              <w:rPr>
                <w:rFonts w:hint="eastAsia"/>
                <w:i w:val="0"/>
                <w:iCs w:val="0"/>
                <w:color w:val="auto"/>
                <w:kern w:val="0"/>
                <w:sz w:val="21"/>
                <w:szCs w:val="21"/>
                <w:highlight w:val="none"/>
                <w:lang w:val="en-US" w:eastAsia="zh-CN"/>
              </w:rPr>
              <w:t>18.46</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i w:val="0"/>
                <w:iCs w:val="0"/>
                <w:color w:val="auto"/>
                <w:kern w:val="0"/>
                <w:sz w:val="21"/>
                <w:szCs w:val="21"/>
              </w:rPr>
            </w:pPr>
            <w:r>
              <w:rPr>
                <w:i w:val="0"/>
                <w:iCs w:val="0"/>
                <w:color w:val="auto"/>
                <w:kern w:val="0"/>
                <w:sz w:val="21"/>
                <w:szCs w:val="21"/>
              </w:rPr>
              <w:t>　</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i w:val="0"/>
                <w:iCs w:val="0"/>
                <w:color w:val="auto"/>
                <w:kern w:val="0"/>
                <w:sz w:val="21"/>
                <w:szCs w:val="21"/>
              </w:rPr>
            </w:pPr>
            <w:r>
              <w:rPr>
                <w:i w:val="0"/>
                <w:iCs w:val="0"/>
                <w:color w:val="auto"/>
                <w:kern w:val="0"/>
                <w:sz w:val="21"/>
                <w:szCs w:val="21"/>
              </w:rPr>
              <w:t>　</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i w:val="0"/>
                <w:iCs w:val="0"/>
                <w:color w:val="auto"/>
                <w:kern w:val="0"/>
                <w:sz w:val="21"/>
                <w:szCs w:val="21"/>
              </w:rPr>
            </w:pPr>
            <w:r>
              <w:rPr>
                <w:i w:val="0"/>
                <w:iCs w:val="0"/>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855"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1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855"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ascii="仿宋_GB2312" w:hAnsi="仿宋_GB2312" w:eastAsia="仿宋_GB2312" w:cs="仿宋_GB2312"/>
                <w:sz w:val="20"/>
                <w:szCs w:val="20"/>
                <w:lang w:val="en-US" w:eastAsia="zh-CN"/>
              </w:rPr>
              <w:t>加强农业技术推广体系建设和管理、农业技术推广队伍管理和培训，拓展“互联网+农技推广”平台和队伍建设，加强农业技术推广工作指导，引入声像技术精准服务现代农业，组织开展农业新技术引进、示范和推广。</w:t>
            </w:r>
            <w:r>
              <w:rPr>
                <w:color w:val="000000"/>
                <w:kern w:val="0"/>
                <w:sz w:val="21"/>
                <w:szCs w:val="21"/>
              </w:rPr>
              <w:t>　　</w:t>
            </w:r>
          </w:p>
        </w:tc>
        <w:tc>
          <w:tcPr>
            <w:tcW w:w="41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000000"/>
                <w:kern w:val="0"/>
                <w:sz w:val="21"/>
                <w:szCs w:val="21"/>
              </w:rPr>
            </w:pPr>
            <w:r>
              <w:rPr>
                <w:rFonts w:hint="eastAsia" w:ascii="仿宋_GB2312" w:hAnsi="仿宋_GB2312" w:eastAsia="仿宋_GB2312" w:cs="仿宋_GB2312"/>
                <w:sz w:val="20"/>
                <w:szCs w:val="20"/>
                <w:lang w:val="en-US" w:eastAsia="zh-CN"/>
              </w:rPr>
              <w:t>加强了农业技术推广体系建设和管理、农业技术推广队伍管理和培训，拓展了“互联网+农技推广”平台和队伍建设，加强农业技术推广工作指导，引入声像技术精准服务现代农业，组织开展了农业新技术引进、示范和推广。</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9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19"/>
                <w:szCs w:val="19"/>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9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数量指标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宋体"/>
                <w:color w:val="000000"/>
                <w:kern w:val="0"/>
                <w:sz w:val="18"/>
                <w:szCs w:val="18"/>
                <w:lang w:eastAsia="zh-CN"/>
              </w:rPr>
            </w:pPr>
            <w:r>
              <w:rPr>
                <w:rFonts w:hint="eastAsia"/>
                <w:color w:val="000000"/>
                <w:kern w:val="0"/>
                <w:sz w:val="19"/>
                <w:szCs w:val="19"/>
                <w:lang w:eastAsia="zh-CN"/>
              </w:rPr>
              <w:t>支持开展技术试验示范</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auto"/>
                <w:sz w:val="20"/>
                <w:szCs w:val="20"/>
                <w:lang w:val="en-US" w:eastAsia="zh-CN"/>
              </w:rPr>
              <w:t>≥5个</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5</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eastAsia="zh-CN"/>
              </w:rPr>
              <w:t>培训人数</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auto"/>
                <w:sz w:val="20"/>
                <w:szCs w:val="20"/>
                <w:lang w:val="en-US" w:eastAsia="zh-CN"/>
              </w:rPr>
              <w:t>≥90人次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sz w:val="20"/>
                <w:szCs w:val="20"/>
                <w:lang w:val="en-US" w:eastAsia="zh-CN"/>
              </w:rPr>
            </w:pPr>
            <w:r>
              <w:rPr>
                <w:rFonts w:hint="eastAsia" w:ascii="宋体" w:hAnsi="宋体" w:eastAsia="宋体" w:cs="宋体"/>
                <w:color w:val="000000"/>
                <w:kern w:val="0"/>
                <w:sz w:val="20"/>
                <w:szCs w:val="20"/>
                <w:lang w:val="en-US" w:eastAsia="zh-CN"/>
              </w:rPr>
              <w:t>90人　</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sz w:val="20"/>
                <w:szCs w:val="20"/>
                <w:lang w:eastAsia="zh-CN"/>
              </w:rPr>
              <w:t>培训天数</w:t>
            </w:r>
            <w:r>
              <w:rPr>
                <w:rFonts w:hint="eastAsia" w:ascii="仿宋_GB2312" w:hAnsi="仿宋_GB2312" w:eastAsia="仿宋_GB2312" w:cs="仿宋_GB2312"/>
                <w:color w:val="auto"/>
                <w:sz w:val="20"/>
                <w:szCs w:val="20"/>
                <w:lang w:val="en-US" w:eastAsia="zh-CN"/>
              </w:rPr>
              <w:t xml:space="preserve"> </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sz w:val="20"/>
                <w:szCs w:val="20"/>
                <w:lang w:val="en-US" w:eastAsia="zh-CN"/>
              </w:rPr>
              <w:t>≥3天</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2"/>
                <w:sz w:val="20"/>
                <w:szCs w:val="20"/>
                <w:lang w:val="en-US" w:eastAsia="zh-CN" w:bidi="ar-SA"/>
              </w:rPr>
            </w:pPr>
            <w:r>
              <w:rPr>
                <w:rFonts w:hint="eastAsia" w:ascii="宋体" w:hAnsi="宋体" w:eastAsia="宋体" w:cs="宋体"/>
                <w:color w:val="auto"/>
                <w:kern w:val="2"/>
                <w:sz w:val="20"/>
                <w:szCs w:val="20"/>
                <w:lang w:val="en-US" w:eastAsia="zh-CN" w:bidi="ar-SA"/>
              </w:rPr>
              <w:t>4天　</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质量指标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定向培养特岗生上岗率</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auto"/>
                <w:sz w:val="20"/>
                <w:szCs w:val="20"/>
                <w:lang w:val="en-US" w:eastAsia="zh-CN"/>
              </w:rPr>
              <w:t>≥90％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18"/>
                <w:szCs w:val="18"/>
              </w:rPr>
            </w:pPr>
            <w:r>
              <w:rPr>
                <w:rFonts w:hint="eastAsia" w:ascii="宋体" w:hAnsi="宋体" w:eastAsia="宋体" w:cs="宋体"/>
                <w:color w:val="auto"/>
                <w:sz w:val="19"/>
                <w:szCs w:val="19"/>
                <w:lang w:val="en-US" w:eastAsia="zh-CN"/>
              </w:rPr>
              <w:t>100</w:t>
            </w:r>
            <w:r>
              <w:rPr>
                <w:rFonts w:hint="eastAsia" w:ascii="宋体" w:hAnsi="宋体" w:eastAsia="宋体" w:cs="宋体"/>
                <w:color w:val="000000"/>
                <w:kern w:val="0"/>
                <w:sz w:val="19"/>
                <w:szCs w:val="19"/>
                <w:lang w:val="en-US" w:eastAsia="zh-CN"/>
              </w:rPr>
              <w:t>％</w:t>
            </w:r>
            <w:r>
              <w:rPr>
                <w:rFonts w:hint="eastAsia" w:ascii="宋体" w:hAnsi="宋体" w:eastAsia="宋体" w:cs="宋体"/>
                <w:color w:val="000000"/>
                <w:kern w:val="0"/>
                <w:sz w:val="18"/>
                <w:szCs w:val="18"/>
              </w:rPr>
              <w:t>　</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时效指标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rPr>
            </w:pPr>
            <w:r>
              <w:rPr>
                <w:rFonts w:hint="eastAsia" w:asciiTheme="minorEastAsia" w:hAnsiTheme="minorEastAsia" w:eastAsiaTheme="minorEastAsia" w:cstheme="minorEastAsia"/>
                <w:color w:val="000000"/>
                <w:kern w:val="0"/>
                <w:sz w:val="16"/>
                <w:szCs w:val="16"/>
                <w:lang w:eastAsia="zh-CN"/>
              </w:rPr>
              <w:t>特岗生上岗时间</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18"/>
                <w:szCs w:val="18"/>
                <w:lang w:val="en-US" w:eastAsia="zh-CN"/>
              </w:rPr>
              <w:t>2024年底前</w:t>
            </w:r>
            <w:r>
              <w:rPr>
                <w:rFonts w:hint="eastAsia" w:ascii="宋体" w:hAnsi="宋体" w:eastAsia="宋体" w:cs="宋体"/>
                <w:color w:val="000000"/>
                <w:kern w:val="0"/>
                <w:sz w:val="21"/>
                <w:szCs w:val="21"/>
              </w:rPr>
              <w:t>　</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按时完成</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成本指标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经费支出控制</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eastAsia="zh-CN"/>
              </w:rPr>
              <w:t>在预算内</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在预算内</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宋体"/>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(4</w:t>
            </w:r>
            <w:r>
              <w:rPr>
                <w:color w:val="000000"/>
                <w:kern w:val="0"/>
                <w:sz w:val="21"/>
                <w:szCs w:val="21"/>
              </w:rPr>
              <w:t>0分</w:t>
            </w:r>
            <w:r>
              <w:rPr>
                <w:rFonts w:hint="eastAsia"/>
                <w:color w:val="000000"/>
                <w:kern w:val="0"/>
                <w:sz w:val="21"/>
                <w:szCs w:val="21"/>
                <w:lang w:val="en-US" w:eastAsia="zh-CN"/>
              </w:rPr>
              <w:t>)</w:t>
            </w: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经济效</w:t>
            </w:r>
          </w:p>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益指标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全省水稻产量</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有所提高</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有所提高</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9</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社会效</w:t>
            </w:r>
          </w:p>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益指标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农技大课堂授课在线点击量</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18"/>
                <w:szCs w:val="18"/>
                <w:lang w:eastAsia="zh-CN"/>
              </w:rPr>
            </w:pPr>
            <w:r>
              <w:rPr>
                <w:rFonts w:hint="eastAsia" w:ascii="宋体" w:hAnsi="宋体" w:eastAsia="宋体" w:cs="宋体"/>
                <w:color w:val="auto"/>
                <w:sz w:val="18"/>
                <w:szCs w:val="18"/>
                <w:lang w:val="en-US" w:eastAsia="zh-CN"/>
              </w:rPr>
              <w:t>≥100万人次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auto"/>
                <w:sz w:val="18"/>
                <w:szCs w:val="18"/>
                <w:lang w:val="en-US" w:eastAsia="zh-CN"/>
              </w:rPr>
              <w:t>≥140万人次</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生态效</w:t>
            </w:r>
          </w:p>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益指标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生态环保意识</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明显增强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明显增强</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可持续影响指标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远程指导服务用户活跃度</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逐步提高</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18"/>
                <w:szCs w:val="18"/>
                <w:lang w:eastAsia="zh-CN"/>
              </w:rPr>
              <w:t>提高并在全国排名前列</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9</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w:t>
            </w:r>
            <w:r>
              <w:rPr>
                <w:color w:val="000000"/>
                <w:kern w:val="0"/>
                <w:sz w:val="21"/>
                <w:szCs w:val="21"/>
              </w:rPr>
              <w:t>10分</w:t>
            </w:r>
            <w:r>
              <w:rPr>
                <w:rFonts w:hint="eastAsia"/>
                <w:color w:val="000000"/>
                <w:kern w:val="0"/>
                <w:sz w:val="21"/>
                <w:szCs w:val="21"/>
                <w:lang w:val="en-US" w:eastAsia="zh-CN"/>
              </w:rPr>
              <w:t>)</w:t>
            </w: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服务对象满意度指标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服务对象</w:t>
            </w:r>
            <w:r>
              <w:rPr>
                <w:rFonts w:hint="eastAsia" w:ascii="仿宋_GB2312" w:hAnsi="仿宋_GB2312" w:eastAsia="仿宋_GB2312" w:cs="仿宋_GB2312"/>
                <w:color w:val="000000"/>
                <w:kern w:val="0"/>
                <w:sz w:val="20"/>
                <w:szCs w:val="20"/>
                <w:lang w:eastAsia="zh-CN"/>
              </w:rPr>
              <w:t>的</w:t>
            </w:r>
            <w:r>
              <w:rPr>
                <w:rFonts w:hint="eastAsia" w:ascii="仿宋_GB2312" w:hAnsi="仿宋_GB2312" w:eastAsia="仿宋_GB2312" w:cs="仿宋_GB2312"/>
                <w:color w:val="000000"/>
                <w:kern w:val="0"/>
                <w:sz w:val="20"/>
                <w:szCs w:val="20"/>
              </w:rPr>
              <w:t>满意度</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eastAsia" w:ascii="宋体" w:hAnsi="宋体" w:eastAsia="宋体" w:cs="宋体"/>
                <w:color w:val="000000"/>
                <w:kern w:val="0"/>
                <w:sz w:val="18"/>
                <w:szCs w:val="18"/>
              </w:rPr>
            </w:pPr>
            <w:r>
              <w:rPr>
                <w:rFonts w:hint="eastAsia" w:ascii="宋体" w:hAnsi="宋体" w:eastAsia="宋体" w:cs="宋体"/>
                <w:color w:val="auto"/>
                <w:sz w:val="18"/>
                <w:szCs w:val="18"/>
                <w:lang w:val="en-US" w:eastAsia="zh-CN"/>
              </w:rPr>
              <w:t>≥95％</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auto"/>
                <w:sz w:val="20"/>
                <w:szCs w:val="20"/>
                <w:lang w:val="en-US" w:eastAsia="zh-CN"/>
              </w:rPr>
              <w:t>≥95％</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135"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pStyle w:val="6"/>
        <w:keepNext/>
        <w:keepLines/>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eastAsia" w:eastAsia="黑体"/>
          <w:sz w:val="30"/>
          <w:szCs w:val="30"/>
          <w:lang w:val="en-US" w:eastAsia="zh-CN"/>
        </w:rPr>
      </w:pPr>
      <w:r>
        <w:rPr>
          <w:sz w:val="30"/>
          <w:szCs w:val="30"/>
        </w:rPr>
        <w:t>附件</w:t>
      </w:r>
      <w:r>
        <w:rPr>
          <w:rFonts w:hint="eastAsia"/>
          <w:sz w:val="30"/>
          <w:szCs w:val="30"/>
          <w:lang w:val="en-US" w:eastAsia="zh-CN"/>
        </w:rPr>
        <w:t>4：</w:t>
      </w:r>
    </w:p>
    <w:p>
      <w:pPr>
        <w:pStyle w:val="5"/>
        <w:spacing w:before="144" w:beforeLines="25" w:line="500" w:lineRule="exact"/>
        <w:jc w:val="center"/>
        <w:rPr>
          <w:color w:val="auto"/>
          <w:sz w:val="36"/>
          <w:szCs w:val="36"/>
        </w:rPr>
      </w:pPr>
      <w:r>
        <w:rPr>
          <w:color w:val="auto"/>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3"/>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78"/>
        <w:gridCol w:w="1091"/>
        <w:gridCol w:w="1418"/>
        <w:gridCol w:w="1268"/>
        <w:gridCol w:w="1200"/>
        <w:gridCol w:w="655"/>
        <w:gridCol w:w="913"/>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9048"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highlight w:val="none"/>
              </w:rPr>
            </w:pPr>
            <w:r>
              <w:rPr>
                <w:rFonts w:hint="eastAsia"/>
                <w:b w:val="0"/>
                <w:bCs w:val="0"/>
                <w:color w:val="000000"/>
                <w:kern w:val="0"/>
                <w:sz w:val="22"/>
                <w:szCs w:val="22"/>
                <w:highlight w:val="none"/>
                <w:lang w:eastAsia="zh-CN"/>
              </w:rPr>
              <w:t>　　　　　　　　　　　　　</w:t>
            </w:r>
            <w:r>
              <w:rPr>
                <w:rFonts w:hint="eastAsia"/>
                <w:b w:val="0"/>
                <w:bCs w:val="0"/>
                <w:color w:val="auto"/>
                <w:kern w:val="0"/>
                <w:sz w:val="22"/>
                <w:szCs w:val="22"/>
                <w:highlight w:val="none"/>
                <w:lang w:eastAsia="zh-CN"/>
              </w:rPr>
              <w:t>其他事业发展资金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855"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宋体"/>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993"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eastAsia="zh-CN"/>
              </w:rPr>
            </w:pPr>
            <w:r>
              <w:rPr>
                <w:rFonts w:hint="eastAsia"/>
                <w:color w:val="000000"/>
                <w:kern w:val="0"/>
                <w:sz w:val="21"/>
                <w:szCs w:val="21"/>
                <w:lang w:eastAsia="zh-CN"/>
              </w:rPr>
              <w:t>湖南省农业技术推广总站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000000"/>
                <w:kern w:val="0"/>
                <w:sz w:val="21"/>
                <w:szCs w:val="21"/>
              </w:rPr>
            </w:pPr>
            <w:r>
              <w:rPr>
                <w:color w:val="000000"/>
                <w:kern w:val="0"/>
                <w:sz w:val="21"/>
                <w:szCs w:val="21"/>
              </w:rPr>
              <w:t>年初预算数</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000000"/>
                <w:kern w:val="0"/>
                <w:sz w:val="21"/>
                <w:szCs w:val="21"/>
              </w:rPr>
            </w:pPr>
            <w:r>
              <w:rPr>
                <w:color w:val="000000"/>
                <w:kern w:val="0"/>
                <w:sz w:val="21"/>
                <w:szCs w:val="21"/>
              </w:rPr>
              <w:t>全年预算数</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both"/>
              <w:textAlignment w:val="center"/>
              <w:rPr>
                <w:sz w:val="21"/>
                <w:szCs w:val="21"/>
              </w:rPr>
            </w:pPr>
            <w:r>
              <w:rPr>
                <w:sz w:val="19"/>
                <w:szCs w:val="19"/>
              </w:rPr>
              <w:t>全年执行数</w:t>
            </w:r>
          </w:p>
        </w:tc>
        <w:tc>
          <w:tcPr>
            <w:tcW w:w="65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91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lang w:val="en-US" w:eastAsia="zh-CN"/>
              </w:rPr>
            </w:pPr>
            <w:r>
              <w:rPr>
                <w:b w:val="0"/>
                <w:bCs w:val="0"/>
                <w:i w:val="0"/>
                <w:iCs w:val="0"/>
                <w:color w:val="auto"/>
                <w:kern w:val="0"/>
                <w:sz w:val="21"/>
                <w:szCs w:val="21"/>
              </w:rPr>
              <w:t>　</w:t>
            </w:r>
            <w:r>
              <w:rPr>
                <w:rFonts w:hint="eastAsia"/>
                <w:b w:val="0"/>
                <w:bCs w:val="0"/>
                <w:i w:val="0"/>
                <w:iCs w:val="0"/>
                <w:color w:val="auto"/>
                <w:kern w:val="0"/>
                <w:sz w:val="21"/>
                <w:szCs w:val="21"/>
                <w:lang w:val="en-US" w:eastAsia="zh-CN"/>
              </w:rPr>
              <w:t>14.42</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lang w:val="en-US" w:eastAsia="zh-CN"/>
              </w:rPr>
            </w:pPr>
            <w:r>
              <w:rPr>
                <w:b w:val="0"/>
                <w:bCs w:val="0"/>
                <w:i w:val="0"/>
                <w:iCs w:val="0"/>
                <w:color w:val="auto"/>
                <w:kern w:val="0"/>
                <w:sz w:val="21"/>
                <w:szCs w:val="21"/>
              </w:rPr>
              <w:t>　</w:t>
            </w:r>
            <w:r>
              <w:rPr>
                <w:rFonts w:hint="eastAsia"/>
                <w:b w:val="0"/>
                <w:bCs w:val="0"/>
                <w:i w:val="0"/>
                <w:iCs w:val="0"/>
                <w:color w:val="auto"/>
                <w:kern w:val="0"/>
                <w:sz w:val="21"/>
                <w:szCs w:val="21"/>
                <w:lang w:val="en-US" w:eastAsia="zh-CN"/>
              </w:rPr>
              <w:t>220.04</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highlight w:val="none"/>
                <w:lang w:val="en-US" w:eastAsia="zh-CN"/>
              </w:rPr>
            </w:pPr>
            <w:r>
              <w:rPr>
                <w:b w:val="0"/>
                <w:bCs w:val="0"/>
                <w:i w:val="0"/>
                <w:iCs w:val="0"/>
                <w:color w:val="auto"/>
                <w:kern w:val="0"/>
                <w:sz w:val="21"/>
                <w:szCs w:val="21"/>
                <w:highlight w:val="none"/>
              </w:rPr>
              <w:t>　</w:t>
            </w:r>
            <w:r>
              <w:rPr>
                <w:rFonts w:hint="eastAsia"/>
                <w:b w:val="0"/>
                <w:bCs w:val="0"/>
                <w:i w:val="0"/>
                <w:iCs w:val="0"/>
                <w:color w:val="auto"/>
                <w:kern w:val="0"/>
                <w:sz w:val="21"/>
                <w:szCs w:val="21"/>
                <w:highlight w:val="none"/>
                <w:lang w:val="en-US" w:eastAsia="zh-CN"/>
              </w:rPr>
              <w:t>143.93</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b w:val="0"/>
                <w:bCs w:val="0"/>
                <w:i w:val="0"/>
                <w:iCs w:val="0"/>
                <w:color w:val="auto"/>
                <w:kern w:val="0"/>
                <w:sz w:val="21"/>
                <w:szCs w:val="21"/>
              </w:rPr>
            </w:pPr>
            <w:r>
              <w:rPr>
                <w:b w:val="0"/>
                <w:bCs w:val="0"/>
                <w:i w:val="0"/>
                <w:iCs w:val="0"/>
                <w:color w:val="auto"/>
                <w:kern w:val="0"/>
                <w:sz w:val="21"/>
                <w:szCs w:val="21"/>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b w:val="0"/>
                <w:bCs w:val="0"/>
                <w:i w:val="0"/>
                <w:iCs w:val="0"/>
                <w:color w:val="auto"/>
                <w:sz w:val="18"/>
                <w:szCs w:val="18"/>
                <w:lang w:val="en-US" w:eastAsia="zh-CN"/>
              </w:rPr>
            </w:pPr>
            <w:r>
              <w:rPr>
                <w:rFonts w:hint="eastAsia"/>
                <w:b w:val="0"/>
                <w:bCs w:val="0"/>
                <w:i w:val="0"/>
                <w:iCs w:val="0"/>
                <w:color w:val="auto"/>
                <w:sz w:val="18"/>
                <w:szCs w:val="18"/>
                <w:lang w:val="en-US" w:eastAsia="zh-CN"/>
              </w:rPr>
              <w:t>65.41%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b w:val="0"/>
                <w:bCs w:val="0"/>
                <w:i w:val="0"/>
                <w:iCs w:val="0"/>
                <w:color w:val="auto"/>
                <w:kern w:val="0"/>
                <w:sz w:val="21"/>
                <w:szCs w:val="21"/>
                <w:lang w:val="en-US" w:eastAsia="zh-CN"/>
              </w:rPr>
            </w:pPr>
            <w:r>
              <w:rPr>
                <w:rFonts w:hint="eastAsia"/>
                <w:b w:val="0"/>
                <w:bCs w:val="0"/>
                <w:i w:val="0"/>
                <w:iCs w:val="0"/>
                <w:color w:val="auto"/>
                <w:kern w:val="0"/>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lang w:val="en-US" w:eastAsia="zh-CN"/>
              </w:rPr>
            </w:pPr>
            <w:r>
              <w:rPr>
                <w:b w:val="0"/>
                <w:bCs w:val="0"/>
                <w:i w:val="0"/>
                <w:iCs w:val="0"/>
                <w:color w:val="auto"/>
                <w:kern w:val="0"/>
                <w:sz w:val="21"/>
                <w:szCs w:val="21"/>
              </w:rPr>
              <w:t>　</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lang w:val="en-US" w:eastAsia="zh-CN"/>
              </w:rPr>
            </w:pPr>
            <w:r>
              <w:rPr>
                <w:b w:val="0"/>
                <w:bCs w:val="0"/>
                <w:i w:val="0"/>
                <w:iCs w:val="0"/>
                <w:color w:val="auto"/>
                <w:kern w:val="0"/>
                <w:sz w:val="21"/>
                <w:szCs w:val="21"/>
              </w:rPr>
              <w:t>　</w:t>
            </w:r>
            <w:r>
              <w:rPr>
                <w:rFonts w:hint="eastAsia"/>
                <w:b w:val="0"/>
                <w:bCs w:val="0"/>
                <w:i w:val="0"/>
                <w:iCs w:val="0"/>
                <w:color w:val="auto"/>
                <w:kern w:val="0"/>
                <w:sz w:val="21"/>
                <w:szCs w:val="21"/>
                <w:lang w:val="en-US" w:eastAsia="zh-CN"/>
              </w:rPr>
              <w:t>205.62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highlight w:val="none"/>
                <w:lang w:val="en-US" w:eastAsia="zh-CN"/>
              </w:rPr>
            </w:pPr>
            <w:r>
              <w:rPr>
                <w:b w:val="0"/>
                <w:bCs w:val="0"/>
                <w:i w:val="0"/>
                <w:iCs w:val="0"/>
                <w:color w:val="auto"/>
                <w:kern w:val="0"/>
                <w:sz w:val="21"/>
                <w:szCs w:val="21"/>
                <w:highlight w:val="none"/>
              </w:rPr>
              <w:t>　</w:t>
            </w:r>
            <w:r>
              <w:rPr>
                <w:rFonts w:hint="eastAsia"/>
                <w:b w:val="0"/>
                <w:bCs w:val="0"/>
                <w:i w:val="0"/>
                <w:iCs w:val="0"/>
                <w:color w:val="auto"/>
                <w:kern w:val="0"/>
                <w:sz w:val="21"/>
                <w:szCs w:val="21"/>
                <w:highlight w:val="none"/>
                <w:lang w:val="en-US" w:eastAsia="zh-CN"/>
              </w:rPr>
              <w:t>132.25</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b w:val="0"/>
                <w:bCs w:val="0"/>
                <w:i w:val="0"/>
                <w:iCs w:val="0"/>
                <w:color w:val="auto"/>
                <w:kern w:val="0"/>
                <w:sz w:val="21"/>
                <w:szCs w:val="21"/>
              </w:rPr>
            </w:pPr>
            <w:r>
              <w:rPr>
                <w:b w:val="0"/>
                <w:bCs w:val="0"/>
                <w:i w:val="0"/>
                <w:iCs w:val="0"/>
                <w:color w:val="auto"/>
                <w:kern w:val="0"/>
                <w:sz w:val="21"/>
                <w:szCs w:val="21"/>
              </w:rPr>
              <w:t>　</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b w:val="0"/>
                <w:bCs w:val="0"/>
                <w:i w:val="0"/>
                <w:iCs w:val="0"/>
                <w:color w:val="auto"/>
                <w:kern w:val="0"/>
                <w:sz w:val="21"/>
                <w:szCs w:val="21"/>
              </w:rPr>
            </w:pPr>
            <w:r>
              <w:rPr>
                <w:b w:val="0"/>
                <w:bCs w:val="0"/>
                <w:i w:val="0"/>
                <w:iCs w:val="0"/>
                <w:color w:val="auto"/>
                <w:kern w:val="0"/>
                <w:sz w:val="21"/>
                <w:szCs w:val="21"/>
              </w:rPr>
              <w:t>　</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b w:val="0"/>
                <w:bCs w:val="0"/>
                <w:i w:val="0"/>
                <w:iCs w:val="0"/>
                <w:color w:val="auto"/>
                <w:kern w:val="0"/>
                <w:sz w:val="21"/>
                <w:szCs w:val="21"/>
              </w:rPr>
            </w:pPr>
            <w:r>
              <w:rPr>
                <w:b w:val="0"/>
                <w:bCs w:val="0"/>
                <w:i w:val="0"/>
                <w:iCs w:val="0"/>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lang w:val="en-US" w:eastAsia="zh-CN"/>
              </w:rPr>
            </w:pPr>
            <w:r>
              <w:rPr>
                <w:b w:val="0"/>
                <w:bCs w:val="0"/>
                <w:i w:val="0"/>
                <w:iCs w:val="0"/>
                <w:color w:val="auto"/>
                <w:kern w:val="0"/>
                <w:sz w:val="21"/>
                <w:szCs w:val="21"/>
              </w:rPr>
              <w:t>　</w:t>
            </w:r>
            <w:r>
              <w:rPr>
                <w:rFonts w:hint="eastAsia"/>
                <w:b w:val="0"/>
                <w:bCs w:val="0"/>
                <w:i w:val="0"/>
                <w:iCs w:val="0"/>
                <w:color w:val="auto"/>
                <w:kern w:val="0"/>
                <w:sz w:val="21"/>
                <w:szCs w:val="21"/>
                <w:lang w:val="en-US" w:eastAsia="zh-CN"/>
              </w:rPr>
              <w:t>14.42</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lang w:val="en-US" w:eastAsia="zh-CN"/>
              </w:rPr>
            </w:pPr>
            <w:r>
              <w:rPr>
                <w:b w:val="0"/>
                <w:bCs w:val="0"/>
                <w:i w:val="0"/>
                <w:iCs w:val="0"/>
                <w:color w:val="auto"/>
                <w:kern w:val="0"/>
                <w:sz w:val="21"/>
                <w:szCs w:val="21"/>
              </w:rPr>
              <w:t>　</w:t>
            </w:r>
            <w:r>
              <w:rPr>
                <w:rFonts w:hint="eastAsia"/>
                <w:b w:val="0"/>
                <w:bCs w:val="0"/>
                <w:i w:val="0"/>
                <w:iCs w:val="0"/>
                <w:color w:val="auto"/>
                <w:kern w:val="0"/>
                <w:sz w:val="21"/>
                <w:szCs w:val="21"/>
                <w:lang w:val="en-US" w:eastAsia="zh-CN"/>
              </w:rPr>
              <w:t>14.42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b w:val="0"/>
                <w:bCs w:val="0"/>
                <w:i w:val="0"/>
                <w:iCs w:val="0"/>
                <w:color w:val="auto"/>
                <w:kern w:val="0"/>
                <w:sz w:val="21"/>
                <w:szCs w:val="21"/>
                <w:highlight w:val="none"/>
                <w:lang w:val="en-US" w:eastAsia="zh-CN"/>
              </w:rPr>
            </w:pPr>
            <w:r>
              <w:rPr>
                <w:b w:val="0"/>
                <w:bCs w:val="0"/>
                <w:i w:val="0"/>
                <w:iCs w:val="0"/>
                <w:color w:val="auto"/>
                <w:kern w:val="0"/>
                <w:sz w:val="21"/>
                <w:szCs w:val="21"/>
                <w:highlight w:val="none"/>
              </w:rPr>
              <w:t>　</w:t>
            </w:r>
            <w:r>
              <w:rPr>
                <w:rFonts w:hint="eastAsia"/>
                <w:b w:val="0"/>
                <w:bCs w:val="0"/>
                <w:i w:val="0"/>
                <w:iCs w:val="0"/>
                <w:color w:val="auto"/>
                <w:kern w:val="0"/>
                <w:sz w:val="21"/>
                <w:szCs w:val="21"/>
                <w:highlight w:val="none"/>
                <w:lang w:val="en-US" w:eastAsia="zh-CN"/>
              </w:rPr>
              <w:t>11.68</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b w:val="0"/>
                <w:bCs w:val="0"/>
                <w:i w:val="0"/>
                <w:iCs w:val="0"/>
                <w:color w:val="auto"/>
                <w:kern w:val="0"/>
                <w:sz w:val="21"/>
                <w:szCs w:val="21"/>
              </w:rPr>
            </w:pPr>
            <w:r>
              <w:rPr>
                <w:b w:val="0"/>
                <w:bCs w:val="0"/>
                <w:i w:val="0"/>
                <w:iCs w:val="0"/>
                <w:color w:val="auto"/>
                <w:kern w:val="0"/>
                <w:sz w:val="21"/>
                <w:szCs w:val="21"/>
              </w:rPr>
              <w:t>　</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b w:val="0"/>
                <w:bCs w:val="0"/>
                <w:i w:val="0"/>
                <w:iCs w:val="0"/>
                <w:color w:val="auto"/>
                <w:kern w:val="0"/>
                <w:sz w:val="21"/>
                <w:szCs w:val="21"/>
              </w:rPr>
            </w:pPr>
            <w:r>
              <w:rPr>
                <w:b w:val="0"/>
                <w:bCs w:val="0"/>
                <w:i w:val="0"/>
                <w:iCs w:val="0"/>
                <w:color w:val="auto"/>
                <w:kern w:val="0"/>
                <w:sz w:val="21"/>
                <w:szCs w:val="21"/>
              </w:rPr>
              <w:t>　</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b w:val="0"/>
                <w:bCs w:val="0"/>
                <w:i w:val="0"/>
                <w:iCs w:val="0"/>
                <w:color w:val="auto"/>
                <w:kern w:val="0"/>
                <w:sz w:val="21"/>
                <w:szCs w:val="21"/>
              </w:rPr>
            </w:pPr>
            <w:r>
              <w:rPr>
                <w:b w:val="0"/>
                <w:bCs w:val="0"/>
                <w:i w:val="0"/>
                <w:iCs w:val="0"/>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855"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1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855"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ascii="仿宋_GB2312" w:hAnsi="仿宋_GB2312" w:eastAsia="仿宋_GB2312" w:cs="仿宋_GB2312"/>
                <w:sz w:val="20"/>
                <w:szCs w:val="20"/>
                <w:lang w:val="en-US" w:eastAsia="zh-CN"/>
              </w:rPr>
              <w:t>加强农业技术推广体系建设和管理、农业技术推广队伍管理和培训，拓展“互联网+农技推广”平台和队伍建设，加强农业技术推广工作指导，支持</w:t>
            </w:r>
            <w:r>
              <w:rPr>
                <w:rFonts w:hint="eastAsia" w:ascii="Times New Roman" w:hAnsi="Times New Roman" w:eastAsia="仿宋_GB2312"/>
                <w:sz w:val="20"/>
                <w:szCs w:val="20"/>
                <w:lang w:val="en-US" w:eastAsia="zh-CN"/>
              </w:rPr>
              <w:t>优势特色产业集群省级专家技术团队相关专家，对产业集群项目建设有关县市区开展技术指导服务，确保项目高质、高效实施。　</w:t>
            </w:r>
            <w:r>
              <w:rPr>
                <w:color w:val="000000"/>
                <w:kern w:val="0"/>
                <w:sz w:val="21"/>
                <w:szCs w:val="21"/>
              </w:rPr>
              <w:t>　　</w:t>
            </w:r>
          </w:p>
        </w:tc>
        <w:tc>
          <w:tcPr>
            <w:tcW w:w="41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000000"/>
                <w:kern w:val="0"/>
                <w:sz w:val="21"/>
                <w:szCs w:val="21"/>
              </w:rPr>
            </w:pPr>
            <w:r>
              <w:rPr>
                <w:rFonts w:hint="eastAsia" w:ascii="Times New Roman" w:hAnsi="Times New Roman" w:eastAsia="仿宋_GB2312"/>
                <w:sz w:val="20"/>
                <w:szCs w:val="20"/>
                <w:lang w:val="en-US" w:eastAsia="zh-CN"/>
              </w:rPr>
              <w:t>支持优势特色产业集群省级专家技术团队相关专家，对产业集群项目建设有关县市区开展技术指导服务，开展相关技术培训，为产业集群项目高质量发展提供技术支撑，提升项目实施质量水平，确保了项目高质、高效实施。</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7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9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19"/>
                <w:szCs w:val="19"/>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9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数量指标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sz w:val="20"/>
                <w:szCs w:val="20"/>
                <w:lang w:eastAsia="zh-CN"/>
              </w:rPr>
              <w:t>培训次数</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auto"/>
                <w:sz w:val="20"/>
                <w:szCs w:val="20"/>
                <w:lang w:val="en-US" w:eastAsia="zh-CN"/>
              </w:rPr>
              <w:t>≥3次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5次　</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eastAsia="zh-CN"/>
              </w:rPr>
              <w:t>培训人数</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auto"/>
                <w:sz w:val="20"/>
                <w:szCs w:val="20"/>
                <w:lang w:val="en-US" w:eastAsia="zh-CN"/>
              </w:rPr>
              <w:t>≥270人次</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sz w:val="20"/>
                <w:szCs w:val="20"/>
                <w:lang w:val="en-US" w:eastAsia="zh-CN"/>
              </w:rPr>
            </w:pPr>
            <w:r>
              <w:rPr>
                <w:rFonts w:hint="eastAsia" w:ascii="宋体" w:hAnsi="宋体" w:eastAsia="宋体" w:cs="宋体"/>
                <w:color w:val="000000"/>
                <w:kern w:val="0"/>
                <w:sz w:val="20"/>
                <w:szCs w:val="20"/>
                <w:lang w:val="en-US" w:eastAsia="zh-CN"/>
              </w:rPr>
              <w:t>300人次</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sz w:val="20"/>
                <w:szCs w:val="20"/>
                <w:lang w:eastAsia="zh-CN"/>
              </w:rPr>
              <w:t>培训天数</w:t>
            </w:r>
            <w:r>
              <w:rPr>
                <w:rFonts w:hint="eastAsia" w:ascii="仿宋_GB2312" w:hAnsi="仿宋_GB2312" w:eastAsia="仿宋_GB2312" w:cs="仿宋_GB2312"/>
                <w:color w:val="auto"/>
                <w:sz w:val="20"/>
                <w:szCs w:val="20"/>
                <w:lang w:val="en-US" w:eastAsia="zh-CN"/>
              </w:rPr>
              <w:t xml:space="preserve"> </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sz w:val="20"/>
                <w:szCs w:val="20"/>
                <w:lang w:val="en-US" w:eastAsia="zh-CN"/>
              </w:rPr>
              <w:t>≥6天</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sz w:val="20"/>
                <w:szCs w:val="20"/>
                <w:lang w:val="en-US" w:eastAsia="zh-CN"/>
              </w:rPr>
              <w:t>10天</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质量指标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auto"/>
                <w:kern w:val="0"/>
                <w:sz w:val="20"/>
                <w:szCs w:val="20"/>
                <w:lang w:eastAsia="zh-CN"/>
              </w:rPr>
            </w:pPr>
            <w:r>
              <w:rPr>
                <w:rFonts w:hint="eastAsia" w:ascii="仿宋_GB2312" w:hAnsi="仿宋_GB2312" w:eastAsia="仿宋_GB2312" w:cs="仿宋_GB2312"/>
                <w:color w:val="auto"/>
                <w:kern w:val="0"/>
                <w:sz w:val="20"/>
                <w:szCs w:val="20"/>
                <w:lang w:eastAsia="zh-CN"/>
              </w:rPr>
              <w:t>专家技术指导服务完成率</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sz w:val="20"/>
                <w:szCs w:val="20"/>
                <w:lang w:val="en-US" w:eastAsia="zh-CN"/>
              </w:rPr>
              <w:t>≥90％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auto"/>
                <w:kern w:val="0"/>
                <w:sz w:val="18"/>
                <w:szCs w:val="18"/>
              </w:rPr>
            </w:pPr>
            <w:r>
              <w:rPr>
                <w:rFonts w:hint="eastAsia" w:ascii="宋体" w:hAnsi="宋体" w:eastAsia="宋体" w:cs="宋体"/>
                <w:color w:val="auto"/>
                <w:sz w:val="19"/>
                <w:szCs w:val="19"/>
                <w:lang w:val="en-US" w:eastAsia="zh-CN"/>
              </w:rPr>
              <w:t>100</w:t>
            </w:r>
            <w:r>
              <w:rPr>
                <w:rFonts w:hint="eastAsia" w:ascii="宋体" w:hAnsi="宋体" w:eastAsia="宋体" w:cs="宋体"/>
                <w:color w:val="auto"/>
                <w:kern w:val="0"/>
                <w:sz w:val="19"/>
                <w:szCs w:val="19"/>
                <w:lang w:val="en-US" w:eastAsia="zh-CN"/>
              </w:rPr>
              <w:t>％</w:t>
            </w:r>
            <w:r>
              <w:rPr>
                <w:rFonts w:hint="eastAsia" w:ascii="宋体" w:hAnsi="宋体" w:eastAsia="宋体" w:cs="宋体"/>
                <w:color w:val="auto"/>
                <w:kern w:val="0"/>
                <w:sz w:val="18"/>
                <w:szCs w:val="18"/>
              </w:rPr>
              <w:t>　</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时效指标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rPr>
            </w:pPr>
            <w:r>
              <w:rPr>
                <w:rFonts w:hint="eastAsia" w:asciiTheme="minorEastAsia" w:hAnsiTheme="minorEastAsia" w:cstheme="minorEastAsia"/>
                <w:color w:val="000000"/>
                <w:kern w:val="0"/>
                <w:sz w:val="17"/>
                <w:szCs w:val="17"/>
                <w:lang w:eastAsia="zh-CN"/>
              </w:rPr>
              <w:t>培训完成时间</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18"/>
                <w:szCs w:val="18"/>
                <w:lang w:val="en-US" w:eastAsia="zh-CN"/>
              </w:rPr>
              <w:t>2024年底前</w:t>
            </w:r>
            <w:r>
              <w:rPr>
                <w:rFonts w:hint="eastAsia" w:ascii="宋体" w:hAnsi="宋体" w:eastAsia="宋体" w:cs="宋体"/>
                <w:color w:val="000000"/>
                <w:kern w:val="0"/>
                <w:sz w:val="21"/>
                <w:szCs w:val="21"/>
              </w:rPr>
              <w:t>　</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按时完成</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成本指标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经费支出控制</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eastAsia="zh-CN"/>
              </w:rPr>
              <w:t>在预算内</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在预算内</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宋体"/>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(4</w:t>
            </w:r>
            <w:r>
              <w:rPr>
                <w:color w:val="000000"/>
                <w:kern w:val="0"/>
                <w:sz w:val="21"/>
                <w:szCs w:val="21"/>
              </w:rPr>
              <w:t>0分</w:t>
            </w:r>
            <w:r>
              <w:rPr>
                <w:rFonts w:hint="eastAsia"/>
                <w:color w:val="000000"/>
                <w:kern w:val="0"/>
                <w:sz w:val="21"/>
                <w:szCs w:val="21"/>
                <w:lang w:val="en-US" w:eastAsia="zh-CN"/>
              </w:rPr>
              <w:t>)</w:t>
            </w: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经济效</w:t>
            </w:r>
          </w:p>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益指标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良种良法使用率</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有所提高</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有所提高</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9</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社会效</w:t>
            </w:r>
          </w:p>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益指标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新品种新技术新模式的应用</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有所提高</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有所提高</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9</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生态效</w:t>
            </w:r>
          </w:p>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益指标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生态环保意识</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明显增强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明显增强</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可持续影响指标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高质量发展意识</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20"/>
                <w:szCs w:val="20"/>
                <w:lang w:eastAsia="zh-CN"/>
              </w:rPr>
              <w:t>明显增强</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eastAsia="zh-CN"/>
              </w:rPr>
              <w:t>明显增强</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宋体" w:hAnsi="宋体" w:eastAsia="宋体" w:cs="宋体"/>
                <w:color w:val="000000"/>
                <w:kern w:val="0"/>
                <w:sz w:val="20"/>
                <w:szCs w:val="20"/>
                <w:lang w:val="en-US" w:eastAsia="zh-CN" w:bidi="ar-SA"/>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78"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rFonts w:hint="eastAsia" w:eastAsia="宋体"/>
                <w:color w:val="000000"/>
                <w:kern w:val="0"/>
                <w:sz w:val="21"/>
                <w:szCs w:val="21"/>
                <w:lang w:val="en-US" w:eastAsia="zh-CN"/>
              </w:rPr>
            </w:pPr>
            <w:r>
              <w:rPr>
                <w:rFonts w:hint="eastAsia"/>
                <w:color w:val="000000"/>
                <w:kern w:val="0"/>
                <w:sz w:val="21"/>
                <w:szCs w:val="21"/>
                <w:lang w:val="en-US" w:eastAsia="zh-CN"/>
              </w:rPr>
              <w:t>(</w:t>
            </w:r>
            <w:r>
              <w:rPr>
                <w:color w:val="000000"/>
                <w:kern w:val="0"/>
                <w:sz w:val="21"/>
                <w:szCs w:val="21"/>
              </w:rPr>
              <w:t>10分</w:t>
            </w:r>
            <w:r>
              <w:rPr>
                <w:rFonts w:hint="eastAsia"/>
                <w:color w:val="000000"/>
                <w:kern w:val="0"/>
                <w:sz w:val="21"/>
                <w:szCs w:val="21"/>
                <w:lang w:val="en-US" w:eastAsia="zh-CN"/>
              </w:rPr>
              <w:t>)</w:t>
            </w:r>
          </w:p>
        </w:tc>
        <w:tc>
          <w:tcPr>
            <w:tcW w:w="109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服务对象满意度指标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服务对象</w:t>
            </w:r>
            <w:r>
              <w:rPr>
                <w:rFonts w:hint="eastAsia" w:ascii="仿宋_GB2312" w:hAnsi="仿宋_GB2312" w:eastAsia="仿宋_GB2312" w:cs="仿宋_GB2312"/>
                <w:color w:val="000000"/>
                <w:kern w:val="0"/>
                <w:sz w:val="20"/>
                <w:szCs w:val="20"/>
                <w:lang w:eastAsia="zh-CN"/>
              </w:rPr>
              <w:t>的</w:t>
            </w:r>
            <w:r>
              <w:rPr>
                <w:rFonts w:hint="eastAsia" w:ascii="仿宋_GB2312" w:hAnsi="仿宋_GB2312" w:eastAsia="仿宋_GB2312" w:cs="仿宋_GB2312"/>
                <w:color w:val="000000"/>
                <w:kern w:val="0"/>
                <w:sz w:val="20"/>
                <w:szCs w:val="20"/>
              </w:rPr>
              <w:t>满意度</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eastAsia" w:ascii="宋体" w:hAnsi="宋体" w:eastAsia="宋体" w:cs="宋体"/>
                <w:color w:val="000000"/>
                <w:kern w:val="0"/>
                <w:sz w:val="18"/>
                <w:szCs w:val="18"/>
              </w:rPr>
            </w:pPr>
            <w:r>
              <w:rPr>
                <w:rFonts w:hint="eastAsia" w:ascii="宋体" w:hAnsi="宋体" w:eastAsia="宋体" w:cs="宋体"/>
                <w:color w:val="auto"/>
                <w:sz w:val="18"/>
                <w:szCs w:val="18"/>
                <w:lang w:val="en-US" w:eastAsia="zh-CN"/>
              </w:rPr>
              <w:t>≥90％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宋体" w:hAnsi="宋体" w:eastAsia="宋体" w:cs="宋体"/>
                <w:color w:val="000000"/>
                <w:kern w:val="0"/>
                <w:sz w:val="20"/>
                <w:szCs w:val="20"/>
              </w:rPr>
            </w:pPr>
            <w:r>
              <w:rPr>
                <w:rFonts w:hint="eastAsia" w:ascii="宋体" w:hAnsi="宋体" w:eastAsia="宋体" w:cs="宋体"/>
                <w:color w:val="auto"/>
                <w:sz w:val="20"/>
                <w:szCs w:val="20"/>
                <w:lang w:val="en-US" w:eastAsia="zh-CN"/>
              </w:rPr>
              <w:t>95％</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135"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9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宋体"/>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98</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EE0B8D"/>
    <w:multiLevelType w:val="singleLevel"/>
    <w:tmpl w:val="C6EE0B8D"/>
    <w:lvl w:ilvl="0" w:tentative="0">
      <w:start w:val="2"/>
      <w:numFmt w:val="decimal"/>
      <w:suff w:val="space"/>
      <w:lvlText w:val="%1."/>
      <w:lvlJc w:val="left"/>
    </w:lvl>
  </w:abstractNum>
  <w:abstractNum w:abstractNumId="1">
    <w:nsid w:val="E03D868B"/>
    <w:multiLevelType w:val="singleLevel"/>
    <w:tmpl w:val="E03D868B"/>
    <w:lvl w:ilvl="0" w:tentative="0">
      <w:start w:val="2"/>
      <w:numFmt w:val="chineseCounting"/>
      <w:suff w:val="nothing"/>
      <w:lvlText w:val="%1、"/>
      <w:lvlJc w:val="left"/>
      <w:rPr>
        <w:rFonts w:hint="eastAsia"/>
      </w:rPr>
    </w:lvl>
  </w:abstractNum>
  <w:abstractNum w:abstractNumId="2">
    <w:nsid w:val="321FC6CB"/>
    <w:multiLevelType w:val="singleLevel"/>
    <w:tmpl w:val="321FC6CB"/>
    <w:lvl w:ilvl="0" w:tentative="0">
      <w:start w:val="9"/>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2787D"/>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352B78"/>
    <w:rsid w:val="01747E0B"/>
    <w:rsid w:val="04FF0494"/>
    <w:rsid w:val="07C82852"/>
    <w:rsid w:val="1BF568DB"/>
    <w:rsid w:val="1D97DEFF"/>
    <w:rsid w:val="1DFF72E5"/>
    <w:rsid w:val="1EFC6F07"/>
    <w:rsid w:val="24BA44E3"/>
    <w:rsid w:val="277231B0"/>
    <w:rsid w:val="29F70F3E"/>
    <w:rsid w:val="2FDF85B8"/>
    <w:rsid w:val="2FFFEE04"/>
    <w:rsid w:val="34DF85B0"/>
    <w:rsid w:val="3B602C26"/>
    <w:rsid w:val="3B8F36BC"/>
    <w:rsid w:val="3D095D26"/>
    <w:rsid w:val="491FF225"/>
    <w:rsid w:val="4F5F5E1B"/>
    <w:rsid w:val="4FFD214C"/>
    <w:rsid w:val="5777D4F5"/>
    <w:rsid w:val="59DD8326"/>
    <w:rsid w:val="5CCD3038"/>
    <w:rsid w:val="5DEF592A"/>
    <w:rsid w:val="5FC6BB1E"/>
    <w:rsid w:val="5FF720F1"/>
    <w:rsid w:val="67977149"/>
    <w:rsid w:val="67FF5C0B"/>
    <w:rsid w:val="6C450E92"/>
    <w:rsid w:val="6EFC0924"/>
    <w:rsid w:val="6FB74722"/>
    <w:rsid w:val="6FEF8B7E"/>
    <w:rsid w:val="71A6591B"/>
    <w:rsid w:val="737D59BA"/>
    <w:rsid w:val="75BF414F"/>
    <w:rsid w:val="77C37683"/>
    <w:rsid w:val="79D19834"/>
    <w:rsid w:val="79FF515B"/>
    <w:rsid w:val="7E593E64"/>
    <w:rsid w:val="7E67244C"/>
    <w:rsid w:val="7E9E1962"/>
    <w:rsid w:val="7E9F11B4"/>
    <w:rsid w:val="7F021867"/>
    <w:rsid w:val="7F37EC1E"/>
    <w:rsid w:val="7F7DCD9D"/>
    <w:rsid w:val="7F970A6F"/>
    <w:rsid w:val="7F9D9E4A"/>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9C3C775"/>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unhideWhenUsed/>
    <w:qFormat/>
    <w:uiPriority w:val="0"/>
    <w:pPr>
      <w:keepNext/>
      <w:keepLines/>
      <w:spacing w:line="600" w:lineRule="exact"/>
      <w:ind w:left="641"/>
      <w:outlineLvl w:val="1"/>
    </w:pPr>
    <w:rPr>
      <w:rFonts w:ascii="Arial" w:hAnsi="Arial" w:eastAsia="黑体"/>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7">
    <w:name w:val="Normal Indent"/>
    <w:basedOn w:val="1"/>
    <w:qFormat/>
    <w:uiPriority w:val="0"/>
    <w:pPr>
      <w:ind w:firstLine="420" w:firstLineChars="200"/>
    </w:pPr>
  </w:style>
  <w:style w:type="paragraph" w:styleId="8">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9">
    <w:name w:val="Body Text"/>
    <w:basedOn w:val="1"/>
    <w:next w:val="1"/>
    <w:qFormat/>
    <w:uiPriority w:val="0"/>
    <w:pPr>
      <w:spacing w:after="120"/>
    </w:pPr>
  </w:style>
  <w:style w:type="paragraph" w:styleId="10">
    <w:name w:val="Balloon Text"/>
    <w:basedOn w:val="1"/>
    <w:link w:val="19"/>
    <w:semiHidden/>
    <w:unhideWhenUsed/>
    <w:qFormat/>
    <w:uiPriority w:val="99"/>
    <w:rPr>
      <w:sz w:val="18"/>
      <w:szCs w:val="18"/>
    </w:rPr>
  </w:style>
  <w:style w:type="paragraph" w:styleId="11">
    <w:name w:val="footer"/>
    <w:basedOn w:val="1"/>
    <w:link w:val="16"/>
    <w:unhideWhenUsed/>
    <w:qFormat/>
    <w:uiPriority w:val="99"/>
    <w:pPr>
      <w:tabs>
        <w:tab w:val="center" w:pos="4153"/>
        <w:tab w:val="right" w:pos="8306"/>
      </w:tabs>
      <w:snapToGrid w:val="0"/>
      <w:jc w:val="left"/>
    </w:pPr>
    <w:rPr>
      <w:sz w:val="18"/>
      <w:szCs w:val="18"/>
    </w:rPr>
  </w:style>
  <w:style w:type="paragraph" w:styleId="12">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页眉 Char"/>
    <w:basedOn w:val="14"/>
    <w:link w:val="12"/>
    <w:qFormat/>
    <w:uiPriority w:val="99"/>
    <w:rPr>
      <w:sz w:val="18"/>
      <w:szCs w:val="18"/>
    </w:rPr>
  </w:style>
  <w:style w:type="character" w:customStyle="1" w:styleId="16">
    <w:name w:val="页脚 Char"/>
    <w:basedOn w:val="14"/>
    <w:link w:val="11"/>
    <w:qFormat/>
    <w:uiPriority w:val="99"/>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4"/>
    <w:link w:val="10"/>
    <w:semiHidden/>
    <w:qFormat/>
    <w:uiPriority w:val="99"/>
    <w:rPr>
      <w:sz w:val="18"/>
      <w:szCs w:val="18"/>
    </w:rPr>
  </w:style>
  <w:style w:type="character" w:customStyle="1" w:styleId="20">
    <w:name w:val="font01"/>
    <w:basedOn w:val="14"/>
    <w:qFormat/>
    <w:uiPriority w:val="0"/>
    <w:rPr>
      <w:rFonts w:hint="eastAsia" w:ascii="宋体" w:hAnsi="宋体" w:eastAsia="宋体" w:cs="宋体"/>
      <w:color w:val="000000"/>
      <w:sz w:val="22"/>
      <w:szCs w:val="22"/>
      <w:u w:val="none"/>
    </w:rPr>
  </w:style>
  <w:style w:type="character" w:customStyle="1" w:styleId="21">
    <w:name w:val="font21"/>
    <w:basedOn w:val="14"/>
    <w:qFormat/>
    <w:uiPriority w:val="0"/>
    <w:rPr>
      <w:rFonts w:hint="eastAsia" w:ascii="宋体" w:hAnsi="宋体" w:eastAsia="宋体" w:cs="宋体"/>
      <w:color w:val="000000"/>
      <w:sz w:val="24"/>
      <w:szCs w:val="24"/>
      <w:u w:val="none"/>
    </w:rPr>
  </w:style>
  <w:style w:type="character" w:customStyle="1" w:styleId="22">
    <w:name w:val="font11"/>
    <w:basedOn w:val="14"/>
    <w:qFormat/>
    <w:uiPriority w:val="0"/>
    <w:rPr>
      <w:rFonts w:hint="eastAsia" w:ascii="宋体" w:hAnsi="宋体" w:eastAsia="宋体" w:cs="宋体"/>
      <w:color w:val="000000"/>
      <w:sz w:val="24"/>
      <w:szCs w:val="24"/>
      <w:u w:val="none"/>
    </w:rPr>
  </w:style>
  <w:style w:type="character" w:customStyle="1" w:styleId="23">
    <w:name w:val="UserStyle_5"/>
    <w:qFormat/>
    <w:uiPriority w:val="0"/>
    <w:rPr>
      <w:rFonts w:ascii="等线" w:hAnsi="等线" w:eastAsia="仿宋_GB2312" w:cs="Times New Roman"/>
    </w:rPr>
  </w:style>
  <w:style w:type="character" w:customStyle="1" w:styleId="24">
    <w:name w:val="UserStyle_0"/>
    <w:qFormat/>
    <w:uiPriority w:val="0"/>
    <w:rPr>
      <w:rFonts w:ascii="Calibri" w:hAnsi="Calibri" w:eastAsia="宋体"/>
    </w:rPr>
  </w:style>
  <w:style w:type="paragraph" w:customStyle="1" w:styleId="25">
    <w:name w:val="标题二级"/>
    <w:basedOn w:val="1"/>
    <w:qFormat/>
    <w:uiPriority w:val="0"/>
    <w:pPr>
      <w:adjustRightInd w:val="0"/>
      <w:snapToGrid w:val="0"/>
      <w:spacing w:line="560" w:lineRule="exact"/>
      <w:ind w:firstLine="643" w:firstLineChars="200"/>
    </w:pPr>
    <w:rPr>
      <w:rFonts w:ascii="楷体" w:hAnsi="楷体" w:eastAsia="楷体" w:cs="楷体"/>
      <w:b/>
      <w:bCs/>
      <w:sz w:val="32"/>
      <w:szCs w:val="32"/>
    </w:rPr>
  </w:style>
  <w:style w:type="paragraph" w:customStyle="1" w:styleId="26">
    <w:name w:val="标题一级"/>
    <w:basedOn w:val="1"/>
    <w:qFormat/>
    <w:uiPriority w:val="0"/>
    <w:pPr>
      <w:spacing w:line="560" w:lineRule="exact"/>
      <w:ind w:firstLine="640" w:firstLineChars="200"/>
    </w:pPr>
    <w:rPr>
      <w:rFonts w:ascii="黑体" w:hAnsi="黑体" w:eastAsia="黑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0</TotalTime>
  <ScaleCrop>false</ScaleCrop>
  <LinksUpToDate>false</LinksUpToDate>
  <CharactersWithSpaces>9786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2025-08-19T10:17:00Z</dcterms:created>
  <dc:creator>李航 null</dc:creator>
  <cp:lastModifiedBy>greatwall</cp:lastModifiedBy>
  <cp:lastPrinted>2024-08-09T18:20:00Z</cp:lastPrinted>
  <dcterms:modified xsi:type="dcterms:W3CDTF">2025-09-16T16:57:35Z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