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rFonts w:ascii="Times New Roman" w:hAnsi="Times New Roman" w:cs="Times New Roman"/>
          <w:sz w:val="56"/>
          <w:szCs w:val="56"/>
        </w:rPr>
      </w:pPr>
    </w:p>
    <w:p>
      <w:pPr>
        <w:pStyle w:val="13"/>
        <w:jc w:val="center"/>
        <w:rPr>
          <w:rFonts w:ascii="Times New Roman" w:hAnsi="Times New Roman" w:cs="Times New Roman"/>
          <w:sz w:val="84"/>
          <w:szCs w:val="84"/>
        </w:rPr>
      </w:pPr>
    </w:p>
    <w:p>
      <w:pPr>
        <w:pStyle w:val="13"/>
        <w:jc w:val="center"/>
        <w:rPr>
          <w:rFonts w:ascii="Times New Roman" w:hAnsi="Times New Roman" w:cs="Times New Roman"/>
          <w:sz w:val="84"/>
          <w:szCs w:val="84"/>
        </w:rPr>
      </w:pPr>
    </w:p>
    <w:p>
      <w:pPr>
        <w:pStyle w:val="13"/>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3"/>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湖南省农业对外经济合作</w:t>
      </w:r>
    </w:p>
    <w:p>
      <w:pPr>
        <w:pStyle w:val="13"/>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中心</w:t>
      </w:r>
      <w:r>
        <w:rPr>
          <w:rFonts w:ascii="Times New Roman" w:hAnsi="Times New Roman" w:eastAsia="方正小标宋简体" w:cs="Times New Roman"/>
          <w:sz w:val="72"/>
          <w:szCs w:val="72"/>
        </w:rPr>
        <w:t>部门决算</w:t>
      </w:r>
    </w:p>
    <w:p>
      <w:pPr>
        <w:pStyle w:val="13"/>
        <w:jc w:val="center"/>
        <w:rPr>
          <w:rFonts w:ascii="Times New Roman" w:hAnsi="Times New Roman" w:eastAsia="方正小标宋_GBK" w:cs="Times New Roman"/>
          <w:sz w:val="56"/>
          <w:szCs w:val="56"/>
        </w:rPr>
      </w:pPr>
    </w:p>
    <w:p>
      <w:pPr>
        <w:pStyle w:val="13"/>
        <w:jc w:val="center"/>
        <w:rPr>
          <w:rFonts w:ascii="Times New Roman" w:hAnsi="Times New Roman" w:cs="Times New Roman"/>
          <w:sz w:val="56"/>
          <w:szCs w:val="56"/>
        </w:rPr>
      </w:pPr>
    </w:p>
    <w:p>
      <w:pPr>
        <w:pStyle w:val="13"/>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3"/>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pPr>
        <w:pStyle w:val="13"/>
        <w:spacing w:line="600" w:lineRule="exact"/>
        <w:jc w:val="both"/>
        <w:rPr>
          <w:rFonts w:ascii="Times New Roman" w:hAnsi="Times New Roman" w:cs="Times New Roman"/>
          <w:b/>
          <w:sz w:val="36"/>
          <w:szCs w:val="28"/>
        </w:rPr>
      </w:pPr>
    </w:p>
    <w:p>
      <w:pPr>
        <w:pStyle w:val="13"/>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3"/>
        <w:spacing w:line="600" w:lineRule="exact"/>
        <w:jc w:val="center"/>
        <w:rPr>
          <w:rFonts w:ascii="Times New Roman" w:hAnsi="Times New Roman" w:cs="Times New Roman"/>
          <w:b/>
          <w:sz w:val="36"/>
          <w:szCs w:val="28"/>
        </w:rPr>
      </w:pPr>
    </w:p>
    <w:p>
      <w:pPr>
        <w:pStyle w:val="13"/>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湖南省农业对外经济合作中心</w:t>
      </w:r>
      <w:r>
        <w:rPr>
          <w:rFonts w:ascii="Times New Roman" w:hAnsi="Times New Roman" w:cs="Times New Roman"/>
          <w:bCs/>
          <w:sz w:val="32"/>
          <w:szCs w:val="32"/>
        </w:rPr>
        <w:t>单位概况</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3"/>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7"/>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湖南省农业对外经济合作中心概况</w:t>
      </w:r>
    </w:p>
    <w:p>
      <w:pPr>
        <w:pStyle w:val="3"/>
        <w:ind w:left="0" w:leftChars="0" w:firstLine="0" w:firstLineChars="0"/>
        <w:rPr>
          <w:rFonts w:ascii="Times New Roman" w:hAnsi="Times New Roman" w:cs="Times New Roman"/>
        </w:rPr>
      </w:pPr>
    </w:p>
    <w:p>
      <w:pPr>
        <w:pStyle w:val="14"/>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（一）受委托负责管理农业利用外资项目和农业对外援助项目，承办项目的编制申报、前期论证考察、组织实施等工作。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（二）承担农业对外经济交流合作服务。</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（三）承担农业援外专家的选派、培训和服务工作。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（四）承担农业涉外培训的组织、协调和服务工作。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（五）承担有关农业国际合作的信息咨询。</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（六）承担农产品贸易促进相关工作。</w:t>
      </w:r>
    </w:p>
    <w:p>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（七）湖南省农业农村厅党组交办的其他工作。</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（一）内设机构设置。湖南省农业对外经济合作中心内设机构包括综合科、财务科、外资利用科、海外项目科、贸易促进科、交流服务科。</w:t>
      </w:r>
    </w:p>
    <w:p>
      <w:pPr>
        <w:jc w:val="left"/>
        <w:rPr>
          <w:rFonts w:ascii="Times New Roman" w:hAnsi="Times New Roman" w:eastAsia="仿宋_GB2312" w:cs="Times New Roman"/>
          <w:sz w:val="28"/>
          <w:szCs w:val="32"/>
        </w:rPr>
      </w:pPr>
      <w:r>
        <w:rPr>
          <w:rFonts w:ascii="Times New Roman" w:hAnsi="Times New Roman" w:eastAsia="仿宋_GB2312" w:cs="Times New Roman"/>
          <w:bCs/>
          <w:kern w:val="0"/>
          <w:sz w:val="32"/>
          <w:szCs w:val="32"/>
        </w:rPr>
        <w:t>（二）决算单位构成。湖南省农业对外经济合作中心2024年部门决算汇总公开单位构成包括：湖南省农业对外经济合作中心本级。</w:t>
      </w: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7"/>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3"/>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510"/>
        <w:gridCol w:w="718"/>
        <w:gridCol w:w="2874"/>
        <w:gridCol w:w="5006"/>
        <w:gridCol w:w="718"/>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000" w:type="pct"/>
            <w:gridSpan w:val="6"/>
            <w:tcBorders>
              <w:top w:val="nil"/>
              <w:left w:val="nil"/>
              <w:bottom w:val="nil"/>
              <w:right w:val="nil"/>
            </w:tcBorders>
            <w:shd w:val="clear" w:color="auto" w:fill="auto"/>
            <w:noWrap/>
            <w:vAlign w:val="center"/>
          </w:tcPr>
          <w:p>
            <w:pPr>
              <w:widowControl/>
              <w:spacing w:after="156" w:afterLines="50"/>
              <w:jc w:val="center"/>
              <w:textAlignment w:val="center"/>
              <w:rPr>
                <w:rFonts w:hint="eastAsia" w:ascii="宋体" w:hAnsi="宋体" w:eastAsia="宋体" w:cs="宋体"/>
                <w:i w:val="0"/>
                <w:iCs w:val="0"/>
                <w:color w:val="000000"/>
                <w:sz w:val="22"/>
                <w:szCs w:val="22"/>
                <w:u w:val="none"/>
              </w:rPr>
            </w:pPr>
            <w:r>
              <w:rPr>
                <w:rFonts w:hint="eastAsia" w:ascii="Times New Roman" w:hAnsi="Times New Roman" w:eastAsia="黑体" w:cs="Times New Roman"/>
                <w:color w:val="000000"/>
                <w:kern w:val="0"/>
                <w:sz w:val="36"/>
                <w:szCs w:val="36"/>
                <w:lang w:val="en-US" w:eastAsia="zh-CN" w:bidi="ar"/>
              </w:rPr>
              <w:t>收入支出决算总表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4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2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0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68"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公开01表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45" w:type="pct"/>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color w:val="000000"/>
                <w:kern w:val="0"/>
                <w:sz w:val="20"/>
                <w:szCs w:val="20"/>
                <w:lang w:val="en-US" w:eastAsia="zh-CN" w:bidi="ar"/>
              </w:rPr>
              <w:t>部门：湖南省农业对外经济合作中心</w:t>
            </w:r>
          </w:p>
        </w:tc>
        <w:tc>
          <w:tcPr>
            <w:tcW w:w="23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2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04"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68" w:type="pct"/>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金额单位：万元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596" w:type="pct"/>
            <w:gridSpan w:val="3"/>
            <w:tcBorders>
              <w:top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收入</w:t>
            </w:r>
          </w:p>
        </w:tc>
        <w:tc>
          <w:tcPr>
            <w:tcW w:w="2403" w:type="pct"/>
            <w:gridSpan w:val="3"/>
            <w:tcBorders>
              <w:top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4"/>
                <w:szCs w:val="24"/>
                <w:lang w:val="en-US" w:eastAsia="zh-CN" w:bidi="ar"/>
              </w:rPr>
              <w:t>项目</w:t>
            </w:r>
          </w:p>
        </w:tc>
        <w:tc>
          <w:tcPr>
            <w:tcW w:w="23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行次</w:t>
            </w:r>
          </w:p>
        </w:tc>
        <w:tc>
          <w:tcPr>
            <w:tcW w:w="92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金额</w:t>
            </w:r>
          </w:p>
        </w:tc>
        <w:tc>
          <w:tcPr>
            <w:tcW w:w="1604"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项目</w:t>
            </w:r>
          </w:p>
        </w:tc>
        <w:tc>
          <w:tcPr>
            <w:tcW w:w="23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行次</w:t>
            </w:r>
          </w:p>
        </w:tc>
        <w:tc>
          <w:tcPr>
            <w:tcW w:w="568"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4"/>
                <w:szCs w:val="24"/>
                <w:lang w:val="en-US" w:eastAsia="zh-CN" w:bidi="ar"/>
              </w:rPr>
              <w:t>栏次</w:t>
            </w:r>
          </w:p>
        </w:tc>
        <w:tc>
          <w:tcPr>
            <w:tcW w:w="23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p>
        </w:tc>
        <w:tc>
          <w:tcPr>
            <w:tcW w:w="92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p>
        </w:tc>
        <w:tc>
          <w:tcPr>
            <w:tcW w:w="1604"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栏次</w:t>
            </w:r>
          </w:p>
        </w:tc>
        <w:tc>
          <w:tcPr>
            <w:tcW w:w="230"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p>
        </w:tc>
        <w:tc>
          <w:tcPr>
            <w:tcW w:w="568" w:type="pct"/>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一、一般公共预算财政拨款收入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737.72</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一、一般公共服务支出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二、政府性基金预算财政拨款收入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二、外交支出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三、国有资本经营预算财政拨款收入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三、国防支出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四、上级补助收入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四、公共安全支出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五、事业收入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394.82</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五、教育支出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六、经营收入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六、科学技术支出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七、附属单位上缴收入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七、文化旅游体育与传媒支出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八、其他收入</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29.04</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八、社会保障和就业支出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九、卫生健康支出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十、节能环保支出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十一、城乡社区支出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十二、农林水支出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十三、交通运输支出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十四、资源勘探工业信息等支出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十五、商业服务业等支出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十六、金融支出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十七、援助其他地区支出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十八、自然资源海洋气象等支出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十九、住房保障支出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二十、粮油物资储备支出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二十一、国有资本经营预算支出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二十二、灾害防治及应急管理支出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二十三、其他支出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20" w:type="pct"/>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二十四、债务还本支出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0"/>
                <w:szCs w:val="20"/>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20" w:type="pct"/>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二十五、债务付息支出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jc w:val="left"/>
              <w:rPr>
                <w:rFonts w:hint="eastAsia" w:ascii="宋体" w:hAnsi="宋体" w:eastAsia="宋体" w:cs="宋体"/>
                <w:i w:val="0"/>
                <w:iCs w:val="0"/>
                <w:color w:val="000000"/>
                <w:sz w:val="20"/>
                <w:szCs w:val="20"/>
                <w:u w:val="none"/>
              </w:rPr>
            </w:pP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920" w:type="pct"/>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二十六、抗疫特别国债安排的支出</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568" w:type="pct"/>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color w:val="000000"/>
                <w:kern w:val="0"/>
                <w:sz w:val="22"/>
                <w:lang w:val="en-US" w:eastAsia="zh-CN" w:bidi="ar"/>
              </w:rPr>
              <w:t>本年收入合计</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1,161.57</w:t>
            </w:r>
          </w:p>
        </w:tc>
        <w:tc>
          <w:tcPr>
            <w:tcW w:w="1604" w:type="pct"/>
            <w:shd w:val="clear" w:color="auto" w:fill="auto"/>
            <w:noWrap/>
            <w:vAlign w:val="center"/>
          </w:tcPr>
          <w:p>
            <w:pPr>
              <w:widowControl/>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color w:val="000000"/>
                <w:kern w:val="0"/>
                <w:sz w:val="22"/>
                <w:lang w:val="en-US" w:eastAsia="zh-CN" w:bidi="ar"/>
              </w:rPr>
              <w:t>本年支出合计</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使用非财政拨款结余（含专用结余）</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920" w:type="pct"/>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结余分配</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shd w:val="clear" w:color="auto" w:fill="auto"/>
            <w:noWrap/>
            <w:vAlign w:val="center"/>
          </w:tcPr>
          <w:p>
            <w:pPr>
              <w:widowControl/>
              <w:jc w:val="left"/>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val="en-US" w:eastAsia="zh-CN" w:bidi="ar"/>
              </w:rPr>
              <w:t>年初结转和结余</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920"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960.08</w:t>
            </w:r>
          </w:p>
        </w:tc>
        <w:tc>
          <w:tcPr>
            <w:tcW w:w="1604" w:type="pct"/>
            <w:shd w:val="clear" w:color="auto" w:fill="auto"/>
            <w:noWrap/>
            <w:vAlign w:val="center"/>
          </w:tcPr>
          <w:p>
            <w:pPr>
              <w:widowControl/>
              <w:jc w:val="left"/>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val="en-US" w:eastAsia="zh-CN" w:bidi="ar"/>
              </w:rPr>
              <w:t>年末结转和结余</w:t>
            </w:r>
          </w:p>
        </w:tc>
        <w:tc>
          <w:tcPr>
            <w:tcW w:w="230"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568" w:type="pct"/>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45" w:type="pct"/>
            <w:tcBorders>
              <w:bottom w:val="single" w:color="auto" w:sz="4" w:space="0"/>
            </w:tcBorders>
            <w:shd w:val="clear" w:color="auto" w:fill="auto"/>
            <w:noWrap/>
            <w:vAlign w:val="center"/>
          </w:tcPr>
          <w:p>
            <w:pPr>
              <w:widowControl/>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color w:val="000000"/>
                <w:kern w:val="0"/>
                <w:sz w:val="22"/>
                <w:lang w:val="en-US" w:eastAsia="zh-CN" w:bidi="ar"/>
              </w:rPr>
              <w:t>总计</w:t>
            </w:r>
          </w:p>
        </w:tc>
        <w:tc>
          <w:tcPr>
            <w:tcW w:w="230" w:type="pct"/>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920" w:type="pct"/>
            <w:tcBorders>
              <w:bottom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2,121.65</w:t>
            </w:r>
          </w:p>
        </w:tc>
        <w:tc>
          <w:tcPr>
            <w:tcW w:w="1604" w:type="pct"/>
            <w:tcBorders>
              <w:bottom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lang w:bidi="ar"/>
              </w:rPr>
            </w:pPr>
            <w:r>
              <w:rPr>
                <w:rFonts w:hint="eastAsia" w:ascii="宋体" w:hAnsi="宋体" w:eastAsia="宋体" w:cs="宋体"/>
                <w:b/>
                <w:color w:val="000000"/>
                <w:kern w:val="0"/>
                <w:sz w:val="22"/>
                <w:lang w:val="en-US" w:eastAsia="zh-CN" w:bidi="ar"/>
              </w:rPr>
              <w:t>总计</w:t>
            </w:r>
          </w:p>
        </w:tc>
        <w:tc>
          <w:tcPr>
            <w:tcW w:w="230" w:type="pct"/>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68" w:type="pct"/>
            <w:tcBorders>
              <w:bottom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6"/>
            <w:tcBorders>
              <w:top w:val="single" w:color="auto" w:sz="4" w:space="0"/>
              <w:left w:val="nil"/>
              <w:bottom w:val="nil"/>
              <w:right w:val="nil"/>
            </w:tcBorders>
            <w:shd w:val="clear" w:color="auto" w:fill="auto"/>
            <w:noWrap/>
            <w:vAlign w:val="center"/>
          </w:tcPr>
          <w:p>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注：1.本表反映部门本年度的总收支和年末结转结余情况。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6"/>
            <w:tcBorders>
              <w:top w:val="nil"/>
              <w:left w:val="nil"/>
              <w:bottom w:val="nil"/>
              <w:right w:val="nil"/>
            </w:tcBorders>
            <w:shd w:val="clear" w:color="auto" w:fill="auto"/>
            <w:noWrap/>
            <w:vAlign w:val="center"/>
          </w:tcPr>
          <w:p>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 xml:space="preserve">    2.本套报表金额单位转换时可能存在尾数误差。</w:t>
            </w:r>
          </w:p>
        </w:tc>
      </w:tr>
    </w:tbl>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47"/>
        <w:gridCol w:w="244"/>
        <w:gridCol w:w="265"/>
        <w:gridCol w:w="4075"/>
        <w:gridCol w:w="1227"/>
        <w:gridCol w:w="990"/>
        <w:gridCol w:w="765"/>
        <w:gridCol w:w="968"/>
        <w:gridCol w:w="743"/>
        <w:gridCol w:w="784"/>
        <w:gridCol w:w="18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11"/>
            <w:tcBorders>
              <w:top w:val="nil"/>
              <w:left w:val="nil"/>
              <w:bottom w:val="nil"/>
              <w:right w:val="nil"/>
            </w:tcBorders>
            <w:shd w:val="clear" w:color="auto" w:fill="auto"/>
            <w:noWrap/>
            <w:vAlign w:val="center"/>
          </w:tcPr>
          <w:p>
            <w:pPr>
              <w:widowControl/>
              <w:spacing w:afterAutospacing="0"/>
              <w:jc w:val="center"/>
              <w:textAlignment w:val="center"/>
              <w:rPr>
                <w:rFonts w:ascii="黑体" w:hAnsi="宋体" w:eastAsia="黑体" w:cs="黑体"/>
                <w:i w:val="0"/>
                <w:iCs w:val="0"/>
                <w:color w:val="000000"/>
                <w:sz w:val="30"/>
                <w:szCs w:val="30"/>
                <w:u w:val="none"/>
              </w:rPr>
            </w:pPr>
            <w:r>
              <w:rPr>
                <w:rFonts w:hint="eastAsia" w:ascii="Times New Roman" w:hAnsi="Times New Roman" w:eastAsia="黑体" w:cs="Times New Roman"/>
                <w:color w:val="000000"/>
                <w:kern w:val="0"/>
                <w:sz w:val="36"/>
                <w:szCs w:val="36"/>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0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0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9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77" w:type="pct"/>
            <w:tcBorders>
              <w:top w:val="nil"/>
              <w:left w:val="nil"/>
              <w:bottom w:val="nil"/>
              <w:right w:val="nil"/>
            </w:tcBorders>
            <w:shd w:val="clear" w:color="auto" w:fill="auto"/>
            <w:noWrap/>
            <w:vAlign w:val="bottom"/>
          </w:tcPr>
          <w:p>
            <w:pPr>
              <w:tabs>
                <w:tab w:val="left" w:pos="630"/>
                <w:tab w:val="left" w:pos="2100"/>
                <w:tab w:val="left" w:pos="3895"/>
                <w:tab w:val="left" w:pos="5690"/>
                <w:tab w:val="left" w:pos="7485"/>
                <w:tab w:val="left" w:pos="9280"/>
                <w:tab w:val="left" w:pos="11075"/>
                <w:tab w:val="left" w:pos="12870"/>
              </w:tabs>
              <w:jc w:val="right"/>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68" w:type="pct"/>
            <w:gridSpan w:val="4"/>
            <w:tcBorders>
              <w:top w:val="nil"/>
              <w:left w:val="nil"/>
              <w:bottom w:val="single" w:color="auto" w:sz="4" w:space="0"/>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color w:val="000000"/>
                <w:sz w:val="20"/>
                <w:szCs w:val="20"/>
                <w:lang w:val="en-US" w:eastAsia="zh-CN"/>
              </w:rPr>
              <w:t>部门：湖南省农业对外经济合作中心</w:t>
            </w:r>
          </w:p>
        </w:tc>
        <w:tc>
          <w:tcPr>
            <w:tcW w:w="393"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7"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5"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1"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77" w:type="pct"/>
            <w:tcBorders>
              <w:top w:val="nil"/>
              <w:left w:val="nil"/>
              <w:bottom w:val="single" w:color="auto" w:sz="4" w:space="0"/>
              <w:right w:val="nil"/>
            </w:tcBorders>
            <w:shd w:val="clear" w:color="auto" w:fill="auto"/>
            <w:noWrap/>
            <w:vAlign w:val="bottom"/>
          </w:tcPr>
          <w:p>
            <w:pPr>
              <w:tabs>
                <w:tab w:val="left" w:pos="630"/>
                <w:tab w:val="left" w:pos="2100"/>
                <w:tab w:val="left" w:pos="3895"/>
                <w:tab w:val="left" w:pos="5690"/>
                <w:tab w:val="left" w:pos="7485"/>
                <w:tab w:val="left" w:pos="9280"/>
                <w:tab w:val="left" w:pos="11075"/>
                <w:tab w:val="left" w:pos="12870"/>
              </w:tabs>
              <w:jc w:val="right"/>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6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rPr>
            </w:pPr>
            <w:r>
              <w:rPr>
                <w:rFonts w:hint="eastAsia" w:ascii="宋体" w:hAnsi="宋体" w:eastAsia="宋体" w:cs="宋体"/>
                <w:b/>
                <w:bCs/>
                <w:lang w:val="en-US" w:eastAsia="zh-CN"/>
              </w:rPr>
              <w:t>项目</w:t>
            </w:r>
          </w:p>
        </w:tc>
        <w:tc>
          <w:tcPr>
            <w:tcW w:w="39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本年收入合计</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财政拨款收入</w:t>
            </w:r>
          </w:p>
        </w:tc>
        <w:tc>
          <w:tcPr>
            <w:tcW w:w="2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上级补助收入</w:t>
            </w:r>
          </w:p>
        </w:tc>
        <w:tc>
          <w:tcPr>
            <w:tcW w:w="31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事业收入</w:t>
            </w:r>
          </w:p>
        </w:tc>
        <w:tc>
          <w:tcPr>
            <w:tcW w:w="2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经营收入</w:t>
            </w:r>
          </w:p>
        </w:tc>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附属单位上缴收入</w:t>
            </w:r>
          </w:p>
        </w:tc>
        <w:tc>
          <w:tcPr>
            <w:tcW w:w="5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r>
              <w:rPr>
                <w:rFonts w:hint="eastAsia" w:ascii="宋体" w:hAnsi="宋体" w:eastAsia="宋体" w:cs="宋体"/>
                <w:b/>
                <w:bCs/>
                <w:lang w:val="en-US" w:eastAsia="zh-CN"/>
              </w:rPr>
              <w:t>科目代码</w:t>
            </w:r>
          </w:p>
        </w:tc>
        <w:tc>
          <w:tcPr>
            <w:tcW w:w="13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rPr>
            </w:pPr>
            <w:r>
              <w:rPr>
                <w:rFonts w:hint="eastAsia" w:ascii="宋体" w:hAnsi="宋体" w:eastAsia="宋体" w:cs="宋体"/>
                <w:b/>
                <w:bCs/>
                <w:lang w:val="en-US" w:eastAsia="zh-CN"/>
              </w:rPr>
              <w:t>科目名称</w:t>
            </w:r>
          </w:p>
        </w:tc>
        <w:tc>
          <w:tcPr>
            <w:tcW w:w="39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4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5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130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rPr>
            </w:pPr>
          </w:p>
        </w:tc>
        <w:tc>
          <w:tcPr>
            <w:tcW w:w="39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4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5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130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rPr>
            </w:pPr>
          </w:p>
        </w:tc>
        <w:tc>
          <w:tcPr>
            <w:tcW w:w="39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4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31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25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6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rPr>
            </w:pPr>
            <w:r>
              <w:rPr>
                <w:rFonts w:hint="eastAsia" w:ascii="宋体" w:hAnsi="宋体" w:eastAsia="宋体" w:cs="宋体"/>
                <w:lang w:val="en-US" w:eastAsia="zh-CN"/>
              </w:rPr>
              <w:t>栏次</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1</w:t>
            </w: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2</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3</w:t>
            </w:r>
          </w:p>
        </w:tc>
        <w:tc>
          <w:tcPr>
            <w:tcW w:w="3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4</w:t>
            </w:r>
          </w:p>
        </w:tc>
        <w:tc>
          <w:tcPr>
            <w:tcW w:w="23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5</w:t>
            </w:r>
          </w:p>
        </w:tc>
        <w:tc>
          <w:tcPr>
            <w:tcW w:w="25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6</w:t>
            </w:r>
          </w:p>
        </w:tc>
        <w:tc>
          <w:tcPr>
            <w:tcW w:w="5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rPr>
            </w:pPr>
            <w:r>
              <w:rPr>
                <w:rFonts w:hint="eastAsia" w:ascii="宋体" w:hAnsi="宋体" w:eastAsia="宋体" w:cs="宋体"/>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6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lang w:val="en-US" w:eastAsia="zh-CN"/>
              </w:rPr>
              <w:t>合计</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1,161.57</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737.72</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394.82</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b/>
                <w:bCs/>
              </w:rPr>
            </w:pPr>
            <w:r>
              <w:rPr>
                <w:rFonts w:hint="eastAsia" w:ascii="宋体" w:hAnsi="宋体" w:eastAsia="宋体" w:cs="宋体"/>
                <w:b/>
                <w:bCs/>
                <w:lang w:val="en-US" w:eastAsia="zh-CN"/>
              </w:rPr>
              <w:t>29.04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201</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一般公共服务支出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20106</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财政事务</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2010699</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其他财政事务支出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90.00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205</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教育支出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20508</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进修及培训</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2050803</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培训支出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0.50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208</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社会保障和就业支出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75.31</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75.31</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20805</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行政事业单位养老支出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75.31</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75.31</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2080502</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事业单位离退休</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40.55</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40.55</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2080505</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机关事业单位基本养老保险缴费支出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34.76</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34.76</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213</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农林水支出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936.76</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512.91</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394.82</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21301</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农业农村</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936.76</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512.91</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394.82</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2130104</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事业运行</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321.75</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292.71</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2130114</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对外交流与合作</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615.02</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220.20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394.82</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216</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商业服务业等支出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21606</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涉外发展服务支出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2160699</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其他涉外发展服务支出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32.00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221</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住房保障支出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22102</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住房改革支出</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3"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2210201</w:t>
            </w:r>
          </w:p>
        </w:tc>
        <w:tc>
          <w:tcPr>
            <w:tcW w:w="1305" w:type="pct"/>
            <w:tcBorders>
              <w:top w:val="single" w:color="auto" w:sz="4" w:space="0"/>
              <w:left w:val="single" w:color="auto" w:sz="4" w:space="0"/>
              <w:bottom w:val="single" w:color="auto" w:sz="4" w:space="0"/>
              <w:right w:val="single" w:color="auto" w:sz="4" w:space="0"/>
            </w:tcBorders>
            <w:shd w:val="clear" w:color="auto" w:fill="FFFFFF"/>
            <w:noWrap/>
            <w:vAlign w:val="center"/>
          </w:tcPr>
          <w:p>
            <w:pPr>
              <w:rPr>
                <w:rFonts w:hint="eastAsia" w:ascii="宋体" w:hAnsi="宋体" w:eastAsia="宋体" w:cs="宋体"/>
              </w:rPr>
            </w:pPr>
            <w:r>
              <w:rPr>
                <w:rFonts w:hint="eastAsia" w:ascii="宋体" w:hAnsi="宋体" w:eastAsia="宋体" w:cs="宋体"/>
                <w:lang w:val="en-US" w:eastAsia="zh-CN"/>
              </w:rPr>
              <w:t>住房公积金</w:t>
            </w:r>
          </w:p>
        </w:tc>
        <w:tc>
          <w:tcPr>
            <w:tcW w:w="393"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31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27.00</w:t>
            </w:r>
          </w:p>
        </w:tc>
        <w:tc>
          <w:tcPr>
            <w:tcW w:w="245"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310"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38"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251"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c>
          <w:tcPr>
            <w:tcW w:w="577"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eastAsia="宋体" w:cs="宋体"/>
              </w:rPr>
            </w:pPr>
            <w:r>
              <w:rPr>
                <w:rFonts w:hint="eastAsia" w:ascii="宋体" w:hAnsi="宋体" w:eastAsia="宋体" w:cs="宋体"/>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1"/>
            <w:tcBorders>
              <w:top w:val="single" w:color="auto" w:sz="4" w:space="0"/>
              <w:left w:val="nil"/>
              <w:bottom w:val="nil"/>
              <w:right w:val="nil"/>
            </w:tcBorders>
            <w:shd w:val="clear" w:color="auto" w:fill="FFFFFF"/>
            <w:noWrap/>
            <w:vAlign w:val="center"/>
          </w:tcPr>
          <w:p>
            <w:pPr>
              <w:spacing w:before="120"/>
              <w:rPr>
                <w:rFonts w:hint="eastAsia" w:ascii="宋体" w:hAnsi="宋体" w:eastAsia="宋体" w:cs="宋体"/>
                <w:i w:val="0"/>
                <w:iCs w:val="0"/>
                <w:color w:val="000000"/>
                <w:sz w:val="22"/>
                <w:szCs w:val="22"/>
                <w:u w:val="none"/>
              </w:rPr>
            </w:pPr>
            <w:r>
              <w:rPr>
                <w:rFonts w:hint="eastAsia" w:ascii="宋体" w:hAnsi="宋体" w:eastAsia="宋体" w:cs="宋体"/>
                <w:lang w:val="en-US" w:eastAsia="zh-CN"/>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9"/>
        <w:gridCol w:w="359"/>
        <w:gridCol w:w="362"/>
        <w:gridCol w:w="4778"/>
        <w:gridCol w:w="1792"/>
        <w:gridCol w:w="1646"/>
        <w:gridCol w:w="1733"/>
        <w:gridCol w:w="1349"/>
        <w:gridCol w:w="1249"/>
        <w:gridCol w:w="1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2"/>
                <w:szCs w:val="32"/>
                <w:u w:val="none"/>
              </w:rPr>
            </w:pPr>
            <w:r>
              <w:rPr>
                <w:rFonts w:hint="eastAsia" w:ascii="Times New Roman" w:hAnsi="Times New Roman" w:eastAsia="黑体" w:cs="Times New Roman"/>
                <w:color w:val="000000"/>
                <w:kern w:val="0"/>
                <w:sz w:val="36"/>
                <w:szCs w:val="36"/>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2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7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32" w:type="pct"/>
            <w:tcBorders>
              <w:top w:val="nil"/>
              <w:left w:val="nil"/>
              <w:bottom w:val="nil"/>
              <w:right w:val="nil"/>
            </w:tcBorders>
            <w:shd w:val="clear" w:color="auto" w:fill="auto"/>
            <w:noWrap/>
            <w:vAlign w:val="bottom"/>
          </w:tcPr>
          <w:p>
            <w:pPr>
              <w:widowControl/>
              <w:tabs>
                <w:tab w:val="left" w:pos="1236"/>
                <w:tab w:val="left" w:pos="1499"/>
                <w:tab w:val="left" w:pos="2980"/>
                <w:tab w:val="left" w:pos="4932"/>
                <w:tab w:val="left" w:pos="6923"/>
                <w:tab w:val="left" w:pos="8914"/>
                <w:tab w:val="left" w:pos="10905"/>
                <w:tab w:val="left" w:pos="12896"/>
              </w:tabs>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6" w:type="pct"/>
            <w:gridSpan w:val="4"/>
            <w:tcBorders>
              <w:top w:val="nil"/>
              <w:left w:val="nil"/>
              <w:bottom w:val="single" w:color="auto" w:sz="4" w:space="0"/>
              <w:right w:val="nil"/>
            </w:tcBorders>
            <w:shd w:val="clear" w:color="auto" w:fill="auto"/>
            <w:noWrap/>
            <w:vAlign w:val="bottom"/>
          </w:tcPr>
          <w:p>
            <w:pPr>
              <w:widowControl/>
              <w:tabs>
                <w:tab w:val="left" w:pos="1236"/>
                <w:tab w:val="left" w:pos="1499"/>
                <w:tab w:val="left" w:pos="2980"/>
                <w:tab w:val="left" w:pos="4932"/>
                <w:tab w:val="left" w:pos="6923"/>
                <w:tab w:val="left" w:pos="8914"/>
                <w:tab w:val="left" w:pos="10905"/>
                <w:tab w:val="left" w:pos="12896"/>
              </w:tabs>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部门：湖南省农业对外经济合作中心</w:t>
            </w:r>
          </w:p>
        </w:tc>
        <w:tc>
          <w:tcPr>
            <w:tcW w:w="574"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27"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5"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2"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32" w:type="pct"/>
            <w:tcBorders>
              <w:top w:val="nil"/>
              <w:left w:val="nil"/>
              <w:bottom w:val="single" w:color="auto" w:sz="4" w:space="0"/>
              <w:right w:val="nil"/>
            </w:tcBorders>
            <w:shd w:val="clear" w:color="auto" w:fill="auto"/>
            <w:noWrap/>
            <w:vAlign w:val="bottom"/>
          </w:tcPr>
          <w:p>
            <w:pPr>
              <w:widowControl/>
              <w:tabs>
                <w:tab w:val="left" w:pos="1236"/>
                <w:tab w:val="left" w:pos="1499"/>
                <w:tab w:val="left" w:pos="2980"/>
                <w:tab w:val="left" w:pos="4932"/>
                <w:tab w:val="left" w:pos="6923"/>
                <w:tab w:val="left" w:pos="8914"/>
                <w:tab w:val="left" w:pos="10905"/>
                <w:tab w:val="left" w:pos="12896"/>
              </w:tabs>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76"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项目</w:t>
            </w:r>
          </w:p>
        </w:tc>
        <w:tc>
          <w:tcPr>
            <w:tcW w:w="57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本年支出合计</w:t>
            </w:r>
          </w:p>
        </w:tc>
        <w:tc>
          <w:tcPr>
            <w:tcW w:w="52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基本支出</w:t>
            </w:r>
          </w:p>
        </w:tc>
        <w:tc>
          <w:tcPr>
            <w:tcW w:w="5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项目支出</w:t>
            </w:r>
          </w:p>
        </w:tc>
        <w:tc>
          <w:tcPr>
            <w:tcW w:w="4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上缴上级支出</w:t>
            </w:r>
          </w:p>
        </w:tc>
        <w:tc>
          <w:tcPr>
            <w:tcW w:w="4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经营支出</w:t>
            </w:r>
          </w:p>
        </w:tc>
        <w:tc>
          <w:tcPr>
            <w:tcW w:w="6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功能分类科目编码</w:t>
            </w:r>
          </w:p>
        </w:tc>
        <w:tc>
          <w:tcPr>
            <w:tcW w:w="152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科目名称</w:t>
            </w:r>
          </w:p>
        </w:tc>
        <w:tc>
          <w:tcPr>
            <w:tcW w:w="57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2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29"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2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29"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2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76"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栏次</w:t>
            </w:r>
          </w:p>
        </w:tc>
        <w:tc>
          <w:tcPr>
            <w:tcW w:w="5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p>
        </w:tc>
        <w:tc>
          <w:tcPr>
            <w:tcW w:w="5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p>
        </w:tc>
        <w:tc>
          <w:tcPr>
            <w:tcW w:w="40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76"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合计</w:t>
            </w:r>
          </w:p>
        </w:tc>
        <w:tc>
          <w:tcPr>
            <w:tcW w:w="5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839.46</w:t>
            </w:r>
          </w:p>
        </w:tc>
        <w:tc>
          <w:tcPr>
            <w:tcW w:w="52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395.80</w:t>
            </w:r>
          </w:p>
        </w:tc>
        <w:tc>
          <w:tcPr>
            <w:tcW w:w="55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443.66</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201</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一般公共服务支出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20106</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财政事务</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2010699</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其他财政事务支出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73.59</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205</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教育支出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20508</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进修及培训</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2050803</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培训支出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0.48</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208</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社会保障和就业支出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75.31</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75.31</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20805</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行政事业单位养老支出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75.31</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75.31</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2080502</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事业单位离退休</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40.55</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40.55</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2080505</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机关事业单位基本养老保险缴费支出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34.76</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34.76</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农林水支出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657.75</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293.01</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364.75</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21301</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农业农村</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657.75</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293.01</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364.75</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2130104</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事业运行</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293.01</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293.01</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2130114</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对外交流与合作</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362.40</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362.40</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2130122</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农业生产发展</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2.34</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2.34</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216</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商业服务业等支出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21606</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涉外发展服务支出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2160699</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其他涉外发展服务支出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5.33</w:t>
            </w: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221</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住房保障支出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22102</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住房改革支出</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6" w:type="pct"/>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2210201</w:t>
            </w:r>
          </w:p>
        </w:tc>
        <w:tc>
          <w:tcPr>
            <w:tcW w:w="1529"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住房公积金</w:t>
            </w:r>
          </w:p>
        </w:tc>
        <w:tc>
          <w:tcPr>
            <w:tcW w:w="574"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27"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27.00</w:t>
            </w:r>
          </w:p>
        </w:tc>
        <w:tc>
          <w:tcPr>
            <w:tcW w:w="555"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400"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c>
          <w:tcPr>
            <w:tcW w:w="632" w:type="pc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0"/>
            <w:tcBorders>
              <w:top w:val="single" w:color="auto" w:sz="4" w:space="0"/>
              <w:left w:val="nil"/>
              <w:bottom w:val="nil"/>
              <w:right w:val="nil"/>
            </w:tcBorders>
            <w:shd w:val="clear" w:color="auto" w:fill="FFFFFF"/>
            <w:noWrap/>
            <w:vAlign w:val="center"/>
          </w:tcPr>
          <w:p>
            <w:pPr>
              <w:widowControl/>
              <w:spacing w:before="120"/>
              <w:jc w:val="left"/>
              <w:rPr>
                <w:rFonts w:hint="eastAsia" w:ascii="宋体" w:hAnsi="宋体" w:eastAsia="宋体" w:cs="宋体"/>
                <w:i w:val="0"/>
                <w:iCs w:val="0"/>
                <w:color w:val="000000"/>
                <w:sz w:val="22"/>
                <w:szCs w:val="22"/>
                <w:u w:val="none"/>
              </w:rPr>
            </w:pPr>
            <w:r>
              <w:rPr>
                <w:rFonts w:hint="eastAsia" w:ascii="宋体" w:hAnsi="宋体" w:eastAsia="宋体" w:cs="宋体"/>
                <w:kern w:val="0"/>
                <w:sz w:val="24"/>
                <w:szCs w:val="24"/>
                <w:lang w:val="en-US" w:eastAsia="zh-CN"/>
              </w:rPr>
              <w:t>注：本表反映部门本年度各项支出情况。</w:t>
            </w:r>
          </w:p>
        </w:tc>
      </w:tr>
    </w:tbl>
    <w:p>
      <w:pPr>
        <w:rPr>
          <w:rFonts w:ascii="Times New Roman" w:hAnsi="Times New Roman" w:eastAsia="黑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br w:type="page"/>
      </w:r>
    </w:p>
    <w:p>
      <w:pPr>
        <w:widowControl/>
        <w:tabs>
          <w:tab w:val="left" w:pos="3595"/>
          <w:tab w:val="left" w:pos="4031"/>
          <w:tab w:val="left" w:pos="5605"/>
          <w:tab w:val="left" w:pos="9152"/>
          <w:tab w:val="left" w:pos="9587"/>
          <w:tab w:val="left" w:pos="11160"/>
          <w:tab w:val="left" w:pos="12554"/>
          <w:tab w:val="left" w:pos="13948"/>
        </w:tabs>
        <w:jc w:val="both"/>
        <w:rPr>
          <w:rFonts w:ascii="Times New Roman" w:hAnsi="Times New Roman" w:eastAsia="宋体" w:cs="Times New Roman"/>
          <w:kern w:val="0"/>
          <w:sz w:val="24"/>
          <w:szCs w:val="24"/>
        </w:rPr>
      </w:pPr>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41"/>
        <w:gridCol w:w="634"/>
        <w:gridCol w:w="1327"/>
        <w:gridCol w:w="4007"/>
        <w:gridCol w:w="634"/>
        <w:gridCol w:w="968"/>
        <w:gridCol w:w="1355"/>
        <w:gridCol w:w="1268"/>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9"/>
            <w:tcBorders>
              <w:top w:val="nil"/>
              <w:left w:val="nil"/>
              <w:bottom w:val="nil"/>
              <w:right w:val="nil"/>
            </w:tcBorders>
            <w:shd w:val="clear" w:color="auto" w:fill="auto"/>
            <w:noWrap/>
            <w:vAlign w:val="center"/>
          </w:tcPr>
          <w:p>
            <w:pPr>
              <w:widowControl/>
              <w:spacing w:after="156" w:afterLines="50"/>
              <w:jc w:val="center"/>
              <w:textAlignment w:val="center"/>
              <w:rPr>
                <w:rFonts w:ascii="黑体" w:hAnsi="宋体" w:eastAsia="黑体" w:cs="黑体"/>
                <w:i w:val="0"/>
                <w:iCs w:val="0"/>
                <w:color w:val="000000"/>
                <w:sz w:val="30"/>
                <w:szCs w:val="30"/>
                <w:u w:val="none"/>
              </w:rPr>
            </w:pPr>
            <w:r>
              <w:rPr>
                <w:rFonts w:hint="eastAsia" w:ascii="Times New Roman" w:hAnsi="Times New Roman" w:eastAsia="黑体" w:cs="Times New Roman"/>
                <w:color w:val="000000"/>
                <w:kern w:val="0"/>
                <w:sz w:val="36"/>
                <w:szCs w:val="36"/>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2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7" w:type="pct"/>
            <w:tcBorders>
              <w:top w:val="nil"/>
              <w:left w:val="nil"/>
              <w:bottom w:val="nil"/>
              <w:right w:val="nil"/>
            </w:tcBorders>
            <w:shd w:val="clear" w:color="auto" w:fill="auto"/>
            <w:noWrap/>
            <w:vAlign w:val="bottom"/>
          </w:tcPr>
          <w:p>
            <w:pPr>
              <w:widowControl/>
              <w:tabs>
                <w:tab w:val="left" w:pos="3595"/>
                <w:tab w:val="left" w:pos="4031"/>
                <w:tab w:val="left" w:pos="5109"/>
                <w:tab w:val="left" w:pos="9152"/>
                <w:tab w:val="left" w:pos="9587"/>
                <w:tab w:val="left" w:pos="11160"/>
                <w:tab w:val="left" w:pos="12554"/>
                <w:tab w:val="left" w:pos="13948"/>
              </w:tabs>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8" w:type="pct"/>
            <w:tcBorders>
              <w:top w:val="nil"/>
              <w:left w:val="nil"/>
              <w:bottom w:val="single" w:color="auto" w:sz="4" w:space="0"/>
              <w:right w:val="nil"/>
            </w:tcBorders>
            <w:shd w:val="clear" w:color="auto" w:fill="auto"/>
            <w:noWrap/>
            <w:vAlign w:val="bottom"/>
          </w:tcPr>
          <w:p>
            <w:pPr>
              <w:widowControl/>
              <w:tabs>
                <w:tab w:val="left" w:pos="3595"/>
                <w:tab w:val="left" w:pos="4031"/>
                <w:tab w:val="left" w:pos="5109"/>
                <w:tab w:val="left" w:pos="9152"/>
                <w:tab w:val="left" w:pos="9587"/>
                <w:tab w:val="left" w:pos="11160"/>
                <w:tab w:val="left" w:pos="12554"/>
                <w:tab w:val="left" w:pos="13948"/>
              </w:tabs>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部门：湖南省农业对外经济合作中心</w:t>
            </w:r>
          </w:p>
        </w:tc>
        <w:tc>
          <w:tcPr>
            <w:tcW w:w="203"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25"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83"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3"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0"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4"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4"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7" w:type="pct"/>
            <w:tcBorders>
              <w:top w:val="nil"/>
              <w:left w:val="nil"/>
              <w:bottom w:val="single" w:color="auto" w:sz="4" w:space="0"/>
              <w:right w:val="nil"/>
            </w:tcBorders>
            <w:shd w:val="clear" w:color="auto" w:fill="auto"/>
            <w:noWrap/>
            <w:vAlign w:val="bottom"/>
          </w:tcPr>
          <w:p>
            <w:pPr>
              <w:widowControl/>
              <w:tabs>
                <w:tab w:val="left" w:pos="3595"/>
                <w:tab w:val="left" w:pos="4031"/>
                <w:tab w:val="left" w:pos="5109"/>
                <w:tab w:val="left" w:pos="9152"/>
                <w:tab w:val="left" w:pos="9587"/>
                <w:tab w:val="left" w:pos="11160"/>
                <w:tab w:val="left" w:pos="12554"/>
                <w:tab w:val="left" w:pos="13948"/>
              </w:tabs>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2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收     入</w:t>
            </w:r>
          </w:p>
        </w:tc>
        <w:tc>
          <w:tcPr>
            <w:tcW w:w="3173"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9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项目</w:t>
            </w:r>
          </w:p>
        </w:tc>
        <w:tc>
          <w:tcPr>
            <w:tcW w:w="2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行次</w:t>
            </w:r>
          </w:p>
        </w:tc>
        <w:tc>
          <w:tcPr>
            <w:tcW w:w="4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金额</w:t>
            </w:r>
          </w:p>
        </w:tc>
        <w:tc>
          <w:tcPr>
            <w:tcW w:w="12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项目</w:t>
            </w:r>
          </w:p>
        </w:tc>
        <w:tc>
          <w:tcPr>
            <w:tcW w:w="2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行次</w:t>
            </w:r>
          </w:p>
        </w:tc>
        <w:tc>
          <w:tcPr>
            <w:tcW w:w="31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合计</w:t>
            </w:r>
          </w:p>
        </w:tc>
        <w:tc>
          <w:tcPr>
            <w:tcW w:w="4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一般公共预算财政拨款</w:t>
            </w:r>
          </w:p>
        </w:tc>
        <w:tc>
          <w:tcPr>
            <w:tcW w:w="4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政府性基金预算财政拨款</w:t>
            </w:r>
          </w:p>
        </w:tc>
        <w:tc>
          <w:tcPr>
            <w:tcW w:w="53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9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20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42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12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20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310"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4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4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5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栏次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栏次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一、一般公共预算财政拨款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737.72</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一、一般公共服务支出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二、政府性基金预算财政拨款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二、外交支出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34</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三、国有资本经营预算财政拨款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3</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三、国防支出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35</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4</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四、公共安全支出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36</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5</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五、教育支出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37</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6</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六、科学技术支出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38</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7</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七、文化旅游体育与传媒支出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39</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8</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八、社会保障和就业支出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40</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9</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九、卫生健康支出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41</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十、节能环保支出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11</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十一、城乡社区支出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43</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12</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十二、农林水支出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44</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406.86</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406.86</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13</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十三、交通运输支出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45</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14</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十四、资源勘探工业信息等支出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46</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15</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十五、商业服务业等支出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47</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16</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十六、金融支出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48</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17</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十七、援助其他地区支出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49</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18</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十八、自然资源海洋气象等支出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50</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19</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十九、住房保障支出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51</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二十、粮油物资储备支出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52</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21</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二十一、国有资本经营预算支出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53</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22</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二十二、灾害防治及应急管理支出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54</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23</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二十三、其他支出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55</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24</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二十四、债务还本支出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56</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25</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二十五、债务付息支出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57</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26</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二十六、抗疫特别国债安排的支出</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58</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i w:val="0"/>
                <w:iCs w:val="0"/>
                <w:color w:val="000000"/>
                <w:sz w:val="22"/>
                <w:szCs w:val="22"/>
                <w:u w:val="none"/>
              </w:rPr>
            </w:pPr>
            <w:r>
              <w:rPr>
                <w:rFonts w:hint="eastAsia" w:ascii="宋体" w:hAnsi="宋体" w:eastAsia="宋体" w:cs="宋体"/>
                <w:b/>
                <w:bCs/>
                <w:kern w:val="0"/>
                <w:sz w:val="22"/>
                <w:lang w:val="en-US" w:eastAsia="zh-CN"/>
              </w:rPr>
              <w:t>本年收入合计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27</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737.72</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i w:val="0"/>
                <w:iCs w:val="0"/>
                <w:color w:val="000000"/>
                <w:sz w:val="22"/>
                <w:szCs w:val="22"/>
                <w:u w:val="none"/>
              </w:rPr>
            </w:pPr>
            <w:r>
              <w:rPr>
                <w:rFonts w:hint="eastAsia" w:ascii="宋体" w:hAnsi="宋体" w:eastAsia="宋体" w:cs="宋体"/>
                <w:b/>
                <w:bCs/>
                <w:kern w:val="0"/>
                <w:sz w:val="22"/>
                <w:lang w:val="en-US" w:eastAsia="zh-CN"/>
              </w:rPr>
              <w:t>本年支出合计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59</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588.57</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588.57</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kern w:val="0"/>
                <w:sz w:val="22"/>
                <w:lang w:val="en-US" w:eastAsia="zh-CN"/>
              </w:rPr>
              <w:t>年初财政拨款结转和结余</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28</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60.04</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kern w:val="0"/>
                <w:sz w:val="22"/>
                <w:lang w:val="en-US" w:eastAsia="zh-CN"/>
              </w:rPr>
              <w:t>年末财政拨款结转和结余</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60</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209.19</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209.19</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 xml:space="preserve">  一般公共预算财政拨款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29</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60.04</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61</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 xml:space="preserve">  政府性基金预算财政拨款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30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62</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 xml:space="preserve">  国有资本经营预算财政拨款</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31</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63</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i w:val="0"/>
                <w:iCs w:val="0"/>
                <w:color w:val="000000"/>
                <w:sz w:val="22"/>
                <w:szCs w:val="22"/>
                <w:u w:val="none"/>
              </w:rPr>
            </w:pPr>
            <w:r>
              <w:rPr>
                <w:rFonts w:hint="eastAsia" w:ascii="宋体" w:hAnsi="宋体" w:eastAsia="宋体" w:cs="宋体"/>
                <w:b/>
                <w:bCs/>
                <w:kern w:val="0"/>
                <w:sz w:val="22"/>
                <w:lang w:val="en-US" w:eastAsia="zh-CN"/>
              </w:rPr>
              <w:t>总计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32</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797.76</w:t>
            </w:r>
          </w:p>
        </w:tc>
        <w:tc>
          <w:tcPr>
            <w:tcW w:w="128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i w:val="0"/>
                <w:iCs w:val="0"/>
                <w:color w:val="000000"/>
                <w:sz w:val="22"/>
                <w:szCs w:val="22"/>
                <w:u w:val="none"/>
              </w:rPr>
            </w:pPr>
            <w:r>
              <w:rPr>
                <w:rFonts w:hint="eastAsia" w:ascii="宋体" w:hAnsi="宋体" w:eastAsia="宋体" w:cs="宋体"/>
                <w:b/>
                <w:bCs/>
                <w:kern w:val="0"/>
                <w:sz w:val="22"/>
                <w:lang w:val="en-US" w:eastAsia="zh-CN"/>
              </w:rPr>
              <w:t>总计</w:t>
            </w: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64</w:t>
            </w:r>
          </w:p>
        </w:tc>
        <w:tc>
          <w:tcPr>
            <w:tcW w:w="3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797.76</w:t>
            </w:r>
          </w:p>
        </w:tc>
        <w:tc>
          <w:tcPr>
            <w:tcW w:w="43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797.76</w:t>
            </w:r>
          </w:p>
        </w:tc>
        <w:tc>
          <w:tcPr>
            <w:tcW w:w="4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53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62" w:type="pct"/>
            <w:gridSpan w:val="8"/>
            <w:tcBorders>
              <w:top w:val="single" w:color="auto" w:sz="4" w:space="0"/>
              <w:left w:val="nil"/>
              <w:bottom w:val="nil"/>
              <w:right w:val="nil"/>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lang w:val="en-US" w:eastAsia="zh-CN"/>
              </w:rPr>
              <w:t>注：本表反映部门本年度一般公共预算财政拨款、政府性基金预算财政拨款和国有资本经营预算财政拨款的总收支和年末结转结余情况。</w:t>
            </w:r>
          </w:p>
        </w:tc>
        <w:tc>
          <w:tcPr>
            <w:tcW w:w="537" w:type="pct"/>
            <w:tcBorders>
              <w:top w:val="single" w:color="auto" w:sz="4" w:space="0"/>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pP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br w:type="page"/>
      </w:r>
    </w:p>
    <w:p>
      <w:pPr>
        <w:pStyle w:val="7"/>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
        <w:gridCol w:w="387"/>
        <w:gridCol w:w="397"/>
        <w:gridCol w:w="5815"/>
        <w:gridCol w:w="2679"/>
        <w:gridCol w:w="2682"/>
        <w:gridCol w:w="32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Times New Roman" w:hAnsi="Times New Roman" w:eastAsia="黑体" w:cs="Times New Roman"/>
                <w:color w:val="000000"/>
                <w:kern w:val="0"/>
                <w:sz w:val="36"/>
                <w:szCs w:val="36"/>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6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4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37" w:type="pct"/>
            <w:gridSpan w:val="4"/>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color w:val="000000"/>
                <w:kern w:val="0"/>
                <w:szCs w:val="21"/>
                <w:lang w:val="en-US" w:eastAsia="zh-CN"/>
              </w:rPr>
              <w:t>部门：湖南省农业对外经济合作中心</w:t>
            </w:r>
          </w:p>
        </w:tc>
        <w:tc>
          <w:tcPr>
            <w:tcW w:w="858"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9"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44" w:type="pct"/>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color w:val="000000"/>
                <w:kern w:val="0"/>
                <w:szCs w:val="21"/>
                <w:lang w:val="en-US" w:eastAsia="zh-CN"/>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37"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项目</w:t>
            </w:r>
          </w:p>
        </w:tc>
        <w:tc>
          <w:tcPr>
            <w:tcW w:w="276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bCs/>
                <w:kern w:val="0"/>
                <w:sz w:val="24"/>
                <w:szCs w:val="24"/>
                <w:lang w:val="en-US" w:eastAsia="zh-CN"/>
              </w:rPr>
              <w:t>功能分类科目编码</w:t>
            </w:r>
          </w:p>
        </w:tc>
        <w:tc>
          <w:tcPr>
            <w:tcW w:w="186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科目名称</w:t>
            </w:r>
          </w:p>
        </w:tc>
        <w:tc>
          <w:tcPr>
            <w:tcW w:w="8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小计</w:t>
            </w:r>
          </w:p>
        </w:tc>
        <w:tc>
          <w:tcPr>
            <w:tcW w:w="8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基本支出</w:t>
            </w:r>
          </w:p>
        </w:tc>
        <w:tc>
          <w:tcPr>
            <w:tcW w:w="10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5"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6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4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75"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6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4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37"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栏次</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1</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2</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37"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kern w:val="0"/>
                <w:szCs w:val="21"/>
                <w:lang w:val="en-US" w:eastAsia="zh-CN"/>
              </w:rPr>
              <w:t>合计</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588.57</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393.65</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194.92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20106</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财政事务</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2010699</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其他财政事务支出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0.48</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75.31</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40.55</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40.55</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34.76</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34.76</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406.86</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290.86</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406.86</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290.86</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290.86</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290.86</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2130114</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对外交流与合作</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113.66</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商业服务业等支出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21606</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涉外发展服务支出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2160699</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其他涉外发展服务支出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8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85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104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7"/>
            <w:tcBorders>
              <w:top w:val="single" w:color="auto" w:sz="4"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bookmarkEnd w:id="1"/>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1"/>
        <w:gridCol w:w="3541"/>
        <w:gridCol w:w="1037"/>
        <w:gridCol w:w="771"/>
        <w:gridCol w:w="2389"/>
        <w:gridCol w:w="921"/>
        <w:gridCol w:w="771"/>
        <w:gridCol w:w="4488"/>
        <w:gridCol w:w="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0" w:type="pct"/>
            <w:gridSpan w:val="9"/>
            <w:tcBorders>
              <w:top w:val="nil"/>
              <w:left w:val="nil"/>
              <w:bottom w:val="nil"/>
              <w:right w:val="nil"/>
            </w:tcBorders>
            <w:shd w:val="clear" w:color="auto" w:fill="auto"/>
            <w:noWrap/>
            <w:vAlign w:val="center"/>
          </w:tcPr>
          <w:p>
            <w:pPr>
              <w:widowControl/>
              <w:spacing w:after="120"/>
              <w:jc w:val="center"/>
              <w:textAlignment w:val="center"/>
              <w:rPr>
                <w:rFonts w:ascii="黑体" w:hAnsi="宋体" w:eastAsia="黑体" w:cs="黑体"/>
                <w:i w:val="0"/>
                <w:iCs w:val="0"/>
                <w:color w:val="000000"/>
                <w:sz w:val="30"/>
                <w:szCs w:val="30"/>
                <w:u w:val="none"/>
              </w:rPr>
            </w:pPr>
            <w:bookmarkStart w:id="2" w:name="RANGE!A1:I34"/>
            <w:r>
              <w:rPr>
                <w:rFonts w:hint="eastAsia" w:ascii="Times New Roman" w:hAnsi="Times New Roman" w:eastAsia="黑体" w:cs="Times New Roman"/>
                <w:color w:val="000000"/>
                <w:kern w:val="0"/>
                <w:sz w:val="36"/>
                <w:szCs w:val="36"/>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3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9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31" w:type="pct"/>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13" w:type="pct"/>
            <w:gridSpan w:val="3"/>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部门：湖南省农业对外经济合作中心</w:t>
            </w:r>
          </w:p>
        </w:tc>
        <w:tc>
          <w:tcPr>
            <w:tcW w:w="247"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95"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7"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31" w:type="pct"/>
            <w:gridSpan w:val="2"/>
            <w:tcBorders>
              <w:top w:val="nil"/>
              <w:left w:val="nil"/>
              <w:bottom w:val="single" w:color="auto" w:sz="4" w:space="0"/>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1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人员经费</w:t>
            </w:r>
          </w:p>
        </w:tc>
        <w:tc>
          <w:tcPr>
            <w:tcW w:w="3286"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经济分类科目编码</w:t>
            </w:r>
          </w:p>
        </w:tc>
        <w:tc>
          <w:tcPr>
            <w:tcW w:w="11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经济分类科目编码</w:t>
            </w:r>
          </w:p>
        </w:tc>
        <w:tc>
          <w:tcPr>
            <w:tcW w:w="7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经济分类科目编码</w:t>
            </w:r>
          </w:p>
        </w:tc>
        <w:tc>
          <w:tcPr>
            <w:tcW w:w="14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33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43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工资福利支出</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297.27</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商品和服务支出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46.78</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债务利息及费用支出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30101</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基本工资</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77.58</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30201</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办公费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5.02</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30701</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国内债务付息</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30102</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津贴补贴</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11.56</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30202</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印刷费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4.37</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30702</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国外债务付息</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30103</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奖金</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30203</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咨询费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资本性支出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30106</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伙食补助费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30204</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手续费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31001</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房屋建筑物购建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30107</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绩效工资</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105.09</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30205</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水费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办公设备购置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30108</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机关事业单位基本养老保险缴费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31.74</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30206</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电费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31003</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专用设备购置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30109</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职业年金缴费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30207</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邮电费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0.84</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31005</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基础设施建设</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30110</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职工基本医疗保险缴费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34.13</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30208</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取暖费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31006</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大型修缮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30111</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公务员医疗补助缴费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30209</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物业管理费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6.35</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31007</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信息网络及软件购置更新</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30112</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其他社会保障缴费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2.88</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30211</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差旅费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31008</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物资储备</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30113</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住房公积金</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30212</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因公出国（境）费用</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土地补偿</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30114</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医疗费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30213</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维修（护）费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31010</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安置补助</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30199</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其他工资福利支出</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30214</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租赁费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31011</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地上附着物和青苗补偿</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对个人和家庭的补助</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49.60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30215</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会议费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31012</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拆迁补偿</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30301</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离休费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30216</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培训费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0.48</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31013</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公务用车购置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30302</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退休费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40.55</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30217</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公务接待费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其他交通工具购置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30303</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退职（役）费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30218</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专用材料费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31021</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文物和陈列品购置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30304</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抚恤金</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30224</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被装购置费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31022</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无形资产购置</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30305</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生活补助</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30225</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专用燃料费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31099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其他资本性支出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30306</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救济费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30226</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劳务费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3.96</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30307</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医疗费补助</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30227</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委托业务费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39907</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国家赔偿费用支出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30308</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助学金</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30228</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工会经费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39908</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对民间非营利组织和群众性自治组织补贴</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30309</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奖励金</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0.75</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30229</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福利费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6.71</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经常性赠与</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30310</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个人农业生产补贴</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30231</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公务用车运行维护费</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39910</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资本性赠与</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30311</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代缴社会保险费</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30239</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其他交通费用</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6.49</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39999</w:t>
            </w: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30399</w:t>
            </w: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其他对个人和家庭的补助</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30240</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税金及附加费用</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113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1"/>
                <w:szCs w:val="21"/>
                <w:u w:val="none"/>
              </w:rPr>
            </w:pP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30299</w:t>
            </w:r>
          </w:p>
        </w:tc>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其他商品和服务支出</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5.17</w:t>
            </w:r>
          </w:p>
        </w:tc>
        <w:tc>
          <w:tcPr>
            <w:tcW w:w="247"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143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81"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人员经费合计</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346.87</w:t>
            </w:r>
          </w:p>
        </w:tc>
        <w:tc>
          <w:tcPr>
            <w:tcW w:w="2991"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公用经费合计</w:t>
            </w:r>
          </w:p>
        </w:tc>
        <w:tc>
          <w:tcPr>
            <w:tcW w:w="2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9"/>
            <w:tcBorders>
              <w:top w:val="single" w:color="auto" w:sz="4"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注：本表反映部门本年度一般公共预算财政拨款基本支出明细情况。</w:t>
            </w:r>
          </w:p>
        </w:tc>
      </w:tr>
      <w:bookmarkEnd w:id="2"/>
    </w:tbl>
    <w:p>
      <w:pPr>
        <w:rPr>
          <w:rFonts w:ascii="Times New Roman" w:hAnsi="Times New Roman" w:eastAsia="仿宋_GB2312" w:cs="Times New Roman"/>
          <w:color w:val="000000"/>
          <w:kern w:val="0"/>
          <w:sz w:val="32"/>
          <w:szCs w:val="32"/>
          <w:lang w:bidi="ar"/>
        </w:rPr>
      </w:pPr>
      <w:r>
        <w:rPr>
          <w:rFonts w:ascii="Times New Roman" w:hAnsi="Times New Roman" w:eastAsia="仿宋_GB2312" w:cs="Times New Roman"/>
          <w:color w:val="000000"/>
          <w:kern w:val="0"/>
          <w:sz w:val="32"/>
          <w:szCs w:val="32"/>
          <w:lang w:bidi="ar"/>
        </w:rPr>
        <w:br w:type="page"/>
      </w:r>
    </w:p>
    <w:p>
      <w:pPr>
        <w:pStyle w:val="7"/>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ind w:right="586" w:rightChars="279"/>
        <w:jc w:val="right"/>
        <w:textAlignment w:val="center"/>
        <w:rPr>
          <w:rFonts w:hint="eastAsia" w:ascii="宋体" w:hAnsi="宋体" w:eastAsia="宋体" w:cs="宋体"/>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宋体" w:hAnsi="宋体" w:eastAsia="宋体" w:cs="宋体"/>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ind w:left="540" w:leftChars="0" w:right="586" w:rightChars="0" w:firstLine="0" w:firstLineChars="0"/>
        <w:jc w:val="both"/>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w:t>
      </w:r>
      <w:r>
        <w:rPr>
          <w:rFonts w:hint="eastAsia" w:ascii="宋体" w:hAnsi="宋体" w:eastAsia="宋体" w:cs="宋体"/>
          <w:i w:val="0"/>
          <w:iCs w:val="0"/>
          <w:color w:val="000000"/>
          <w:kern w:val="0"/>
          <w:sz w:val="18"/>
          <w:szCs w:val="18"/>
          <w:u w:val="none"/>
          <w:lang w:val="en-US" w:eastAsia="zh-CN" w:bidi="ar"/>
        </w:rPr>
        <w:t>湖南省农业对外经济合作中心</w:t>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lang w:val="en-US" w:eastAsia="zh-CN"/>
        </w:rPr>
        <w:t xml:space="preserve">     </w:t>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lang w:val="en-US" w:eastAsia="zh-CN"/>
        </w:rPr>
        <w:t xml:space="preserve">    </w:t>
      </w:r>
      <w:r>
        <w:rPr>
          <w:rFonts w:hint="eastAsia" w:ascii="宋体" w:hAnsi="宋体" w:eastAsia="宋体" w:cs="宋体"/>
          <w:color w:val="000000"/>
          <w:kern w:val="0"/>
          <w:sz w:val="20"/>
          <w:szCs w:val="20"/>
          <w:lang w:bidi="ar"/>
        </w:rPr>
        <w:t>单位：万元</w:t>
      </w:r>
    </w:p>
    <w:tbl>
      <w:tblPr>
        <w:tblStyle w:val="8"/>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 xml:space="preserve">项 </w:t>
            </w:r>
            <w:r>
              <w:rPr>
                <w:rStyle w:val="16"/>
                <w:rFonts w:hint="eastAsia" w:ascii="宋体" w:hAnsi="宋体" w:eastAsia="宋体" w:cs="宋体"/>
                <w:b/>
                <w:bCs/>
                <w:lang w:bidi="ar"/>
              </w:rPr>
              <w:t xml:space="preserve">   </w:t>
            </w:r>
            <w:r>
              <w:rPr>
                <w:rStyle w:val="17"/>
                <w:rFonts w:hint="eastAsia" w:ascii="宋体" w:hAnsi="宋体" w:eastAsia="宋体" w:cs="宋体"/>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bl>
    <w:p>
      <w:pPr>
        <w:widowControl/>
        <w:spacing w:before="120"/>
        <w:ind w:left="525" w:leftChars="250" w:firstLine="0" w:firstLineChars="0"/>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注：本表反映部门本年度政府性基金预算财政拨款收入、支出及结转和结余情况。</w:t>
      </w:r>
    </w:p>
    <w:p>
      <w:pPr>
        <w:widowControl/>
        <w:ind w:firstLine="481" w:firstLineChars="200"/>
        <w:jc w:val="left"/>
        <w:textAlignment w:val="center"/>
        <w:rPr>
          <w:rFonts w:ascii="Times New Roman" w:hAnsi="Times New Roman" w:eastAsia="黑体" w:cs="Times New Roman"/>
          <w:color w:val="000000"/>
          <w:kern w:val="0"/>
          <w:sz w:val="36"/>
          <w:szCs w:val="36"/>
          <w:lang w:bidi="ar"/>
        </w:rPr>
      </w:pPr>
      <w:r>
        <w:rPr>
          <w:rFonts w:hint="eastAsia" w:ascii="宋体" w:hAnsi="宋体" w:eastAsia="宋体" w:cs="宋体"/>
          <w:b/>
          <w:bCs/>
          <w:kern w:val="0"/>
          <w:sz w:val="24"/>
          <w:szCs w:val="24"/>
          <w:lang w:bidi="ar"/>
        </w:rPr>
        <w:t>说明：我单位没有政府性基金收入，也没有使用政府性基金安排的支出，故本表无数据。</w:t>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hint="eastAsia" w:ascii="宋体" w:hAnsi="宋体" w:eastAsia="宋体" w:cs="宋体"/>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w:t>
      </w:r>
      <w:r>
        <w:rPr>
          <w:rFonts w:hint="eastAsia" w:ascii="宋体" w:hAnsi="宋体" w:eastAsia="宋体" w:cs="宋体"/>
          <w:color w:val="000000"/>
          <w:kern w:val="0"/>
          <w:sz w:val="20"/>
          <w:szCs w:val="20"/>
          <w:lang w:bidi="ar"/>
        </w:rPr>
        <w:t>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hint="eastAsia" w:ascii="宋体" w:hAnsi="宋体" w:eastAsia="宋体" w:cs="宋体"/>
          <w:color w:val="000000"/>
          <w:kern w:val="0"/>
          <w:sz w:val="20"/>
          <w:szCs w:val="20"/>
          <w:lang w:bidi="ar"/>
        </w:rPr>
        <w:t>部门：</w:t>
      </w:r>
      <w:r>
        <w:rPr>
          <w:rFonts w:hint="eastAsia" w:ascii="宋体" w:hAnsi="宋体" w:eastAsia="宋体" w:cs="宋体"/>
          <w:sz w:val="20"/>
          <w:szCs w:val="20"/>
        </w:rPr>
        <w:t>湖南省农业对外经济合作中心</w:t>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rPr>
        <w:tab/>
      </w:r>
      <w:r>
        <w:rPr>
          <w:rFonts w:hint="eastAsia" w:ascii="宋体" w:hAnsi="宋体" w:eastAsia="宋体" w:cs="宋体"/>
          <w:color w:val="000000"/>
          <w:sz w:val="20"/>
          <w:szCs w:val="20"/>
          <w:lang w:val="en-US" w:eastAsia="zh-CN"/>
        </w:rPr>
        <w:t xml:space="preserve">                           </w:t>
      </w:r>
      <w:r>
        <w:rPr>
          <w:rFonts w:hint="eastAsia" w:ascii="宋体" w:hAnsi="宋体" w:eastAsia="宋体" w:cs="宋体"/>
          <w:color w:val="000000"/>
          <w:kern w:val="0"/>
          <w:sz w:val="20"/>
          <w:szCs w:val="20"/>
          <w:lang w:bidi="ar"/>
        </w:rPr>
        <w:t>单位：万元</w:t>
      </w:r>
    </w:p>
    <w:tbl>
      <w:tblPr>
        <w:tblStyle w:val="8"/>
        <w:tblW w:w="4999" w:type="pct"/>
        <w:tblInd w:w="0" w:type="dxa"/>
        <w:tblLayout w:type="autofit"/>
        <w:tblCellMar>
          <w:top w:w="0" w:type="dxa"/>
          <w:left w:w="108" w:type="dxa"/>
          <w:bottom w:w="0" w:type="dxa"/>
          <w:right w:w="108" w:type="dxa"/>
        </w:tblCellMar>
      </w:tblPr>
      <w:tblGrid>
        <w:gridCol w:w="3397"/>
        <w:gridCol w:w="3401"/>
        <w:gridCol w:w="2011"/>
        <w:gridCol w:w="3401"/>
        <w:gridCol w:w="3401"/>
      </w:tblGrid>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 xml:space="preserve">项 </w:t>
            </w:r>
            <w:r>
              <w:rPr>
                <w:rFonts w:hint="eastAsia" w:ascii="宋体" w:hAnsi="宋体" w:eastAsia="宋体" w:cs="宋体"/>
                <w:b/>
                <w:bCs/>
                <w:color w:val="000000"/>
                <w:kern w:val="0"/>
                <w:sz w:val="22"/>
                <w:lang w:bidi="ar"/>
              </w:rPr>
              <w:t xml:space="preserve">   </w:t>
            </w:r>
            <w:r>
              <w:rPr>
                <w:rStyle w:val="18"/>
                <w:rFonts w:hint="eastAsia" w:ascii="宋体" w:hAnsi="宋体" w:eastAsia="宋体" w:cs="宋体"/>
                <w:b/>
                <w:bCs/>
                <w:lang w:bidi="ar"/>
              </w:rPr>
              <w:t>目</w:t>
            </w:r>
          </w:p>
        </w:tc>
        <w:tc>
          <w:tcPr>
            <w:tcW w:w="28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10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科目代码</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科目名称</w:t>
            </w:r>
          </w:p>
        </w:tc>
        <w:tc>
          <w:tcPr>
            <w:tcW w:w="6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合计</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 xml:space="preserve">基本支出  </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312" w:hRule="atLeas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color w:val="000000"/>
                <w:sz w:val="24"/>
                <w:szCs w:val="24"/>
              </w:rPr>
            </w:pPr>
          </w:p>
        </w:tc>
      </w:tr>
    </w:tbl>
    <w:p>
      <w:pPr>
        <w:widowControl/>
        <w:spacing w:before="120"/>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注：本表反映部门本年度国有资本经营预算财政拨款支出情况。</w:t>
      </w:r>
    </w:p>
    <w:p>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7"/>
        <w:spacing w:line="400" w:lineRule="exact"/>
        <w:rPr>
          <w:rFonts w:ascii="Times New Roman" w:hAnsi="Times New Roman" w:eastAsia="华文中宋" w:cs="Times New Roman"/>
          <w:color w:val="000000"/>
          <w:kern w:val="0"/>
          <w:sz w:val="32"/>
          <w:szCs w:val="32"/>
          <w:lang w:bidi="ar"/>
        </w:rPr>
      </w:pP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8"/>
        <w:gridCol w:w="1288"/>
        <w:gridCol w:w="1260"/>
        <w:gridCol w:w="1257"/>
        <w:gridCol w:w="1258"/>
        <w:gridCol w:w="1292"/>
        <w:gridCol w:w="1289"/>
        <w:gridCol w:w="1289"/>
        <w:gridCol w:w="1258"/>
        <w:gridCol w:w="1258"/>
        <w:gridCol w:w="1261"/>
        <w:gridCol w:w="1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12"/>
            <w:tcBorders>
              <w:top w:val="nil"/>
              <w:left w:val="nil"/>
              <w:bottom w:val="nil"/>
              <w:right w:val="nil"/>
            </w:tcBorders>
            <w:shd w:val="clear" w:color="auto" w:fill="auto"/>
            <w:noWrap/>
            <w:vAlign w:val="center"/>
          </w:tcPr>
          <w:p>
            <w:pPr>
              <w:widowControl/>
              <w:spacing w:after="156" w:afterLines="50"/>
              <w:jc w:val="center"/>
              <w:textAlignment w:val="center"/>
              <w:rPr>
                <w:rFonts w:ascii="黑体" w:hAnsi="宋体" w:eastAsia="黑体" w:cs="黑体"/>
                <w:i w:val="0"/>
                <w:iCs w:val="0"/>
                <w:color w:val="000000"/>
                <w:sz w:val="44"/>
                <w:szCs w:val="44"/>
                <w:u w:val="none"/>
              </w:rPr>
            </w:pPr>
            <w:r>
              <w:rPr>
                <w:rFonts w:hint="eastAsia" w:ascii="Times New Roman" w:hAnsi="Times New Roman" w:eastAsia="黑体" w:cs="Times New Roman"/>
                <w:color w:val="000000"/>
                <w:kern w:val="0"/>
                <w:sz w:val="36"/>
                <w:szCs w:val="36"/>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8"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39" w:type="pct"/>
            <w:gridSpan w:val="3"/>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部门：湖南省农业对外经济合作中心</w:t>
            </w:r>
          </w:p>
        </w:tc>
        <w:tc>
          <w:tcPr>
            <w:tcW w:w="40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1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6" w:type="pct"/>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8" w:type="pct"/>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6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rPr>
            </w:pPr>
            <w:r>
              <w:rPr>
                <w:rFonts w:hint="eastAsia" w:ascii="宋体" w:hAnsi="宋体" w:eastAsia="宋体" w:cs="宋体"/>
                <w:b/>
                <w:bCs/>
                <w:i w:val="0"/>
                <w:iCs w:val="0"/>
                <w:color w:val="000000"/>
                <w:kern w:val="0"/>
                <w:sz w:val="22"/>
                <w:szCs w:val="22"/>
                <w:u w:val="none"/>
                <w:lang w:val="en-US" w:eastAsia="zh-CN" w:bidi="ar"/>
              </w:rPr>
              <w:t>预算数</w:t>
            </w:r>
          </w:p>
        </w:tc>
        <w:tc>
          <w:tcPr>
            <w:tcW w:w="2531"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rPr>
            </w:pPr>
            <w:r>
              <w:rPr>
                <w:rFonts w:hint="eastAsia" w:ascii="宋体" w:hAnsi="宋体" w:eastAsia="宋体" w:cs="宋体"/>
                <w:b/>
                <w:bCs/>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因公出国（境）费</w:t>
            </w:r>
          </w:p>
        </w:tc>
        <w:tc>
          <w:tcPr>
            <w:tcW w:w="121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公务用车购置及运行维护费</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公务接待费</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因公出国（境）费</w:t>
            </w:r>
          </w:p>
        </w:tc>
        <w:tc>
          <w:tcPr>
            <w:tcW w:w="121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公务用车购置及运行维护费</w:t>
            </w:r>
          </w:p>
        </w:tc>
        <w:tc>
          <w:tcPr>
            <w:tcW w:w="4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1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1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公务用车购置费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公务用车运行维护费</w:t>
            </w:r>
          </w:p>
        </w:tc>
        <w:tc>
          <w:tcPr>
            <w:tcW w:w="41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1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1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公务用车购置费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公务用车运行维护费</w:t>
            </w:r>
          </w:p>
        </w:tc>
        <w:tc>
          <w:tcPr>
            <w:tcW w:w="4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16.79</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14.61</w:t>
            </w: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06" w:type="pct"/>
            <w:tcBorders>
              <w:top w:val="single" w:color="auto" w:sz="4" w:space="0"/>
              <w:left w:val="single" w:color="auto" w:sz="4" w:space="0"/>
              <w:bottom w:val="single" w:color="auto" w:sz="4" w:space="0"/>
              <w:right w:val="single" w:color="auto" w:sz="4" w:space="0"/>
            </w:tcBorders>
            <w:shd w:val="clear" w:color="auto" w:fill="auto"/>
            <w:noWrap/>
            <w:vAlign w:val="center"/>
          </w:tcPr>
          <w:p>
            <w:pPr>
              <w:snapToGrid/>
              <w:spacing w:line="360" w:lineRule="auto"/>
              <w:jc w:val="right"/>
              <w:rPr>
                <w:rFonts w:hint="eastAsia" w:ascii="宋体" w:hAnsi="宋体" w:eastAsia="宋体" w:cs="宋体"/>
                <w:i w:val="0"/>
                <w:iCs w:val="0"/>
                <w:color w:val="000000"/>
                <w:sz w:val="22"/>
                <w:szCs w:val="22"/>
                <w:u w:val="none"/>
              </w:rPr>
            </w:pPr>
          </w:p>
        </w:tc>
        <w:tc>
          <w:tcPr>
            <w:tcW w:w="47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napToGrid/>
              <w:spacing w:line="36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auto" w:sz="4" w:space="0"/>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720" w:right="720" w:bottom="720" w:left="720" w:header="851" w:footer="992" w:gutter="0"/>
          <w:cols w:space="425" w:num="1"/>
          <w:docGrid w:type="lines" w:linePitch="312" w:charSpace="0"/>
        </w:sectPr>
      </w:pPr>
      <w:r>
        <w:rPr>
          <w:rFonts w:ascii="Times New Roman" w:hAnsi="Times New Roman" w:eastAsia="黑体" w:cs="Times New Roman"/>
          <w:szCs w:val="21"/>
        </w:rPr>
        <w:br w:type="page"/>
      </w:r>
    </w:p>
    <w:p>
      <w:pPr>
        <w:pStyle w:val="13"/>
        <w:rPr>
          <w:rFonts w:ascii="Times New Roman" w:hAnsi="Times New Roman" w:cs="Times New Roman"/>
          <w:sz w:val="72"/>
          <w:szCs w:val="72"/>
        </w:rPr>
      </w:pPr>
    </w:p>
    <w:p>
      <w:pPr>
        <w:pStyle w:val="13"/>
        <w:rPr>
          <w:rFonts w:ascii="Times New Roman" w:hAnsi="Times New Roman" w:cs="Times New Roman"/>
          <w:sz w:val="72"/>
          <w:szCs w:val="72"/>
        </w:rPr>
      </w:pPr>
    </w:p>
    <w:p>
      <w:pPr>
        <w:pStyle w:val="13"/>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eastAsia="方正小标宋_GBK"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2121.65</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215.6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9.22</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yellow"/>
        </w:rPr>
        <w:t>主要是因为</w:t>
      </w:r>
      <w:r>
        <w:rPr>
          <w:rFonts w:hint="eastAsia" w:ascii="Times New Roman" w:hAnsi="Times New Roman" w:eastAsia="仿宋_GB2312" w:cs="Times New Roman"/>
          <w:sz w:val="32"/>
          <w:szCs w:val="32"/>
          <w:highlight w:val="yellow"/>
          <w:lang w:eastAsia="zh-CN"/>
        </w:rPr>
        <w:t>省级专项资金减少。</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1161.57</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737.72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63.51</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394.82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33.99</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29.04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839.46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395.8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47.15</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443.66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52.85</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797.76</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40.38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4.82</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yellow"/>
        </w:rPr>
        <w:t>主要是因为</w:t>
      </w:r>
      <w:r>
        <w:rPr>
          <w:rFonts w:hint="eastAsia" w:ascii="Times New Roman" w:hAnsi="Times New Roman" w:eastAsia="仿宋_GB2312" w:cs="Times New Roman"/>
          <w:sz w:val="32"/>
          <w:szCs w:val="32"/>
          <w:highlight w:val="yellow"/>
          <w:lang w:eastAsia="zh-CN"/>
        </w:rPr>
        <w:t>省级专项资金减少。</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588.57</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70.11</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171.7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22.58</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w:t>
      </w:r>
      <w:bookmarkStart w:id="33" w:name="_GoBack"/>
      <w:r>
        <w:rPr>
          <w:rFonts w:ascii="Times New Roman" w:hAnsi="Times New Roman" w:eastAsia="仿宋_GB2312" w:cs="Times New Roman"/>
          <w:sz w:val="32"/>
          <w:szCs w:val="32"/>
          <w:highlight w:val="none"/>
        </w:rPr>
        <w:t>是因为</w:t>
      </w:r>
      <w:r>
        <w:rPr>
          <w:rFonts w:hint="eastAsia" w:ascii="Times New Roman" w:hAnsi="Times New Roman" w:eastAsia="仿宋_GB2312" w:cs="Times New Roman"/>
          <w:sz w:val="32"/>
          <w:szCs w:val="32"/>
          <w:highlight w:val="none"/>
          <w:lang w:eastAsia="zh-CN"/>
        </w:rPr>
        <w:t>省级专项资金减少</w:t>
      </w:r>
      <w:r>
        <w:rPr>
          <w:rFonts w:ascii="仿宋" w:hAnsi="仿宋" w:eastAsia="仿宋" w:cs="仿宋"/>
          <w:b w:val="0"/>
          <w:bCs w:val="0"/>
          <w:color w:val="000000"/>
          <w:sz w:val="31"/>
          <w:szCs w:val="31"/>
          <w:highlight w:val="none"/>
        </w:rPr>
        <w:t>。</w:t>
      </w:r>
      <w:bookmarkEnd w:id="33"/>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588.57</w:t>
      </w:r>
      <w:r>
        <w:rPr>
          <w:rFonts w:ascii="Times New Roman" w:hAnsi="Times New Roman" w:eastAsia="仿宋_GB2312" w:cs="Times New Roman"/>
          <w:sz w:val="32"/>
          <w:szCs w:val="32"/>
        </w:rPr>
        <w:t>万元，主要用于以下方面：一般公共服务（类）支出</w:t>
      </w:r>
      <w:r>
        <w:rPr>
          <w:rFonts w:hint="eastAsia" w:ascii="Times New Roman" w:hAnsi="Times New Roman" w:eastAsia="仿宋_GB2312" w:cs="Times New Roman"/>
          <w:sz w:val="32"/>
          <w:szCs w:val="32"/>
          <w:lang w:val="en-US" w:eastAsia="zh-CN"/>
        </w:rPr>
        <w:t>73.59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12.5</w:t>
      </w:r>
      <w:r>
        <w:rPr>
          <w:rFonts w:ascii="Times New Roman" w:hAnsi="Times New Roman" w:eastAsia="仿宋_GB2312" w:cs="Times New Roman"/>
          <w:sz w:val="32"/>
          <w:szCs w:val="32"/>
        </w:rPr>
        <w:t>%；教育（类）支出</w:t>
      </w:r>
      <w:r>
        <w:rPr>
          <w:rFonts w:hint="eastAsia" w:ascii="Times New Roman" w:hAnsi="Times New Roman" w:eastAsia="仿宋_GB2312" w:cs="Times New Roman"/>
          <w:sz w:val="32"/>
          <w:szCs w:val="32"/>
          <w:lang w:val="en-US" w:eastAsia="zh-CN"/>
        </w:rPr>
        <w:t>0.48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0.08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社会保障和就业(类)支出</w:t>
      </w:r>
      <w:r>
        <w:rPr>
          <w:rFonts w:hint="eastAsia" w:ascii="Times New Roman" w:hAnsi="Times New Roman" w:eastAsia="仿宋_GB2312" w:cs="Times New Roman"/>
          <w:sz w:val="32"/>
          <w:szCs w:val="32"/>
          <w:lang w:val="en-US" w:eastAsia="zh-CN"/>
        </w:rPr>
        <w:t>75.31</w:t>
      </w:r>
      <w:r>
        <w:rPr>
          <w:rFonts w:ascii="Times New Roman" w:hAnsi="Times New Roman" w:eastAsia="仿宋_GB2312" w:cs="Times New Roman"/>
          <w:sz w:val="32"/>
          <w:szCs w:val="32"/>
        </w:rPr>
        <w:t>万元， 占</w:t>
      </w:r>
      <w:r>
        <w:rPr>
          <w:rFonts w:hint="eastAsia" w:ascii="Times New Roman" w:hAnsi="Times New Roman" w:eastAsia="仿宋_GB2312" w:cs="Times New Roman"/>
          <w:sz w:val="32"/>
          <w:szCs w:val="32"/>
          <w:lang w:val="en-US" w:eastAsia="zh-CN"/>
        </w:rPr>
        <w:t>12.8</w:t>
      </w:r>
      <w:r>
        <w:rPr>
          <w:rFonts w:ascii="Times New Roman" w:hAnsi="Times New Roman" w:eastAsia="仿宋_GB2312" w:cs="Times New Roman"/>
          <w:sz w:val="32"/>
          <w:szCs w:val="32"/>
        </w:rPr>
        <w:t>%;农林水（类）支出</w:t>
      </w:r>
      <w:r>
        <w:rPr>
          <w:rFonts w:hint="eastAsia" w:ascii="Times New Roman" w:hAnsi="Times New Roman" w:eastAsia="仿宋_GB2312" w:cs="Times New Roman"/>
          <w:sz w:val="32"/>
          <w:szCs w:val="32"/>
          <w:lang w:val="en-US" w:eastAsia="zh-CN"/>
        </w:rPr>
        <w:t>406.86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69.13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商业服务业等支出</w:t>
      </w:r>
      <w:r>
        <w:rPr>
          <w:rFonts w:hint="eastAsia" w:ascii="Times New Roman" w:hAnsi="Times New Roman" w:eastAsia="仿宋_GB2312" w:cs="Times New Roman"/>
          <w:sz w:val="32"/>
          <w:szCs w:val="32"/>
          <w:lang w:val="en-US" w:eastAsia="zh-CN"/>
        </w:rPr>
        <w:t>5.33万元，占0.9%；</w:t>
      </w:r>
      <w:r>
        <w:rPr>
          <w:rFonts w:ascii="Times New Roman" w:hAnsi="Times New Roman" w:eastAsia="仿宋_GB2312" w:cs="Times New Roman"/>
          <w:sz w:val="32"/>
          <w:szCs w:val="32"/>
        </w:rPr>
        <w:t>住房保障（类）支出</w:t>
      </w:r>
      <w:r>
        <w:rPr>
          <w:rFonts w:hint="eastAsia" w:ascii="Times New Roman" w:hAnsi="Times New Roman" w:eastAsia="仿宋_GB2312" w:cs="Times New Roman"/>
          <w:sz w:val="32"/>
          <w:szCs w:val="32"/>
          <w:lang w:val="en-US" w:eastAsia="zh-CN"/>
        </w:rPr>
        <w:t>27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4.59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656.51</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588.57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89.65</w:t>
      </w:r>
      <w:r>
        <w:rPr>
          <w:rFonts w:ascii="Times New Roman" w:hAnsi="Times New Roman" w:eastAsia="仿宋_GB2312" w:cs="Times New Roman"/>
          <w:sz w:val="32"/>
          <w:szCs w:val="32"/>
        </w:rPr>
        <w:t>%，其中：</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1、一般公共服务（类）</w:t>
      </w:r>
      <w:r>
        <w:rPr>
          <w:rFonts w:ascii="仿宋" w:hAnsi="仿宋" w:eastAsia="仿宋" w:cs="仿宋"/>
          <w:b w:val="0"/>
          <w:bCs w:val="0"/>
          <w:color w:val="000000"/>
          <w:sz w:val="31"/>
          <w:szCs w:val="31"/>
        </w:rPr>
        <w:t>财政事务（款）其他财政事务支出（项）</w:t>
      </w:r>
      <w:r>
        <w:rPr>
          <w:rFonts w:ascii="Times New Roman" w:hAnsi="Times New Roman" w:eastAsia="仿宋_GB2312" w:cs="Times New Roman"/>
          <w:sz w:val="32"/>
          <w:szCs w:val="32"/>
        </w:rPr>
        <w:t>。</w:t>
      </w:r>
    </w:p>
    <w:p>
      <w:pPr>
        <w:keepNext w:val="0"/>
        <w:keepLines w:val="0"/>
        <w:widowControl/>
        <w:suppressLineNumbers w:val="0"/>
        <w:ind w:firstLine="640"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33.24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73.59</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221.39</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大于</w:t>
      </w:r>
      <w:r>
        <w:rPr>
          <w:rFonts w:ascii="Times New Roman" w:hAnsi="Times New Roman" w:eastAsia="仿宋_GB2312" w:cs="Times New Roman"/>
          <w:sz w:val="32"/>
          <w:szCs w:val="32"/>
        </w:rPr>
        <w:t>年初预算数的主要原因是：</w:t>
      </w:r>
      <w:r>
        <w:rPr>
          <w:rFonts w:ascii="仿宋" w:hAnsi="仿宋" w:eastAsia="仿宋" w:cs="仿宋"/>
          <w:color w:val="000000"/>
          <w:kern w:val="0"/>
          <w:sz w:val="31"/>
          <w:szCs w:val="31"/>
          <w:lang w:val="en-US" w:eastAsia="zh-CN" w:bidi="ar"/>
        </w:rPr>
        <w:t>年中追加</w:t>
      </w:r>
      <w:r>
        <w:rPr>
          <w:rFonts w:hint="eastAsia" w:ascii="仿宋" w:hAnsi="仿宋" w:eastAsia="仿宋" w:cs="仿宋"/>
          <w:color w:val="000000"/>
          <w:kern w:val="0"/>
          <w:sz w:val="31"/>
          <w:szCs w:val="31"/>
          <w:lang w:val="en-US" w:eastAsia="zh-CN" w:bidi="ar"/>
        </w:rPr>
        <w:t>外贷专项补助经费。</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教育支出（类）进修及培训（款）培训支出（项）</w:t>
      </w:r>
    </w:p>
    <w:p>
      <w:pPr>
        <w:pStyle w:val="13"/>
        <w:numPr>
          <w:ilvl w:val="0"/>
          <w:numId w:val="0"/>
        </w:numPr>
        <w:overflowPunct w:val="0"/>
        <w:autoSpaceDE/>
        <w:autoSpaceDN/>
        <w:spacing w:line="600" w:lineRule="exact"/>
        <w:jc w:val="both"/>
        <w:rPr>
          <w:rFonts w:hint="default"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ab/>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0.48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96</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lang w:eastAsia="zh-CN"/>
        </w:rPr>
        <w:t>培训支出有结余</w:t>
      </w:r>
      <w:r>
        <w:rPr>
          <w:rFonts w:hint="eastAsia" w:ascii="Times New Roman" w:hAnsi="Times New Roman" w:eastAsia="仿宋_GB2312" w:cs="Times New Roman"/>
          <w:sz w:val="32"/>
          <w:szCs w:val="32"/>
          <w:lang w:val="en-US" w:eastAsia="zh-CN"/>
        </w:rPr>
        <w:t>。</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仿宋" w:hAnsi="仿宋" w:eastAsia="仿宋" w:cs="仿宋"/>
          <w:b w:val="0"/>
          <w:bCs w:val="0"/>
          <w:color w:val="000000"/>
          <w:sz w:val="31"/>
          <w:szCs w:val="31"/>
        </w:rPr>
        <w:t>社会保障和就业支出（类）行政事业单位养老支出（款）</w:t>
      </w:r>
      <w:r>
        <w:rPr>
          <w:rFonts w:hint="eastAsia" w:ascii="仿宋" w:hAnsi="仿宋" w:eastAsia="仿宋" w:cs="仿宋"/>
          <w:b w:val="0"/>
          <w:bCs w:val="0"/>
          <w:color w:val="000000"/>
          <w:sz w:val="31"/>
          <w:szCs w:val="31"/>
          <w:lang w:eastAsia="zh-CN"/>
        </w:rPr>
        <w:t>事业单位离退休（</w:t>
      </w:r>
      <w:r>
        <w:rPr>
          <w:rFonts w:ascii="仿宋" w:hAnsi="仿宋" w:eastAsia="仿宋" w:cs="仿宋"/>
          <w:b w:val="0"/>
          <w:bCs w:val="0"/>
          <w:color w:val="000000"/>
          <w:sz w:val="31"/>
          <w:szCs w:val="31"/>
        </w:rPr>
        <w:t>项）。</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40.55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40.55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仿宋" w:hAnsi="仿宋" w:eastAsia="仿宋" w:cs="仿宋"/>
          <w:b w:val="0"/>
          <w:bCs w:val="0"/>
          <w:color w:val="000000"/>
          <w:sz w:val="31"/>
          <w:szCs w:val="31"/>
        </w:rPr>
        <w:t>社会保障和就业支出（类）行政事业单位养老支出（款）机关事业单位基本养老保险缴费支出（项）。</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34.76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34.76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3"/>
        <w:numPr>
          <w:ilvl w:val="0"/>
          <w:numId w:val="0"/>
        </w:numPr>
        <w:overflowPunct w:val="0"/>
        <w:autoSpaceDE/>
        <w:autoSpaceDN/>
        <w:spacing w:line="600" w:lineRule="exact"/>
        <w:ind w:left="630" w:leftChars="0"/>
        <w:jc w:val="both"/>
        <w:rPr>
          <w:rFonts w:ascii="仿宋" w:hAnsi="仿宋" w:eastAsia="仿宋" w:cs="仿宋"/>
          <w:b w:val="0"/>
          <w:bCs w:val="0"/>
          <w:color w:val="000000"/>
          <w:sz w:val="31"/>
          <w:szCs w:val="31"/>
        </w:rPr>
      </w:pPr>
      <w:r>
        <w:rPr>
          <w:rFonts w:hint="eastAsia" w:ascii="仿宋" w:hAnsi="仿宋" w:eastAsia="仿宋" w:cs="仿宋"/>
          <w:b w:val="0"/>
          <w:bCs w:val="0"/>
          <w:color w:val="000000"/>
          <w:sz w:val="31"/>
          <w:szCs w:val="31"/>
          <w:lang w:val="en-US" w:eastAsia="zh-CN"/>
        </w:rPr>
        <w:t>5、</w:t>
      </w:r>
      <w:r>
        <w:rPr>
          <w:rFonts w:ascii="仿宋" w:hAnsi="仿宋" w:eastAsia="仿宋" w:cs="仿宋"/>
          <w:b w:val="0"/>
          <w:bCs w:val="0"/>
          <w:color w:val="000000"/>
          <w:sz w:val="31"/>
          <w:szCs w:val="31"/>
        </w:rPr>
        <w:t>农林水支出（类）农业农村（款）事业运行（项）。</w:t>
      </w:r>
    </w:p>
    <w:p>
      <w:pPr>
        <w:pStyle w:val="13"/>
        <w:numPr>
          <w:ilvl w:val="0"/>
          <w:numId w:val="0"/>
        </w:numPr>
        <w:overflowPunct w:val="0"/>
        <w:autoSpaceDE/>
        <w:autoSpaceDN/>
        <w:spacing w:line="600" w:lineRule="exact"/>
        <w:ind w:firstLine="640" w:firstLineChars="200"/>
        <w:jc w:val="both"/>
        <w:rPr>
          <w:rFonts w:ascii="仿宋" w:hAnsi="仿宋" w:eastAsia="仿宋" w:cs="仿宋"/>
          <w:b w:val="0"/>
          <w:bCs w:val="0"/>
          <w:color w:val="000000"/>
          <w:sz w:val="31"/>
          <w:szCs w:val="31"/>
        </w:rPr>
      </w:pPr>
      <w:r>
        <w:rPr>
          <w:rFonts w:hint="eastAsia" w:ascii="Times New Roman" w:hAnsi="Times New Roman" w:eastAsia="仿宋_GB2312" w:cs="Times New Roman"/>
          <w:sz w:val="32"/>
          <w:szCs w:val="32"/>
          <w:lang w:val="en-US" w:eastAsia="zh-CN"/>
        </w:rPr>
        <w:t>年初</w:t>
      </w:r>
      <w:r>
        <w:rPr>
          <w:rFonts w:ascii="Times New Roman" w:hAnsi="Times New Roman" w:eastAsia="仿宋_GB2312" w:cs="Times New Roman"/>
          <w:sz w:val="32"/>
          <w:szCs w:val="32"/>
        </w:rPr>
        <w:t>预算为</w:t>
      </w:r>
      <w:r>
        <w:rPr>
          <w:rFonts w:hint="eastAsia" w:ascii="Times New Roman" w:hAnsi="Times New Roman" w:eastAsia="仿宋_GB2312" w:cs="Times New Roman"/>
          <w:sz w:val="32"/>
          <w:szCs w:val="32"/>
          <w:lang w:val="en-US" w:eastAsia="zh-CN"/>
        </w:rPr>
        <w:t>292.71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290.86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99.37</w:t>
      </w:r>
      <w:r>
        <w:rPr>
          <w:rFonts w:ascii="Times New Roman" w:hAnsi="Times New Roman" w:eastAsia="仿宋_GB2312" w:cs="Times New Roman"/>
          <w:sz w:val="32"/>
          <w:szCs w:val="32"/>
        </w:rPr>
        <w:t>%，决算数小于年初预算数的主要原因是：</w:t>
      </w:r>
      <w:r>
        <w:rPr>
          <w:rFonts w:ascii="仿宋" w:hAnsi="仿宋" w:eastAsia="仿宋" w:cs="仿宋"/>
          <w:b w:val="0"/>
          <w:bCs w:val="0"/>
          <w:color w:val="000000"/>
          <w:sz w:val="31"/>
          <w:szCs w:val="31"/>
        </w:rPr>
        <w:t>公务接待费等费用年末有结余。</w:t>
      </w:r>
    </w:p>
    <w:p>
      <w:pPr>
        <w:pStyle w:val="13"/>
        <w:numPr>
          <w:ilvl w:val="0"/>
          <w:numId w:val="0"/>
        </w:numPr>
        <w:overflowPunct w:val="0"/>
        <w:autoSpaceDE/>
        <w:autoSpaceDN/>
        <w:spacing w:line="600" w:lineRule="exact"/>
        <w:ind w:left="630" w:leftChars="0"/>
        <w:jc w:val="both"/>
        <w:rPr>
          <w:rFonts w:hint="default" w:ascii="仿宋" w:hAnsi="仿宋" w:eastAsia="仿宋" w:cs="仿宋"/>
          <w:b w:val="0"/>
          <w:bCs w:val="0"/>
          <w:color w:val="000000"/>
          <w:sz w:val="31"/>
          <w:szCs w:val="31"/>
          <w:lang w:val="en-US" w:eastAsia="zh-CN"/>
        </w:rPr>
      </w:pPr>
      <w:r>
        <w:rPr>
          <w:rFonts w:hint="eastAsia" w:ascii="仿宋" w:hAnsi="仿宋" w:eastAsia="仿宋" w:cs="仿宋"/>
          <w:b w:val="0"/>
          <w:bCs w:val="0"/>
          <w:color w:val="000000"/>
          <w:sz w:val="31"/>
          <w:szCs w:val="31"/>
          <w:lang w:val="en-US" w:eastAsia="zh-CN"/>
        </w:rPr>
        <w:t>6、</w:t>
      </w:r>
      <w:r>
        <w:rPr>
          <w:rFonts w:ascii="仿宋" w:hAnsi="仿宋" w:eastAsia="仿宋" w:cs="仿宋"/>
          <w:b w:val="0"/>
          <w:bCs w:val="0"/>
          <w:color w:val="000000"/>
          <w:sz w:val="31"/>
          <w:szCs w:val="31"/>
        </w:rPr>
        <w:t>农林水支出（类）农业农村（款）对外交流与合作（项）。</w:t>
      </w:r>
    </w:p>
    <w:p>
      <w:pPr>
        <w:pStyle w:val="13"/>
        <w:numPr>
          <w:ilvl w:val="0"/>
          <w:numId w:val="0"/>
        </w:numPr>
        <w:overflowPunct w:val="0"/>
        <w:autoSpaceDE/>
        <w:autoSpaceDN/>
        <w:spacing w:line="600" w:lineRule="exact"/>
        <w:ind w:firstLine="640" w:firstLineChars="200"/>
        <w:jc w:val="both"/>
        <w:rPr>
          <w:rFonts w:hint="eastAsia" w:ascii="仿宋" w:hAnsi="仿宋" w:eastAsia="仿宋_GB2312" w:cs="仿宋"/>
          <w:b w:val="0"/>
          <w:bCs w:val="0"/>
          <w:color w:val="000000"/>
          <w:sz w:val="31"/>
          <w:szCs w:val="31"/>
          <w:highlight w:val="yellow"/>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221.83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113.66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51.24</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eastAsia="zh-CN"/>
        </w:rPr>
        <w:t>项目跨年实施。</w:t>
      </w:r>
    </w:p>
    <w:p>
      <w:pPr>
        <w:pStyle w:val="13"/>
        <w:numPr>
          <w:ilvl w:val="0"/>
          <w:numId w:val="0"/>
        </w:numPr>
        <w:overflowPunct w:val="0"/>
        <w:autoSpaceDE/>
        <w:autoSpaceDN/>
        <w:spacing w:line="600" w:lineRule="exact"/>
        <w:ind w:left="630" w:leftChars="0"/>
        <w:jc w:val="both"/>
        <w:rPr>
          <w:rFonts w:hint="eastAsia" w:ascii="仿宋" w:hAnsi="仿宋" w:eastAsia="仿宋" w:cs="仿宋"/>
          <w:b w:val="0"/>
          <w:bCs w:val="0"/>
          <w:color w:val="000000"/>
          <w:sz w:val="31"/>
          <w:szCs w:val="31"/>
          <w:lang w:eastAsia="zh-CN"/>
        </w:rPr>
      </w:pPr>
      <w:r>
        <w:rPr>
          <w:rFonts w:hint="eastAsia" w:ascii="仿宋" w:hAnsi="仿宋" w:eastAsia="仿宋" w:cs="仿宋"/>
          <w:b w:val="0"/>
          <w:bCs w:val="0"/>
          <w:color w:val="000000"/>
          <w:sz w:val="31"/>
          <w:szCs w:val="31"/>
          <w:lang w:val="en-US" w:eastAsia="zh-CN"/>
        </w:rPr>
        <w:t>7、</w:t>
      </w:r>
      <w:r>
        <w:rPr>
          <w:rFonts w:ascii="仿宋" w:hAnsi="仿宋" w:eastAsia="仿宋" w:cs="仿宋"/>
          <w:b w:val="0"/>
          <w:bCs w:val="0"/>
          <w:color w:val="000000"/>
          <w:sz w:val="31"/>
          <w:szCs w:val="31"/>
        </w:rPr>
        <w:t>农林水支出（类）农业农村（款）农业生产发展（项）</w:t>
      </w:r>
      <w:r>
        <w:rPr>
          <w:rFonts w:hint="eastAsia" w:ascii="仿宋" w:hAnsi="仿宋" w:eastAsia="仿宋" w:cs="仿宋"/>
          <w:b w:val="0"/>
          <w:bCs w:val="0"/>
          <w:color w:val="000000"/>
          <w:sz w:val="31"/>
          <w:szCs w:val="31"/>
          <w:lang w:eastAsia="zh-CN"/>
        </w:rPr>
        <w:t>。</w:t>
      </w:r>
    </w:p>
    <w:p>
      <w:pPr>
        <w:pStyle w:val="13"/>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2.93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2.34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79.86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highlight w:val="none"/>
          <w:lang w:eastAsia="zh-CN"/>
        </w:rPr>
        <w:t>项目差旅费年末有结余。</w:t>
      </w:r>
    </w:p>
    <w:p>
      <w:pPr>
        <w:pStyle w:val="13"/>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8、商业服务业等支出（类）涉外发展服务支出（款）其他涉外发展服务支出（项）</w:t>
      </w:r>
    </w:p>
    <w:p>
      <w:pPr>
        <w:pStyle w:val="13"/>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5.33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177.67</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大于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lang w:eastAsia="zh-CN"/>
        </w:rPr>
        <w:t>年中追加开放型经济与流通产业发展专项资金。</w:t>
      </w:r>
    </w:p>
    <w:p>
      <w:pPr>
        <w:pStyle w:val="13"/>
        <w:numPr>
          <w:ilvl w:val="0"/>
          <w:numId w:val="0"/>
        </w:numPr>
        <w:overflowPunct w:val="0"/>
        <w:autoSpaceDE/>
        <w:autoSpaceDN/>
        <w:spacing w:line="600" w:lineRule="exact"/>
        <w:ind w:left="630" w:leftChars="0"/>
        <w:jc w:val="both"/>
        <w:rPr>
          <w:rFonts w:ascii="仿宋" w:hAnsi="仿宋" w:eastAsia="仿宋" w:cs="仿宋"/>
          <w:b w:val="0"/>
          <w:bCs w:val="0"/>
          <w:color w:val="000000"/>
          <w:sz w:val="31"/>
          <w:szCs w:val="31"/>
        </w:rPr>
      </w:pPr>
      <w:r>
        <w:rPr>
          <w:rFonts w:hint="eastAsia" w:ascii="仿宋" w:hAnsi="仿宋" w:eastAsia="仿宋" w:cs="仿宋"/>
          <w:b w:val="0"/>
          <w:bCs w:val="0"/>
          <w:color w:val="000000"/>
          <w:sz w:val="31"/>
          <w:szCs w:val="31"/>
          <w:lang w:val="en-US" w:eastAsia="zh-CN"/>
        </w:rPr>
        <w:t>9、</w:t>
      </w:r>
      <w:r>
        <w:rPr>
          <w:rFonts w:ascii="仿宋" w:hAnsi="仿宋" w:eastAsia="仿宋" w:cs="仿宋"/>
          <w:b w:val="0"/>
          <w:bCs w:val="0"/>
          <w:color w:val="000000"/>
          <w:sz w:val="31"/>
          <w:szCs w:val="31"/>
        </w:rPr>
        <w:t>住房保障支出（类）住房改革支出（款）住房公积金（项）。</w:t>
      </w:r>
    </w:p>
    <w:p>
      <w:pPr>
        <w:pStyle w:val="13"/>
        <w:numPr>
          <w:ilvl w:val="0"/>
          <w:numId w:val="0"/>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393.65</w:t>
      </w:r>
      <w:r>
        <w:rPr>
          <w:rFonts w:ascii="Times New Roman" w:hAnsi="Times New Roman" w:eastAsia="仿宋_GB2312" w:cs="Times New Roman"/>
          <w:sz w:val="32"/>
          <w:szCs w:val="32"/>
        </w:rPr>
        <w:t>万元，其中：</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346.87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88.12</w:t>
      </w:r>
      <w:r>
        <w:rPr>
          <w:rFonts w:ascii="Times New Roman" w:hAnsi="Times New Roman" w:eastAsia="仿宋_GB2312" w:cs="Times New Roman"/>
          <w:sz w:val="32"/>
          <w:szCs w:val="32"/>
        </w:rPr>
        <w:t>%,主要包括基本工资、津贴补贴、伙食补助费</w:t>
      </w:r>
      <w:r>
        <w:rPr>
          <w:rFonts w:hint="eastAsia" w:ascii="Times New Roman" w:hAnsi="Times New Roman" w:eastAsia="仿宋_GB2312" w:cs="Times New Roman"/>
          <w:sz w:val="32"/>
          <w:szCs w:val="32"/>
          <w:lang w:eastAsia="zh-CN"/>
        </w:rPr>
        <w:t>、绩效工资</w:t>
      </w:r>
      <w:r>
        <w:rPr>
          <w:rFonts w:hint="eastAsia" w:ascii="Times New Roman" w:hAnsi="Times New Roman" w:eastAsia="仿宋_GB2312" w:cs="Times New Roman"/>
          <w:sz w:val="32"/>
          <w:szCs w:val="32"/>
          <w:lang w:val="en-US" w:eastAsia="zh-CN"/>
        </w:rPr>
        <w:t>、机关事业单位基本养老保险缴费、职工基本医疗保险缴费、其他社会保障缴费、住房公积金、退休费、奖励金、其他对个人和家庭的补助。</w:t>
      </w:r>
    </w:p>
    <w:p>
      <w:pPr>
        <w:pStyle w:val="13"/>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46.78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11.88</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lang w:eastAsia="zh-CN"/>
        </w:rPr>
        <w:t>邮电费、物业管理费、差旅费、培训费、公务接待费、劳务费、工会经费、福利费、其他交通费用、其他商品和服务支出</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eastAsia="仿宋_GB2312" w:cs="Times New Roman"/>
          <w:b/>
          <w:sz w:val="32"/>
          <w:szCs w:val="32"/>
          <w:highlight w:val="yellow"/>
        </w:rPr>
      </w:pPr>
      <w:r>
        <w:rPr>
          <w:rFonts w:ascii="Times New Roman" w:hAnsi="Times New Roman" w:cs="Times New Roman"/>
          <w:bCs/>
          <w:sz w:val="32"/>
          <w:szCs w:val="32"/>
        </w:rPr>
        <w:t>七、财政拨款“三公”经费支出决算情况说明</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keepNext w:val="0"/>
        <w:keepLines w:val="0"/>
        <w:widowControl/>
        <w:suppressLineNumbers w:val="0"/>
        <w:ind w:firstLine="640" w:firstLineChars="20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16.79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88.37</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1.66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%。决算数小于预算数的主要原因是</w:t>
      </w:r>
      <w:r>
        <w:rPr>
          <w:rFonts w:ascii="仿宋" w:hAnsi="仿宋" w:eastAsia="仿宋" w:cs="仿宋"/>
          <w:color w:val="000000"/>
          <w:kern w:val="0"/>
          <w:sz w:val="31"/>
          <w:szCs w:val="31"/>
          <w:lang w:val="en-US" w:eastAsia="zh-CN" w:bidi="ar"/>
        </w:rPr>
        <w:t>厉行节约，</w:t>
      </w:r>
      <w:r>
        <w:rPr>
          <w:rFonts w:ascii="仿宋" w:hAnsi="仿宋" w:eastAsia="仿宋" w:cs="仿宋"/>
          <w:color w:val="000000"/>
          <w:kern w:val="0"/>
          <w:sz w:val="31"/>
          <w:szCs w:val="31"/>
          <w:highlight w:val="none"/>
          <w:lang w:val="en-US" w:eastAsia="zh-CN" w:bidi="ar"/>
        </w:rPr>
        <w:t>严格</w:t>
      </w:r>
      <w:r>
        <w:rPr>
          <w:rFonts w:hint="eastAsia" w:ascii="仿宋" w:hAnsi="仿宋" w:eastAsia="仿宋" w:cs="仿宋"/>
          <w:color w:val="000000"/>
          <w:kern w:val="0"/>
          <w:sz w:val="31"/>
          <w:szCs w:val="31"/>
          <w:highlight w:val="none"/>
          <w:lang w:val="en-US" w:eastAsia="zh-CN" w:bidi="ar"/>
        </w:rPr>
        <w:t>控制“三公”经费支出</w:t>
      </w:r>
      <w:r>
        <w:rPr>
          <w:rFonts w:ascii="Times New Roman" w:hAnsi="Times New Roman" w:eastAsia="仿宋_GB2312" w:cs="Times New Roman"/>
          <w:sz w:val="32"/>
          <w:szCs w:val="32"/>
        </w:rPr>
        <w:t>。决算数小于上年数的主要原</w:t>
      </w:r>
      <w:r>
        <w:rPr>
          <w:rFonts w:ascii="Times New Roman" w:hAnsi="Times New Roman" w:eastAsia="仿宋_GB2312" w:cs="Times New Roman"/>
          <w:sz w:val="32"/>
          <w:szCs w:val="32"/>
          <w:highlight w:val="none"/>
        </w:rPr>
        <w:t>因是</w:t>
      </w:r>
      <w:r>
        <w:rPr>
          <w:rFonts w:hint="eastAsia" w:ascii="Times New Roman" w:hAnsi="Times New Roman" w:eastAsia="仿宋_GB2312" w:cs="Times New Roman"/>
          <w:sz w:val="32"/>
          <w:szCs w:val="32"/>
          <w:lang w:eastAsia="zh-CN"/>
        </w:rPr>
        <w:t>外贷项目数量减少，导致公务接待事项相应减少</w:t>
      </w:r>
      <w:r>
        <w:rPr>
          <w:rFonts w:ascii="Times New Roman" w:hAnsi="Times New Roman" w:eastAsia="仿宋_GB2312" w:cs="Times New Roman"/>
          <w:sz w:val="32"/>
          <w:szCs w:val="32"/>
          <w:highlight w:val="none"/>
        </w:rPr>
        <w:t>。</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14.61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97.4</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1.28</w:t>
      </w:r>
      <w:r>
        <w:rPr>
          <w:rFonts w:ascii="Times New Roman" w:hAnsi="Times New Roman" w:eastAsia="仿宋_GB2312" w:cs="Times New Roman"/>
          <w:sz w:val="32"/>
          <w:szCs w:val="32"/>
        </w:rPr>
        <w:t>%。决算数小于预算数的主要原因是</w:t>
      </w:r>
      <w:r>
        <w:rPr>
          <w:rFonts w:ascii="仿宋" w:hAnsi="仿宋" w:eastAsia="仿宋" w:cs="仿宋"/>
          <w:color w:val="000000"/>
          <w:kern w:val="0"/>
          <w:sz w:val="31"/>
          <w:szCs w:val="31"/>
          <w:highlight w:val="none"/>
          <w:lang w:val="en-US" w:eastAsia="zh-CN" w:bidi="ar"/>
        </w:rPr>
        <w:t>厉行节约，严格</w:t>
      </w:r>
      <w:r>
        <w:rPr>
          <w:rFonts w:hint="eastAsia" w:ascii="仿宋" w:hAnsi="仿宋" w:eastAsia="仿宋" w:cs="仿宋"/>
          <w:color w:val="000000"/>
          <w:kern w:val="0"/>
          <w:sz w:val="31"/>
          <w:szCs w:val="31"/>
          <w:highlight w:val="none"/>
          <w:lang w:val="en-US" w:eastAsia="zh-CN" w:bidi="ar"/>
        </w:rPr>
        <w:t>控制</w:t>
      </w:r>
      <w:r>
        <w:rPr>
          <w:rFonts w:ascii="Times New Roman" w:hAnsi="Times New Roman" w:eastAsia="仿宋_GB2312" w:cs="Times New Roman"/>
          <w:sz w:val="32"/>
          <w:szCs w:val="32"/>
          <w:highlight w:val="none"/>
        </w:rPr>
        <w:t>因公出国（境）费支出</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对</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eastAsia="zh-CN"/>
        </w:rPr>
        <w:t>的支出进行了严格把控</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主要包括：</w:t>
      </w:r>
    </w:p>
    <w:p>
      <w:pPr>
        <w:pStyle w:val="13"/>
        <w:numPr>
          <w:ilvl w:val="0"/>
          <w:numId w:val="0"/>
        </w:numPr>
        <w:overflowPunct w:val="0"/>
        <w:autoSpaceDE/>
        <w:autoSpaceDN/>
        <w:spacing w:line="600" w:lineRule="exact"/>
        <w:ind w:left="0" w:leftChars="0" w:firstLine="419" w:firstLineChars="131"/>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参加2024年NEAR会员地方政府公务员研修项目支出0.94万元，主要用于赴韩国参加2024年NEAR会员地方政府公务员研修项目，讲座和讨论的主题是“韩国新村运动乡村振兴”；</w:t>
      </w:r>
    </w:p>
    <w:p>
      <w:pPr>
        <w:pStyle w:val="13"/>
        <w:numPr>
          <w:ilvl w:val="0"/>
          <w:numId w:val="0"/>
        </w:numPr>
        <w:overflowPunct w:val="0"/>
        <w:autoSpaceDE/>
        <w:autoSpaceDN/>
        <w:spacing w:line="600" w:lineRule="exact"/>
        <w:ind w:left="0" w:leftChars="0" w:firstLine="419" w:firstLineChars="131"/>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应邀参加香港美食博览</w:t>
      </w:r>
      <w:r>
        <w:rPr>
          <w:rFonts w:hint="eastAsia" w:ascii="Times New Roman" w:hAnsi="Times New Roman" w:eastAsia="仿宋_GB2312" w:cs="Times New Roman"/>
          <w:sz w:val="32"/>
          <w:szCs w:val="32"/>
          <w:lang w:val="en-US" w:eastAsia="zh-CN"/>
        </w:rPr>
        <w:t>2024支出4.54万元，主要用于应香港贸易发展局邀请参加大型国际食品展览第三十四届“美食博览”；</w:t>
      </w:r>
    </w:p>
    <w:p>
      <w:pPr>
        <w:pStyle w:val="13"/>
        <w:numPr>
          <w:ilvl w:val="0"/>
          <w:numId w:val="0"/>
        </w:numPr>
        <w:overflowPunct w:val="0"/>
        <w:autoSpaceDE/>
        <w:autoSpaceDN/>
        <w:spacing w:line="600" w:lineRule="exact"/>
        <w:ind w:left="0" w:leftChars="0" w:firstLine="419" w:firstLineChars="131"/>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应邀赴出访肯尼亚、马拉维、马达加斯三国支出9.13万元，主要用于参团出访肯尼亚、马拉维、马达加斯三国，促进我省与肯尼亚、马拉维、马达加斯加政府间交流，落实中非经贸博览会走进非洲活动任务，务实推动湘非农业交流合作。</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与上年决算数持平。</w:t>
      </w:r>
      <w:r>
        <w:rPr>
          <w:rFonts w:ascii="Times New Roman" w:hAnsi="Times New Roman" w:eastAsia="仿宋_GB2312" w:cs="Times New Roman"/>
          <w:sz w:val="32"/>
          <w:szCs w:val="32"/>
        </w:rPr>
        <w:t>其中：</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与上年决算数持平。</w:t>
      </w:r>
    </w:p>
    <w:p>
      <w:pPr>
        <w:pStyle w:val="13"/>
        <w:overflowPunct w:val="0"/>
        <w:autoSpaceDE/>
        <w:autoSpaceDN/>
        <w:spacing w:line="600" w:lineRule="exact"/>
        <w:ind w:firstLine="640" w:firstLineChars="200"/>
        <w:jc w:val="both"/>
        <w:rPr>
          <w:rFonts w:ascii="Times New Roman" w:hAnsi="Times New Roman" w:eastAsia="楷体" w:cs="Times New Roman"/>
          <w:b/>
          <w:bCs/>
          <w:i/>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Times New Roman" w:eastAsia="仿宋_GB2312" w:cs="Times New Roman"/>
          <w:sz w:val="32"/>
          <w:szCs w:val="32"/>
          <w:highlight w:val="none"/>
        </w:rPr>
        <w:t>公务接待费</w:t>
      </w:r>
      <w:r>
        <w:rPr>
          <w:rFonts w:ascii="Times New Roman" w:hAnsi="Times New Roman" w:eastAsia="仿宋_GB2312" w:cs="Times New Roman"/>
          <w:sz w:val="32"/>
          <w:szCs w:val="32"/>
        </w:rPr>
        <w:t>支出预算为</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2.19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54.75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1.46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40</w:t>
      </w:r>
      <w:r>
        <w:rPr>
          <w:rFonts w:ascii="Times New Roman" w:hAnsi="Times New Roman" w:eastAsia="仿宋_GB2312" w:cs="Times New Roman"/>
          <w:sz w:val="32"/>
          <w:szCs w:val="32"/>
        </w:rPr>
        <w:t>%。决算数小于预算数的主要原因是</w:t>
      </w:r>
      <w:r>
        <w:rPr>
          <w:rFonts w:ascii="仿宋" w:hAnsi="仿宋" w:eastAsia="仿宋" w:cs="仿宋"/>
          <w:color w:val="000000"/>
          <w:kern w:val="0"/>
          <w:sz w:val="31"/>
          <w:szCs w:val="31"/>
          <w:lang w:val="en-US" w:eastAsia="zh-CN" w:bidi="ar"/>
        </w:rPr>
        <w:t>厉行节约，</w:t>
      </w:r>
      <w:r>
        <w:rPr>
          <w:rFonts w:ascii="仿宋" w:hAnsi="仿宋" w:eastAsia="仿宋" w:cs="仿宋"/>
          <w:color w:val="000000"/>
          <w:kern w:val="0"/>
          <w:sz w:val="31"/>
          <w:szCs w:val="31"/>
          <w:highlight w:val="none"/>
          <w:lang w:val="en-US" w:eastAsia="zh-CN" w:bidi="ar"/>
        </w:rPr>
        <w:t>严格</w:t>
      </w:r>
      <w:r>
        <w:rPr>
          <w:rFonts w:hint="eastAsia" w:ascii="仿宋" w:hAnsi="仿宋" w:eastAsia="仿宋" w:cs="仿宋"/>
          <w:color w:val="000000"/>
          <w:kern w:val="0"/>
          <w:sz w:val="31"/>
          <w:szCs w:val="31"/>
          <w:highlight w:val="none"/>
          <w:lang w:val="en-US" w:eastAsia="zh-CN" w:bidi="ar"/>
        </w:rPr>
        <w:t>控制</w:t>
      </w:r>
      <w:r>
        <w:rPr>
          <w:rFonts w:ascii="Times New Roman" w:hAnsi="Times New Roman" w:eastAsia="仿宋_GB2312" w:cs="Times New Roman"/>
          <w:sz w:val="32"/>
          <w:szCs w:val="32"/>
          <w:highlight w:val="none"/>
        </w:rPr>
        <w:t>公务接待费支出</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外贷项目数量减少，导致公务接待事项相应减少。</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57</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eastAsia="zh-CN"/>
        </w:rPr>
        <w:t>项目工作汇报、外事接待或来湘考察等接待费支出</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2024年度本单位无政府性基金收支</w:t>
      </w:r>
      <w:r>
        <w:rPr>
          <w:rFonts w:hint="eastAsia" w:ascii="Times New Roman" w:hAnsi="Times New Roman" w:eastAsia="仿宋_GB2312" w:cs="Times New Roman"/>
          <w:sz w:val="32"/>
          <w:szCs w:val="32"/>
          <w:lang w:eastAsia="zh-CN"/>
        </w:rPr>
        <w:t>。</w:t>
      </w:r>
    </w:p>
    <w:p>
      <w:pPr>
        <w:pStyle w:val="13"/>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九、关于机关运行经费支出说明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年度本单位无机关运行经费支出</w:t>
      </w:r>
      <w:r>
        <w:rPr>
          <w:rFonts w:hint="eastAsia" w:ascii="Times New Roman" w:hAnsi="Times New Roman" w:eastAsia="仿宋_GB2312" w:cs="Times New Roman"/>
          <w:sz w:val="32"/>
          <w:szCs w:val="32"/>
          <w:lang w:eastAsia="zh-CN"/>
        </w:rPr>
        <w:t>，与上年决算数持平。</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6.88</w:t>
      </w:r>
      <w:r>
        <w:rPr>
          <w:rFonts w:ascii="Times New Roman" w:hAnsi="Times New Roman" w:eastAsia="仿宋_GB2312" w:cs="Times New Roman"/>
          <w:sz w:val="32"/>
          <w:szCs w:val="32"/>
        </w:rPr>
        <w:t>万元，用于召开</w:t>
      </w:r>
      <w:r>
        <w:rPr>
          <w:rFonts w:hint="eastAsia" w:ascii="Times New Roman" w:hAnsi="Times New Roman" w:eastAsia="仿宋_GB2312" w:cs="Times New Roman"/>
          <w:sz w:val="32"/>
          <w:szCs w:val="32"/>
          <w:lang w:eastAsia="zh-CN"/>
        </w:rPr>
        <w:t>下列</w:t>
      </w:r>
      <w:r>
        <w:rPr>
          <w:rFonts w:ascii="Times New Roman" w:hAnsi="Times New Roman" w:eastAsia="仿宋_GB2312" w:cs="Times New Roman"/>
          <w:sz w:val="32"/>
          <w:szCs w:val="32"/>
        </w:rPr>
        <w:t>会议</w:t>
      </w:r>
      <w:r>
        <w:rPr>
          <w:rFonts w:hint="eastAsia" w:ascii="Times New Roman" w:hAnsi="Times New Roman" w:eastAsia="仿宋_GB2312" w:cs="Times New Roman"/>
          <w:sz w:val="32"/>
          <w:szCs w:val="32"/>
          <w:lang w:eastAsia="zh-CN"/>
        </w:rPr>
        <w:t>：</w:t>
      </w:r>
    </w:p>
    <w:p>
      <w:pPr>
        <w:numPr>
          <w:ilvl w:val="0"/>
          <w:numId w:val="1"/>
        </w:numPr>
        <w:ind w:left="0" w:leftChars="0" w:firstLine="630" w:firstLineChars="197"/>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农发乡村振兴项目第四次检查总结会议，41人，开支金额0.3万元，其中1人线上，内容为检查项目实施进度等。</w:t>
      </w:r>
    </w:p>
    <w:p>
      <w:pPr>
        <w:numPr>
          <w:ilvl w:val="0"/>
          <w:numId w:val="1"/>
        </w:numPr>
        <w:ind w:left="0" w:leftChars="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国际农发基金贷款湖南省乡村振兴发展项目中期检查汇报会，人数24人，开支金额0.32万元，内容为检查项目进度和绩效，开展项目中期调整等。</w:t>
      </w:r>
    </w:p>
    <w:p>
      <w:pPr>
        <w:numPr>
          <w:ilvl w:val="0"/>
          <w:numId w:val="1"/>
        </w:numPr>
        <w:ind w:left="0" w:leftChars="0" w:firstLine="630" w:firstLineChars="197"/>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国际农发基金贷款湖南省乡村振兴发展项目中期检查总结会议，人数76人，其中2人远程，开支金额1.58万元，内容为检查项目进度和绩效，开展项目中期调整等。</w:t>
      </w:r>
    </w:p>
    <w:p>
      <w:pPr>
        <w:numPr>
          <w:ilvl w:val="0"/>
          <w:numId w:val="1"/>
        </w:numPr>
        <w:ind w:left="0" w:leftChars="0" w:firstLine="630" w:firstLineChars="197"/>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世界银行贷款湖南省</w:t>
      </w:r>
      <w:r>
        <w:rPr>
          <w:rFonts w:hint="default" w:ascii="Times New Roman" w:hAnsi="Times New Roman" w:eastAsia="仿宋_GB2312" w:cs="Times New Roman"/>
          <w:sz w:val="32"/>
          <w:szCs w:val="32"/>
          <w:lang w:val="en-US" w:eastAsia="zh-CN"/>
        </w:rPr>
        <w:t>农田污染综合管理项目竣工验收总结</w:t>
      </w:r>
      <w:r>
        <w:rPr>
          <w:rFonts w:hint="eastAsia" w:ascii="Times New Roman" w:hAnsi="Times New Roman" w:eastAsia="仿宋_GB2312" w:cs="Times New Roman"/>
          <w:sz w:val="32"/>
          <w:szCs w:val="32"/>
          <w:lang w:val="en-US" w:eastAsia="zh-CN"/>
        </w:rPr>
        <w:t>会议，人数90人，开支金额4.15万元，内容为评估整个项目建设期实施结果和产出；评估项目环境和社会安保政策的执行情况；评估借款人项目实施完成报告并提供反馈意见；与项目受益人和其他主要利益相关方座谈，讨论项目成果和经验教训。</w:t>
      </w:r>
    </w:p>
    <w:p>
      <w:pPr>
        <w:numPr>
          <w:ilvl w:val="0"/>
          <w:numId w:val="1"/>
        </w:numPr>
        <w:ind w:left="0" w:leftChars="0" w:firstLine="630" w:firstLineChars="197"/>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国际</w:t>
      </w:r>
      <w:r>
        <w:rPr>
          <w:rFonts w:hint="default" w:ascii="Times New Roman" w:hAnsi="Times New Roman" w:eastAsia="仿宋_GB2312" w:cs="Times New Roman"/>
          <w:sz w:val="32"/>
          <w:szCs w:val="32"/>
          <w:lang w:val="en-US" w:eastAsia="zh-CN"/>
        </w:rPr>
        <w:t>农发项目基金助理副总裁</w:t>
      </w:r>
      <w:r>
        <w:rPr>
          <w:rFonts w:hint="eastAsia" w:ascii="Times New Roman" w:hAnsi="Times New Roman" w:eastAsia="仿宋_GB2312" w:cs="Times New Roman"/>
          <w:sz w:val="32"/>
          <w:szCs w:val="32"/>
          <w:lang w:val="en-US" w:eastAsia="zh-CN"/>
        </w:rPr>
        <w:t>来湘考察会议，人数25人，开支金额0.53万元，内容为了解项目实施效果、考察湖南与农发基金持续深化合作的必要性与前景。</w:t>
      </w:r>
    </w:p>
    <w:p>
      <w:pPr>
        <w:pStyle w:val="13"/>
        <w:overflowPunct w:val="0"/>
        <w:autoSpaceDE/>
        <w:autoSpaceDN/>
        <w:spacing w:line="600" w:lineRule="exact"/>
        <w:ind w:left="0" w:leftChars="0" w:firstLine="630" w:firstLineChars="197"/>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4.05</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eastAsia="zh-CN"/>
        </w:rPr>
        <w:t>下列</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lang w:eastAsia="zh-CN"/>
        </w:rPr>
        <w:t>：</w:t>
      </w:r>
    </w:p>
    <w:p>
      <w:pPr>
        <w:numPr>
          <w:ilvl w:val="0"/>
          <w:numId w:val="2"/>
        </w:numPr>
        <w:ind w:left="0" w:leftChars="0" w:firstLine="630" w:firstLineChars="197"/>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农发基金贷款湖南省乡村振兴发展项目财务采购培训，人数51人，开支金额3.57万元，内容为国际农发基金财务管理新政策；项目进度分析、财务管理手册修订与审计整改；农发基金采购规则与评审案例。</w:t>
      </w:r>
    </w:p>
    <w:p>
      <w:pPr>
        <w:numPr>
          <w:ilvl w:val="0"/>
          <w:numId w:val="2"/>
        </w:numPr>
        <w:ind w:left="0" w:leftChars="0" w:firstLine="620" w:firstLineChars="194"/>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消防安全培训，人数17人，0.48万元，内容为对在职人员开展消防安全培训。</w:t>
      </w:r>
    </w:p>
    <w:p>
      <w:pPr>
        <w:pStyle w:val="13"/>
        <w:overflowPunct w:val="0"/>
        <w:autoSpaceDE/>
        <w:autoSpaceDN/>
        <w:spacing w:line="600" w:lineRule="exact"/>
        <w:ind w:firstLine="620" w:firstLineChars="200"/>
        <w:jc w:val="both"/>
        <w:rPr>
          <w:rFonts w:ascii="Times New Roman" w:hAnsi="Times New Roman" w:eastAsia="楷体" w:cs="Times New Roman"/>
          <w:b/>
          <w:bCs/>
          <w:i/>
          <w:color w:val="auto"/>
          <w:sz w:val="32"/>
          <w:szCs w:val="32"/>
        </w:rPr>
      </w:pPr>
      <w:r>
        <w:rPr>
          <w:rFonts w:ascii="仿宋_GB2312" w:hAnsi="仿宋_GB2312" w:eastAsia="仿宋_GB2312" w:cs="仿宋_GB2312"/>
          <w:b w:val="0"/>
          <w:bCs w:val="0"/>
          <w:color w:val="000000"/>
          <w:sz w:val="31"/>
          <w:szCs w:val="31"/>
        </w:rPr>
        <w:t>未举办节庆、晚会、论坛、赛事活动。</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w:t>
      </w:r>
      <w:r>
        <w:rPr>
          <w:rFonts w:ascii="Times New Roman" w:hAnsi="Times New Roman" w:cs="Times New Roman"/>
          <w:bCs/>
          <w:sz w:val="32"/>
          <w:szCs w:val="32"/>
          <w:highlight w:val="none"/>
        </w:rPr>
        <w:t>政府采购</w:t>
      </w:r>
      <w:r>
        <w:rPr>
          <w:rFonts w:ascii="Times New Roman" w:hAnsi="Times New Roman" w:cs="Times New Roman"/>
          <w:bCs/>
          <w:sz w:val="32"/>
          <w:szCs w:val="32"/>
        </w:rPr>
        <w:t>支出说明</w:t>
      </w:r>
    </w:p>
    <w:p>
      <w:pPr>
        <w:pStyle w:val="13"/>
        <w:overflowPunct w:val="0"/>
        <w:autoSpaceDE/>
        <w:autoSpaceDN/>
        <w:spacing w:line="600" w:lineRule="exact"/>
        <w:ind w:firstLine="640" w:firstLineChars="200"/>
        <w:jc w:val="both"/>
        <w:rPr>
          <w:rFonts w:ascii="Times New Roman" w:hAnsi="Times New Roman" w:eastAsia="楷体" w:cs="Times New Roman"/>
          <w:b/>
          <w:bCs/>
          <w:i/>
          <w:color w:val="auto"/>
          <w:sz w:val="32"/>
          <w:szCs w:val="32"/>
          <w:highlight w:val="yellow"/>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92.8</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4.08</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88.72</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87.58</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94.37</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87.58</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94.12</w:t>
      </w:r>
      <w:r>
        <w:rPr>
          <w:rFonts w:ascii="Times New Roman" w:hAnsi="Times New Roman" w:eastAsia="仿宋_GB2312" w:cs="Times New Roman"/>
          <w:color w:val="auto"/>
          <w:sz w:val="32"/>
          <w:szCs w:val="32"/>
        </w:rPr>
        <w:t>%。</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cs="Times New Roman"/>
          <w:color w:val="auto"/>
          <w:sz w:val="32"/>
          <w:szCs w:val="32"/>
          <w:lang w:eastAsia="zh-CN"/>
        </w:rPr>
        <w:t>用于外事接待</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w:t>
      </w:r>
      <w:r>
        <w:rPr>
          <w:rFonts w:ascii="Times New Roman" w:hAnsi="Times New Roman" w:cs="Times New Roman"/>
          <w:bCs/>
          <w:color w:val="auto"/>
          <w:sz w:val="32"/>
          <w:szCs w:val="32"/>
          <w:highlight w:val="none"/>
        </w:rPr>
        <w:t>预算绩效情况</w:t>
      </w:r>
      <w:r>
        <w:rPr>
          <w:rFonts w:ascii="Times New Roman" w:hAnsi="Times New Roman" w:cs="Times New Roman"/>
          <w:bCs/>
          <w:color w:val="auto"/>
          <w:sz w:val="32"/>
          <w:szCs w:val="32"/>
        </w:rPr>
        <w:t>的说明</w:t>
      </w:r>
    </w:p>
    <w:p>
      <w:pPr>
        <w:overflowPunct w:val="0"/>
        <w:spacing w:line="600" w:lineRule="exact"/>
        <w:ind w:firstLine="640" w:firstLineChars="200"/>
        <w:rPr>
          <w:rFonts w:hint="eastAsia" w:ascii="Times New Roman" w:hAnsi="Times New Roman" w:eastAsia="仿宋_GB2312" w:cs="Times New Roman"/>
          <w:b/>
          <w:bCs/>
          <w:sz w:val="32"/>
          <w:szCs w:val="32"/>
          <w:highlight w:val="yellow"/>
          <w:lang w:eastAsia="zh-CN"/>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194.92</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194.92</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33.12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lang w:eastAsia="zh-CN"/>
        </w:rPr>
        <w:t>。</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overflowPunct w:val="0"/>
        <w:spacing w:line="600" w:lineRule="exact"/>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kern w:val="0"/>
          <w:sz w:val="32"/>
          <w:szCs w:val="32"/>
        </w:rPr>
        <w:t>2024年度本</w:t>
      </w:r>
      <w:r>
        <w:rPr>
          <w:rFonts w:hint="eastAsia" w:ascii="Times New Roman" w:hAnsi="Times New Roman" w:eastAsia="仿宋_GB2312" w:cs="Times New Roman"/>
          <w:kern w:val="0"/>
          <w:sz w:val="32"/>
          <w:szCs w:val="32"/>
          <w:lang w:eastAsia="zh-CN"/>
        </w:rPr>
        <w:t>单位</w:t>
      </w:r>
      <w:r>
        <w:rPr>
          <w:rFonts w:ascii="Times New Roman" w:hAnsi="Times New Roman" w:eastAsia="仿宋_GB2312" w:cs="Times New Roman"/>
          <w:kern w:val="0"/>
          <w:sz w:val="32"/>
          <w:szCs w:val="32"/>
        </w:rPr>
        <w:t>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797.76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588.57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73.78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kern w:val="0"/>
          <w:sz w:val="32"/>
          <w:szCs w:val="32"/>
          <w:highlight w:val="none"/>
          <w:lang w:val="en-US" w:eastAsia="zh-CN"/>
        </w:rPr>
        <w:t>9</w:t>
      </w:r>
      <w:r>
        <w:rPr>
          <w:rFonts w:hint="eastAsia" w:ascii="Times New Roman" w:hAnsi="Times New Roman" w:eastAsia="仿宋_GB2312" w:cs="Times New Roman"/>
          <w:sz w:val="32"/>
          <w:szCs w:val="32"/>
          <w:highlight w:val="none"/>
          <w:lang w:val="en-US" w:eastAsia="zh-CN"/>
        </w:rPr>
        <w:t>7.38</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优秀</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lang w:eastAsia="zh-CN"/>
        </w:rPr>
        <w:t>一是</w:t>
      </w:r>
      <w:r>
        <w:rPr>
          <w:rFonts w:hint="eastAsia" w:ascii="Times New Roman" w:hAnsi="Times New Roman" w:eastAsia="仿宋_GB2312" w:cs="Times New Roman"/>
          <w:sz w:val="32"/>
          <w:szCs w:val="32"/>
        </w:rPr>
        <w:t>萨摩亚农业技术援助项目第5期派遣12名长期专家工作12个月， 3名短期专家各工作3个月</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圆满完成项目各项任务，特别是肉鸡养殖、智力成果和培训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增强示范农场功能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示范农户增产增收</w:t>
      </w:r>
      <w:r>
        <w:rPr>
          <w:rFonts w:hint="eastAsia" w:ascii="Times New Roman" w:hAnsi="Times New Roman" w:eastAsia="仿宋_GB2312" w:cs="Times New Roman"/>
          <w:sz w:val="32"/>
          <w:szCs w:val="32"/>
          <w:lang w:eastAsia="zh-CN"/>
        </w:rPr>
        <w:t>，完成</w:t>
      </w:r>
      <w:r>
        <w:rPr>
          <w:rFonts w:hint="eastAsia" w:ascii="Times New Roman" w:hAnsi="Times New Roman" w:eastAsia="仿宋_GB2312" w:cs="Times New Roman"/>
          <w:sz w:val="32"/>
          <w:szCs w:val="32"/>
        </w:rPr>
        <w:t>本期项目验收和移交</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围绕农产品贸易和产业损害监测预警等课题开展相关持续性研究；</w:t>
      </w:r>
      <w:r>
        <w:rPr>
          <w:rFonts w:hint="eastAsia" w:ascii="Times New Roman" w:hAnsi="Times New Roman" w:eastAsia="仿宋_GB2312" w:cs="Times New Roman"/>
          <w:sz w:val="32"/>
          <w:szCs w:val="32"/>
          <w:lang w:eastAsia="zh-CN"/>
        </w:rPr>
        <w:t>三是</w:t>
      </w:r>
      <w:r>
        <w:rPr>
          <w:rFonts w:hint="eastAsia" w:ascii="Times New Roman" w:hAnsi="Times New Roman" w:eastAsia="仿宋_GB2312" w:cs="Times New Roman"/>
          <w:sz w:val="32"/>
          <w:szCs w:val="32"/>
        </w:rPr>
        <w:t>围绕相关展会开展贸易促进活动</w:t>
      </w:r>
      <w:r>
        <w:rPr>
          <w:rFonts w:hint="eastAsia" w:ascii="Times New Roman" w:hAnsi="Times New Roman" w:eastAsia="仿宋_GB2312" w:cs="Times New Roman"/>
          <w:sz w:val="32"/>
          <w:szCs w:val="32"/>
          <w:lang w:eastAsia="zh-CN"/>
        </w:rPr>
        <w:t>；四是开展农业利用外资项目实施管理工作的指导、咨询、培训，确保世行农田污染管理圆满竣工、农发乡村振兴项目加快实施进度；五是接受财政委托的外贷项目绩效评价工作，按要求完成并提交绩效评价报告。</w:t>
      </w:r>
    </w:p>
    <w:p>
      <w:pPr>
        <w:overflowPunct w:val="0"/>
        <w:spacing w:line="600" w:lineRule="exact"/>
        <w:ind w:firstLine="640" w:firstLineChars="200"/>
        <w:rPr>
          <w:rFonts w:hint="eastAsia" w:ascii="仿宋" w:hAnsi="仿宋" w:eastAsia="仿宋"/>
          <w:kern w:val="0"/>
          <w:sz w:val="32"/>
          <w:szCs w:val="32"/>
        </w:rPr>
      </w:pPr>
      <w:r>
        <w:rPr>
          <w:rFonts w:ascii="Times New Roman" w:hAnsi="Times New Roman" w:eastAsia="仿宋_GB2312" w:cs="Times New Roman"/>
          <w:sz w:val="32"/>
          <w:szCs w:val="32"/>
        </w:rPr>
        <w:t>发现的主要问题及原因：</w:t>
      </w:r>
      <w:r>
        <w:rPr>
          <w:rFonts w:ascii="仿宋" w:hAnsi="仿宋" w:eastAsia="仿宋"/>
          <w:sz w:val="32"/>
          <w:szCs w:val="32"/>
        </w:rPr>
        <w:t>202</w:t>
      </w:r>
      <w:r>
        <w:rPr>
          <w:rFonts w:hint="eastAsia" w:ascii="仿宋" w:hAnsi="仿宋" w:eastAsia="仿宋"/>
          <w:sz w:val="32"/>
          <w:szCs w:val="32"/>
        </w:rPr>
        <w:t>4年度单位整体预算执行率不高</w:t>
      </w:r>
      <w:r>
        <w:rPr>
          <w:rFonts w:hint="eastAsia" w:ascii="仿宋" w:hAnsi="仿宋" w:eastAsia="仿宋"/>
          <w:sz w:val="32"/>
          <w:szCs w:val="32"/>
          <w:lang w:val="en-US" w:eastAsia="zh-CN"/>
        </w:rPr>
        <w:t>,</w:t>
      </w:r>
      <w:r>
        <w:rPr>
          <w:rFonts w:hint="eastAsia" w:ascii="仿宋" w:hAnsi="仿宋" w:eastAsia="仿宋"/>
          <w:sz w:val="32"/>
          <w:szCs w:val="32"/>
        </w:rPr>
        <w:t>主</w:t>
      </w:r>
      <w:r>
        <w:rPr>
          <w:rFonts w:hint="eastAsia" w:ascii="仿宋" w:hAnsi="仿宋" w:eastAsia="仿宋"/>
          <w:kern w:val="0"/>
          <w:sz w:val="32"/>
          <w:szCs w:val="32"/>
        </w:rPr>
        <w:t>要原因一是部分委托业务按</w:t>
      </w:r>
      <w:r>
        <w:rPr>
          <w:rFonts w:ascii="仿宋" w:hAnsi="仿宋" w:eastAsia="仿宋"/>
          <w:kern w:val="0"/>
          <w:sz w:val="32"/>
          <w:szCs w:val="32"/>
        </w:rPr>
        <w:t>进度付款及跨年结算费用</w:t>
      </w:r>
      <w:r>
        <w:rPr>
          <w:rFonts w:hint="eastAsia" w:ascii="仿宋" w:hAnsi="仿宋" w:eastAsia="仿宋"/>
          <w:kern w:val="0"/>
          <w:sz w:val="32"/>
          <w:szCs w:val="32"/>
        </w:rPr>
        <w:t>；二是根据相关要求压缩经费开支，三是部分预算指标下达较晚。</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sz w:val="32"/>
          <w:szCs w:val="32"/>
        </w:rPr>
        <w:t>下一步改进措施：一是</w:t>
      </w:r>
      <w:r>
        <w:rPr>
          <w:rFonts w:hint="eastAsia" w:ascii="仿宋" w:hAnsi="仿宋" w:eastAsia="仿宋"/>
          <w:kern w:val="0"/>
          <w:sz w:val="32"/>
          <w:szCs w:val="32"/>
        </w:rPr>
        <w:t>进一步提高预算编制的科学性、准确性和合理性</w:t>
      </w:r>
      <w:r>
        <w:rPr>
          <w:rFonts w:ascii="Times New Roman" w:hAnsi="Times New Roman" w:eastAsia="仿宋_GB2312" w:cs="Times New Roman"/>
          <w:sz w:val="32"/>
          <w:szCs w:val="32"/>
        </w:rPr>
        <w:t>；二是</w:t>
      </w:r>
      <w:r>
        <w:rPr>
          <w:rFonts w:hint="eastAsia" w:ascii="仿宋" w:hAnsi="仿宋" w:eastAsia="仿宋"/>
          <w:kern w:val="0"/>
          <w:sz w:val="32"/>
          <w:szCs w:val="32"/>
        </w:rPr>
        <w:t>强化预算管理，提高预算执行力</w:t>
      </w:r>
      <w:r>
        <w:rPr>
          <w:rFonts w:hint="eastAsia" w:ascii="仿宋" w:hAnsi="仿宋" w:eastAsia="仿宋"/>
          <w:kern w:val="0"/>
          <w:sz w:val="32"/>
          <w:szCs w:val="32"/>
          <w:lang w:eastAsia="zh-CN"/>
        </w:rPr>
        <w:t>；三是</w:t>
      </w:r>
      <w:r>
        <w:rPr>
          <w:rFonts w:hint="eastAsia" w:ascii="仿宋" w:hAnsi="仿宋" w:eastAsia="仿宋"/>
          <w:kern w:val="0"/>
          <w:sz w:val="32"/>
          <w:szCs w:val="32"/>
        </w:rPr>
        <w:t>通过定期对预算执行情况进行跟踪、分析，及时发现问题和解决问题，提高资金使用效益</w:t>
      </w:r>
      <w:r>
        <w:rPr>
          <w:rFonts w:ascii="Times New Roman" w:hAnsi="Times New Roman" w:eastAsia="仿宋_GB2312" w:cs="Times New Roman"/>
          <w:sz w:val="32"/>
          <w:szCs w:val="32"/>
        </w:rPr>
        <w:t>。</w:t>
      </w:r>
    </w:p>
    <w:p>
      <w:pPr>
        <w:pStyle w:val="13"/>
        <w:numPr>
          <w:ilvl w:val="0"/>
          <w:numId w:val="3"/>
        </w:numPr>
        <w:overflowPunct w:val="0"/>
        <w:autoSpaceDE/>
        <w:autoSpaceDN/>
        <w:spacing w:line="600" w:lineRule="exact"/>
        <w:ind w:firstLine="640" w:firstLineChars="200"/>
        <w:jc w:val="both"/>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评价结果应用情况。</w:t>
      </w:r>
    </w:p>
    <w:p>
      <w:pPr>
        <w:pStyle w:val="13"/>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72"/>
          <w:szCs w:val="72"/>
          <w:highlight w:val="yellow"/>
          <w:lang w:eastAsia="zh-CN"/>
        </w:rPr>
      </w:pPr>
      <w:r>
        <w:rPr>
          <w:rFonts w:hint="eastAsia" w:ascii="仿宋" w:hAnsi="仿宋" w:eastAsia="仿宋"/>
          <w:kern w:val="0"/>
          <w:sz w:val="32"/>
          <w:szCs w:val="32"/>
        </w:rPr>
        <w:t>我中心对</w:t>
      </w:r>
      <w:r>
        <w:rPr>
          <w:rFonts w:hint="eastAsia" w:ascii="仿宋" w:hAnsi="仿宋" w:eastAsia="仿宋"/>
          <w:kern w:val="0"/>
          <w:sz w:val="32"/>
          <w:szCs w:val="32"/>
          <w:lang w:val="en-US" w:eastAsia="zh-CN"/>
        </w:rPr>
        <w:t>2024年</w:t>
      </w:r>
      <w:r>
        <w:rPr>
          <w:rFonts w:hint="eastAsia" w:ascii="仿宋" w:hAnsi="仿宋" w:eastAsia="仿宋"/>
          <w:kern w:val="0"/>
          <w:sz w:val="32"/>
          <w:szCs w:val="32"/>
        </w:rPr>
        <w:t>评价中发现的问题，及时进行督促整改。各内设科室加强预算管理意识，严格按照预算编制的相关制度和要求，结合年度收支计划，科学编制预算，遵循预算管理办法</w:t>
      </w:r>
      <w:r>
        <w:rPr>
          <w:rFonts w:hint="eastAsia" w:ascii="仿宋" w:hAnsi="仿宋" w:eastAsia="仿宋"/>
          <w:kern w:val="0"/>
          <w:sz w:val="32"/>
          <w:szCs w:val="32"/>
          <w:lang w:eastAsia="zh-CN"/>
        </w:rPr>
        <w:t>。</w:t>
      </w: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both"/>
        <w:rPr>
          <w:rFonts w:ascii="Times New Roman" w:hAnsi="Times New Roman" w:cs="Times New Roman"/>
          <w:sz w:val="72"/>
          <w:szCs w:val="72"/>
        </w:rPr>
      </w:pPr>
    </w:p>
    <w:p>
      <w:pPr>
        <w:pStyle w:val="13"/>
        <w:jc w:val="both"/>
        <w:rPr>
          <w:rFonts w:ascii="Times New Roman" w:hAnsi="Times New Roman" w:cs="Times New Roman"/>
          <w:sz w:val="72"/>
          <w:szCs w:val="72"/>
        </w:rPr>
      </w:pPr>
    </w:p>
    <w:p>
      <w:pPr>
        <w:rPr>
          <w:rFonts w:ascii="Times New Roman" w:hAnsi="Times New Roman" w:eastAsia="方正小标宋_GBK" w:cs="Times New Roman"/>
          <w:sz w:val="52"/>
          <w:szCs w:val="52"/>
        </w:rPr>
      </w:pPr>
      <w:r>
        <w:rPr>
          <w:rFonts w:ascii="Times New Roman" w:hAnsi="Times New Roman" w:eastAsia="方正小标宋_GBK" w:cs="Times New Roman"/>
          <w:sz w:val="52"/>
          <w:szCs w:val="52"/>
        </w:rPr>
        <w:br w:type="page"/>
      </w: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keepNext w:val="0"/>
        <w:keepLines w:val="0"/>
        <w:widowControl/>
        <w:suppressLineNumbers w:val="0"/>
        <w:jc w:val="left"/>
      </w:pPr>
      <w:r>
        <w:rPr>
          <w:rFonts w:ascii="仿宋" w:hAnsi="仿宋" w:eastAsia="仿宋" w:cs="仿宋"/>
          <w:color w:val="000000"/>
          <w:kern w:val="0"/>
          <w:sz w:val="31"/>
          <w:szCs w:val="31"/>
          <w:lang w:val="en-US" w:eastAsia="zh-CN" w:bidi="ar"/>
        </w:rPr>
        <w:t>一、基本支出：指为保障机构正常运转、完成日常工作任务而发生的</w:t>
      </w:r>
      <w:r>
        <w:rPr>
          <w:rFonts w:hint="eastAsia" w:ascii="仿宋" w:hAnsi="仿宋" w:eastAsia="仿宋" w:cs="仿宋"/>
          <w:color w:val="000000"/>
          <w:kern w:val="0"/>
          <w:sz w:val="31"/>
          <w:szCs w:val="31"/>
          <w:lang w:val="en-US" w:eastAsia="zh-CN" w:bidi="ar"/>
        </w:rPr>
        <w:t xml:space="preserve">各项支出，包括人员支出和公用支出。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二、项目支出：指在基本支出以外为完成相关行政任务和事业发展目标所发生的各项支出。 </w:t>
      </w:r>
    </w:p>
    <w:p>
      <w:pPr>
        <w:keepNext w:val="0"/>
        <w:keepLines w:val="0"/>
        <w:widowControl/>
        <w:suppressLineNumbers w:val="0"/>
        <w:jc w:val="left"/>
        <w:rPr>
          <w:rFonts w:ascii="Times New Roman" w:hAnsi="Times New Roman" w:eastAsia="楷体_GB2312" w:cs="Times New Roman"/>
          <w:b/>
          <w:bCs/>
          <w:i/>
          <w:color w:val="auto"/>
          <w:sz w:val="32"/>
          <w:szCs w:val="32"/>
          <w:highlight w:val="yellow"/>
        </w:rPr>
      </w:pPr>
      <w:r>
        <w:rPr>
          <w:rFonts w:hint="eastAsia" w:ascii="仿宋" w:hAnsi="仿宋" w:eastAsia="仿宋" w:cs="仿宋"/>
          <w:color w:val="000000"/>
          <w:kern w:val="0"/>
          <w:sz w:val="31"/>
          <w:szCs w:val="31"/>
          <w:lang w:val="en-US" w:eastAsia="zh-CN" w:bidi="ar"/>
        </w:rPr>
        <w:t>三、“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 燃料费、维修费、保险费等支出;因公出国(境）费反映单位公务出国（境) 的国际旅费、国外城市间交通费、食宿费等支出。</w:t>
      </w:r>
    </w:p>
    <w:p>
      <w:pPr>
        <w:pStyle w:val="13"/>
        <w:jc w:val="center"/>
        <w:rPr>
          <w:rFonts w:ascii="Times New Roman" w:hAnsi="Times New Roman" w:cs="Times New Roman"/>
          <w:sz w:val="72"/>
          <w:szCs w:val="72"/>
        </w:rPr>
      </w:pPr>
    </w:p>
    <w:p>
      <w:pPr>
        <w:pStyle w:val="13"/>
        <w:jc w:val="both"/>
        <w:rPr>
          <w:rFonts w:ascii="Times New Roman" w:hAnsi="Times New Roman" w:cs="Times New Roman"/>
          <w:sz w:val="72"/>
          <w:szCs w:val="72"/>
        </w:rPr>
      </w:pPr>
    </w:p>
    <w:p>
      <w:pPr>
        <w:rPr>
          <w:rFonts w:ascii="Times New Roman" w:hAnsi="Times New Roman" w:eastAsia="方正小标宋_GBK" w:cs="Times New Roman"/>
          <w:sz w:val="52"/>
          <w:szCs w:val="52"/>
        </w:rPr>
      </w:pPr>
      <w:r>
        <w:rPr>
          <w:rFonts w:ascii="Times New Roman" w:hAnsi="Times New Roman" w:eastAsia="方正小标宋_GBK" w:cs="Times New Roman"/>
          <w:sz w:val="52"/>
          <w:szCs w:val="52"/>
        </w:rPr>
        <w:br w:type="page"/>
      </w: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3"/>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spacing w:line="600" w:lineRule="exact"/>
        <w:rPr>
          <w:rFonts w:eastAsia="黑体"/>
          <w:kern w:val="0"/>
          <w:sz w:val="32"/>
          <w:szCs w:val="32"/>
        </w:rPr>
      </w:pPr>
    </w:p>
    <w:p>
      <w:pPr>
        <w:spacing w:line="600" w:lineRule="exact"/>
        <w:rPr>
          <w:rFonts w:eastAsia="黑体"/>
          <w:kern w:val="0"/>
          <w:sz w:val="32"/>
          <w:szCs w:val="32"/>
        </w:rPr>
      </w:pPr>
    </w:p>
    <w:p>
      <w:pPr>
        <w:rPr>
          <w:rFonts w:hint="eastAsia" w:eastAsia="方正小标宋_GBK"/>
          <w:sz w:val="48"/>
          <w:szCs w:val="48"/>
        </w:rPr>
      </w:pPr>
      <w:r>
        <w:rPr>
          <w:rFonts w:hint="eastAsia" w:eastAsia="方正小标宋_GBK"/>
          <w:sz w:val="48"/>
          <w:szCs w:val="48"/>
        </w:rPr>
        <w:br w:type="page"/>
      </w:r>
    </w:p>
    <w:p>
      <w:pPr>
        <w:jc w:val="center"/>
        <w:rPr>
          <w:rFonts w:hint="eastAsia" w:eastAsia="方正小标宋_GBK"/>
          <w:sz w:val="48"/>
          <w:szCs w:val="48"/>
        </w:rPr>
      </w:pPr>
    </w:p>
    <w:p>
      <w:pPr>
        <w:jc w:val="center"/>
        <w:rPr>
          <w:rFonts w:hint="eastAsia" w:eastAsia="方正小标宋_GBK"/>
          <w:sz w:val="48"/>
          <w:szCs w:val="48"/>
        </w:rPr>
      </w:pPr>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湖南省农业对外经济合作中心</w:t>
      </w:r>
    </w:p>
    <w:p>
      <w:pPr>
        <w:jc w:val="center"/>
        <w:rPr>
          <w:rFonts w:eastAsia="黑体"/>
          <w:sz w:val="32"/>
          <w:szCs w:val="32"/>
        </w:rPr>
      </w:pPr>
      <w:r>
        <w:rPr>
          <w:rFonts w:eastAsia="方正小标宋_GBK"/>
          <w:sz w:val="48"/>
          <w:szCs w:val="48"/>
        </w:rPr>
        <w:t>整体支出绩效自评报告</w:t>
      </w: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（一）单位基本情况</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湖南省农业对外经济合作中心（以下简称省农业对外经济合作中心）为湖南省农业农村厅直属机构，为公益一类正处级事业单位。</w:t>
      </w:r>
    </w:p>
    <w:p>
      <w:pPr>
        <w:spacing w:line="360" w:lineRule="auto"/>
        <w:ind w:firstLine="640" w:firstLineChars="200"/>
        <w:rPr>
          <w:rFonts w:ascii="仿宋" w:hAnsi="仿宋" w:eastAsia="仿宋"/>
          <w:sz w:val="32"/>
          <w:szCs w:val="32"/>
        </w:rPr>
      </w:pPr>
      <w:r>
        <w:rPr>
          <w:rFonts w:hint="eastAsia" w:ascii="仿宋" w:hAnsi="仿宋" w:eastAsia="仿宋"/>
          <w:sz w:val="32"/>
          <w:szCs w:val="32"/>
        </w:rPr>
        <w:t>省农业对外经济合作中心作为农业农村部三中心</w:t>
      </w:r>
      <w:r>
        <w:rPr>
          <w:rFonts w:ascii="仿宋" w:hAnsi="仿宋" w:eastAsia="仿宋"/>
          <w:sz w:val="32"/>
          <w:szCs w:val="32"/>
        </w:rPr>
        <w:t>(</w:t>
      </w:r>
      <w:r>
        <w:rPr>
          <w:rFonts w:hint="eastAsia" w:ascii="仿宋" w:hAnsi="仿宋" w:eastAsia="仿宋"/>
          <w:sz w:val="32"/>
          <w:szCs w:val="32"/>
        </w:rPr>
        <w:t>即农业农村部对外经济合作中心、农业贸易促进中心、国际交流服务中心</w:t>
      </w:r>
      <w:r>
        <w:rPr>
          <w:rFonts w:ascii="仿宋" w:hAnsi="仿宋" w:eastAsia="仿宋"/>
          <w:sz w:val="32"/>
          <w:szCs w:val="32"/>
        </w:rPr>
        <w:t>)</w:t>
      </w:r>
      <w:r>
        <w:rPr>
          <w:rFonts w:hint="eastAsia" w:ascii="仿宋" w:hAnsi="仿宋" w:eastAsia="仿宋"/>
          <w:sz w:val="32"/>
          <w:szCs w:val="32"/>
        </w:rPr>
        <w:t>在湖南省级的业务承担对口单位，服从农业农村部“全国一盘棋”的工作指导，承接国家管理的农业援外项目实施，开展与国际金融组织农业项目合作；开展境内外农产品贸易促进活动和产业损害调查；承担农业涉外培训和农业援外专家派遣。同时，受湖南省农业农村厅委托，为省里重大外事活动提供支撑服务。主要职责是：</w:t>
      </w:r>
    </w:p>
    <w:p>
      <w:pPr>
        <w:spacing w:line="360" w:lineRule="auto"/>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）受委托负责管理农业利用外资项目和农业对外援助项目，承办项目的编制申报、前期论证考察、组织实施等工作。</w:t>
      </w:r>
    </w:p>
    <w:p>
      <w:pPr>
        <w:spacing w:line="360" w:lineRule="auto"/>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）承担农业对外经济交流合作服务。</w:t>
      </w:r>
    </w:p>
    <w:p>
      <w:pPr>
        <w:spacing w:line="360" w:lineRule="auto"/>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）承担农业援外专家的选派、培训和服务工作。</w:t>
      </w:r>
    </w:p>
    <w:p>
      <w:pPr>
        <w:spacing w:line="360" w:lineRule="auto"/>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）承担农业涉外培训的组织、协调和服务工作。</w:t>
      </w:r>
    </w:p>
    <w:p>
      <w:pPr>
        <w:spacing w:line="360" w:lineRule="auto"/>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5</w:t>
      </w:r>
      <w:r>
        <w:rPr>
          <w:rFonts w:hint="eastAsia" w:ascii="仿宋" w:hAnsi="仿宋" w:eastAsia="仿宋"/>
          <w:sz w:val="32"/>
          <w:szCs w:val="32"/>
        </w:rPr>
        <w:t>）承担有关农业国际合作的信息咨询。</w:t>
      </w:r>
    </w:p>
    <w:p>
      <w:pPr>
        <w:spacing w:line="360" w:lineRule="auto"/>
        <w:ind w:firstLine="480" w:firstLineChars="150"/>
        <w:rPr>
          <w:rFonts w:ascii="仿宋" w:hAnsi="仿宋" w:eastAsia="仿宋"/>
          <w:sz w:val="32"/>
          <w:szCs w:val="32"/>
        </w:rPr>
      </w:pPr>
      <w:r>
        <w:rPr>
          <w:rFonts w:hint="eastAsia" w:ascii="仿宋" w:hAnsi="仿宋" w:eastAsia="仿宋"/>
          <w:sz w:val="32"/>
          <w:szCs w:val="32"/>
        </w:rPr>
        <w:t>（6）承担农产品贸易促进相关工作。</w:t>
      </w:r>
    </w:p>
    <w:p>
      <w:pPr>
        <w:spacing w:line="360" w:lineRule="auto"/>
        <w:ind w:firstLine="480" w:firstLineChars="150"/>
        <w:rPr>
          <w:rFonts w:ascii="仿宋" w:hAnsi="仿宋" w:eastAsia="仿宋"/>
          <w:sz w:val="32"/>
          <w:szCs w:val="32"/>
        </w:rPr>
      </w:pPr>
      <w:r>
        <w:rPr>
          <w:rFonts w:hint="eastAsia" w:ascii="仿宋" w:hAnsi="仿宋" w:eastAsia="仿宋"/>
          <w:sz w:val="32"/>
          <w:szCs w:val="32"/>
        </w:rPr>
        <w:t>（7）湖南省农业农村厅党组交办的其他工作。</w:t>
      </w:r>
    </w:p>
    <w:p>
      <w:pPr>
        <w:spacing w:line="360" w:lineRule="auto"/>
        <w:ind w:firstLine="640" w:firstLineChars="200"/>
        <w:rPr>
          <w:rFonts w:ascii="仿宋" w:hAnsi="仿宋" w:eastAsia="仿宋"/>
          <w:kern w:val="0"/>
          <w:sz w:val="32"/>
          <w:szCs w:val="32"/>
        </w:rPr>
      </w:pPr>
      <w:r>
        <w:rPr>
          <w:rFonts w:hint="eastAsia" w:ascii="仿宋" w:hAnsi="仿宋" w:eastAsia="仿宋"/>
          <w:sz w:val="32"/>
          <w:szCs w:val="32"/>
        </w:rPr>
        <w:t>2024年度省农业对外经济合作中心内设科室包括综合科、财务科、外资利用科、海外项目科、贸易促进科、交流服务科。2024年末省农业对外经济合作中心事业编制</w:t>
      </w:r>
      <w:r>
        <w:rPr>
          <w:rFonts w:ascii="仿宋" w:hAnsi="仿宋" w:eastAsia="仿宋"/>
          <w:sz w:val="32"/>
          <w:szCs w:val="32"/>
        </w:rPr>
        <w:t>1</w:t>
      </w:r>
      <w:r>
        <w:rPr>
          <w:rFonts w:hint="eastAsia" w:ascii="仿宋" w:hAnsi="仿宋" w:eastAsia="仿宋"/>
          <w:sz w:val="32"/>
          <w:szCs w:val="32"/>
        </w:rPr>
        <w:t>3人，实有在职人员</w:t>
      </w:r>
      <w:r>
        <w:rPr>
          <w:rFonts w:ascii="仿宋" w:hAnsi="仿宋" w:eastAsia="仿宋"/>
          <w:sz w:val="32"/>
          <w:szCs w:val="32"/>
        </w:rPr>
        <w:t>1</w:t>
      </w:r>
      <w:r>
        <w:rPr>
          <w:rFonts w:hint="eastAsia" w:ascii="仿宋" w:hAnsi="仿宋" w:eastAsia="仿宋"/>
          <w:sz w:val="32"/>
          <w:szCs w:val="32"/>
        </w:rPr>
        <w:t>1人。</w:t>
      </w:r>
    </w:p>
    <w:p>
      <w:pPr>
        <w:spacing w:line="600" w:lineRule="exact"/>
        <w:ind w:firstLine="640" w:firstLineChars="200"/>
        <w:rPr>
          <w:rFonts w:hint="eastAsia" w:ascii="仿宋" w:hAnsi="仿宋" w:eastAsia="仿宋"/>
          <w:sz w:val="32"/>
          <w:szCs w:val="32"/>
        </w:rPr>
      </w:pPr>
      <w:r>
        <w:rPr>
          <w:rFonts w:eastAsia="楷体_GB2312"/>
          <w:b/>
          <w:sz w:val="32"/>
          <w:szCs w:val="32"/>
        </w:rPr>
        <w:t>（二）单位年度整体支出绩效目标</w:t>
      </w:r>
      <w:r>
        <w:rPr>
          <w:rFonts w:hint="eastAsia" w:eastAsia="楷体_GB2312"/>
          <w:b/>
          <w:sz w:val="32"/>
          <w:szCs w:val="32"/>
        </w:rPr>
        <w:t>：</w:t>
      </w:r>
      <w:r>
        <w:rPr>
          <w:rFonts w:hint="eastAsia" w:ascii="仿宋" w:hAnsi="仿宋" w:eastAsia="仿宋"/>
          <w:sz w:val="32"/>
          <w:szCs w:val="32"/>
        </w:rPr>
        <w:t>1、萨摩亚农业技术援助项目第5期派遣12名长期专家工作12个月， 3名短期专家各工作3个月；圆满完成项目各项任务，特别是肉鸡养殖、智力成果和培训；增强示范农场功能；示范农户增产增收；本期项目验收和移交。</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2、围绕农产品贸易和产业损害监测预警等课题开展相关持续性研究；围绕相关展会开展贸易促进活动。</w:t>
      </w:r>
    </w:p>
    <w:p>
      <w:pPr>
        <w:spacing w:line="600" w:lineRule="exact"/>
        <w:ind w:firstLine="640" w:firstLineChars="200"/>
        <w:rPr>
          <w:rFonts w:hint="default" w:ascii="仿宋" w:hAnsi="仿宋" w:eastAsia="仿宋"/>
          <w:sz w:val="32"/>
          <w:szCs w:val="32"/>
          <w:lang w:val="en-US" w:eastAsia="zh-CN"/>
        </w:rPr>
      </w:pPr>
      <w:r>
        <w:rPr>
          <w:rFonts w:hint="eastAsia" w:eastAsia="楷体_GB2312"/>
          <w:b/>
          <w:sz w:val="32"/>
          <w:szCs w:val="32"/>
          <w:lang w:val="en-US" w:eastAsia="zh-CN"/>
        </w:rPr>
        <w:t>省级专项支出绩效目标：</w:t>
      </w:r>
      <w:r>
        <w:rPr>
          <w:rFonts w:hint="eastAsia" w:ascii="仿宋" w:hAnsi="仿宋" w:eastAsia="仿宋"/>
          <w:sz w:val="32"/>
          <w:szCs w:val="32"/>
        </w:rPr>
        <w:t>用于2024年度农业援外项目检查验收任务，保障农业援外项目检查验收任务的圆满完成。指导14个项目县市区完成外资项目工作，项目进度提高。</w:t>
      </w:r>
    </w:p>
    <w:p>
      <w:pPr>
        <w:spacing w:line="600" w:lineRule="exact"/>
        <w:ind w:firstLine="640" w:firstLineChars="200"/>
        <w:rPr>
          <w:rFonts w:ascii="仿宋" w:hAnsi="仿宋" w:eastAsia="仿宋"/>
          <w:sz w:val="32"/>
          <w:szCs w:val="32"/>
        </w:rPr>
      </w:pPr>
      <w:r>
        <w:rPr>
          <w:rFonts w:hint="eastAsia" w:eastAsia="楷体_GB2312"/>
          <w:b/>
          <w:sz w:val="32"/>
          <w:szCs w:val="32"/>
        </w:rPr>
        <w:t>其</w:t>
      </w:r>
      <w:r>
        <w:rPr>
          <w:rFonts w:eastAsia="楷体_GB2312"/>
          <w:b/>
          <w:sz w:val="32"/>
          <w:szCs w:val="32"/>
        </w:rPr>
        <w:t>他项目支出绩效目标</w:t>
      </w:r>
      <w:r>
        <w:rPr>
          <w:rFonts w:hint="eastAsia" w:eastAsia="楷体_GB2312"/>
          <w:b/>
          <w:sz w:val="32"/>
          <w:szCs w:val="32"/>
        </w:rPr>
        <w:t>：</w:t>
      </w:r>
      <w:r>
        <w:rPr>
          <w:rFonts w:hint="eastAsia" w:ascii="仿宋" w:hAnsi="仿宋" w:eastAsia="仿宋"/>
          <w:sz w:val="32"/>
          <w:szCs w:val="32"/>
        </w:rPr>
        <w:t>开展农业利用外资项目实施管理工作的指导、咨询、培训，确保世行农田污染管理圆满竣工、农发乡村振兴项目加快实施进度；接受财政委托的外贷项目绩效评价工作，按要求完成并提交绩效评价报告；围绕农产品贸易课题开展相关研究，形成年度和季度贸易发展报告以及相关专题报告；结合农业农村部对湖南贸易救济工作的要求，开展我省产业损害监测预警方面的研究，形成相应的报告；围绕大湾区、港澳和东盟、非洲等市场积极组织参加境外知名农业展会，以及开展相关贸易促进活动。</w:t>
      </w:r>
    </w:p>
    <w:p>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4"/>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（一）基本支出情况</w:t>
      </w:r>
    </w:p>
    <w:p>
      <w:pPr>
        <w:widowControl/>
        <w:spacing w:line="360" w:lineRule="auto"/>
        <w:ind w:firstLine="640" w:firstLineChars="200"/>
        <w:jc w:val="left"/>
        <w:rPr>
          <w:rFonts w:ascii="仿宋" w:hAnsi="仿宋" w:eastAsia="仿宋"/>
          <w:sz w:val="32"/>
          <w:szCs w:val="32"/>
        </w:rPr>
      </w:pPr>
      <w:bookmarkStart w:id="3" w:name="OLE_LINK8"/>
      <w:r>
        <w:rPr>
          <w:rFonts w:hint="eastAsia" w:ascii="仿宋" w:hAnsi="仿宋" w:eastAsia="仿宋"/>
          <w:sz w:val="32"/>
          <w:szCs w:val="32"/>
        </w:rPr>
        <w:t>2024年省农业对外经济合作中心一般公共预算支出中基本支出预算为395.52万元，全年一般公共预算基本支出为393.65万元，其中人员经费346.87万元、公用经费46.78万元，年末结转结余1.87万元。</w:t>
      </w:r>
    </w:p>
    <w:bookmarkEnd w:id="3"/>
    <w:p>
      <w:pPr>
        <w:pStyle w:val="14"/>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2024年省农业对外经济合作中心一般公共预算支出中项目支出预算402.24万元，全年一般公共预算项目支出194.92万元，其中商品和服务支出194.92万元，年末结转结余207.32万元。</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2024</w:t>
      </w:r>
      <w:r>
        <w:rPr>
          <w:rFonts w:ascii="仿宋" w:hAnsi="仿宋" w:eastAsia="仿宋"/>
          <w:sz w:val="32"/>
          <w:szCs w:val="32"/>
        </w:rPr>
        <w:t>年度省级专项资金</w:t>
      </w:r>
      <w:r>
        <w:rPr>
          <w:rFonts w:hint="eastAsia" w:ascii="仿宋" w:hAnsi="仿宋" w:eastAsia="仿宋"/>
          <w:sz w:val="32"/>
          <w:szCs w:val="32"/>
        </w:rPr>
        <w:t>上年结转5.93万元，实际支出5.34万元</w:t>
      </w:r>
      <w:r>
        <w:rPr>
          <w:rFonts w:ascii="仿宋" w:hAnsi="仿宋" w:eastAsia="仿宋"/>
          <w:sz w:val="32"/>
          <w:szCs w:val="32"/>
        </w:rPr>
        <w:t>，</w:t>
      </w:r>
      <w:r>
        <w:rPr>
          <w:rFonts w:hint="eastAsia" w:ascii="仿宋" w:hAnsi="仿宋" w:eastAsia="仿宋"/>
          <w:sz w:val="32"/>
          <w:szCs w:val="32"/>
        </w:rPr>
        <w:t>业务工作经费预算140.18万元，支出100.68万元，其他运转类预算32万元，支出2.33万元，其他事业发展224.14万元，支出86.57万元</w:t>
      </w:r>
      <w:r>
        <w:rPr>
          <w:rFonts w:ascii="仿宋" w:hAnsi="仿宋" w:eastAsia="仿宋"/>
          <w:sz w:val="32"/>
          <w:szCs w:val="32"/>
        </w:rPr>
        <w:t>。</w:t>
      </w:r>
    </w:p>
    <w:p>
      <w:pPr>
        <w:pStyle w:val="14"/>
        <w:numPr>
          <w:ilvl w:val="0"/>
          <w:numId w:val="4"/>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4"/>
        <w:spacing w:line="600" w:lineRule="exact"/>
        <w:ind w:firstLine="0" w:firstLineChars="0"/>
        <w:rPr>
          <w:rFonts w:ascii="Times New Roman" w:hAnsi="Times New Roman" w:eastAsia="黑体"/>
          <w:sz w:val="32"/>
          <w:szCs w:val="32"/>
        </w:rPr>
      </w:pPr>
      <w:r>
        <w:rPr>
          <w:rFonts w:hint="eastAsia" w:ascii="Times New Roman" w:hAnsi="Times New Roman" w:eastAsia="黑体"/>
          <w:sz w:val="32"/>
          <w:szCs w:val="32"/>
        </w:rPr>
        <w:t xml:space="preserve">    无</w:t>
      </w:r>
    </w:p>
    <w:p>
      <w:pPr>
        <w:pStyle w:val="14"/>
        <w:numPr>
          <w:ilvl w:val="0"/>
          <w:numId w:val="4"/>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4"/>
        <w:spacing w:line="600" w:lineRule="exact"/>
        <w:ind w:firstLine="0" w:firstLineChars="0"/>
        <w:rPr>
          <w:rFonts w:ascii="Times New Roman" w:hAnsi="Times New Roman" w:eastAsia="黑体"/>
          <w:sz w:val="32"/>
          <w:szCs w:val="32"/>
        </w:rPr>
      </w:pPr>
      <w:r>
        <w:rPr>
          <w:rFonts w:hint="eastAsia" w:ascii="Times New Roman" w:hAnsi="Times New Roman" w:eastAsia="黑体"/>
          <w:sz w:val="32"/>
          <w:szCs w:val="32"/>
        </w:rPr>
        <w:t xml:space="preserve">    无</w:t>
      </w:r>
    </w:p>
    <w:p>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spacing w:line="60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w:t>
      </w:r>
      <w:r>
        <w:rPr>
          <w:rFonts w:ascii="仿宋" w:hAnsi="仿宋" w:eastAsia="仿宋"/>
          <w:color w:val="000000"/>
          <w:sz w:val="32"/>
          <w:szCs w:val="32"/>
        </w:rPr>
        <w:t>运行成本</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2024年省农业对外经济合作中心一般公共预算支出中基本支出预算为395.52万元，全年一般公共预算基本支出为393.65万元，其中人员经费346.87万元、公用经费46.78万元，年末结转结余1.87万元。</w:t>
      </w:r>
    </w:p>
    <w:p>
      <w:pPr>
        <w:pStyle w:val="13"/>
        <w:spacing w:line="360" w:lineRule="auto"/>
        <w:ind w:firstLine="640" w:firstLineChars="200"/>
        <w:rPr>
          <w:rFonts w:hint="eastAsia" w:ascii="仿宋" w:hAnsi="仿宋" w:eastAsia="仿宋" w:cs="Times New Roman"/>
          <w:kern w:val="2"/>
          <w:sz w:val="32"/>
          <w:szCs w:val="32"/>
        </w:rPr>
      </w:pPr>
      <w:r>
        <w:rPr>
          <w:rFonts w:hint="eastAsia" w:ascii="仿宋" w:hAnsi="仿宋" w:eastAsia="仿宋" w:cs="Times New Roman"/>
          <w:kern w:val="2"/>
          <w:sz w:val="32"/>
          <w:szCs w:val="32"/>
        </w:rPr>
        <w:t>其中三公经费16.79万元，包括因公出国（境）费14.610</w:t>
      </w:r>
      <w:r>
        <w:rPr>
          <w:rFonts w:ascii="仿宋" w:hAnsi="仿宋" w:eastAsia="仿宋" w:cs="Times New Roman"/>
          <w:kern w:val="2"/>
          <w:sz w:val="32"/>
          <w:szCs w:val="32"/>
        </w:rPr>
        <w:t>万元</w:t>
      </w:r>
      <w:r>
        <w:rPr>
          <w:rFonts w:hint="eastAsia" w:ascii="仿宋" w:hAnsi="仿宋" w:eastAsia="仿宋" w:cs="Times New Roman"/>
          <w:kern w:val="2"/>
          <w:sz w:val="32"/>
          <w:szCs w:val="32"/>
        </w:rPr>
        <w:t>、公务用车购置及运行维护费0万元、公务接待费2.19万元，较年初预算19万元节约2.21万元，节约11.63%。</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w:t>
      </w:r>
      <w:r>
        <w:rPr>
          <w:rFonts w:ascii="仿宋" w:hAnsi="仿宋" w:eastAsia="仿宋"/>
          <w:color w:val="000000"/>
          <w:sz w:val="32"/>
          <w:szCs w:val="32"/>
        </w:rPr>
        <w:t>管理效率</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今年，以本次厅党组第五轮巡视巡察为指导和契机，融合单位的平安建设、法治建设、财务管理、工会后勤等工作，中心班子上下凝心聚力，持续聚焦内控管理中的重点区域和薄弱环节，精益求精不断加大工作力度，强化宣传氛围营造，切实提升中心精细化管理水平，充分展现外经队伍良好形象。</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是完善工作制度。制定了《湖南省农业对外经济合作中心工作人员考核实施办法》，完善《湖南省农业对外经济合作中心工作制度》；二是狠抓作风管理。定期开展工作纪律督查，重点检查干部职工到岗上岗和参会学习情况，将作风建设作为个人考核重要标准之一，并形成通报机制，定期通报，形成抓作风的常态。三是补强干部队伍。不断提升干部职工的专业素养和综合能力。同时，注重年轻干部的培养和选拔，为中心发展注入新活力。今年，优化了班子成员结构，增补一名年轻领导干部，2人获得专业技术职务晋升。四是加强廉政教育。开展党纪学习教育专题学习4次，收看警示教育片4场次，组织传达学习进一步做好袁延文、唐建初、杨乾案件以案促改工作要求，提高政治站位，充分认识案件造成的恶劣影响，深刻汲取教训和反思案件暴露的严重问题，坚持用“身边事”警醒“身边人”、用“案中人”点醒“梦中人”。五是强化廉政防控。定期安排专门学习党风廉政建设有关资料、各种典型案例，时时给大家敲警钟。每逢节假日前，在中心微信工作群发布“温馨提示”，打好“预防针”，提醒党员干部廉洁过节、文明过节；加强内控制度执行，规范各项规章制度和资金拨付手续，规范服务购买程序，严格执行公务接待、会议、培训、出差及办公采购等有关规定和管理办法，实现了“互联网+监督”公务用餐监督系统、湖南省政府采购电子卖场等平台全面落实执行。六是接受厅党组第五轮巡察。通过自查、巡察查找问题和不足，进一步提高了内控管理水平。七是确保预算执行进度。全年财务预算执行率完成达75%。</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履职效能</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（1）圆满完成援萨摩亚第五期农业技术援助项目</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该项目自2020年6月1日启动，派遣了12名长期农业专家和3名短期农业专家前往提供技术援助，由于疫情的严重影响，项目延期至2024年1月31日结束。在项目延期期间，全体专家共克时艰，克服困难，始终坚守岗位，确保了项目的可持续性发展，为新一期专家到岗打下坚实基础。项目赢得了双边政府的赞誉和认可，并荣获“第四届全球减贫案例征集活动”最佳减贫案例。项目圆满结束后，已成功通过商务部的检查验收，并获得商务部“绩效优良”评定。</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（2）顺利完成一批国家农业对外援助项目检查验收</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全年完成商务部委托的国家农业援助项目检查验收任务3次，并获得商务部高度认可和好评。5月，完成援贝宁棉花第三期技术援助项目检查验收任务；11月，完成援基里巴斯第二期农渔业技术援助项目和援赤道几内亚农业技术援助项目的检查验收任务。今年，我中心还通过总结多年农业对外援助项目验收工作的经验，编写了《农业对外技术援助项目检查验收工作实务》。</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（3）积极协助上级部门开展农业援外工作</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选派专家执行农业农村部国际交流服务中心援萨摩亚第六期农业技术援助项目、援布隆迪高级农业专家组第六期技术援助项目，并办理专家的因公出国手续；配合农业农村部在我省开展第二批农业涉外培训合作交流点、农业对外技术援助项目可研验收及外派储备专家征集工作。积极配合我厅做好全省“十五五”农业农村现代化规划制定工作，并提交了关于援外工作的“十四五”总结及“十五五”设想及举措等汇报材料。</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（4）高质量完成外事接待及因公出国厅团组手续办理</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是协助农业农村部对外经济合作中心做好“发展中国家农业技术示范中心管理研修班”来湘考察的外事接待工作；配合我厅做好东帝汶行政部及地方政府来湘考察、参观学习代表团的外事接待工作；配合农业农村部对外经济合作中心调研组赴三一重工、中联重科、隆平高科、绝味食品、唐人神集团等企业开展涉农企业走出去调研工作。二是顺利完成我厅赴贝宁团组、基里巴斯团组、赤道几内亚团组、韩国团组以及国际农发基金贷款湖南省乡村振兴发展项目赴荷兰和丹麦团组、韩国和日本团组、澳大利亚和新西兰团组的因公出国手续、公务签证、境外公务活动安排等工作。</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社会效应</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（1）在建外资项目精准实施，加大投资力度</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目前，国际农发基金贷款湖南省乡村振兴发展项目属在建项目，总投资12.3亿元，其中利用贷款6020万美元。在年初完成项目中期调整的基础上，全年完成投资总额达到37549.2万元，占年度计划投资额的70.5%，同比增长了225%。其中，农发基金贷款投入9637.3万元，政府配套资金为21033.5万元，6878.4万元为经营主体自筹，有力推动了项目实施。</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为确保项目进度和质量，一是协调财政厅由农财两厅联合向县级政府发函，要求加快推进项目工作；二是开展项目管理培训，全年共进行了五次涵盖财务、采购、监测评价等内容的管理培训，提升了州县项目办管理人员的操作能力和水平；三是组织行业内相关专家进行实地指导，省项目办领导和管理人员也赴项目县面对面、手把手地进行项目管理指导，助推了产业发展并深化了项目管理；四是进一步规范项目实施程序，根据具体问题修订和审核了项目管理手册，由农财两厅联合行文印发，优化了管理流程，使项目更加规范地实施。截至目前，整个项目的累计投资额已达65529.7万元，占总预算的53.3%，具体包括来自农发基金的14955.1万元贷款、政府提供的43537.2万元配套资金以及企业自身筹集的7037.4万元资金。项目成功实施了117个商业项目和132个青年/妇女创业项目，有效促进了当地特色产业的发展与新型业态的成长。项目建设灌溉渠道66.88公里、输水管道12.3公里，安装泵站5座，并整治山塘362处，铺设排水沟渠13.31公里，修建农村公路136.39公里以及供水管线48.5公里，同时开发了34处新水源地，对1457.6亩土地进行了平整作业，安装了615盏路灯，建造了4000座卫生厕所及344个家庭污水处理系统等设施，极大改善了农村居民的生活条件。</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项目的实施，不仅增强了农业抵御自然灾害的能力，也通过加强商业孵化服务中心的功能，进一步推动了地方经济的发展。整体而言，本项目对于提升区域经济活力、促进就业增长以及改善民生质量起到了积极作用。</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（2）筹备、竣工外资项目持续跟进，各项工作有序推动</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是世界银行贷款绿色农业和乡村振兴湖南项目是中心正在筹备的项目。今年，省项目办及时向厅领导汇报项目准备情况与存在的问题，并向省委编办汇报建立省级协调管理机构等工作进展，积极向省政府领导汇报并计划建立省委编办发文的工作联席会议制度。同时对接世行项目经理，按要求报送了项目实施计划。</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是世界银行贷款湖南省农田污染综合管理项目已竣工。该项目在14个项目县实施，覆盖面积达14.4万亩，培训农民和管理人员共计150,205人·天，总投资达7.16亿元。项目2023年完工，并在今年上半年顺利完成了竣工验收，项目被世界银行驻华代表处评为“高度满意”项目。下半年，审计厅对项目进行了专项审计，尽管项目已经结束，但中心始终在坚持做好项目后续管护工作，同时积极配合审计工作，认真开展问题整改，确保项目的持续优化和完善。</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是接待国际农发基金副总裁来湘考察。7月，国际农发基金副总裁多纳尔·布朗一行考察正在实施的国际农发基金贷款湖南省乡村振兴项目，并实地调研了凤凰县、古丈县项目区。考察期间，省政协副主席何寄华在长沙会见考察团一行。考察团高度赞扬了我省项目实施效果，项目区充分发挥农业合作社的主体作用，依托农业特色产业，大力吸引青年返乡创业，实现让农户足不出村实现增收致富，成功带动了当地农户脱贫。</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可持续发展能力</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（1）积极组织参加境内外国际展会</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为落实今年中央一号文件精神，加大农业品牌精品培育力度，继续推动我省农产品“走出去”战略，积极组织我省农产品企业参加第34届香港美食博览会、第21届中国-东盟博览会、2024年海峡两岸现代农业博览会等国际展会。共组织企业60家，参展展销金额达330.85万元，签订外贸意向合作协议50余份，预测开拓贸易金额2亿元。</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特别值得一提是，我厅今年是疫情后首次恢复与香港线下往来，我们精心组织了33家湖南优质特色农产品企业赴港参展，展出面积252平米，产品主要涵盖了湖南地理标志产品、茶叶、茶油、大米、水产品、预制菜、生鲜果蔬等，是本届国家农业展团中参展企业和品类最多、展位搭建最具特色的省份。本次活动组织也是历届来时间最紧、任务最重的一次，在短短不到2个月时间内，加班加点完成大量筹备组织工作，展期我厅派出由陈克云主任为团长的农业代表团，以快捷、高效的执行力，在既定时间内完成现场执行工作，很好地利用有限时间、资源，达到了超预期的效果。</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（2）精心策划农业贸易促进活动</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积极参与2024年中国—非洲经贸博览会工作。派出精干力量赴肯尼亚参加中国—非洲（肯尼亚）农业发展合作洽谈会并协助活动组织工作，陪同我厅农业访问团顺利出访马达加斯加、马拉维等非洲国家。借助参加第34届香港美食博览会的契机，同期在港成功举办以“鱼米之乡、大美湖南”为主题的湖南特色农产品香港专场推介活动，现场采用“线上+线下”方式进行全网直播，为企业提供路演机会，利用参展企业现场食材，邀请湘菜厨师烹制多道精美的湖南特色菜肴，线上线下同步教学，台下嘉宾观众共同品鉴，让现场观众感同身受地体验到湖南特色农产品的魅力。除此，还隆重发布了“湖南农业招商手册”，重点推出我省食品加工、现代农业领域的招商项目，促成签约项目3个，签约总金额达1亿元。活动受到了20多家国内、香港和境外媒体的密集报道，同时全网观看量超20万，点赞、转发、社群互动量达1万，活动有力推进了“湘品出湘”“湘品入港”。</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（3）持续做好农产品贸易领域研究</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为持续追踪我省农产品进出口情势变化，深度分析我省农产品出口竞争力和优势来源，精准提出促进农产品国际贸易高质量发展的对策建议，继续编制了《湖南省农产品贸易发展报告》和分季度简报。除此以外，还发挥湘非合作优势，开展《湖南省农产品国际易货贸易课题》研究</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服务对象满意度</w:t>
      </w:r>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服务对象满意度</w:t>
      </w:r>
      <w:r>
        <w:rPr>
          <w:rFonts w:hint="eastAsia" w:ascii="仿宋" w:hAnsi="仿宋" w:eastAsia="仿宋"/>
          <w:color w:val="000000"/>
          <w:sz w:val="32"/>
          <w:szCs w:val="32"/>
        </w:rPr>
        <w:t>95%。</w:t>
      </w:r>
    </w:p>
    <w:p>
      <w:pPr>
        <w:pStyle w:val="14"/>
        <w:spacing w:line="360" w:lineRule="auto"/>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360" w:lineRule="auto"/>
        <w:ind w:left="-140" w:leftChars="-67" w:firstLine="640" w:firstLineChars="200"/>
        <w:rPr>
          <w:rFonts w:hint="eastAsia" w:ascii="仿宋" w:hAnsi="仿宋" w:eastAsia="仿宋"/>
          <w:kern w:val="0"/>
          <w:sz w:val="32"/>
          <w:szCs w:val="32"/>
        </w:rPr>
      </w:pPr>
      <w:r>
        <w:rPr>
          <w:rFonts w:ascii="仿宋" w:hAnsi="仿宋" w:eastAsia="仿宋"/>
          <w:sz w:val="32"/>
          <w:szCs w:val="32"/>
        </w:rPr>
        <w:t>202</w:t>
      </w:r>
      <w:r>
        <w:rPr>
          <w:rFonts w:hint="eastAsia" w:ascii="仿宋" w:hAnsi="仿宋" w:eastAsia="仿宋"/>
          <w:sz w:val="32"/>
          <w:szCs w:val="32"/>
        </w:rPr>
        <w:t>4年度单位整体预算执行率不高，主</w:t>
      </w:r>
      <w:r>
        <w:rPr>
          <w:rFonts w:hint="eastAsia" w:ascii="仿宋" w:hAnsi="仿宋" w:eastAsia="仿宋"/>
          <w:kern w:val="0"/>
          <w:sz w:val="32"/>
          <w:szCs w:val="32"/>
        </w:rPr>
        <w:t>要原因一是部分委托业务按</w:t>
      </w:r>
      <w:r>
        <w:rPr>
          <w:rFonts w:ascii="仿宋" w:hAnsi="仿宋" w:eastAsia="仿宋"/>
          <w:kern w:val="0"/>
          <w:sz w:val="32"/>
          <w:szCs w:val="32"/>
        </w:rPr>
        <w:t>进度付款及跨年结算费用</w:t>
      </w:r>
      <w:r>
        <w:rPr>
          <w:rFonts w:hint="eastAsia" w:ascii="仿宋" w:hAnsi="仿宋" w:eastAsia="仿宋"/>
          <w:kern w:val="0"/>
          <w:sz w:val="32"/>
          <w:szCs w:val="32"/>
        </w:rPr>
        <w:t xml:space="preserve">；二是根据相关要求压缩经费开支，三是部分预算指标下达较晚。        </w:t>
      </w:r>
    </w:p>
    <w:p>
      <w:pPr>
        <w:spacing w:line="360" w:lineRule="auto"/>
        <w:ind w:firstLine="640" w:firstLineChars="200"/>
        <w:rPr>
          <w:rFonts w:eastAsia="黑体"/>
          <w:sz w:val="32"/>
          <w:szCs w:val="32"/>
        </w:rPr>
      </w:pPr>
      <w:r>
        <w:rPr>
          <w:rFonts w:eastAsia="黑体"/>
          <w:sz w:val="32"/>
          <w:szCs w:val="32"/>
        </w:rPr>
        <w:t>八、下一步改进措施</w:t>
      </w:r>
    </w:p>
    <w:p>
      <w:pPr>
        <w:spacing w:line="360" w:lineRule="auto"/>
        <w:ind w:left="-140" w:leftChars="-67" w:firstLine="640" w:firstLineChars="200"/>
        <w:rPr>
          <w:rFonts w:hint="eastAsia" w:ascii="仿宋" w:hAnsi="仿宋" w:eastAsia="仿宋"/>
          <w:kern w:val="0"/>
          <w:sz w:val="32"/>
          <w:szCs w:val="32"/>
        </w:rPr>
      </w:pPr>
      <w:r>
        <w:rPr>
          <w:rFonts w:hint="eastAsia" w:ascii="仿宋" w:hAnsi="仿宋" w:eastAsia="仿宋"/>
          <w:kern w:val="0"/>
          <w:sz w:val="32"/>
          <w:szCs w:val="32"/>
        </w:rPr>
        <w:t>进一步提高预算编制的科学性、准确性和合理性，强化预算管理，提高预算执行力度。通过定期对预算执行情况进行跟踪、分析，及时发现问题和解决问题，提高资金使用效益。</w:t>
      </w:r>
    </w:p>
    <w:p>
      <w:pPr>
        <w:spacing w:line="600" w:lineRule="exact"/>
        <w:ind w:firstLine="640" w:firstLineChars="200"/>
        <w:rPr>
          <w:rFonts w:eastAsia="黑体"/>
          <w:sz w:val="32"/>
          <w:szCs w:val="32"/>
        </w:rPr>
      </w:pPr>
      <w:r>
        <w:rPr>
          <w:rFonts w:eastAsia="黑体"/>
          <w:sz w:val="32"/>
          <w:szCs w:val="32"/>
        </w:rPr>
        <w:t>九、绩效自评结果拟应用和公开情况</w:t>
      </w:r>
    </w:p>
    <w:p>
      <w:pPr>
        <w:widowControl/>
        <w:spacing w:line="600" w:lineRule="exact"/>
        <w:ind w:firstLine="645"/>
        <w:jc w:val="left"/>
        <w:rPr>
          <w:rFonts w:hint="eastAsia" w:eastAsia="仿宋_GB2312"/>
          <w:sz w:val="32"/>
          <w:szCs w:val="32"/>
        </w:rPr>
      </w:pPr>
      <w:r>
        <w:rPr>
          <w:rFonts w:hint="eastAsia" w:ascii="仿宋" w:hAnsi="仿宋" w:eastAsia="仿宋"/>
          <w:kern w:val="0"/>
          <w:sz w:val="32"/>
          <w:szCs w:val="32"/>
        </w:rPr>
        <w:t>我中心将对评价中发现的问题，及时进行督促整改。各内设科室加强预算管理意识，严格按照预算编制的相关制度和要求，结合年度收支计划，科学编制预算，遵循预算管理办法。</w:t>
      </w:r>
    </w:p>
    <w:p>
      <w:pPr>
        <w:adjustRightInd w:val="0"/>
        <w:snapToGrid w:val="0"/>
        <w:spacing w:line="360" w:lineRule="auto"/>
        <w:ind w:firstLine="640" w:firstLineChars="200"/>
        <w:rPr>
          <w:rFonts w:hint="eastAsia" w:ascii="黑体" w:hAnsi="黑体" w:eastAsia="黑体"/>
          <w:sz w:val="32"/>
          <w:szCs w:val="28"/>
          <w:lang w:val="en-US" w:eastAsia="zh-CN"/>
        </w:rPr>
      </w:pPr>
    </w:p>
    <w:p>
      <w:pPr>
        <w:adjustRightInd w:val="0"/>
        <w:snapToGrid w:val="0"/>
        <w:spacing w:line="360" w:lineRule="auto"/>
        <w:ind w:firstLine="640" w:firstLineChars="200"/>
        <w:rPr>
          <w:rFonts w:hint="eastAsia" w:ascii="黑体" w:hAnsi="黑体" w:eastAsia="黑体"/>
          <w:sz w:val="32"/>
          <w:szCs w:val="28"/>
          <w:lang w:val="en-US" w:eastAsia="zh-CN"/>
        </w:rPr>
      </w:pPr>
      <w:r>
        <w:rPr>
          <w:rFonts w:hint="eastAsia" w:ascii="黑体" w:hAnsi="黑体" w:eastAsia="黑体"/>
          <w:sz w:val="32"/>
          <w:szCs w:val="28"/>
          <w:lang w:val="en-US" w:eastAsia="zh-CN"/>
        </w:rPr>
        <w:t>其他需要说明的情况</w:t>
      </w:r>
    </w:p>
    <w:p>
      <w:pPr>
        <w:adjustRightInd w:val="0"/>
        <w:snapToGrid w:val="0"/>
        <w:spacing w:line="360" w:lineRule="auto"/>
        <w:ind w:firstLine="640" w:firstLineChars="200"/>
        <w:rPr>
          <w:rFonts w:hint="default" w:ascii="Times New Roman" w:hAnsi="Times New Roman" w:eastAsia="仿宋"/>
          <w:sz w:val="32"/>
          <w:szCs w:val="28"/>
          <w:lang w:val="en-US" w:eastAsia="zh-CN"/>
        </w:rPr>
      </w:pPr>
      <w:r>
        <w:rPr>
          <w:rFonts w:hint="eastAsia" w:ascii="Times New Roman" w:hAnsi="Times New Roman" w:eastAsia="仿宋"/>
          <w:sz w:val="32"/>
          <w:szCs w:val="28"/>
          <w:lang w:val="en-US" w:eastAsia="zh-CN"/>
        </w:rPr>
        <w:t>无</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附件：</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1、部门整体支出绩效评价基础数据表</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2、部门整体支出绩效自评表</w:t>
      </w:r>
    </w:p>
    <w:p>
      <w:pPr>
        <w:adjustRightInd w:val="0"/>
        <w:snapToGrid w:val="0"/>
        <w:spacing w:line="360" w:lineRule="auto"/>
        <w:ind w:firstLine="640" w:firstLineChars="200"/>
        <w:rPr>
          <w:rFonts w:hint="eastAsia" w:ascii="Times New Roman" w:hAnsi="Times New Roman" w:eastAsia="仿宋"/>
          <w:sz w:val="32"/>
          <w:szCs w:val="28"/>
        </w:rPr>
      </w:pPr>
      <w:bookmarkStart w:id="4" w:name="OLE_LINK25"/>
      <w:r>
        <w:rPr>
          <w:rFonts w:hint="eastAsia" w:ascii="Times New Roman" w:hAnsi="Times New Roman" w:eastAsia="仿宋"/>
          <w:sz w:val="32"/>
          <w:szCs w:val="28"/>
        </w:rPr>
        <w:t>3、项目支出绩效自评表（</w:t>
      </w:r>
      <w:r>
        <w:rPr>
          <w:rFonts w:hint="eastAsia" w:ascii="Times New Roman" w:hAnsi="Times New Roman" w:eastAsia="仿宋"/>
          <w:sz w:val="32"/>
          <w:szCs w:val="28"/>
          <w:lang w:val="en-US" w:eastAsia="zh-CN"/>
        </w:rPr>
        <w:t>其他事业发展资金</w:t>
      </w:r>
      <w:r>
        <w:rPr>
          <w:rFonts w:hint="eastAsia" w:ascii="Times New Roman" w:hAnsi="Times New Roman" w:eastAsia="仿宋"/>
          <w:sz w:val="32"/>
          <w:szCs w:val="28"/>
        </w:rPr>
        <w:t>）</w:t>
      </w:r>
    </w:p>
    <w:bookmarkEnd w:id="4"/>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lang w:val="en-US" w:eastAsia="zh-CN"/>
        </w:rPr>
        <w:t>4</w:t>
      </w:r>
      <w:r>
        <w:rPr>
          <w:rFonts w:hint="eastAsia" w:ascii="Times New Roman" w:hAnsi="Times New Roman" w:eastAsia="仿宋"/>
          <w:sz w:val="32"/>
          <w:szCs w:val="28"/>
        </w:rPr>
        <w:t>、项目支出绩效自评表（</w:t>
      </w:r>
      <w:r>
        <w:rPr>
          <w:rFonts w:hint="eastAsia" w:ascii="Times New Roman" w:hAnsi="Times New Roman" w:eastAsia="仿宋"/>
          <w:sz w:val="32"/>
          <w:szCs w:val="28"/>
          <w:lang w:val="en-US" w:eastAsia="zh-CN"/>
        </w:rPr>
        <w:t>对外经济合作资金</w:t>
      </w:r>
      <w:r>
        <w:rPr>
          <w:rFonts w:hint="eastAsia" w:ascii="Times New Roman" w:hAnsi="Times New Roman" w:eastAsia="仿宋"/>
          <w:sz w:val="32"/>
          <w:szCs w:val="28"/>
        </w:rPr>
        <w:t>）</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lang w:val="en-US" w:eastAsia="zh-CN"/>
        </w:rPr>
        <w:t>5</w:t>
      </w:r>
      <w:r>
        <w:rPr>
          <w:rFonts w:hint="eastAsia" w:ascii="Times New Roman" w:hAnsi="Times New Roman" w:eastAsia="仿宋"/>
          <w:sz w:val="32"/>
          <w:szCs w:val="28"/>
        </w:rPr>
        <w:t>、项目支出绩效自评表（现代农业发展专项）</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lang w:val="en-US" w:eastAsia="zh-CN"/>
        </w:rPr>
        <w:t>6</w:t>
      </w:r>
      <w:r>
        <w:rPr>
          <w:rFonts w:hint="eastAsia" w:ascii="Times New Roman" w:hAnsi="Times New Roman" w:eastAsia="仿宋"/>
          <w:sz w:val="32"/>
          <w:szCs w:val="28"/>
        </w:rPr>
        <w:t>、项目支出绩效自评表（</w:t>
      </w:r>
      <w:r>
        <w:rPr>
          <w:rFonts w:hint="eastAsia" w:ascii="Times New Roman" w:hAnsi="Times New Roman" w:eastAsia="仿宋"/>
          <w:sz w:val="32"/>
          <w:szCs w:val="28"/>
          <w:lang w:val="en-US" w:eastAsia="zh-CN"/>
        </w:rPr>
        <w:t>业务工作经费</w:t>
      </w:r>
      <w:r>
        <w:rPr>
          <w:rFonts w:hint="eastAsia" w:ascii="Times New Roman" w:hAnsi="Times New Roman" w:eastAsia="仿宋"/>
          <w:sz w:val="32"/>
          <w:szCs w:val="28"/>
        </w:rPr>
        <w:t>）</w:t>
      </w:r>
    </w:p>
    <w:p>
      <w:pPr>
        <w:adjustRightInd w:val="0"/>
        <w:snapToGrid w:val="0"/>
        <w:spacing w:line="360" w:lineRule="auto"/>
        <w:ind w:firstLine="640" w:firstLineChars="200"/>
        <w:rPr>
          <w:rFonts w:hint="eastAsia" w:ascii="Times New Roman" w:hAnsi="Times New Roman" w:eastAsia="仿宋"/>
          <w:sz w:val="32"/>
          <w:szCs w:val="28"/>
        </w:rPr>
      </w:pPr>
    </w:p>
    <w:p>
      <w:pPr>
        <w:widowControl/>
        <w:jc w:val="left"/>
        <w:rPr>
          <w:rFonts w:eastAsia="仿宋_GB2312"/>
          <w:sz w:val="32"/>
          <w:szCs w:val="32"/>
        </w:rPr>
      </w:pPr>
    </w:p>
    <w:p>
      <w:pPr>
        <w:widowControl/>
        <w:jc w:val="left"/>
        <w:rPr>
          <w:rFonts w:eastAsia="仿宋_GB2312"/>
          <w:sz w:val="32"/>
          <w:szCs w:val="32"/>
        </w:rPr>
      </w:pPr>
    </w:p>
    <w:p>
      <w:pPr>
        <w:widowControl/>
        <w:jc w:val="left"/>
        <w:rPr>
          <w:rFonts w:hint="eastAsia" w:eastAsia="黑体"/>
          <w:sz w:val="32"/>
          <w:szCs w:val="32"/>
        </w:rPr>
      </w:pPr>
    </w:p>
    <w:p>
      <w:pPr>
        <w:widowControl/>
        <w:jc w:val="left"/>
        <w:rPr>
          <w:rFonts w:hint="eastAsia" w:eastAsia="黑体"/>
          <w:sz w:val="32"/>
          <w:szCs w:val="32"/>
        </w:rPr>
      </w:pPr>
    </w:p>
    <w:p>
      <w:pPr>
        <w:widowControl/>
        <w:jc w:val="left"/>
        <w:rPr>
          <w:rFonts w:hint="eastAsia" w:eastAsia="黑体"/>
          <w:sz w:val="32"/>
          <w:szCs w:val="32"/>
        </w:rPr>
      </w:pPr>
    </w:p>
    <w:p>
      <w:pPr>
        <w:widowControl/>
        <w:jc w:val="left"/>
        <w:rPr>
          <w:rFonts w:hint="eastAsia" w:eastAsia="黑体"/>
          <w:sz w:val="32"/>
          <w:szCs w:val="32"/>
        </w:rPr>
      </w:pPr>
    </w:p>
    <w:p>
      <w:pPr>
        <w:widowControl/>
        <w:jc w:val="left"/>
        <w:rPr>
          <w:rFonts w:hint="eastAsia" w:eastAsia="黑体"/>
          <w:sz w:val="32"/>
          <w:szCs w:val="32"/>
        </w:rPr>
      </w:pPr>
    </w:p>
    <w:p>
      <w:pPr>
        <w:widowControl/>
        <w:jc w:val="left"/>
        <w:rPr>
          <w:rFonts w:hint="eastAsia" w:eastAsia="黑体"/>
          <w:sz w:val="32"/>
          <w:szCs w:val="32"/>
        </w:rPr>
      </w:pPr>
    </w:p>
    <w:p>
      <w:pPr>
        <w:widowControl/>
        <w:jc w:val="left"/>
        <w:rPr>
          <w:rFonts w:hint="eastAsia" w:eastAsia="黑体"/>
          <w:sz w:val="32"/>
          <w:szCs w:val="32"/>
        </w:rPr>
      </w:pPr>
      <w:r>
        <w:rPr>
          <w:rFonts w:eastAsia="黑体"/>
          <w:sz w:val="32"/>
          <w:szCs w:val="32"/>
        </w:rPr>
        <w:t>附件</w:t>
      </w:r>
      <w:r>
        <w:rPr>
          <w:rFonts w:hint="eastAsia" w:eastAsia="黑体"/>
          <w:sz w:val="32"/>
          <w:szCs w:val="32"/>
        </w:rPr>
        <w:t>1</w:t>
      </w:r>
    </w:p>
    <w:p>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eastAsia" w:eastAsia="仿宋_GB2312"/>
                <w:kern w:val="0"/>
                <w:szCs w:val="21"/>
              </w:rPr>
            </w:pPr>
            <w:r>
              <w:rPr>
                <w:rFonts w:eastAsia="仿宋_GB2312"/>
                <w:kern w:val="0"/>
                <w:szCs w:val="21"/>
              </w:rPr>
              <w:t>　</w:t>
            </w:r>
            <w:r>
              <w:rPr>
                <w:rFonts w:hint="eastAsia" w:eastAsia="仿宋_GB2312"/>
                <w:kern w:val="0"/>
                <w:szCs w:val="21"/>
              </w:rPr>
              <w:t>13</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11</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18.45</w:t>
            </w:r>
            <w:r>
              <w:rPr>
                <w:rFonts w:ascii="Times New Roman" w:hAnsi="Times New Roman" w:eastAsia="仿宋_GB2312"/>
                <w:sz w:val="20"/>
                <w:szCs w:val="20"/>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19.00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0</w:t>
            </w:r>
            <w:r>
              <w:rPr>
                <w:rFonts w:ascii="Times New Roman" w:hAnsi="Times New Roman" w:eastAsia="仿宋_GB2312"/>
                <w:sz w:val="20"/>
                <w:szCs w:val="20"/>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0</w:t>
            </w:r>
            <w:r>
              <w:rPr>
                <w:rFonts w:ascii="Times New Roman" w:hAnsi="Times New Roman" w:eastAsia="仿宋_GB2312"/>
                <w:sz w:val="20"/>
                <w:szCs w:val="20"/>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0</w:t>
            </w:r>
            <w:r>
              <w:rPr>
                <w:rFonts w:ascii="Times New Roman" w:hAnsi="Times New Roman" w:eastAsia="仿宋_GB2312"/>
                <w:sz w:val="20"/>
                <w:szCs w:val="20"/>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14.8</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15.00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3.65</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4.00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256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402.24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194.92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sz w:val="20"/>
                <w:szCs w:val="20"/>
              </w:rPr>
              <w:t>250.11</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140.18</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spacing w:line="360" w:lineRule="exact"/>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3、省级专项资金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spacing w:line="360" w:lineRule="exact"/>
              <w:jc w:val="center"/>
              <w:rPr>
                <w:rFonts w:eastAsia="仿宋_GB2312"/>
                <w:kern w:val="0"/>
                <w:szCs w:val="21"/>
              </w:rPr>
            </w:pPr>
            <w:bookmarkStart w:id="5" w:name="OLE_LINK7"/>
            <w:r>
              <w:rPr>
                <w:rFonts w:ascii="Times New Roman" w:hAnsi="Times New Roman" w:eastAsia="仿宋_GB2312"/>
                <w:sz w:val="20"/>
                <w:szCs w:val="20"/>
              </w:rPr>
              <w:t>5.89</w:t>
            </w:r>
            <w:bookmarkEnd w:id="5"/>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5.93</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5.34</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spacing w:line="360" w:lineRule="exact"/>
              <w:ind w:firstLine="400" w:firstLineChars="200"/>
              <w:rPr>
                <w:rFonts w:eastAsia="仿宋_GB2312"/>
                <w:kern w:val="0"/>
                <w:szCs w:val="21"/>
              </w:rPr>
            </w:pPr>
            <w:r>
              <w:rPr>
                <w:rFonts w:hint="eastAsia" w:ascii="Times New Roman" w:hAnsi="Times New Roman" w:eastAsia="仿宋_GB2312"/>
                <w:sz w:val="20"/>
                <w:szCs w:val="20"/>
              </w:rPr>
              <w:t>现代农业生产发展</w:t>
            </w:r>
          </w:p>
        </w:tc>
        <w:tc>
          <w:tcPr>
            <w:tcW w:w="2038" w:type="dxa"/>
            <w:gridSpan w:val="2"/>
            <w:noWrap w:val="0"/>
            <w:vAlign w:val="center"/>
          </w:tcPr>
          <w:p>
            <w:pPr>
              <w:widowControl/>
              <w:jc w:val="center"/>
              <w:rPr>
                <w:rFonts w:eastAsia="仿宋_GB2312"/>
                <w:kern w:val="0"/>
                <w:szCs w:val="21"/>
              </w:rPr>
            </w:pPr>
            <w:r>
              <w:rPr>
                <w:rFonts w:ascii="Times New Roman" w:hAnsi="Times New Roman" w:eastAsia="仿宋_GB2312"/>
                <w:sz w:val="20"/>
                <w:szCs w:val="20"/>
              </w:rPr>
              <w:t>5.89</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2.93</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bookmarkStart w:id="6" w:name="OLE_LINK17"/>
            <w:r>
              <w:rPr>
                <w:rFonts w:hint="eastAsia" w:eastAsia="仿宋_GB2312"/>
                <w:kern w:val="0"/>
                <w:szCs w:val="21"/>
              </w:rPr>
              <w:t>2.34</w:t>
            </w:r>
            <w:bookmarkEnd w:id="6"/>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spacing w:line="360" w:lineRule="exact"/>
              <w:ind w:firstLine="400" w:firstLineChars="200"/>
              <w:jc w:val="left"/>
              <w:rPr>
                <w:rFonts w:hint="eastAsia" w:ascii="Times New Roman" w:hAnsi="Times New Roman" w:eastAsia="仿宋_GB2312"/>
                <w:sz w:val="20"/>
                <w:szCs w:val="20"/>
              </w:rPr>
            </w:pPr>
            <w:r>
              <w:rPr>
                <w:rFonts w:ascii="Times New Roman" w:hAnsi="Times New Roman" w:eastAsia="仿宋_GB2312"/>
                <w:sz w:val="20"/>
                <w:szCs w:val="20"/>
              </w:rPr>
              <w:t>2023</w:t>
            </w:r>
            <w:r>
              <w:rPr>
                <w:rFonts w:hint="eastAsia" w:ascii="Times New Roman" w:hAnsi="Times New Roman" w:eastAsia="仿宋_GB2312"/>
                <w:sz w:val="20"/>
                <w:szCs w:val="20"/>
              </w:rPr>
              <w:t>年对外经济合作资金</w:t>
            </w:r>
          </w:p>
        </w:tc>
        <w:tc>
          <w:tcPr>
            <w:tcW w:w="2038" w:type="dxa"/>
            <w:gridSpan w:val="2"/>
            <w:noWrap w:val="0"/>
            <w:vAlign w:val="center"/>
          </w:tcPr>
          <w:p>
            <w:pPr>
              <w:widowControl/>
              <w:jc w:val="center"/>
              <w:rPr>
                <w:rFonts w:ascii="Times New Roman" w:hAnsi="Times New Roman" w:eastAsia="仿宋_GB2312"/>
                <w:sz w:val="20"/>
                <w:szCs w:val="20"/>
              </w:rPr>
            </w:pP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3.00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4、其他事业类发展资金……</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256.14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88.90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olor w:val="000000"/>
                <w:sz w:val="20"/>
                <w:szCs w:val="20"/>
              </w:rPr>
              <w:t>48.8</w:t>
            </w:r>
            <w:r>
              <w:rPr>
                <w:rFonts w:ascii="Times New Roman" w:hAnsi="Times New Roman" w:eastAsia="仿宋_GB2312"/>
                <w:color w:val="000000"/>
                <w:sz w:val="20"/>
                <w:szCs w:val="20"/>
              </w:rPr>
              <w:t>　</w:t>
            </w:r>
          </w:p>
        </w:tc>
        <w:tc>
          <w:tcPr>
            <w:tcW w:w="2240" w:type="dxa"/>
            <w:gridSpan w:val="2"/>
            <w:noWrap w:val="0"/>
            <w:vAlign w:val="center"/>
          </w:tcPr>
          <w:p>
            <w:pPr>
              <w:widowControl/>
              <w:jc w:val="center"/>
              <w:textAlignment w:val="center"/>
              <w:rPr>
                <w:rFonts w:eastAsia="仿宋_GB2312"/>
                <w:kern w:val="0"/>
                <w:szCs w:val="21"/>
              </w:rPr>
            </w:pPr>
            <w:r>
              <w:rPr>
                <w:rFonts w:hint="eastAsia" w:ascii="宋体" w:hAnsi="宋体" w:cs="宋体"/>
                <w:color w:val="000000"/>
                <w:kern w:val="0"/>
                <w:sz w:val="22"/>
                <w:szCs w:val="22"/>
                <w:lang w:bidi="ar"/>
              </w:rPr>
              <w:t>48.65</w:t>
            </w:r>
          </w:p>
        </w:tc>
        <w:tc>
          <w:tcPr>
            <w:tcW w:w="1832" w:type="dxa"/>
            <w:gridSpan w:val="2"/>
            <w:noWrap w:val="0"/>
            <w:vAlign w:val="center"/>
          </w:tcPr>
          <w:p>
            <w:pPr>
              <w:widowControl/>
              <w:jc w:val="center"/>
              <w:textAlignment w:val="center"/>
              <w:rPr>
                <w:rFonts w:eastAsia="仿宋_GB2312"/>
                <w:kern w:val="0"/>
                <w:szCs w:val="21"/>
              </w:rPr>
            </w:pPr>
            <w:r>
              <w:rPr>
                <w:rFonts w:hint="eastAsia" w:ascii="宋体" w:hAnsi="宋体" w:cs="宋体"/>
                <w:color w:val="000000"/>
                <w:kern w:val="0"/>
                <w:sz w:val="22"/>
                <w:szCs w:val="22"/>
                <w:lang w:bidi="ar"/>
              </w:rPr>
              <w:t>46.78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olor w:val="000000"/>
                <w:sz w:val="20"/>
                <w:szCs w:val="20"/>
              </w:rPr>
              <w:t>5.26</w:t>
            </w:r>
            <w:r>
              <w:rPr>
                <w:rFonts w:ascii="Times New Roman" w:hAnsi="Times New Roman" w:eastAsia="仿宋_GB2312"/>
                <w:color w:val="000000"/>
                <w:sz w:val="20"/>
                <w:szCs w:val="20"/>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4.50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spacing w:line="360" w:lineRule="exact"/>
              <w:jc w:val="center"/>
              <w:rPr>
                <w:rFonts w:eastAsia="仿宋_GB2312"/>
                <w:color w:val="FF0000"/>
                <w:kern w:val="0"/>
                <w:szCs w:val="21"/>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4.97</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1.00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olor w:val="000000"/>
                <w:sz w:val="20"/>
                <w:szCs w:val="20"/>
              </w:rPr>
              <w:t>0</w:t>
            </w:r>
            <w:r>
              <w:rPr>
                <w:rFonts w:ascii="Times New Roman" w:hAnsi="Times New Roman" w:eastAsia="仿宋_GB2312"/>
                <w:color w:val="000000"/>
                <w:sz w:val="20"/>
                <w:szCs w:val="20"/>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0.50</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（2019年完工项目）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rFonts w:hint="eastAsia" w:eastAsia="黑体"/>
          <w:sz w:val="32"/>
          <w:szCs w:val="3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rPr>
        <w:t>2</w:t>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rPr>
        <w:t>2024</w:t>
      </w:r>
      <w:r>
        <w:rPr>
          <w:rFonts w:eastAsia="仿宋_GB2312"/>
          <w:color w:val="000000"/>
          <w:kern w:val="0"/>
          <w:szCs w:val="21"/>
        </w:rPr>
        <w:t>年度）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rPr>
              <w:t>湖南省农业对外经济合作中心</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5" w:type="dxa"/>
            <w:gridSpan w:val="2"/>
            <w:noWrap w:val="0"/>
            <w:vAlign w:val="center"/>
          </w:tcPr>
          <w:p>
            <w:pPr>
              <w:jc w:val="center"/>
              <w:rPr>
                <w:rFonts w:eastAsia="仿宋_GB2312"/>
                <w:szCs w:val="21"/>
              </w:rPr>
            </w:pPr>
            <w:r>
              <w:rPr>
                <w:rFonts w:eastAsia="仿宋_GB2312"/>
                <w:szCs w:val="21"/>
              </w:rPr>
              <w:t>全年预算数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9" w:type="dxa"/>
            <w:noWrap w:val="0"/>
            <w:vAlign w:val="center"/>
          </w:tcPr>
          <w:p>
            <w:pPr>
              <w:jc w:val="center"/>
              <w:rPr>
                <w:rFonts w:eastAsia="仿宋_GB2312"/>
                <w:szCs w:val="21"/>
              </w:rPr>
            </w:pPr>
            <w:r>
              <w:rPr>
                <w:rFonts w:eastAsia="仿宋_GB2312"/>
                <w:szCs w:val="21"/>
              </w:rPr>
              <w:t>分值</w:t>
            </w:r>
          </w:p>
        </w:tc>
        <w:tc>
          <w:tcPr>
            <w:tcW w:w="898" w:type="dxa"/>
            <w:noWrap w:val="0"/>
            <w:vAlign w:val="center"/>
          </w:tcPr>
          <w:p>
            <w:pPr>
              <w:jc w:val="center"/>
              <w:rPr>
                <w:rFonts w:eastAsia="仿宋_GB2312"/>
                <w:szCs w:val="21"/>
              </w:rPr>
            </w:pPr>
            <w:r>
              <w:rPr>
                <w:rFonts w:eastAsia="仿宋_GB2312"/>
                <w:szCs w:val="21"/>
              </w:rPr>
              <w:t>执行率</w:t>
            </w:r>
          </w:p>
        </w:tc>
        <w:tc>
          <w:tcPr>
            <w:tcW w:w="1446"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eastAsia="仿宋_GB2312"/>
                <w:szCs w:val="21"/>
              </w:rPr>
            </w:pPr>
            <w:r>
              <w:rPr>
                <w:rFonts w:hint="eastAsia" w:eastAsia="仿宋_GB2312"/>
                <w:szCs w:val="21"/>
              </w:rPr>
              <w:t>656.51</w:t>
            </w:r>
          </w:p>
        </w:tc>
        <w:tc>
          <w:tcPr>
            <w:tcW w:w="1295" w:type="dxa"/>
            <w:gridSpan w:val="2"/>
            <w:noWrap w:val="0"/>
            <w:vAlign w:val="center"/>
          </w:tcPr>
          <w:p>
            <w:pPr>
              <w:jc w:val="center"/>
              <w:rPr>
                <w:rFonts w:eastAsia="仿宋_GB2312"/>
                <w:szCs w:val="21"/>
              </w:rPr>
            </w:pPr>
            <w:r>
              <w:rPr>
                <w:rFonts w:hint="eastAsia" w:eastAsia="仿宋_GB2312"/>
                <w:szCs w:val="21"/>
              </w:rPr>
              <w:t>797.76</w:t>
            </w:r>
          </w:p>
        </w:tc>
        <w:tc>
          <w:tcPr>
            <w:tcW w:w="1134" w:type="dxa"/>
            <w:noWrap w:val="0"/>
            <w:vAlign w:val="center"/>
          </w:tcPr>
          <w:p>
            <w:pPr>
              <w:jc w:val="center"/>
              <w:rPr>
                <w:rFonts w:eastAsia="仿宋_GB2312"/>
                <w:szCs w:val="21"/>
              </w:rPr>
            </w:pPr>
            <w:r>
              <w:rPr>
                <w:rFonts w:hint="eastAsia" w:eastAsia="仿宋_GB2312"/>
                <w:szCs w:val="21"/>
              </w:rPr>
              <w:t>588.57</w:t>
            </w:r>
          </w:p>
        </w:tc>
        <w:tc>
          <w:tcPr>
            <w:tcW w:w="709" w:type="dxa"/>
            <w:noWrap w:val="0"/>
            <w:vAlign w:val="center"/>
          </w:tcPr>
          <w:p>
            <w:pPr>
              <w:jc w:val="center"/>
              <w:rPr>
                <w:rFonts w:eastAsia="仿宋_GB2312"/>
                <w:szCs w:val="21"/>
              </w:rPr>
            </w:pPr>
            <w:r>
              <w:rPr>
                <w:rFonts w:eastAsia="仿宋_GB2312"/>
                <w:szCs w:val="21"/>
              </w:rPr>
              <w:t>10</w:t>
            </w:r>
          </w:p>
        </w:tc>
        <w:tc>
          <w:tcPr>
            <w:tcW w:w="898" w:type="dxa"/>
            <w:noWrap w:val="0"/>
            <w:vAlign w:val="center"/>
          </w:tcPr>
          <w:p>
            <w:pPr>
              <w:jc w:val="center"/>
              <w:rPr>
                <w:rFonts w:eastAsia="仿宋_GB2312"/>
                <w:szCs w:val="21"/>
              </w:rPr>
            </w:pPr>
            <w:r>
              <w:rPr>
                <w:rFonts w:hint="eastAsia" w:eastAsia="仿宋_GB2312"/>
                <w:szCs w:val="21"/>
              </w:rPr>
              <w:t>73.78%</w:t>
            </w:r>
          </w:p>
        </w:tc>
        <w:tc>
          <w:tcPr>
            <w:tcW w:w="1446" w:type="dxa"/>
            <w:noWrap w:val="0"/>
            <w:vAlign w:val="center"/>
          </w:tcPr>
          <w:p>
            <w:pPr>
              <w:jc w:val="center"/>
              <w:rPr>
                <w:rFonts w:eastAsia="仿宋_GB2312"/>
                <w:szCs w:val="21"/>
              </w:rPr>
            </w:pPr>
            <w:r>
              <w:rPr>
                <w:rFonts w:hint="eastAsia" w:eastAsia="仿宋_GB2312"/>
                <w:szCs w:val="21"/>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 xml:space="preserve">  其中：  一般公共预算：</w:t>
            </w:r>
            <w:r>
              <w:rPr>
                <w:rFonts w:hint="eastAsia" w:eastAsia="仿宋_GB2312"/>
                <w:color w:val="000000"/>
                <w:kern w:val="0"/>
                <w:szCs w:val="21"/>
              </w:rPr>
              <w:t>797.76</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其中：基本支出：</w:t>
            </w:r>
            <w:r>
              <w:rPr>
                <w:rFonts w:hint="eastAsia" w:eastAsia="仿宋_GB2312"/>
                <w:color w:val="000000"/>
                <w:kern w:val="0"/>
                <w:szCs w:val="21"/>
              </w:rPr>
              <w:t>393.65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项目支出：</w:t>
            </w:r>
            <w:r>
              <w:rPr>
                <w:rFonts w:hint="eastAsia" w:eastAsia="仿宋_GB2312"/>
                <w:color w:val="000000"/>
                <w:kern w:val="0"/>
                <w:szCs w:val="21"/>
              </w:rPr>
              <w:t>194.92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spacing w:line="200" w:lineRule="exact"/>
              <w:rPr>
                <w:rFonts w:hint="eastAsia" w:ascii="Times New Roman" w:hAnsi="Times New Roman" w:eastAsia="仿宋_GB2312"/>
                <w:color w:val="000000"/>
                <w:sz w:val="20"/>
                <w:szCs w:val="20"/>
              </w:rPr>
            </w:pPr>
            <w:bookmarkStart w:id="7" w:name="OLE_LINK10"/>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1、萨摩亚农业技术援助项目第5期派遣12名长期专家工作12个月， 3名短期专家各工作3个月；圆满完成项目各项任务，特别是肉鸡养殖、智力成果和培训；增强示范农场功能；示范农户增产增收；本期项目验收和移交。</w:t>
            </w:r>
          </w:p>
          <w:p>
            <w:pPr>
              <w:widowControl/>
              <w:spacing w:line="200" w:lineRule="exact"/>
              <w:rPr>
                <w:rFonts w:ascii="Times New Roman" w:hAnsi="Times New Roman" w:eastAsia="仿宋_GB2312" w:cs="宋体"/>
                <w:color w:val="000000"/>
                <w:sz w:val="20"/>
                <w:szCs w:val="20"/>
              </w:rPr>
            </w:pPr>
            <w:r>
              <w:rPr>
                <w:rFonts w:hint="eastAsia" w:ascii="Times New Roman" w:hAnsi="Times New Roman" w:eastAsia="仿宋_GB2312"/>
                <w:color w:val="000000"/>
                <w:sz w:val="20"/>
                <w:szCs w:val="20"/>
              </w:rPr>
              <w:t>2、围绕农产品贸易和产业损害监测预警等课题开展相关持续性研究；围绕相关展会开展贸易促进活动。</w:t>
            </w:r>
            <w:bookmarkEnd w:id="7"/>
          </w:p>
          <w:p>
            <w:pPr>
              <w:widowControl/>
              <w:spacing w:line="200" w:lineRule="exact"/>
              <w:rPr>
                <w:rFonts w:eastAsia="仿宋_GB2312"/>
                <w:color w:val="000000"/>
                <w:kern w:val="0"/>
                <w:szCs w:val="21"/>
              </w:rPr>
            </w:pPr>
          </w:p>
        </w:tc>
        <w:tc>
          <w:tcPr>
            <w:tcW w:w="4187" w:type="dxa"/>
            <w:gridSpan w:val="4"/>
            <w:noWrap w:val="0"/>
            <w:vAlign w:val="center"/>
          </w:tcPr>
          <w:p>
            <w:pPr>
              <w:widowControl/>
              <w:spacing w:line="20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p>
            <w:pPr>
              <w:widowControl/>
              <w:spacing w:line="200" w:lineRule="exact"/>
              <w:rPr>
                <w:rFonts w:hint="eastAsia" w:ascii="Times New Roman" w:hAnsi="Times New Roman" w:eastAsia="仿宋_GB2312"/>
                <w:color w:val="000000"/>
                <w:sz w:val="20"/>
                <w:szCs w:val="20"/>
              </w:rPr>
            </w:pPr>
            <w:r>
              <w:rPr>
                <w:rFonts w:ascii="Times New Roman" w:hAnsi="Times New Roman" w:eastAsia="仿宋_GB2312"/>
                <w:color w:val="000000"/>
                <w:sz w:val="20"/>
                <w:szCs w:val="20"/>
              </w:rPr>
              <w:t>　</w:t>
            </w:r>
            <w:r>
              <w:rPr>
                <w:rFonts w:hint="eastAsia" w:ascii="Times New Roman" w:hAnsi="Times New Roman" w:eastAsia="仿宋_GB2312"/>
                <w:color w:val="000000"/>
                <w:sz w:val="20"/>
                <w:szCs w:val="20"/>
              </w:rPr>
              <w:t>1、萨摩亚农业技术援助项目第5期派遣12名长期专家工作12个月， 3名短期专家各工作3个月；圆满完成项目各项任务，特别是肉鸡养殖、智力成果和培训；增强示范农场功能；示范农户增产增收；本期项目验收和移交。</w:t>
            </w:r>
          </w:p>
          <w:p>
            <w:pPr>
              <w:spacing w:line="200" w:lineRule="exact"/>
              <w:jc w:val="left"/>
              <w:rPr>
                <w:rFonts w:eastAsia="仿宋_GB2312"/>
                <w:color w:val="000000"/>
                <w:kern w:val="0"/>
                <w:szCs w:val="21"/>
              </w:rPr>
            </w:pPr>
            <w:r>
              <w:rPr>
                <w:rFonts w:hint="eastAsia" w:ascii="Times New Roman" w:hAnsi="Times New Roman" w:eastAsia="仿宋_GB2312"/>
                <w:color w:val="000000"/>
                <w:sz w:val="20"/>
                <w:szCs w:val="20"/>
              </w:rPr>
              <w:t>2、围绕农产品贸易和产业损害监测预警等课题开展相关持续性研究；围绕相关展会开展贸易促进活动。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0"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境外农业展会和农产品推广活动</w:t>
            </w:r>
          </w:p>
        </w:tc>
        <w:tc>
          <w:tcPr>
            <w:tcW w:w="1200" w:type="dxa"/>
            <w:noWrap w:val="0"/>
            <w:vAlign w:val="center"/>
          </w:tcPr>
          <w:p>
            <w:pPr>
              <w:widowControl/>
              <w:jc w:val="center"/>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w:t>
            </w:r>
            <w:bookmarkStart w:id="8" w:name="OLE_LINK1"/>
            <w:r>
              <w:rPr>
                <w:rFonts w:hint="eastAsia" w:ascii="仿宋_GB2312" w:hAnsi="仿宋_GB2312" w:eastAsia="仿宋_GB2312" w:cs="仿宋_GB2312"/>
                <w:color w:val="000000"/>
                <w:kern w:val="0"/>
                <w:szCs w:val="21"/>
                <w:lang w:bidi="ar"/>
              </w:rPr>
              <w:t>2次</w:t>
            </w:r>
            <w:bookmarkEnd w:id="8"/>
          </w:p>
        </w:tc>
        <w:tc>
          <w:tcPr>
            <w:tcW w:w="1134"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2次</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课题研究报告</w:t>
            </w:r>
          </w:p>
        </w:tc>
        <w:tc>
          <w:tcPr>
            <w:tcW w:w="1200" w:type="dxa"/>
            <w:noWrap w:val="0"/>
            <w:vAlign w:val="center"/>
          </w:tcPr>
          <w:p>
            <w:pPr>
              <w:widowControl/>
              <w:jc w:val="center"/>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w:t>
            </w:r>
            <w:bookmarkStart w:id="9" w:name="OLE_LINK2"/>
            <w:r>
              <w:rPr>
                <w:rFonts w:hint="eastAsia" w:ascii="仿宋_GB2312" w:hAnsi="仿宋_GB2312" w:eastAsia="仿宋_GB2312" w:cs="仿宋_GB2312"/>
                <w:color w:val="000000"/>
                <w:kern w:val="0"/>
                <w:szCs w:val="21"/>
                <w:lang w:bidi="ar"/>
              </w:rPr>
              <w:t>1个</w:t>
            </w:r>
            <w:bookmarkEnd w:id="9"/>
          </w:p>
        </w:tc>
        <w:tc>
          <w:tcPr>
            <w:tcW w:w="1134"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1个</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对外援助与合作项目媒体报道</w:t>
            </w:r>
          </w:p>
        </w:tc>
        <w:tc>
          <w:tcPr>
            <w:tcW w:w="1200"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≥5次</w:t>
            </w:r>
          </w:p>
        </w:tc>
        <w:tc>
          <w:tcPr>
            <w:tcW w:w="1134"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5次</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专家回国</w:t>
            </w:r>
          </w:p>
        </w:tc>
        <w:tc>
          <w:tcPr>
            <w:tcW w:w="1200" w:type="dxa"/>
            <w:noWrap w:val="0"/>
            <w:vAlign w:val="center"/>
          </w:tcPr>
          <w:p>
            <w:pPr>
              <w:widowControl/>
              <w:jc w:val="left"/>
              <w:rPr>
                <w:rFonts w:ascii="仿宋_GB2312" w:hAnsi="仿宋_GB2312" w:eastAsia="仿宋_GB2312" w:cs="仿宋_GB2312"/>
                <w:color w:val="000000"/>
                <w:kern w:val="0"/>
                <w:szCs w:val="21"/>
              </w:rPr>
            </w:pPr>
            <w:bookmarkStart w:id="10" w:name="OLE_LINK9"/>
            <w:r>
              <w:rPr>
                <w:rFonts w:hint="eastAsia" w:ascii="仿宋_GB2312" w:hAnsi="仿宋_GB2312" w:eastAsia="仿宋_GB2312" w:cs="仿宋_GB2312"/>
                <w:color w:val="000000"/>
                <w:kern w:val="0"/>
                <w:szCs w:val="21"/>
              </w:rPr>
              <w:t>　15名</w:t>
            </w:r>
            <w:bookmarkEnd w:id="10"/>
          </w:p>
        </w:tc>
        <w:tc>
          <w:tcPr>
            <w:tcW w:w="1134"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15名</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项目完工，完成验收</w:t>
            </w:r>
          </w:p>
        </w:tc>
        <w:tc>
          <w:tcPr>
            <w:tcW w:w="1200"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验收合格</w:t>
            </w:r>
            <w:bookmarkStart w:id="11" w:name="OLE_LINK3"/>
            <w:r>
              <w:rPr>
                <w:rFonts w:hint="eastAsia" w:ascii="仿宋_GB2312" w:hAnsi="仿宋_GB2312" w:eastAsia="仿宋_GB2312" w:cs="仿宋_GB2312"/>
                <w:color w:val="000000"/>
                <w:kern w:val="0"/>
                <w:szCs w:val="21"/>
                <w:lang w:bidi="ar"/>
              </w:rPr>
              <w:t>率100%</w:t>
            </w:r>
            <w:bookmarkEnd w:id="11"/>
          </w:p>
        </w:tc>
        <w:tc>
          <w:tcPr>
            <w:tcW w:w="1134"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验收合格率100%</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境外展会特装搭建验收</w:t>
            </w:r>
          </w:p>
        </w:tc>
        <w:tc>
          <w:tcPr>
            <w:tcW w:w="1200"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搭建合格率100%</w:t>
            </w:r>
          </w:p>
        </w:tc>
        <w:tc>
          <w:tcPr>
            <w:tcW w:w="1134"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搭建合格率100%</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课题验收</w:t>
            </w:r>
          </w:p>
        </w:tc>
        <w:tc>
          <w:tcPr>
            <w:tcW w:w="1200"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课题评审合格率100%</w:t>
            </w:r>
          </w:p>
        </w:tc>
        <w:tc>
          <w:tcPr>
            <w:tcW w:w="1134"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课题评审合格率100%</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援萨摩亚第5期项目竣工及完成验收时间</w:t>
            </w:r>
          </w:p>
        </w:tc>
        <w:tc>
          <w:tcPr>
            <w:tcW w:w="1200"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2024年1月</w:t>
            </w:r>
          </w:p>
        </w:tc>
        <w:tc>
          <w:tcPr>
            <w:tcW w:w="1134"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2024年1月</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展会完成期限，课题报告完成期限</w:t>
            </w:r>
          </w:p>
        </w:tc>
        <w:tc>
          <w:tcPr>
            <w:tcW w:w="1200" w:type="dxa"/>
            <w:noWrap w:val="0"/>
            <w:vAlign w:val="center"/>
          </w:tcPr>
          <w:p>
            <w:pPr>
              <w:widowControl/>
              <w:jc w:val="center"/>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按时</w:t>
            </w:r>
          </w:p>
        </w:tc>
        <w:tc>
          <w:tcPr>
            <w:tcW w:w="1134" w:type="dxa"/>
            <w:noWrap w:val="0"/>
            <w:vAlign w:val="center"/>
          </w:tcPr>
          <w:p>
            <w:pPr>
              <w:widowControl/>
              <w:jc w:val="center"/>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按时</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技术服务费及津贴</w:t>
            </w:r>
          </w:p>
        </w:tc>
        <w:tc>
          <w:tcPr>
            <w:tcW w:w="1200" w:type="dxa"/>
            <w:noWrap w:val="0"/>
            <w:vAlign w:val="center"/>
          </w:tcPr>
          <w:p>
            <w:pPr>
              <w:widowControl/>
              <w:jc w:val="left"/>
              <w:textAlignment w:val="center"/>
              <w:rPr>
                <w:rFonts w:hint="eastAsia" w:ascii="仿宋_GB2312" w:hAnsi="仿宋_GB2312" w:eastAsia="仿宋_GB2312" w:cs="仿宋_GB2312"/>
                <w:color w:val="000000"/>
                <w:kern w:val="0"/>
                <w:szCs w:val="21"/>
              </w:rPr>
            </w:pPr>
            <w:r>
              <w:rPr>
                <w:rFonts w:ascii="Arial" w:hAnsi="Arial" w:eastAsia="仿宋_GB2312" w:cs="Arial"/>
                <w:color w:val="000000"/>
                <w:kern w:val="0"/>
                <w:szCs w:val="21"/>
                <w:lang w:bidi="ar"/>
              </w:rPr>
              <w:t>≤</w:t>
            </w:r>
            <w:r>
              <w:rPr>
                <w:rFonts w:hint="eastAsia" w:ascii="仿宋_GB2312" w:hAnsi="仿宋_GB2312" w:eastAsia="仿宋_GB2312" w:cs="仿宋_GB2312"/>
                <w:color w:val="000000"/>
                <w:kern w:val="0"/>
                <w:szCs w:val="21"/>
                <w:lang w:bidi="ar"/>
              </w:rPr>
              <w:t>26万元</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bookmarkStart w:id="12" w:name="OLE_LINK11"/>
            <w:r>
              <w:rPr>
                <w:rFonts w:hint="eastAsia" w:ascii="仿宋_GB2312" w:hAnsi="仿宋_GB2312" w:eastAsia="仿宋_GB2312" w:cs="仿宋_GB2312"/>
                <w:color w:val="000000"/>
                <w:kern w:val="0"/>
                <w:szCs w:val="21"/>
              </w:rPr>
              <w:t>完成</w:t>
            </w:r>
            <w:bookmarkEnd w:id="12"/>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促进农产品出口额持续增长</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1亿美元</w:t>
            </w:r>
          </w:p>
        </w:tc>
        <w:tc>
          <w:tcPr>
            <w:tcW w:w="1134" w:type="dxa"/>
            <w:noWrap w:val="0"/>
            <w:vAlign w:val="center"/>
          </w:tcPr>
          <w:p>
            <w:pPr>
              <w:widowControl/>
              <w:jc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完成</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援萨摩亚农业第5期项目增加农民收入</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≥50万元</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完成</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bookmarkStart w:id="13" w:name="OLE_LINK12"/>
            <w:r>
              <w:rPr>
                <w:rFonts w:hint="eastAsia" w:ascii="仿宋_GB2312" w:hAnsi="仿宋_GB2312" w:eastAsia="仿宋_GB2312" w:cs="仿宋_GB2312"/>
                <w:color w:val="000000"/>
                <w:kern w:val="0"/>
                <w:szCs w:val="21"/>
                <w:lang w:bidi="ar"/>
              </w:rPr>
              <w:t>课题报告提供详尽客观的数据分析</w:t>
            </w:r>
            <w:bookmarkEnd w:id="13"/>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bidi="ar"/>
              </w:rPr>
              <w:t>课题报告提供详尽客观的数据分析</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完成</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境外参展企业满意度</w:t>
            </w:r>
          </w:p>
        </w:tc>
        <w:tc>
          <w:tcPr>
            <w:tcW w:w="1200" w:type="dxa"/>
            <w:noWrap w:val="0"/>
            <w:vAlign w:val="center"/>
          </w:tcPr>
          <w:p>
            <w:pPr>
              <w:widowControl/>
              <w:jc w:val="left"/>
              <w:rPr>
                <w:rFonts w:hint="eastAsia" w:ascii="仿宋_GB2312" w:hAnsi="仿宋_GB2312" w:eastAsia="仿宋_GB2312" w:cs="仿宋_GB2312"/>
                <w:color w:val="000000"/>
                <w:kern w:val="0"/>
                <w:szCs w:val="21"/>
              </w:rPr>
            </w:pPr>
            <w:bookmarkStart w:id="14" w:name="OLE_LINK4"/>
            <w:r>
              <w:rPr>
                <w:rFonts w:hint="eastAsia" w:ascii="仿宋_GB2312" w:hAnsi="仿宋_GB2312" w:eastAsia="仿宋_GB2312" w:cs="仿宋_GB2312"/>
                <w:color w:val="000000"/>
                <w:kern w:val="0"/>
                <w:szCs w:val="21"/>
              </w:rPr>
              <w:t>　</w:t>
            </w:r>
            <w:bookmarkStart w:id="15" w:name="OLE_LINK5"/>
            <w:r>
              <w:rPr>
                <w:rFonts w:hint="eastAsia" w:ascii="仿宋_GB2312" w:hAnsi="仿宋_GB2312" w:eastAsia="仿宋_GB2312" w:cs="仿宋_GB2312"/>
                <w:color w:val="000000"/>
                <w:kern w:val="0"/>
                <w:szCs w:val="21"/>
              </w:rPr>
              <w:t>≥</w:t>
            </w:r>
            <w:bookmarkEnd w:id="15"/>
            <w:r>
              <w:rPr>
                <w:rFonts w:hint="eastAsia" w:ascii="仿宋_GB2312" w:hAnsi="仿宋_GB2312" w:eastAsia="仿宋_GB2312" w:cs="仿宋_GB2312"/>
                <w:color w:val="000000"/>
                <w:kern w:val="0"/>
                <w:szCs w:val="21"/>
              </w:rPr>
              <w:t>90%</w:t>
            </w:r>
            <w:bookmarkEnd w:id="14"/>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9</w:t>
            </w:r>
            <w:r>
              <w:rPr>
                <w:rFonts w:ascii="仿宋_GB2312" w:hAnsi="仿宋_GB2312" w:eastAsia="仿宋_GB2312" w:cs="仿宋_GB2312"/>
                <w:color w:val="000000"/>
                <w:kern w:val="0"/>
                <w:szCs w:val="21"/>
              </w:rPr>
              <w:t>5</w:t>
            </w:r>
            <w:r>
              <w:rPr>
                <w:rFonts w:hint="eastAsia" w:ascii="仿宋_GB2312" w:hAnsi="仿宋_GB2312" w:eastAsia="仿宋_GB2312" w:cs="仿宋_GB2312"/>
                <w:color w:val="000000"/>
                <w:kern w:val="0"/>
                <w:szCs w:val="21"/>
              </w:rPr>
              <w:t>%</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1395" w:type="dxa"/>
            <w:vMerge w:val="continue"/>
            <w:noWrap w:val="0"/>
            <w:vAlign w:val="center"/>
          </w:tcPr>
          <w:p>
            <w:pPr>
              <w:widowControl/>
              <w:jc w:val="left"/>
              <w:rPr>
                <w:rFonts w:eastAsia="仿宋_GB2312"/>
                <w:color w:val="000000"/>
                <w:kern w:val="0"/>
                <w:szCs w:val="21"/>
              </w:rPr>
            </w:pPr>
          </w:p>
        </w:tc>
        <w:tc>
          <w:tcPr>
            <w:tcW w:w="1252" w:type="dxa"/>
            <w:vMerge w:val="continue"/>
            <w:noWrap w:val="0"/>
            <w:vAlign w:val="center"/>
          </w:tcPr>
          <w:p>
            <w:pPr>
              <w:widowControl/>
              <w:jc w:val="left"/>
              <w:rPr>
                <w:rFonts w:eastAsia="仿宋_GB2312"/>
                <w:color w:val="000000"/>
                <w:kern w:val="0"/>
                <w:szCs w:val="21"/>
              </w:rPr>
            </w:pPr>
          </w:p>
        </w:tc>
        <w:tc>
          <w:tcPr>
            <w:tcW w:w="1209" w:type="dxa"/>
            <w:gridSpan w:val="2"/>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bidi="ar"/>
              </w:rPr>
              <w:t>援萨摩亚农业第5期项目农户满意率</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≥90%</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9</w:t>
            </w:r>
            <w:r>
              <w:rPr>
                <w:rFonts w:ascii="仿宋_GB2312" w:hAnsi="仿宋_GB2312" w:eastAsia="仿宋_GB2312" w:cs="仿宋_GB2312"/>
                <w:color w:val="000000"/>
                <w:kern w:val="0"/>
                <w:szCs w:val="21"/>
              </w:rPr>
              <w:t>5</w:t>
            </w:r>
            <w:r>
              <w:rPr>
                <w:rFonts w:hint="eastAsia" w:ascii="仿宋_GB2312" w:hAnsi="仿宋_GB2312" w:eastAsia="仿宋_GB2312" w:cs="仿宋_GB2312"/>
                <w:color w:val="000000"/>
                <w:kern w:val="0"/>
                <w:szCs w:val="21"/>
              </w:rPr>
              <w:t>%</w:t>
            </w:r>
          </w:p>
        </w:tc>
        <w:tc>
          <w:tcPr>
            <w:tcW w:w="709"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70"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pPr>
              <w:widowControl/>
              <w:jc w:val="left"/>
              <w:rPr>
                <w:rFonts w:eastAsia="仿宋_GB2312"/>
                <w:color w:val="000000"/>
                <w:kern w:val="0"/>
                <w:szCs w:val="21"/>
              </w:rPr>
            </w:pPr>
            <w:r>
              <w:rPr>
                <w:rFonts w:hint="eastAsia" w:eastAsia="仿宋_GB2312"/>
                <w:color w:val="000000"/>
                <w:kern w:val="0"/>
                <w:szCs w:val="21"/>
              </w:rPr>
              <w:t>97.38</w:t>
            </w:r>
            <w:r>
              <w:rPr>
                <w:rFonts w:eastAsia="仿宋_GB2312"/>
                <w:color w:val="000000"/>
                <w:kern w:val="0"/>
                <w:szCs w:val="21"/>
              </w:rPr>
              <w:t>　</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eastAsia="黑体"/>
          <w:sz w:val="32"/>
          <w:szCs w:val="32"/>
        </w:rPr>
      </w:pPr>
    </w:p>
    <w:p>
      <w:pPr>
        <w:widowControl/>
        <w:jc w:val="left"/>
        <w:rPr>
          <w:rFonts w:eastAsia="黑体"/>
          <w:sz w:val="32"/>
          <w:szCs w:val="32"/>
        </w:rPr>
      </w:pPr>
      <w:bookmarkStart w:id="16" w:name="OLE_LINK13"/>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hint="eastAsia" w:eastAsia="黑体"/>
          <w:sz w:val="32"/>
          <w:szCs w:val="32"/>
          <w:lang w:val="en-US" w:eastAsia="zh-CN"/>
        </w:rPr>
      </w:pPr>
      <w:r>
        <w:rPr>
          <w:rFonts w:eastAsia="黑体"/>
          <w:sz w:val="32"/>
          <w:szCs w:val="32"/>
        </w:rPr>
        <w:t>附件</w:t>
      </w:r>
      <w:r>
        <w:rPr>
          <w:rFonts w:hint="eastAsia" w:eastAsia="黑体"/>
          <w:sz w:val="32"/>
          <w:szCs w:val="32"/>
          <w:lang w:val="en-US" w:eastAsia="zh-CN"/>
        </w:rPr>
        <w:t>3</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2024</w:t>
      </w:r>
      <w:r>
        <w:rPr>
          <w:rFonts w:eastAsia="仿宋_GB2312"/>
          <w:color w:val="000000"/>
          <w:kern w:val="0"/>
          <w:szCs w:val="21"/>
        </w:rPr>
        <w:t>年度）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83"/>
        <w:gridCol w:w="1472"/>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268" w:type="dxa"/>
            <w:gridSpan w:val="8"/>
            <w:noWrap w:val="0"/>
            <w:vAlign w:val="center"/>
          </w:tcPr>
          <w:p>
            <w:pPr>
              <w:widowControl/>
              <w:jc w:val="center"/>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其他事业发展专项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015"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hint="eastAsia" w:eastAsia="仿宋_GB2312"/>
                <w:color w:val="000000"/>
                <w:kern w:val="0"/>
                <w:szCs w:val="21"/>
              </w:rPr>
              <w:t>湖南省农业对外经济合作中心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83"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472"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38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134.14</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256.14</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88.90</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rPr>
              <w:t>34.70%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100.90</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222.90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33.24</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33.24</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15"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5015"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0"/>
                <w:szCs w:val="20"/>
                <w:lang w:bidi="ar"/>
              </w:rPr>
              <w:t>开展农业利用外资项目实施管理工作的指导、咨询、培训，确保世行农田污染管理圆满竣工、农发乡村振兴项目加快实施进度；接受财政委托的外贷项目绩效评价工作，按要求完成并提交绩效评价报告；围绕农产品贸易课题开展相关研究，形成年度和季度贸易发展报告以及相关专题报告；结合农业农村部对湖南贸易救济工作的要求，开展我省产业损害监测预警方面的研究，形成相应的报告。</w:t>
            </w:r>
          </w:p>
        </w:tc>
        <w:tc>
          <w:tcPr>
            <w:tcW w:w="4253"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0"/>
                <w:szCs w:val="20"/>
                <w:lang w:bidi="ar"/>
              </w:rPr>
              <w:t>开展农业利用外资项目实施管理工作的指导、咨询、培训，确保世行农田污染管理圆满竣工、农发乡村振兴项目加快实施进度；接受财政委托的外贷项目绩效评价工作，按要求完成并提交绩效评价报告；围绕农产品贸易课题开展相关研究，形成年度和季度贸易发展报告以及相关专题报告；结合农业农村部对湖南贸易救济工作的要求，开展我省产业损害监测预警方面的研究，形成相应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8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72"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383" w:type="dxa"/>
            <w:noWrap w:val="0"/>
            <w:vAlign w:val="center"/>
          </w:tcPr>
          <w:p>
            <w:pPr>
              <w:widowControl/>
              <w:textAlignment w:val="center"/>
              <w:rPr>
                <w:rFonts w:eastAsia="仿宋_GB2312"/>
                <w:color w:val="000000"/>
                <w:kern w:val="0"/>
                <w:szCs w:val="21"/>
              </w:rPr>
            </w:pPr>
            <w:r>
              <w:rPr>
                <w:rFonts w:hint="eastAsia" w:ascii="仿宋" w:hAnsi="仿宋" w:eastAsia="仿宋" w:cs="仿宋"/>
                <w:color w:val="000000"/>
                <w:kern w:val="0"/>
                <w:sz w:val="20"/>
                <w:szCs w:val="20"/>
                <w:lang w:bidi="ar"/>
              </w:rPr>
              <w:t>课题研究报告不少于1次</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ascii="Times New Roman" w:hAnsi="Times New Roman" w:eastAsia="仿宋_GB2312"/>
                <w:color w:val="000000"/>
                <w:kern w:val="0"/>
                <w:szCs w:val="21"/>
              </w:rPr>
              <w:t>≥</w:t>
            </w:r>
            <w:r>
              <w:rPr>
                <w:rFonts w:hint="eastAsia" w:ascii="Times New Roman" w:hAnsi="Times New Roman" w:eastAsia="仿宋_GB2312"/>
                <w:color w:val="000000"/>
                <w:kern w:val="0"/>
                <w:szCs w:val="21"/>
              </w:rPr>
              <w:t>1次</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Times New Roman" w:hAnsi="Times New Roman" w:eastAsia="仿宋_GB2312"/>
                <w:color w:val="000000"/>
                <w:kern w:val="0"/>
                <w:szCs w:val="21"/>
              </w:rPr>
              <w:t>1次</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筹备</w:t>
            </w:r>
            <w:r>
              <w:rPr>
                <w:rFonts w:ascii="Times New Roman" w:hAnsi="Times New Roman" w:eastAsia="仿宋_GB2312"/>
                <w:color w:val="000000"/>
                <w:kern w:val="0"/>
                <w:szCs w:val="21"/>
              </w:rPr>
              <w:t>世界银行贷款绿色农业和乡村振兴湖南项目</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按要求完成筹备工作</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完成</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383" w:type="dxa"/>
            <w:noWrap w:val="0"/>
            <w:vAlign w:val="center"/>
          </w:tcPr>
          <w:p>
            <w:pPr>
              <w:widowControl/>
              <w:jc w:val="left"/>
              <w:rPr>
                <w:rFonts w:eastAsia="仿宋_GB2312"/>
                <w:color w:val="000000"/>
                <w:kern w:val="0"/>
                <w:szCs w:val="21"/>
              </w:rPr>
            </w:pPr>
            <w:r>
              <w:rPr>
                <w:rFonts w:hint="eastAsia" w:ascii="Times New Roman" w:hAnsi="Times New Roman" w:eastAsia="仿宋_GB2312"/>
                <w:color w:val="000000"/>
                <w:kern w:val="0"/>
                <w:szCs w:val="21"/>
                <w:lang w:bidi="ar"/>
              </w:rPr>
              <w:t>完成世行农田项目竣工验收，农发乡村振兴项目</w:t>
            </w:r>
            <w:r>
              <w:rPr>
                <w:rFonts w:ascii="Times New Roman" w:hAnsi="Times New Roman" w:eastAsia="仿宋_GB2312"/>
                <w:color w:val="000000"/>
                <w:kern w:val="0"/>
                <w:szCs w:val="21"/>
                <w:lang w:bidi="ar"/>
              </w:rPr>
              <w:t>咨询指导、培训100%完成，外贷项目绩效评价报告100%合格</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100%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100%</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20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20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各项工作开展的时限</w:t>
            </w:r>
          </w:p>
        </w:tc>
        <w:tc>
          <w:tcPr>
            <w:tcW w:w="1472"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2024年12月31日</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rPr>
              <w:t>按时完成</w:t>
            </w:r>
          </w:p>
        </w:tc>
        <w:tc>
          <w:tcPr>
            <w:tcW w:w="828"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项目成本</w:t>
            </w:r>
          </w:p>
        </w:tc>
        <w:tc>
          <w:tcPr>
            <w:tcW w:w="1472" w:type="dxa"/>
            <w:noWrap w:val="0"/>
            <w:vAlign w:val="center"/>
          </w:tcPr>
          <w:p>
            <w:pPr>
              <w:widowControl/>
              <w:jc w:val="left"/>
              <w:rPr>
                <w:rFonts w:eastAsia="仿宋_GB2312"/>
                <w:color w:val="000000"/>
                <w:kern w:val="0"/>
                <w:szCs w:val="21"/>
              </w:rPr>
            </w:pPr>
            <w:r>
              <w:rPr>
                <w:rFonts w:hint="eastAsia" w:eastAsia="仿宋_GB2312"/>
                <w:color w:val="000000"/>
                <w:kern w:val="0"/>
                <w:szCs w:val="21"/>
              </w:rPr>
              <w:t>控制在预算范围内</w:t>
            </w:r>
          </w:p>
        </w:tc>
        <w:tc>
          <w:tcPr>
            <w:tcW w:w="1134"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完成</w:t>
            </w:r>
          </w:p>
        </w:tc>
        <w:tc>
          <w:tcPr>
            <w:tcW w:w="828" w:type="dxa"/>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接待国际农发基金人员考察</w:t>
            </w:r>
          </w:p>
        </w:tc>
        <w:tc>
          <w:tcPr>
            <w:tcW w:w="1472" w:type="dxa"/>
            <w:noWrap w:val="0"/>
            <w:vAlign w:val="center"/>
          </w:tcPr>
          <w:p>
            <w:pPr>
              <w:widowControl/>
              <w:jc w:val="center"/>
              <w:rPr>
                <w:rFonts w:eastAsia="仿宋_GB2312"/>
                <w:color w:val="000000"/>
                <w:kern w:val="0"/>
                <w:szCs w:val="21"/>
              </w:rPr>
            </w:pPr>
            <w:r>
              <w:rPr>
                <w:rFonts w:eastAsia="仿宋_GB2312"/>
                <w:color w:val="000000"/>
                <w:kern w:val="0"/>
                <w:szCs w:val="21"/>
              </w:rPr>
              <w:t>1人次</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1人次　</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指导、咨询、培训发挥的效应</w:t>
            </w:r>
          </w:p>
        </w:tc>
        <w:tc>
          <w:tcPr>
            <w:tcW w:w="1472"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完成的指导、咨询、培训促进和加快农发项目实施，世行农田污染管理项目促进了粮食安全生产</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完成</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rPr>
              <w:t>增强农业抵御自然灾害的能力</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增加</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增加</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rPr>
              <w:t>进一步推动了地方经济的发展</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推动</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推动</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受益群众满意度</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ascii="Times New Roman" w:hAnsi="Times New Roman" w:eastAsia="仿宋_GB2312"/>
                <w:color w:val="000000"/>
                <w:kern w:val="0"/>
                <w:szCs w:val="21"/>
              </w:rPr>
              <w:t>≥</w:t>
            </w:r>
            <w:r>
              <w:rPr>
                <w:rFonts w:eastAsia="仿宋_GB2312"/>
                <w:color w:val="000000"/>
                <w:kern w:val="0"/>
                <w:szCs w:val="21"/>
              </w:rPr>
              <w:t>90%</w:t>
            </w:r>
          </w:p>
        </w:tc>
        <w:tc>
          <w:tcPr>
            <w:tcW w:w="1134" w:type="dxa"/>
            <w:noWrap w:val="0"/>
            <w:vAlign w:val="center"/>
          </w:tcPr>
          <w:p>
            <w:pPr>
              <w:widowControl/>
              <w:jc w:val="center"/>
              <w:rPr>
                <w:rFonts w:eastAsia="仿宋_GB2312"/>
                <w:color w:val="000000"/>
                <w:kern w:val="0"/>
                <w:szCs w:val="21"/>
              </w:rPr>
            </w:pPr>
            <w:r>
              <w:rPr>
                <w:rFonts w:ascii="Times New Roman" w:hAnsi="Times New Roman" w:eastAsia="仿宋_GB2312"/>
                <w:color w:val="000000"/>
                <w:kern w:val="0"/>
                <w:szCs w:val="21"/>
                <w:lang w:bidi="ar"/>
              </w:rPr>
              <w:t>95%</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9"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rPr>
              <w:t>93.47</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hint="eastAsia" w:eastAsia="黑体"/>
          <w:sz w:val="32"/>
          <w:szCs w:val="32"/>
          <w:lang w:val="en-US"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4</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2024</w:t>
      </w:r>
      <w:r>
        <w:rPr>
          <w:rFonts w:eastAsia="仿宋_GB2312"/>
          <w:color w:val="000000"/>
          <w:kern w:val="0"/>
          <w:szCs w:val="21"/>
        </w:rPr>
        <w:t>年度）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83"/>
        <w:gridCol w:w="1472"/>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268" w:type="dxa"/>
            <w:gridSpan w:val="8"/>
            <w:noWrap w:val="0"/>
            <w:vAlign w:val="center"/>
          </w:tcPr>
          <w:p>
            <w:pPr>
              <w:widowControl/>
              <w:jc w:val="center"/>
              <w:rPr>
                <w:rFonts w:eastAsia="仿宋_GB2312"/>
                <w:color w:val="000000"/>
                <w:kern w:val="0"/>
                <w:szCs w:val="21"/>
              </w:rPr>
            </w:pPr>
            <w:bookmarkStart w:id="17" w:name="OLE_LINK26"/>
            <w:r>
              <w:rPr>
                <w:rFonts w:hint="eastAsia" w:eastAsia="仿宋_GB2312"/>
                <w:color w:val="000000"/>
                <w:kern w:val="0"/>
                <w:szCs w:val="21"/>
              </w:rPr>
              <w:t>对外经济合作资金</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015"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hint="eastAsia" w:eastAsia="仿宋_GB2312"/>
                <w:color w:val="000000"/>
                <w:kern w:val="0"/>
                <w:szCs w:val="21"/>
              </w:rPr>
              <w:t>湖南省农业对外经济合作中心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83"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472"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bookmarkStart w:id="18" w:name="OLE_LINK15" w:colFirst="2" w:colLast="2"/>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383" w:type="dxa"/>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3</w:t>
            </w:r>
          </w:p>
        </w:tc>
        <w:tc>
          <w:tcPr>
            <w:tcW w:w="1472" w:type="dxa"/>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3</w:t>
            </w:r>
          </w:p>
        </w:tc>
        <w:tc>
          <w:tcPr>
            <w:tcW w:w="1134" w:type="dxa"/>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val="en-US" w:eastAsia="zh-CN"/>
              </w:rPr>
              <w:t>3</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100</w:t>
            </w:r>
            <w:r>
              <w:rPr>
                <w:rFonts w:hint="eastAsia" w:eastAsia="仿宋_GB2312"/>
                <w:color w:val="000000"/>
                <w:kern w:val="0"/>
                <w:szCs w:val="21"/>
              </w:rPr>
              <w:t>%</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38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1472"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383" w:type="dxa"/>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3</w:t>
            </w:r>
          </w:p>
        </w:tc>
        <w:tc>
          <w:tcPr>
            <w:tcW w:w="1472"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15"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5015"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bookmarkStart w:id="19" w:name="OLE_LINK27"/>
            <w:r>
              <w:rPr>
                <w:rFonts w:hint="eastAsia" w:ascii="仿宋_GB2312" w:hAnsi="仿宋_GB2312" w:eastAsia="仿宋_GB2312" w:cs="仿宋_GB2312"/>
                <w:color w:val="000000"/>
                <w:kern w:val="0"/>
                <w:sz w:val="20"/>
                <w:szCs w:val="20"/>
                <w:lang w:bidi="ar"/>
              </w:rPr>
              <w:t>用于2024年度农业援外项目检查验收任务，保障农业援外项目检查验收任务的圆满完成。</w:t>
            </w:r>
            <w:bookmarkEnd w:id="19"/>
          </w:p>
        </w:tc>
        <w:tc>
          <w:tcPr>
            <w:tcW w:w="4253"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0"/>
                <w:szCs w:val="20"/>
                <w:lang w:bidi="ar"/>
              </w:rPr>
              <w:t>用于2024年度农业援外项目检查验收任务，保障农业援外项目检查验收任务的圆满完成。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8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72"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pPr>
              <w:jc w:val="left"/>
              <w:rPr>
                <w:rFonts w:eastAsia="仿宋_GB2312"/>
                <w:color w:val="000000"/>
                <w:kern w:val="0"/>
                <w:szCs w:val="21"/>
              </w:rPr>
            </w:pPr>
            <w:bookmarkStart w:id="20" w:name="OLE_LINK30" w:colFirst="6" w:colLast="6"/>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383" w:type="dxa"/>
            <w:noWrap w:val="0"/>
            <w:vAlign w:val="center"/>
          </w:tcPr>
          <w:p>
            <w:pPr>
              <w:widowControl/>
              <w:textAlignment w:val="center"/>
              <w:rPr>
                <w:rFonts w:eastAsia="仿宋_GB2312"/>
                <w:color w:val="000000"/>
                <w:kern w:val="0"/>
                <w:szCs w:val="21"/>
              </w:rPr>
            </w:pPr>
            <w:r>
              <w:rPr>
                <w:rFonts w:hint="eastAsia" w:ascii="仿宋" w:hAnsi="仿宋" w:eastAsia="仿宋" w:cs="仿宋"/>
                <w:color w:val="000000"/>
                <w:kern w:val="0"/>
                <w:sz w:val="20"/>
                <w:szCs w:val="20"/>
                <w:lang w:bidi="ar"/>
              </w:rPr>
              <w:t>农业援外项目检查验收任务</w:t>
            </w:r>
          </w:p>
        </w:tc>
        <w:tc>
          <w:tcPr>
            <w:tcW w:w="1472" w:type="dxa"/>
            <w:noWrap w:val="0"/>
            <w:vAlign w:val="center"/>
          </w:tcPr>
          <w:p>
            <w:pPr>
              <w:widowControl/>
              <w:jc w:val="left"/>
              <w:rPr>
                <w:rFonts w:eastAsia="仿宋_GB2312"/>
                <w:color w:val="000000"/>
                <w:kern w:val="0"/>
                <w:szCs w:val="21"/>
              </w:rPr>
            </w:pPr>
          </w:p>
        </w:tc>
        <w:tc>
          <w:tcPr>
            <w:tcW w:w="1134" w:type="dxa"/>
            <w:noWrap w:val="0"/>
            <w:vAlign w:val="center"/>
          </w:tcPr>
          <w:p>
            <w:pPr>
              <w:widowControl/>
              <w:jc w:val="left"/>
              <w:rPr>
                <w:rFonts w:eastAsia="仿宋_GB2312"/>
                <w:color w:val="000000"/>
                <w:kern w:val="0"/>
                <w:szCs w:val="21"/>
              </w:rPr>
            </w:pP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383" w:type="dxa"/>
            <w:noWrap w:val="0"/>
            <w:vAlign w:val="center"/>
          </w:tcPr>
          <w:p>
            <w:pPr>
              <w:widowControl/>
              <w:jc w:val="left"/>
              <w:rPr>
                <w:rFonts w:eastAsia="仿宋_GB2312"/>
                <w:color w:val="000000"/>
                <w:kern w:val="0"/>
                <w:szCs w:val="21"/>
              </w:rPr>
            </w:pPr>
            <w:r>
              <w:rPr>
                <w:rFonts w:hint="eastAsia" w:eastAsia="仿宋_GB2312"/>
                <w:color w:val="000000"/>
                <w:kern w:val="0"/>
                <w:szCs w:val="21"/>
              </w:rPr>
              <w:t>高质量使用好对外合作资金</w:t>
            </w:r>
          </w:p>
        </w:tc>
        <w:tc>
          <w:tcPr>
            <w:tcW w:w="1472" w:type="dxa"/>
            <w:noWrap w:val="0"/>
            <w:vAlign w:val="center"/>
          </w:tcPr>
          <w:p>
            <w:pPr>
              <w:widowControl/>
              <w:jc w:val="left"/>
              <w:rPr>
                <w:rFonts w:eastAsia="仿宋_GB2312"/>
                <w:color w:val="000000"/>
                <w:kern w:val="0"/>
                <w:szCs w:val="21"/>
              </w:rPr>
            </w:pPr>
            <w:r>
              <w:rPr>
                <w:rFonts w:hint="eastAsia" w:eastAsia="仿宋_GB2312"/>
                <w:color w:val="000000"/>
                <w:kern w:val="0"/>
                <w:szCs w:val="21"/>
              </w:rPr>
              <w:t>高质量</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高质量</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各项工作开展的时限</w:t>
            </w:r>
          </w:p>
        </w:tc>
        <w:tc>
          <w:tcPr>
            <w:tcW w:w="1472"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2024年12月31日</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rPr>
              <w:t>按时完成</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项目成本</w:t>
            </w:r>
          </w:p>
        </w:tc>
        <w:tc>
          <w:tcPr>
            <w:tcW w:w="1472" w:type="dxa"/>
            <w:noWrap w:val="0"/>
            <w:vAlign w:val="center"/>
          </w:tcPr>
          <w:p>
            <w:pPr>
              <w:widowControl/>
              <w:jc w:val="left"/>
              <w:rPr>
                <w:rFonts w:hint="default" w:eastAsia="仿宋_GB2312"/>
                <w:color w:val="000000"/>
                <w:kern w:val="0"/>
                <w:szCs w:val="21"/>
                <w:lang w:val="en-US" w:eastAsia="zh-CN"/>
              </w:rPr>
            </w:pPr>
            <w:r>
              <w:rPr>
                <w:rFonts w:hint="default" w:ascii="Arial" w:hAnsi="Arial" w:eastAsia="仿宋_GB2312" w:cs="Arial"/>
                <w:color w:val="000000"/>
                <w:kern w:val="0"/>
                <w:szCs w:val="21"/>
              </w:rPr>
              <w:t>≤</w:t>
            </w:r>
            <w:r>
              <w:rPr>
                <w:rFonts w:hint="eastAsia" w:eastAsia="仿宋_GB2312"/>
                <w:color w:val="000000"/>
                <w:kern w:val="0"/>
                <w:szCs w:val="21"/>
                <w:lang w:val="en-US" w:eastAsia="zh-CN"/>
              </w:rPr>
              <w:t>3万元</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3万元</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8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color w:val="000000"/>
                <w:kern w:val="0"/>
                <w:sz w:val="20"/>
                <w:szCs w:val="20"/>
                <w:u w:val="none"/>
                <w:lang w:val="en-US" w:eastAsia="zh-CN" w:bidi="ar"/>
              </w:rPr>
              <w:t>保障农业援外项目检查验收任务的圆满完成</w:t>
            </w:r>
          </w:p>
        </w:tc>
        <w:tc>
          <w:tcPr>
            <w:tcW w:w="1472"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_GB2312" w:hAnsi="宋体" w:eastAsia="仿宋_GB2312" w:cs="仿宋_GB2312"/>
                <w:i w:val="0"/>
                <w:color w:val="000000"/>
                <w:kern w:val="0"/>
                <w:sz w:val="20"/>
                <w:szCs w:val="20"/>
                <w:u w:val="none"/>
                <w:lang w:val="en-US" w:eastAsia="zh-CN" w:bidi="ar"/>
              </w:rPr>
              <w:t>通过对外合作资金的支持，圆满完成验收任务</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_GB2312" w:hAnsi="宋体" w:eastAsia="仿宋_GB2312" w:cs="仿宋_GB2312"/>
                <w:i w:val="0"/>
                <w:color w:val="000000"/>
                <w:kern w:val="0"/>
                <w:sz w:val="20"/>
                <w:szCs w:val="20"/>
                <w:u w:val="none"/>
                <w:lang w:val="en-US" w:eastAsia="zh-CN" w:bidi="ar"/>
              </w:rPr>
              <w:t>圆满完成</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83"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rPr>
              <w:t>进一步推动了地方经济的发展</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推动</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推动</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w:t>
            </w:r>
            <w:r>
              <w:rPr>
                <w:rFonts w:hint="eastAsia" w:eastAsia="仿宋_GB2312"/>
                <w:color w:val="000000"/>
                <w:kern w:val="0"/>
                <w:szCs w:val="21"/>
              </w:rPr>
              <w:t>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83"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受益群众</w:t>
            </w:r>
            <w:r>
              <w:rPr>
                <w:rFonts w:eastAsia="仿宋_GB2312"/>
                <w:color w:val="000000"/>
                <w:kern w:val="0"/>
                <w:szCs w:val="21"/>
              </w:rPr>
              <w:t>满意度</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ascii="Times New Roman" w:hAnsi="Times New Roman" w:eastAsia="仿宋_GB2312"/>
                <w:color w:val="000000"/>
                <w:kern w:val="0"/>
                <w:szCs w:val="21"/>
              </w:rPr>
              <w:t>≥</w:t>
            </w:r>
            <w:r>
              <w:rPr>
                <w:rFonts w:eastAsia="仿宋_GB2312"/>
                <w:color w:val="000000"/>
                <w:kern w:val="0"/>
                <w:szCs w:val="21"/>
              </w:rPr>
              <w:t>90%</w:t>
            </w:r>
          </w:p>
        </w:tc>
        <w:tc>
          <w:tcPr>
            <w:tcW w:w="1134" w:type="dxa"/>
            <w:noWrap w:val="0"/>
            <w:vAlign w:val="center"/>
          </w:tcPr>
          <w:p>
            <w:pPr>
              <w:widowControl/>
              <w:jc w:val="center"/>
              <w:rPr>
                <w:rFonts w:eastAsia="仿宋_GB2312"/>
                <w:color w:val="000000"/>
                <w:kern w:val="0"/>
                <w:szCs w:val="21"/>
              </w:rPr>
            </w:pPr>
            <w:r>
              <w:rPr>
                <w:rFonts w:ascii="Times New Roman" w:hAnsi="Times New Roman" w:eastAsia="仿宋_GB2312"/>
                <w:color w:val="000000"/>
                <w:kern w:val="0"/>
                <w:szCs w:val="21"/>
                <w:lang w:bidi="ar"/>
              </w:rPr>
              <w:t>95%</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9"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hint="eastAsia" w:eastAsia="黑体"/>
          <w:sz w:val="32"/>
          <w:szCs w:val="32"/>
          <w:lang w:val="en-US" w:eastAsia="zh-CN"/>
        </w:rPr>
      </w:pPr>
      <w:r>
        <w:rPr>
          <w:rFonts w:eastAsia="黑体"/>
          <w:sz w:val="32"/>
          <w:szCs w:val="32"/>
        </w:rPr>
        <w:br w:type="page"/>
      </w:r>
      <w:bookmarkStart w:id="21" w:name="OLE_LINK6"/>
      <w:r>
        <w:rPr>
          <w:rFonts w:eastAsia="黑体"/>
          <w:sz w:val="32"/>
          <w:szCs w:val="32"/>
        </w:rPr>
        <w:t>附件</w:t>
      </w:r>
      <w:r>
        <w:rPr>
          <w:rFonts w:hint="eastAsia" w:eastAsia="黑体"/>
          <w:sz w:val="32"/>
          <w:szCs w:val="32"/>
          <w:lang w:val="en-US" w:eastAsia="zh-CN"/>
        </w:rPr>
        <w:t>5</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2024</w:t>
      </w:r>
      <w:r>
        <w:rPr>
          <w:rFonts w:eastAsia="仿宋_GB2312"/>
          <w:color w:val="000000"/>
          <w:kern w:val="0"/>
          <w:szCs w:val="21"/>
        </w:rPr>
        <w:t>年度）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83"/>
        <w:gridCol w:w="1472"/>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268" w:type="dxa"/>
            <w:gridSpan w:val="8"/>
            <w:noWrap w:val="0"/>
            <w:vAlign w:val="center"/>
          </w:tcPr>
          <w:p>
            <w:pPr>
              <w:widowControl/>
              <w:jc w:val="center"/>
              <w:rPr>
                <w:rFonts w:eastAsia="仿宋_GB2312"/>
                <w:color w:val="000000"/>
                <w:kern w:val="0"/>
                <w:szCs w:val="21"/>
              </w:rPr>
            </w:pPr>
            <w:bookmarkStart w:id="22" w:name="OLE_LINK28"/>
            <w:r>
              <w:rPr>
                <w:rFonts w:hint="eastAsia" w:eastAsia="仿宋_GB2312"/>
                <w:color w:val="000000"/>
                <w:kern w:val="0"/>
                <w:szCs w:val="21"/>
              </w:rPr>
              <w:t>现代农业发展专项</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015"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hint="eastAsia" w:eastAsia="仿宋_GB2312"/>
                <w:color w:val="000000"/>
                <w:kern w:val="0"/>
                <w:szCs w:val="21"/>
              </w:rPr>
              <w:t>湖南省农业对外经济合作中心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83"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472"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383" w:type="dxa"/>
            <w:noWrap w:val="0"/>
            <w:vAlign w:val="center"/>
          </w:tcPr>
          <w:p>
            <w:pPr>
              <w:widowControl/>
              <w:jc w:val="center"/>
              <w:rPr>
                <w:rFonts w:hint="default" w:eastAsia="仿宋_GB2312"/>
                <w:color w:val="000000"/>
                <w:kern w:val="0"/>
                <w:szCs w:val="21"/>
                <w:lang w:val="en-US" w:eastAsia="zh-CN"/>
              </w:rPr>
            </w:pPr>
            <w:bookmarkStart w:id="23" w:name="OLE_LINK23"/>
            <w:r>
              <w:rPr>
                <w:rFonts w:hint="eastAsia" w:eastAsia="仿宋_GB2312"/>
                <w:color w:val="000000"/>
                <w:kern w:val="0"/>
                <w:szCs w:val="21"/>
                <w:lang w:val="en-US" w:eastAsia="zh-CN"/>
              </w:rPr>
              <w:t>2.93</w:t>
            </w:r>
            <w:bookmarkEnd w:id="23"/>
          </w:p>
        </w:tc>
        <w:tc>
          <w:tcPr>
            <w:tcW w:w="1472"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2.93</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kern w:val="0"/>
                <w:szCs w:val="21"/>
              </w:rPr>
              <w:t>2.34</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79.86</w:t>
            </w:r>
            <w:r>
              <w:rPr>
                <w:rFonts w:hint="eastAsia" w:eastAsia="仿宋_GB2312"/>
                <w:color w:val="000000"/>
                <w:kern w:val="0"/>
                <w:szCs w:val="21"/>
              </w:rPr>
              <w:t>%</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 xml:space="preserve"> 2.93</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 xml:space="preserve"> 2.93</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15"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5015"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bookmarkStart w:id="24" w:name="OLE_LINK29"/>
            <w:r>
              <w:rPr>
                <w:rFonts w:hint="eastAsia" w:ascii="仿宋_GB2312" w:hAnsi="仿宋_GB2312" w:eastAsia="仿宋_GB2312" w:cs="仿宋_GB2312"/>
                <w:color w:val="000000"/>
                <w:kern w:val="0"/>
                <w:sz w:val="20"/>
                <w:szCs w:val="20"/>
                <w:lang w:bidi="ar"/>
              </w:rPr>
              <w:t>指导14个项目县市区完成外资项目工作，项目进度提高。</w:t>
            </w:r>
            <w:bookmarkEnd w:id="24"/>
          </w:p>
        </w:tc>
        <w:tc>
          <w:tcPr>
            <w:tcW w:w="4253" w:type="dxa"/>
            <w:gridSpan w:val="4"/>
            <w:noWrap w:val="0"/>
            <w:vAlign w:val="center"/>
          </w:tcPr>
          <w:p>
            <w:pPr>
              <w:widowControl/>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0"/>
                <w:szCs w:val="20"/>
                <w:lang w:bidi="ar"/>
              </w:rPr>
              <w:t>指导14个项目县市区完成外资项目工作，项目进度提高。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8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72"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38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color w:val="000000"/>
                <w:kern w:val="0"/>
                <w:sz w:val="20"/>
                <w:szCs w:val="20"/>
                <w:u w:val="none"/>
                <w:lang w:val="en-US" w:eastAsia="zh-CN" w:bidi="ar"/>
              </w:rPr>
              <w:t>指导14个项目县市区完成外资项目工作</w:t>
            </w:r>
          </w:p>
        </w:tc>
        <w:tc>
          <w:tcPr>
            <w:tcW w:w="1472"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color w:val="000000"/>
                <w:kern w:val="0"/>
                <w:sz w:val="20"/>
                <w:szCs w:val="20"/>
                <w:u w:val="none"/>
                <w:lang w:val="en-US" w:eastAsia="zh-CN" w:bidi="ar"/>
              </w:rPr>
              <w:t>14个项目县市区。</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Times New Roman" w:hAnsi="Times New Roman" w:eastAsia="仿宋_GB2312"/>
                <w:color w:val="000000"/>
                <w:kern w:val="0"/>
                <w:szCs w:val="21"/>
              </w:rPr>
              <w:t>1次</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38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工作完成质量</w:t>
            </w:r>
          </w:p>
        </w:tc>
        <w:tc>
          <w:tcPr>
            <w:tcW w:w="1472" w:type="dxa"/>
            <w:noWrap w:val="0"/>
            <w:vAlign w:val="center"/>
          </w:tcPr>
          <w:p>
            <w:pPr>
              <w:widowControl/>
              <w:jc w:val="left"/>
              <w:rPr>
                <w:rFonts w:hint="default" w:eastAsia="仿宋_GB2312"/>
                <w:color w:val="000000"/>
                <w:kern w:val="0"/>
                <w:szCs w:val="21"/>
                <w:lang w:val="en-US" w:eastAsia="zh-CN"/>
              </w:rPr>
            </w:pPr>
            <w:bookmarkStart w:id="25" w:name="OLE_LINK16"/>
            <w:r>
              <w:rPr>
                <w:rFonts w:hint="eastAsia" w:eastAsia="仿宋_GB2312"/>
                <w:color w:val="000000"/>
                <w:kern w:val="0"/>
                <w:szCs w:val="21"/>
                <w:lang w:val="en-US" w:eastAsia="zh-CN"/>
              </w:rPr>
              <w:t>按外资项目要求完成</w:t>
            </w:r>
            <w:bookmarkEnd w:id="25"/>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按外资项目要求完成</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38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工作完成时限</w:t>
            </w:r>
          </w:p>
        </w:tc>
        <w:tc>
          <w:tcPr>
            <w:tcW w:w="1472" w:type="dxa"/>
            <w:noWrap w:val="0"/>
            <w:vAlign w:val="center"/>
          </w:tcPr>
          <w:p>
            <w:pPr>
              <w:widowControl/>
              <w:jc w:val="left"/>
              <w:rPr>
                <w:rFonts w:eastAsia="仿宋_GB2312"/>
                <w:color w:val="000000"/>
                <w:kern w:val="0"/>
                <w:szCs w:val="21"/>
              </w:rPr>
            </w:pPr>
            <w:r>
              <w:rPr>
                <w:rFonts w:ascii="Times New Roman" w:hAnsi="Times New Roman" w:eastAsia="仿宋_GB2312"/>
                <w:color w:val="000000"/>
                <w:kern w:val="0"/>
                <w:szCs w:val="21"/>
                <w:lang w:bidi="ar"/>
              </w:rPr>
              <w:t>2024年12月31日</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rPr>
              <w:t>按时完成</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项目成本</w:t>
            </w:r>
          </w:p>
        </w:tc>
        <w:tc>
          <w:tcPr>
            <w:tcW w:w="1472" w:type="dxa"/>
            <w:noWrap w:val="0"/>
            <w:vAlign w:val="center"/>
          </w:tcPr>
          <w:p>
            <w:pPr>
              <w:widowControl/>
              <w:jc w:val="left"/>
              <w:rPr>
                <w:rFonts w:hint="default" w:eastAsia="仿宋_GB2312"/>
                <w:color w:val="000000"/>
                <w:kern w:val="0"/>
                <w:szCs w:val="21"/>
                <w:lang w:val="en-US" w:eastAsia="zh-CN"/>
              </w:rPr>
            </w:pPr>
            <w:r>
              <w:rPr>
                <w:rFonts w:hint="default" w:ascii="Arial" w:hAnsi="Arial" w:eastAsia="仿宋_GB2312" w:cs="Arial"/>
                <w:color w:val="000000"/>
                <w:kern w:val="0"/>
                <w:szCs w:val="21"/>
              </w:rPr>
              <w:t>≤</w:t>
            </w:r>
            <w:r>
              <w:rPr>
                <w:rFonts w:hint="eastAsia" w:eastAsia="仿宋_GB2312"/>
                <w:color w:val="000000"/>
                <w:kern w:val="0"/>
                <w:szCs w:val="21"/>
                <w:lang w:val="en-US" w:eastAsia="zh-CN"/>
              </w:rPr>
              <w:t>2.93万元</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2.34万元</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83" w:type="dxa"/>
            <w:noWrap w:val="0"/>
            <w:vAlign w:val="center"/>
          </w:tcPr>
          <w:p>
            <w:pPr>
              <w:widowControl/>
              <w:jc w:val="left"/>
              <w:rPr>
                <w:rFonts w:eastAsia="仿宋_GB2312"/>
                <w:color w:val="000000"/>
                <w:kern w:val="0"/>
                <w:szCs w:val="21"/>
              </w:rPr>
            </w:pPr>
            <w:r>
              <w:rPr>
                <w:rFonts w:hint="eastAsia" w:ascii="仿宋" w:hAnsi="仿宋" w:eastAsia="仿宋" w:cs="仿宋"/>
                <w:i w:val="0"/>
                <w:color w:val="000000"/>
                <w:kern w:val="0"/>
                <w:sz w:val="20"/>
                <w:szCs w:val="20"/>
                <w:u w:val="none"/>
                <w:lang w:val="en-US" w:eastAsia="zh-CN" w:bidi="ar"/>
              </w:rPr>
              <w:t>项目进度</w:t>
            </w:r>
            <w:bookmarkStart w:id="26" w:name="OLE_LINK24"/>
            <w:r>
              <w:rPr>
                <w:rFonts w:hint="eastAsia" w:ascii="仿宋" w:hAnsi="仿宋" w:eastAsia="仿宋" w:cs="仿宋"/>
                <w:i w:val="0"/>
                <w:color w:val="000000"/>
                <w:kern w:val="0"/>
                <w:sz w:val="20"/>
                <w:szCs w:val="20"/>
                <w:u w:val="none"/>
                <w:lang w:val="en-US" w:eastAsia="zh-CN" w:bidi="ar"/>
              </w:rPr>
              <w:t>提高</w:t>
            </w:r>
            <w:bookmarkEnd w:id="26"/>
          </w:p>
        </w:tc>
        <w:tc>
          <w:tcPr>
            <w:tcW w:w="1472" w:type="dxa"/>
            <w:noWrap w:val="0"/>
            <w:vAlign w:val="center"/>
          </w:tcPr>
          <w:p>
            <w:pPr>
              <w:widowControl/>
              <w:jc w:val="center"/>
              <w:rPr>
                <w:rFonts w:eastAsia="仿宋_GB2312"/>
                <w:color w:val="000000"/>
                <w:kern w:val="0"/>
                <w:szCs w:val="21"/>
              </w:rPr>
            </w:pPr>
            <w:r>
              <w:rPr>
                <w:rFonts w:hint="eastAsia" w:ascii="仿宋" w:hAnsi="仿宋" w:eastAsia="仿宋" w:cs="仿宋"/>
                <w:i w:val="0"/>
                <w:color w:val="000000"/>
                <w:kern w:val="0"/>
                <w:sz w:val="20"/>
                <w:szCs w:val="20"/>
                <w:u w:val="none"/>
                <w:lang w:val="en-US" w:eastAsia="zh-CN" w:bidi="ar"/>
              </w:rPr>
              <w:t>提高</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仿宋" w:hAnsi="仿宋" w:eastAsia="仿宋" w:cs="仿宋"/>
                <w:i w:val="0"/>
                <w:color w:val="000000"/>
                <w:kern w:val="0"/>
                <w:sz w:val="20"/>
                <w:szCs w:val="20"/>
                <w:u w:val="none"/>
                <w:lang w:val="en-US" w:eastAsia="zh-CN" w:bidi="ar"/>
              </w:rPr>
              <w:t>提高</w:t>
            </w:r>
            <w:r>
              <w:rPr>
                <w:rFonts w:eastAsia="仿宋_GB2312"/>
                <w:color w:val="000000"/>
                <w:kern w:val="0"/>
                <w:szCs w:val="21"/>
              </w:rPr>
              <w:t>　</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83" w:type="dxa"/>
            <w:noWrap w:val="0"/>
            <w:vAlign w:val="center"/>
          </w:tcPr>
          <w:p>
            <w:pPr>
              <w:widowControl/>
              <w:jc w:val="left"/>
              <w:rPr>
                <w:rFonts w:eastAsia="仿宋_GB2312"/>
                <w:color w:val="000000"/>
                <w:kern w:val="0"/>
                <w:szCs w:val="21"/>
              </w:rPr>
            </w:pPr>
          </w:p>
        </w:tc>
        <w:tc>
          <w:tcPr>
            <w:tcW w:w="1472" w:type="dxa"/>
            <w:noWrap w:val="0"/>
            <w:vAlign w:val="center"/>
          </w:tcPr>
          <w:p>
            <w:pPr>
              <w:widowControl/>
              <w:jc w:val="left"/>
              <w:rPr>
                <w:rFonts w:eastAsia="仿宋_GB2312"/>
                <w:color w:val="000000"/>
                <w:kern w:val="0"/>
                <w:szCs w:val="21"/>
              </w:rPr>
            </w:pPr>
          </w:p>
        </w:tc>
        <w:tc>
          <w:tcPr>
            <w:tcW w:w="1134" w:type="dxa"/>
            <w:noWrap w:val="0"/>
            <w:vAlign w:val="center"/>
          </w:tcPr>
          <w:p>
            <w:pPr>
              <w:widowControl/>
              <w:jc w:val="left"/>
              <w:rPr>
                <w:rFonts w:eastAsia="仿宋_GB2312"/>
                <w:color w:val="000000"/>
                <w:kern w:val="0"/>
                <w:szCs w:val="21"/>
              </w:rPr>
            </w:pP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83" w:type="dxa"/>
            <w:noWrap w:val="0"/>
            <w:vAlign w:val="center"/>
          </w:tcPr>
          <w:p>
            <w:pPr>
              <w:widowControl/>
              <w:jc w:val="left"/>
              <w:rPr>
                <w:rFonts w:eastAsia="仿宋_GB2312"/>
                <w:color w:val="000000"/>
                <w:kern w:val="0"/>
                <w:szCs w:val="21"/>
              </w:rPr>
            </w:pPr>
          </w:p>
        </w:tc>
        <w:tc>
          <w:tcPr>
            <w:tcW w:w="1472" w:type="dxa"/>
            <w:noWrap w:val="0"/>
            <w:vAlign w:val="center"/>
          </w:tcPr>
          <w:p>
            <w:pPr>
              <w:widowControl/>
              <w:jc w:val="left"/>
              <w:rPr>
                <w:rFonts w:eastAsia="仿宋_GB2312"/>
                <w:color w:val="000000"/>
                <w:kern w:val="0"/>
                <w:szCs w:val="21"/>
              </w:rPr>
            </w:pPr>
          </w:p>
        </w:tc>
        <w:tc>
          <w:tcPr>
            <w:tcW w:w="1134" w:type="dxa"/>
            <w:noWrap w:val="0"/>
            <w:vAlign w:val="center"/>
          </w:tcPr>
          <w:p>
            <w:pPr>
              <w:widowControl/>
              <w:jc w:val="left"/>
              <w:rPr>
                <w:rFonts w:eastAsia="仿宋_GB2312"/>
                <w:color w:val="000000"/>
                <w:kern w:val="0"/>
                <w:szCs w:val="21"/>
              </w:rPr>
            </w:pP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83" w:type="dxa"/>
            <w:noWrap w:val="0"/>
            <w:vAlign w:val="center"/>
          </w:tcPr>
          <w:p>
            <w:pPr>
              <w:widowControl/>
              <w:jc w:val="left"/>
              <w:rPr>
                <w:rFonts w:eastAsia="仿宋_GB2312"/>
                <w:color w:val="000000"/>
                <w:kern w:val="0"/>
                <w:szCs w:val="21"/>
              </w:rPr>
            </w:pPr>
            <w:r>
              <w:rPr>
                <w:rFonts w:eastAsia="仿宋_GB2312"/>
                <w:color w:val="000000"/>
                <w:kern w:val="0"/>
                <w:szCs w:val="21"/>
              </w:rPr>
              <w:t>受益群众满意度</w:t>
            </w:r>
          </w:p>
        </w:tc>
        <w:tc>
          <w:tcPr>
            <w:tcW w:w="1472"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ascii="Times New Roman" w:hAnsi="Times New Roman" w:eastAsia="仿宋_GB2312"/>
                <w:color w:val="000000"/>
                <w:kern w:val="0"/>
                <w:szCs w:val="21"/>
              </w:rPr>
              <w:t>≥</w:t>
            </w:r>
            <w:r>
              <w:rPr>
                <w:rFonts w:eastAsia="仿宋_GB2312"/>
                <w:color w:val="000000"/>
                <w:kern w:val="0"/>
                <w:szCs w:val="21"/>
              </w:rPr>
              <w:t>90%</w:t>
            </w:r>
          </w:p>
        </w:tc>
        <w:tc>
          <w:tcPr>
            <w:tcW w:w="1134" w:type="dxa"/>
            <w:noWrap w:val="0"/>
            <w:vAlign w:val="center"/>
          </w:tcPr>
          <w:p>
            <w:pPr>
              <w:widowControl/>
              <w:jc w:val="center"/>
              <w:rPr>
                <w:rFonts w:eastAsia="仿宋_GB2312"/>
                <w:color w:val="000000"/>
                <w:kern w:val="0"/>
                <w:szCs w:val="21"/>
              </w:rPr>
            </w:pPr>
            <w:r>
              <w:rPr>
                <w:rFonts w:ascii="Times New Roman" w:hAnsi="Times New Roman" w:eastAsia="仿宋_GB2312"/>
                <w:color w:val="000000"/>
                <w:kern w:val="0"/>
                <w:szCs w:val="21"/>
                <w:lang w:bidi="ar"/>
              </w:rPr>
              <w:t>95%</w:t>
            </w:r>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29"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rPr>
              <w:t>9</w:t>
            </w:r>
            <w:r>
              <w:rPr>
                <w:rFonts w:hint="eastAsia" w:eastAsia="仿宋_GB2312"/>
                <w:color w:val="000000"/>
                <w:kern w:val="0"/>
                <w:szCs w:val="21"/>
                <w:lang w:val="en-US" w:eastAsia="zh-CN"/>
              </w:rPr>
              <w:t>7.97</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6"/>
    </w:tbl>
    <w:p>
      <w:pPr>
        <w:widowControl/>
        <w:jc w:val="left"/>
        <w:rPr>
          <w:rFonts w:hint="default" w:eastAsia="黑体"/>
          <w:sz w:val="32"/>
          <w:szCs w:val="32"/>
          <w:lang w:val="en-US" w:eastAsia="zh-CN"/>
        </w:rPr>
      </w:pPr>
      <w:r>
        <w:rPr>
          <w:rFonts w:eastAsia="黑体"/>
          <w:sz w:val="32"/>
          <w:szCs w:val="32"/>
        </w:rPr>
        <w:br w:type="page"/>
      </w:r>
      <w:bookmarkEnd w:id="21"/>
      <w:r>
        <w:rPr>
          <w:rFonts w:eastAsia="黑体"/>
          <w:sz w:val="32"/>
          <w:szCs w:val="32"/>
        </w:rPr>
        <w:t>附件</w:t>
      </w:r>
      <w:r>
        <w:rPr>
          <w:rFonts w:hint="eastAsia" w:eastAsia="黑体"/>
          <w:sz w:val="32"/>
          <w:szCs w:val="32"/>
          <w:lang w:val="en-US" w:eastAsia="zh-CN"/>
        </w:rPr>
        <w:t>6</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2024</w:t>
      </w:r>
      <w:r>
        <w:rPr>
          <w:rFonts w:eastAsia="仿宋_GB2312"/>
          <w:color w:val="000000"/>
          <w:kern w:val="0"/>
          <w:szCs w:val="21"/>
        </w:rPr>
        <w:t>年度）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eastAsia="仿宋_GB2312"/>
                <w:color w:val="000000"/>
                <w:kern w:val="0"/>
                <w:szCs w:val="21"/>
              </w:rPr>
            </w:pPr>
            <w:r>
              <w:rPr>
                <w:rFonts w:hint="eastAsia" w:eastAsia="仿宋_GB2312"/>
                <w:color w:val="000000"/>
                <w:kern w:val="0"/>
                <w:szCs w:val="21"/>
              </w:rPr>
              <w:t>业务工作经费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hint="eastAsia" w:eastAsia="仿宋_GB2312"/>
                <w:color w:val="000000"/>
                <w:kern w:val="0"/>
                <w:szCs w:val="21"/>
              </w:rPr>
              <w:t>湖南省农业对外经济合作中心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140.18</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140.18</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100.68</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rPr>
              <w:t>71.83%</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bookmarkStart w:id="27" w:name="OLE_LINK22" w:colFirst="2" w:colLast="2"/>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119.30</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119.30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20.88</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20.88</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tabs>
                <w:tab w:val="left" w:pos="1171"/>
                <w:tab w:val="center" w:pos="2421"/>
              </w:tabs>
              <w:jc w:val="left"/>
              <w:rPr>
                <w:rFonts w:eastAsia="仿宋_GB2312"/>
                <w:color w:val="000000"/>
                <w:kern w:val="0"/>
                <w:szCs w:val="21"/>
              </w:rPr>
            </w:pPr>
            <w:r>
              <w:rPr>
                <w:rFonts w:hint="eastAsia" w:eastAsia="仿宋_GB2312"/>
                <w:color w:val="000000"/>
                <w:kern w:val="0"/>
                <w:szCs w:val="21"/>
              </w:rPr>
              <w:t>围绕农产品贸易课题开展相关研究，形成年度和季度贸易发展报告以及相关专题报告；结合农业农村部对湖南贸易救济工作的要求，开展我省产业损害监测预警方面的研究，形成相应的报告；围绕大湾区、港澳和东盟、非洲等市场积极组织参加境外知名农业展会，以及开展相关贸易促进活动。</w:t>
            </w:r>
            <w:r>
              <w:rPr>
                <w:rFonts w:hint="eastAsia" w:eastAsia="仿宋_GB2312"/>
                <w:color w:val="000000"/>
                <w:kern w:val="0"/>
                <w:szCs w:val="21"/>
              </w:rPr>
              <w:tab/>
            </w:r>
            <w:r>
              <w:rPr>
                <w:rFonts w:eastAsia="仿宋_GB2312"/>
                <w:color w:val="000000"/>
                <w:kern w:val="0"/>
                <w:szCs w:val="21"/>
              </w:rPr>
              <w:t>　　</w:t>
            </w:r>
          </w:p>
        </w:tc>
        <w:tc>
          <w:tcPr>
            <w:tcW w:w="4253"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围绕农产品贸易课题开展相关研究，形成年度和季度贸易发展报告以及相关专题报告；结合农业农村部对湖南贸易救济工作的要求，开展我省产业损害监测预警方面的研究，形成相应的报告；围绕大湾区、港澳和东盟、非洲等市场积极组织参加境外知名农业展会，以及开展相关贸易促进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bookmarkStart w:id="28" w:name="OLE_LINK18" w:colFirst="5" w:colLast="5"/>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境外农业展会和农产品推广活动</w:t>
            </w:r>
            <w:bookmarkStart w:id="29" w:name="OLE_LINK20"/>
            <w:r>
              <w:rPr>
                <w:rFonts w:hint="eastAsia" w:ascii="仿宋" w:hAnsi="仿宋" w:eastAsia="仿宋" w:cs="仿宋"/>
                <w:color w:val="000000"/>
                <w:kern w:val="0"/>
                <w:sz w:val="20"/>
                <w:szCs w:val="20"/>
                <w:lang w:bidi="ar"/>
              </w:rPr>
              <w:t>不少于2次</w:t>
            </w:r>
            <w:bookmarkEnd w:id="29"/>
          </w:p>
        </w:tc>
        <w:tc>
          <w:tcPr>
            <w:tcW w:w="1209" w:type="dxa"/>
            <w:noWrap w:val="0"/>
            <w:vAlign w:val="center"/>
          </w:tcPr>
          <w:p>
            <w:pPr>
              <w:widowControl/>
              <w:jc w:val="center"/>
              <w:textAlignment w:val="center"/>
              <w:rPr>
                <w:rFonts w:eastAsia="仿宋_GB2312"/>
                <w:color w:val="000000"/>
                <w:kern w:val="0"/>
                <w:szCs w:val="21"/>
              </w:rPr>
            </w:pPr>
            <w:bookmarkStart w:id="30" w:name="OLE_LINK19"/>
            <w:r>
              <w:rPr>
                <w:rFonts w:hint="eastAsia" w:ascii="仿宋" w:hAnsi="仿宋" w:eastAsia="仿宋" w:cs="仿宋"/>
                <w:color w:val="000000"/>
                <w:kern w:val="0"/>
                <w:sz w:val="20"/>
                <w:szCs w:val="20"/>
                <w:lang w:bidi="ar"/>
              </w:rPr>
              <w:t>不少于2次</w:t>
            </w:r>
            <w:bookmarkEnd w:id="30"/>
          </w:p>
        </w:tc>
        <w:tc>
          <w:tcPr>
            <w:tcW w:w="1134" w:type="dxa"/>
            <w:noWrap w:val="0"/>
            <w:vAlign w:val="center"/>
          </w:tcPr>
          <w:p>
            <w:pPr>
              <w:widowControl/>
              <w:jc w:val="left"/>
              <w:rPr>
                <w:rFonts w:eastAsia="仿宋_GB2312"/>
                <w:color w:val="000000"/>
                <w:kern w:val="0"/>
                <w:szCs w:val="21"/>
              </w:rPr>
            </w:pPr>
            <w:bookmarkStart w:id="31" w:name="OLE_LINK21"/>
            <w:r>
              <w:rPr>
                <w:rFonts w:hint="eastAsia" w:ascii="仿宋_GB2312" w:hAnsi="宋体" w:eastAsia="仿宋_GB2312" w:cs="仿宋_GB2312"/>
                <w:color w:val="000000"/>
                <w:kern w:val="0"/>
                <w:sz w:val="20"/>
                <w:szCs w:val="20"/>
                <w:lang w:bidi="ar"/>
              </w:rPr>
              <w:t>展会活动3次</w:t>
            </w:r>
            <w:bookmarkEnd w:id="31"/>
          </w:p>
        </w:tc>
        <w:tc>
          <w:tcPr>
            <w:tcW w:w="828" w:type="dxa"/>
            <w:noWrap w:val="0"/>
            <w:vAlign w:val="center"/>
          </w:tcPr>
          <w:p>
            <w:pPr>
              <w:widowControl/>
              <w:jc w:val="center"/>
              <w:rPr>
                <w:rFonts w:eastAsia="仿宋_GB2312"/>
                <w:color w:val="000000"/>
                <w:kern w:val="0"/>
                <w:szCs w:val="21"/>
              </w:rPr>
            </w:pPr>
            <w:r>
              <w:rPr>
                <w:rFonts w:hint="eastAsia" w:eastAsia="仿宋_GB2312"/>
                <w:color w:val="000000"/>
                <w:kern w:val="0"/>
                <w:szCs w:val="21"/>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课题研究报告不少于1次,</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课题1次、</w:t>
            </w:r>
          </w:p>
        </w:tc>
        <w:tc>
          <w:tcPr>
            <w:tcW w:w="1134" w:type="dxa"/>
            <w:noWrap w:val="0"/>
            <w:vAlign w:val="center"/>
          </w:tcPr>
          <w:p>
            <w:pPr>
              <w:widowControl/>
              <w:jc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1次</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境外展会特装搭建验收100%合格</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100%</w:t>
            </w:r>
          </w:p>
        </w:tc>
        <w:tc>
          <w:tcPr>
            <w:tcW w:w="1134"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100%</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课题验收100%合格，</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100%</w:t>
            </w:r>
          </w:p>
        </w:tc>
        <w:tc>
          <w:tcPr>
            <w:tcW w:w="1134"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100%</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课题报告完成期限</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2024年12月31日</w:t>
            </w:r>
          </w:p>
        </w:tc>
        <w:tc>
          <w:tcPr>
            <w:tcW w:w="1134"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完成</w:t>
            </w:r>
          </w:p>
        </w:tc>
        <w:tc>
          <w:tcPr>
            <w:tcW w:w="828"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展会完成期限</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按时</w:t>
            </w:r>
          </w:p>
        </w:tc>
        <w:tc>
          <w:tcPr>
            <w:tcW w:w="1134"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按时</w:t>
            </w:r>
          </w:p>
        </w:tc>
        <w:tc>
          <w:tcPr>
            <w:tcW w:w="828"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降低企业参展投入成本</w:t>
            </w:r>
          </w:p>
        </w:tc>
        <w:tc>
          <w:tcPr>
            <w:tcW w:w="1209" w:type="dxa"/>
            <w:noWrap w:val="0"/>
            <w:vAlign w:val="center"/>
          </w:tcPr>
          <w:p>
            <w:pPr>
              <w:widowControl/>
              <w:jc w:val="left"/>
              <w:rPr>
                <w:rFonts w:eastAsia="仿宋_GB2312"/>
                <w:color w:val="000000"/>
                <w:kern w:val="0"/>
                <w:szCs w:val="21"/>
              </w:rPr>
            </w:pPr>
            <w:r>
              <w:rPr>
                <w:rFonts w:hint="eastAsia" w:eastAsia="仿宋_GB2312"/>
                <w:color w:val="000000"/>
                <w:kern w:val="0"/>
                <w:szCs w:val="21"/>
              </w:rPr>
              <w:t>≥</w:t>
            </w:r>
            <w:bookmarkStart w:id="32" w:name="OLE_LINK14"/>
            <w:r>
              <w:rPr>
                <w:rFonts w:hint="eastAsia" w:eastAsia="仿宋_GB2312"/>
                <w:color w:val="000000"/>
                <w:kern w:val="0"/>
                <w:szCs w:val="21"/>
              </w:rPr>
              <w:t>30%</w:t>
            </w:r>
            <w:bookmarkEnd w:id="32"/>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30%</w:t>
            </w:r>
          </w:p>
        </w:tc>
        <w:tc>
          <w:tcPr>
            <w:tcW w:w="828"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促进湖南省农产品出口额持续增长</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1亿美元</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rPr>
              <w:t>3亿美元</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课题报告提供详尽客观的数据分析</w:t>
            </w:r>
          </w:p>
        </w:tc>
        <w:tc>
          <w:tcPr>
            <w:tcW w:w="1209"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完成</w:t>
            </w:r>
          </w:p>
        </w:tc>
        <w:tc>
          <w:tcPr>
            <w:tcW w:w="1134" w:type="dxa"/>
            <w:noWrap w:val="0"/>
            <w:vAlign w:val="center"/>
          </w:tcPr>
          <w:p>
            <w:pPr>
              <w:widowControl/>
              <w:ind w:left="210" w:hanging="210" w:hangingChars="100"/>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较好 完成</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3</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jc w:val="center"/>
              <w:textAlignment w:val="center"/>
              <w:rPr>
                <w:rFonts w:eastAsia="仿宋_GB2312"/>
                <w:color w:val="000000"/>
                <w:kern w:val="0"/>
                <w:szCs w:val="21"/>
              </w:rPr>
            </w:pPr>
            <w:r>
              <w:rPr>
                <w:rFonts w:hint="eastAsia" w:ascii="仿宋" w:hAnsi="仿宋" w:eastAsia="仿宋" w:cs="仿宋"/>
                <w:color w:val="000000"/>
                <w:kern w:val="0"/>
                <w:sz w:val="20"/>
                <w:szCs w:val="20"/>
                <w:lang w:bidi="ar"/>
              </w:rPr>
              <w:t>境外参展企业满意度</w:t>
            </w:r>
          </w:p>
        </w:tc>
        <w:tc>
          <w:tcPr>
            <w:tcW w:w="1209" w:type="dxa"/>
            <w:noWrap w:val="0"/>
            <w:vAlign w:val="center"/>
          </w:tcPr>
          <w:p>
            <w:pPr>
              <w:widowControl/>
              <w:jc w:val="center"/>
              <w:textAlignment w:val="center"/>
              <w:rPr>
                <w:rFonts w:eastAsia="仿宋_GB2312"/>
                <w:color w:val="000000"/>
                <w:kern w:val="0"/>
                <w:szCs w:val="21"/>
              </w:rPr>
            </w:pPr>
            <w:r>
              <w:rPr>
                <w:rFonts w:hint="eastAsia" w:ascii="仿宋_GB2312" w:hAnsi="宋体" w:eastAsia="仿宋_GB2312" w:cs="仿宋_GB2312"/>
                <w:color w:val="000000"/>
                <w:kern w:val="0"/>
                <w:sz w:val="20"/>
                <w:szCs w:val="20"/>
                <w:lang w:bidi="ar"/>
              </w:rPr>
              <w:t>≥90%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95%</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rPr>
              <w:t>95.18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line="560" w:lineRule="exact"/>
        <w:jc w:val="center"/>
      </w:pPr>
    </w:p>
    <w:p/>
    <w:p>
      <w:pPr>
        <w:pStyle w:val="13"/>
        <w:spacing w:line="600" w:lineRule="exact"/>
        <w:ind w:firstLine="640" w:firstLineChars="200"/>
        <w:rPr>
          <w:rFonts w:ascii="Times New Roman" w:hAnsi="Times New Roman" w:eastAsia="仿宋_GB2312" w:cs="Times New Roman"/>
          <w:sz w:val="32"/>
          <w:szCs w:val="32"/>
        </w:rPr>
      </w:pPr>
    </w:p>
    <w:p>
      <w:pPr>
        <w:pStyle w:val="13"/>
        <w:spacing w:line="600" w:lineRule="exact"/>
        <w:ind w:firstLine="640" w:firstLineChars="200"/>
        <w:rPr>
          <w:rFonts w:ascii="Times New Roman" w:hAnsi="Times New Roman" w:eastAsia="仿宋_GB2312" w:cs="Times New Roman"/>
          <w:sz w:val="32"/>
          <w:szCs w:val="3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4008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abstractNum w:abstractNumId="1">
    <w:nsid w:val="C7E6926D"/>
    <w:multiLevelType w:val="singleLevel"/>
    <w:tmpl w:val="C7E6926D"/>
    <w:lvl w:ilvl="0" w:tentative="0">
      <w:start w:val="1"/>
      <w:numFmt w:val="decimal"/>
      <w:suff w:val="nothing"/>
      <w:lvlText w:val="%1、"/>
      <w:lvlJc w:val="left"/>
      <w:pPr>
        <w:ind w:left="840"/>
      </w:pPr>
    </w:lvl>
  </w:abstractNum>
  <w:abstractNum w:abstractNumId="2">
    <w:nsid w:val="EBD73273"/>
    <w:multiLevelType w:val="singleLevel"/>
    <w:tmpl w:val="EBD73273"/>
    <w:lvl w:ilvl="0" w:tentative="0">
      <w:start w:val="3"/>
      <w:numFmt w:val="chineseCounting"/>
      <w:suff w:val="nothing"/>
      <w:lvlText w:val="（%1）"/>
      <w:lvlJc w:val="left"/>
      <w:rPr>
        <w:rFonts w:hint="eastAsia"/>
      </w:rPr>
    </w:lvl>
  </w:abstractNum>
  <w:abstractNum w:abstractNumId="3">
    <w:nsid w:val="1D7A0AFE"/>
    <w:multiLevelType w:val="singleLevel"/>
    <w:tmpl w:val="1D7A0AFE"/>
    <w:lvl w:ilvl="0" w:tentative="0">
      <w:start w:val="1"/>
      <w:numFmt w:val="decimal"/>
      <w:suff w:val="nothing"/>
      <w:lvlText w:val="%1、"/>
      <w:lvlJc w:val="left"/>
      <w:pPr>
        <w:ind w:left="84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C06920"/>
    <w:rsid w:val="0BCE60C6"/>
    <w:rsid w:val="0CC66986"/>
    <w:rsid w:val="0DBF06AB"/>
    <w:rsid w:val="0E300598"/>
    <w:rsid w:val="104B379F"/>
    <w:rsid w:val="144A3D97"/>
    <w:rsid w:val="150B4B32"/>
    <w:rsid w:val="169F72CB"/>
    <w:rsid w:val="188D0130"/>
    <w:rsid w:val="1D97DEFF"/>
    <w:rsid w:val="1DA34089"/>
    <w:rsid w:val="1DFF72E5"/>
    <w:rsid w:val="1EFC6F07"/>
    <w:rsid w:val="205041D0"/>
    <w:rsid w:val="20C2731C"/>
    <w:rsid w:val="216C0C31"/>
    <w:rsid w:val="22685AA0"/>
    <w:rsid w:val="254D0EA1"/>
    <w:rsid w:val="2B377EC8"/>
    <w:rsid w:val="2CEBFC1F"/>
    <w:rsid w:val="2E553D35"/>
    <w:rsid w:val="2EAB4B17"/>
    <w:rsid w:val="2F0A7986"/>
    <w:rsid w:val="2FDF85B8"/>
    <w:rsid w:val="2FFFEE04"/>
    <w:rsid w:val="32030CD7"/>
    <w:rsid w:val="333F2065"/>
    <w:rsid w:val="339D151E"/>
    <w:rsid w:val="34DF85B0"/>
    <w:rsid w:val="39DD0AEA"/>
    <w:rsid w:val="3B1B5EB1"/>
    <w:rsid w:val="3B8F36BC"/>
    <w:rsid w:val="3DDA2043"/>
    <w:rsid w:val="3DE13DBD"/>
    <w:rsid w:val="3E9E2146"/>
    <w:rsid w:val="491FF225"/>
    <w:rsid w:val="49DC0A53"/>
    <w:rsid w:val="4A0C00F7"/>
    <w:rsid w:val="4DC80308"/>
    <w:rsid w:val="4E6D3DF9"/>
    <w:rsid w:val="4F230EAA"/>
    <w:rsid w:val="4F660CA8"/>
    <w:rsid w:val="4FFD214C"/>
    <w:rsid w:val="553C5568"/>
    <w:rsid w:val="5777D4F5"/>
    <w:rsid w:val="58C6644A"/>
    <w:rsid w:val="58EB555B"/>
    <w:rsid w:val="59DD8326"/>
    <w:rsid w:val="5BA63D15"/>
    <w:rsid w:val="5DEF592A"/>
    <w:rsid w:val="5F58482E"/>
    <w:rsid w:val="5FC6BB1E"/>
    <w:rsid w:val="5FF720F1"/>
    <w:rsid w:val="5FF908F3"/>
    <w:rsid w:val="5FFB3AEB"/>
    <w:rsid w:val="66F41DFA"/>
    <w:rsid w:val="6742564A"/>
    <w:rsid w:val="67FF5C0B"/>
    <w:rsid w:val="6D321230"/>
    <w:rsid w:val="6D54522A"/>
    <w:rsid w:val="6EFC0924"/>
    <w:rsid w:val="6FB74722"/>
    <w:rsid w:val="6FEF8B7E"/>
    <w:rsid w:val="706F5F36"/>
    <w:rsid w:val="71141E68"/>
    <w:rsid w:val="71A6591B"/>
    <w:rsid w:val="737D59BA"/>
    <w:rsid w:val="75F04448"/>
    <w:rsid w:val="77C37683"/>
    <w:rsid w:val="77F56573"/>
    <w:rsid w:val="79D19834"/>
    <w:rsid w:val="79FF515B"/>
    <w:rsid w:val="7A902015"/>
    <w:rsid w:val="7DCC1B81"/>
    <w:rsid w:val="7E9E1962"/>
    <w:rsid w:val="7E9F11B4"/>
    <w:rsid w:val="7F37EC1E"/>
    <w:rsid w:val="7F7DCD9D"/>
    <w:rsid w:val="7F970A6F"/>
    <w:rsid w:val="7FBB79E5"/>
    <w:rsid w:val="7FC1FFF3"/>
    <w:rsid w:val="7FC69637"/>
    <w:rsid w:val="7FDF8620"/>
    <w:rsid w:val="7FE8C8F7"/>
    <w:rsid w:val="7FFB242F"/>
    <w:rsid w:val="7FFDB408"/>
    <w:rsid w:val="7FFE4EEB"/>
    <w:rsid w:val="95FB2B98"/>
    <w:rsid w:val="9A639BC2"/>
    <w:rsid w:val="9FF7D786"/>
    <w:rsid w:val="ABBFB23D"/>
    <w:rsid w:val="C3B4DA5A"/>
    <w:rsid w:val="C7DF01E0"/>
    <w:rsid w:val="CBFF70E0"/>
    <w:rsid w:val="CFF50B82"/>
    <w:rsid w:val="CFFFAD89"/>
    <w:rsid w:val="DFFE359E"/>
    <w:rsid w:val="DFFE4FFD"/>
    <w:rsid w:val="EEABED75"/>
    <w:rsid w:val="EF6FE155"/>
    <w:rsid w:val="F56FDF51"/>
    <w:rsid w:val="F6B69F17"/>
    <w:rsid w:val="F77F1D61"/>
    <w:rsid w:val="F7FED3A9"/>
    <w:rsid w:val="F8C9DB26"/>
    <w:rsid w:val="F97D13A5"/>
    <w:rsid w:val="F97E8EAE"/>
    <w:rsid w:val="FB36E1A6"/>
    <w:rsid w:val="FB3BE134"/>
    <w:rsid w:val="FCFF4275"/>
    <w:rsid w:val="FD7FEEEA"/>
    <w:rsid w:val="FDFFB577"/>
    <w:rsid w:val="FDFFE845"/>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styleId="10">
    <w:name w:val="page number"/>
    <w:basedOn w:val="9"/>
    <w:qFormat/>
    <w:uiPriority w:val="0"/>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55</Pages>
  <Words>16733</Words>
  <Characters>19978</Characters>
  <Lines>69</Lines>
  <Paragraphs>19</Paragraphs>
  <TotalTime>5</TotalTime>
  <ScaleCrop>false</ScaleCrop>
  <LinksUpToDate>false</LinksUpToDate>
  <CharactersWithSpaces>20615</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2025-08-20T10:17:00Z</dcterms:created>
  <dc:creator>李航 null</dc:creator>
  <cp:lastModifiedBy>greatwall</cp:lastModifiedBy>
  <cp:lastPrinted>2024-08-10T18:20:00Z</cp:lastPrinted>
  <dcterms:modified xsi:type="dcterms:W3CDTF">2025-09-17T11:00:38Z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A773D49AC905472CAAAFB32DDB60BF51_13</vt:lpwstr>
  </property>
  <property fmtid="{D5CDD505-2E9C-101B-9397-08002B2CF9AE}" pid="4" name="KSOTemplateDocerSaveRecord">
    <vt:lpwstr>eyJoZGlkIjoiOTkxZjA4OWM3YzE4MmRmY2YzOGEzOTFkMmYzMTUxMWQifQ==</vt:lpwstr>
  </property>
</Properties>
</file>