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rFonts w:ascii="Times New Roman" w:hAnsi="Times New Roman" w:cs="Times New Roman"/>
          <w:sz w:val="56"/>
          <w:szCs w:val="56"/>
        </w:rPr>
      </w:pPr>
    </w:p>
    <w:p>
      <w:pPr>
        <w:pStyle w:val="15"/>
        <w:jc w:val="center"/>
        <w:rPr>
          <w:rFonts w:ascii="Times New Roman" w:hAnsi="Times New Roman" w:cs="Times New Roman"/>
          <w:sz w:val="84"/>
          <w:szCs w:val="84"/>
        </w:rPr>
      </w:pPr>
    </w:p>
    <w:p>
      <w:pPr>
        <w:pStyle w:val="15"/>
        <w:jc w:val="center"/>
        <w:rPr>
          <w:rFonts w:ascii="Times New Roman" w:hAnsi="Times New Roman" w:cs="Times New Roman"/>
          <w:sz w:val="84"/>
          <w:szCs w:val="84"/>
        </w:rPr>
      </w:pPr>
    </w:p>
    <w:p>
      <w:pPr>
        <w:pStyle w:val="15"/>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5"/>
        <w:jc w:val="center"/>
        <w:rPr>
          <w:rFonts w:ascii="Times New Roman" w:hAnsi="Times New Roman" w:eastAsia="方正小标宋简体" w:cs="Times New Roman"/>
          <w:sz w:val="72"/>
          <w:szCs w:val="72"/>
        </w:rPr>
      </w:pPr>
      <w:r>
        <w:rPr>
          <w:rFonts w:hint="eastAsia" w:ascii="方正小标宋_GBK" w:hAnsi="方正小标宋_GBK" w:eastAsia="方正小标宋_GBK" w:cs="方正小标宋_GBK"/>
          <w:color w:val="auto"/>
          <w:sz w:val="72"/>
          <w:szCs w:val="72"/>
        </w:rPr>
        <w:t>湖南省乡村发展基金会办室</w:t>
      </w:r>
      <w:r>
        <w:rPr>
          <w:rFonts w:ascii="Times New Roman" w:hAnsi="Times New Roman" w:eastAsia="方正小标宋简体" w:cs="Times New Roman"/>
          <w:sz w:val="72"/>
          <w:szCs w:val="72"/>
        </w:rPr>
        <w:t>决算</w:t>
      </w:r>
    </w:p>
    <w:p>
      <w:pPr>
        <w:pStyle w:val="15"/>
        <w:jc w:val="center"/>
        <w:rPr>
          <w:rFonts w:ascii="Times New Roman" w:hAnsi="Times New Roman" w:eastAsia="方正小标宋_GBK" w:cs="Times New Roman"/>
          <w:sz w:val="56"/>
          <w:szCs w:val="56"/>
        </w:rPr>
      </w:pPr>
    </w:p>
    <w:p>
      <w:pPr>
        <w:pStyle w:val="15"/>
        <w:jc w:val="center"/>
        <w:rPr>
          <w:rFonts w:ascii="Times New Roman" w:hAnsi="Times New Roman" w:cs="Times New Roman"/>
          <w:sz w:val="56"/>
          <w:szCs w:val="56"/>
        </w:rPr>
      </w:pPr>
    </w:p>
    <w:p>
      <w:pPr>
        <w:pStyle w:val="15"/>
        <w:rPr>
          <w:rFonts w:ascii="Times New Roman" w:hAnsi="Times New Roman" w:cs="Times New Roman"/>
          <w:sz w:val="56"/>
          <w:szCs w:val="56"/>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rPr>
          <w:rFonts w:ascii="Times New Roman" w:hAnsi="Times New Roman" w:cs="Times New Roman"/>
          <w:b/>
          <w:sz w:val="36"/>
          <w:szCs w:val="28"/>
        </w:rPr>
        <w:sectPr>
          <w:pgSz w:w="11906" w:h="16838"/>
          <w:pgMar w:top="1417" w:right="1588" w:bottom="1417" w:left="1588" w:header="851" w:footer="992" w:gutter="0"/>
          <w:cols w:space="425" w:num="1"/>
          <w:docGrid w:type="lines" w:linePitch="312" w:charSpace="0"/>
        </w:sectPr>
      </w:pPr>
    </w:p>
    <w:p>
      <w:pPr>
        <w:pStyle w:val="15"/>
        <w:spacing w:line="600" w:lineRule="exact"/>
        <w:jc w:val="both"/>
        <w:rPr>
          <w:rFonts w:ascii="Times New Roman" w:hAnsi="Times New Roman" w:cs="Times New Roman"/>
          <w:b/>
          <w:sz w:val="36"/>
          <w:szCs w:val="28"/>
        </w:rPr>
      </w:pPr>
    </w:p>
    <w:p>
      <w:pPr>
        <w:pStyle w:val="15"/>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5"/>
        <w:spacing w:line="600" w:lineRule="exact"/>
        <w:jc w:val="center"/>
        <w:rPr>
          <w:rFonts w:ascii="Times New Roman" w:hAnsi="Times New Roman" w:cs="Times New Roman"/>
          <w:b/>
          <w:sz w:val="36"/>
          <w:szCs w:val="28"/>
        </w:rPr>
      </w:pPr>
    </w:p>
    <w:p>
      <w:pPr>
        <w:pStyle w:val="15"/>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eastAsia="zh-CN"/>
        </w:rPr>
        <w:t>湖南省乡村发展基金会办公室单位</w:t>
      </w:r>
      <w:r>
        <w:rPr>
          <w:rFonts w:ascii="Times New Roman" w:hAnsi="Times New Roman" w:cs="Times New Roman"/>
          <w:bCs/>
          <w:sz w:val="32"/>
          <w:szCs w:val="32"/>
        </w:rPr>
        <w:t>概况</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5"/>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2"/>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5"/>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eastAsia="zh-CN"/>
        </w:rPr>
        <w:t>湖南省乡村发展基金会办公室</w:t>
      </w:r>
      <w:r>
        <w:rPr>
          <w:rFonts w:ascii="Times New Roman" w:hAnsi="Times New Roman" w:eastAsia="方正小标宋_GBK" w:cs="Times New Roman"/>
          <w:sz w:val="52"/>
          <w:szCs w:val="52"/>
        </w:rPr>
        <w:t>概况</w:t>
      </w:r>
    </w:p>
    <w:p>
      <w:pPr>
        <w:pStyle w:val="3"/>
        <w:ind w:left="0" w:leftChars="0" w:firstLine="0" w:firstLineChars="0"/>
        <w:rPr>
          <w:rFonts w:ascii="Times New Roman" w:hAnsi="Times New Roman" w:cs="Times New Roman"/>
        </w:rPr>
      </w:pPr>
    </w:p>
    <w:p>
      <w:pPr>
        <w:pStyle w:val="16"/>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widowControl/>
        <w:spacing w:line="600" w:lineRule="exact"/>
        <w:ind w:firstLine="640" w:firstLineChars="200"/>
        <w:rPr>
          <w:rFonts w:hint="eastAsia" w:ascii="仿宋_GB2312" w:eastAsia="仿宋_GB2312" w:cs="仿宋_GB2312" w:hAnsiTheme="minorEastAsia"/>
          <w:sz w:val="32"/>
          <w:szCs w:val="32"/>
          <w:shd w:val="clear" w:color="auto" w:fill="FFFFFF"/>
        </w:rPr>
      </w:pPr>
      <w:r>
        <w:rPr>
          <w:rFonts w:hint="eastAsia" w:ascii="仿宋_GB2312" w:eastAsia="仿宋_GB2312" w:cs="仿宋_GB2312" w:hAnsiTheme="minorEastAsia"/>
          <w:sz w:val="32"/>
          <w:szCs w:val="32"/>
        </w:rPr>
        <w:t>本单位是湖南省乡村发展基金会办公室，由</w:t>
      </w:r>
      <w:r>
        <w:rPr>
          <w:rFonts w:hint="eastAsia" w:ascii="仿宋_GB2312" w:eastAsia="仿宋_GB2312" w:cs="仿宋_GB2312" w:hAnsiTheme="minorEastAsia"/>
          <w:sz w:val="32"/>
          <w:szCs w:val="32"/>
          <w:shd w:val="clear" w:color="auto" w:fill="FFFFFF"/>
        </w:rPr>
        <w:t>湖南省</w:t>
      </w:r>
      <w:r>
        <w:rPr>
          <w:rFonts w:hint="eastAsia" w:ascii="仿宋_GB2312" w:eastAsia="仿宋_GB2312" w:cs="仿宋_GB2312" w:hAnsiTheme="minorEastAsia"/>
          <w:sz w:val="32"/>
          <w:szCs w:val="32"/>
          <w:shd w:val="clear" w:color="auto" w:fill="FFFFFF"/>
          <w:lang w:eastAsia="zh-CN"/>
        </w:rPr>
        <w:t>农业农村厅</w:t>
      </w:r>
      <w:r>
        <w:rPr>
          <w:rFonts w:hint="eastAsia" w:ascii="仿宋_GB2312" w:eastAsia="仿宋_GB2312" w:cs="仿宋_GB2312" w:hAnsiTheme="minorEastAsia"/>
          <w:sz w:val="32"/>
          <w:szCs w:val="32"/>
        </w:rPr>
        <w:t>主管，</w:t>
      </w:r>
      <w:r>
        <w:rPr>
          <w:rFonts w:hint="eastAsia" w:ascii="仿宋_GB2312" w:eastAsia="仿宋_GB2312" w:cs="仿宋_GB2312" w:hAnsiTheme="minorEastAsia"/>
          <w:sz w:val="32"/>
          <w:szCs w:val="32"/>
          <w:shd w:val="clear" w:color="auto" w:fill="FFFFFF"/>
        </w:rPr>
        <w:t>主要负责</w:t>
      </w:r>
      <w:r>
        <w:rPr>
          <w:rFonts w:hint="eastAsia" w:ascii="仿宋_GB2312" w:eastAsia="仿宋_GB2312" w:hAnsiTheme="minorEastAsia"/>
          <w:sz w:val="32"/>
          <w:szCs w:val="32"/>
        </w:rPr>
        <w:t>研究提出我省乡村振兴公益事业有关政策建议;指导、协调全省社会各界参与乡村振兴公益活动;接受管理社会帮扶捐赠资金和物资;加强与国内外公益慈善机构联系和交流;组织开展乡村振兴公益项目活动</w:t>
      </w:r>
      <w:r>
        <w:rPr>
          <w:rFonts w:hint="eastAsia" w:ascii="仿宋_GB2312" w:eastAsia="仿宋_GB2312" w:cs="仿宋_GB2312" w:hAnsiTheme="minorEastAsia"/>
          <w:sz w:val="32"/>
          <w:szCs w:val="32"/>
          <w:shd w:val="clear" w:color="auto" w:fill="FFFFFF"/>
        </w:rPr>
        <w:t>。</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autoSpaceDE w:val="0"/>
        <w:spacing w:beforeLines="100" w:line="700" w:lineRule="exact"/>
        <w:jc w:val="left"/>
        <w:rPr>
          <w:rFonts w:ascii="黑体" w:hAnsi="仿宋_GB2312" w:eastAsia="黑体" w:cs="仿宋_GB2312"/>
          <w:sz w:val="32"/>
          <w:szCs w:val="32"/>
          <w:shd w:val="clear" w:color="auto" w:fill="FFFFFF"/>
        </w:rPr>
      </w:pPr>
      <w:r>
        <w:rPr>
          <w:rFonts w:ascii="Times New Roman" w:hAnsi="Times New Roman" w:eastAsia="仿宋_GB2312" w:cs="Times New Roman"/>
          <w:bCs/>
          <w:kern w:val="0"/>
          <w:sz w:val="32"/>
          <w:szCs w:val="32"/>
        </w:rPr>
        <w:t>（一）内设机构设置。</w:t>
      </w:r>
      <w:r>
        <w:rPr>
          <w:rFonts w:hint="eastAsia" w:ascii="仿宋_GB2312" w:eastAsia="仿宋_GB2312" w:hAnsiTheme="minorEastAsia"/>
          <w:bCs/>
          <w:kern w:val="0"/>
          <w:sz w:val="32"/>
          <w:szCs w:val="32"/>
        </w:rPr>
        <w:t>湖南省乡村发展基金会办公室是湖南</w:t>
      </w:r>
      <w:r>
        <w:rPr>
          <w:rFonts w:hint="eastAsia" w:ascii="仿宋_GB2312" w:hAnsi="仿宋_GB2312" w:eastAsia="仿宋_GB2312" w:cs="仿宋_GB2312"/>
          <w:sz w:val="32"/>
          <w:szCs w:val="32"/>
          <w:shd w:val="clear" w:color="auto" w:fill="FFFFFF"/>
        </w:rPr>
        <w:t>省</w:t>
      </w:r>
      <w:r>
        <w:rPr>
          <w:rFonts w:hint="eastAsia" w:ascii="仿宋_GB2312" w:hAnsi="仿宋_GB2312" w:eastAsia="仿宋_GB2312" w:cs="仿宋_GB2312"/>
          <w:sz w:val="32"/>
          <w:szCs w:val="32"/>
          <w:shd w:val="clear" w:color="auto" w:fill="FFFFFF"/>
          <w:lang w:eastAsia="zh-CN"/>
        </w:rPr>
        <w:t>农业农村厅</w:t>
      </w:r>
      <w:r>
        <w:rPr>
          <w:rFonts w:hint="eastAsia" w:ascii="仿宋_GB2312" w:eastAsia="仿宋_GB2312" w:hAnsiTheme="minorEastAsia"/>
          <w:bCs/>
          <w:kern w:val="0"/>
          <w:sz w:val="32"/>
          <w:szCs w:val="32"/>
        </w:rPr>
        <w:t>的二级</w:t>
      </w:r>
      <w:r>
        <w:rPr>
          <w:rFonts w:hint="eastAsia" w:ascii="仿宋_GB2312" w:eastAsia="仿宋_GB2312" w:hAnsiTheme="minorEastAsia"/>
          <w:bCs/>
          <w:kern w:val="0"/>
          <w:sz w:val="32"/>
          <w:szCs w:val="32"/>
          <w:lang w:eastAsia="zh-CN"/>
        </w:rPr>
        <w:t>参公</w:t>
      </w:r>
      <w:r>
        <w:rPr>
          <w:rFonts w:hint="eastAsia" w:ascii="仿宋_GB2312" w:eastAsia="仿宋_GB2312" w:hAnsiTheme="minorEastAsia"/>
          <w:bCs/>
          <w:kern w:val="0"/>
          <w:sz w:val="32"/>
          <w:szCs w:val="32"/>
        </w:rPr>
        <w:t>事业单位，目前在编</w:t>
      </w:r>
      <w:r>
        <w:rPr>
          <w:rFonts w:hint="eastAsia" w:ascii="仿宋_GB2312" w:eastAsia="仿宋_GB2312" w:hAnsiTheme="minorEastAsia"/>
          <w:bCs/>
          <w:kern w:val="0"/>
          <w:sz w:val="32"/>
          <w:szCs w:val="32"/>
          <w:lang w:val="en-US" w:eastAsia="zh-CN"/>
        </w:rPr>
        <w:t>5</w:t>
      </w:r>
      <w:r>
        <w:rPr>
          <w:rFonts w:hint="eastAsia" w:ascii="仿宋_GB2312" w:eastAsia="仿宋_GB2312" w:hAnsiTheme="minorEastAsia"/>
          <w:bCs/>
          <w:kern w:val="0"/>
          <w:sz w:val="32"/>
          <w:szCs w:val="32"/>
        </w:rPr>
        <w:t>人，退休1人，内设办公室、财务科。</w:t>
      </w:r>
    </w:p>
    <w:p>
      <w:pPr>
        <w:widowControl/>
        <w:spacing w:line="600" w:lineRule="exact"/>
        <w:rPr>
          <w:rFonts w:ascii="Times New Roman" w:hAnsi="Times New Roman" w:eastAsia="仿宋_GB2312" w:cs="Times New Roman"/>
          <w:bCs/>
          <w:kern w:val="0"/>
          <w:sz w:val="32"/>
          <w:szCs w:val="32"/>
          <w:highlight w:val="none"/>
        </w:rPr>
      </w:pPr>
      <w:r>
        <w:rPr>
          <w:rFonts w:ascii="Times New Roman" w:hAnsi="Times New Roman" w:eastAsia="仿宋_GB2312" w:cs="Times New Roman"/>
          <w:bCs/>
          <w:kern w:val="0"/>
          <w:sz w:val="32"/>
          <w:szCs w:val="32"/>
        </w:rPr>
        <w:t>（二）</w:t>
      </w:r>
      <w:r>
        <w:rPr>
          <w:rFonts w:ascii="Times New Roman" w:hAnsi="Times New Roman" w:eastAsia="仿宋_GB2312" w:cs="Times New Roman"/>
          <w:bCs/>
          <w:kern w:val="0"/>
          <w:sz w:val="32"/>
          <w:szCs w:val="32"/>
          <w:highlight w:val="none"/>
        </w:rPr>
        <w:t>决算单位构成。</w:t>
      </w:r>
      <w:r>
        <w:rPr>
          <w:rFonts w:hint="eastAsia" w:ascii="仿宋_GB2312" w:hAnsi="仿宋_GB2312" w:eastAsia="仿宋_GB2312" w:cs="仿宋_GB2312"/>
          <w:sz w:val="32"/>
          <w:szCs w:val="32"/>
          <w:highlight w:val="none"/>
          <w:shd w:val="clear" w:color="auto" w:fill="FFFFFF"/>
        </w:rPr>
        <w:t>湖南省乡村发展基金会办公室</w:t>
      </w:r>
      <w:r>
        <w:rPr>
          <w:rFonts w:ascii="Times New Roman" w:hAnsi="Times New Roman" w:eastAsia="仿宋_GB2312" w:cs="Times New Roman"/>
          <w:bCs/>
          <w:kern w:val="0"/>
          <w:sz w:val="32"/>
          <w:szCs w:val="32"/>
        </w:rPr>
        <w:t>2024年部门决算汇总公开单位构成包括：</w:t>
      </w:r>
      <w:r>
        <w:rPr>
          <w:rFonts w:hint="eastAsia" w:ascii="仿宋_GB2312" w:hAnsi="仿宋_GB2312" w:eastAsia="仿宋_GB2312" w:cs="仿宋_GB2312"/>
          <w:sz w:val="32"/>
          <w:szCs w:val="32"/>
          <w:highlight w:val="none"/>
          <w:shd w:val="clear" w:color="auto" w:fill="FFFFFF"/>
        </w:rPr>
        <w:t>湖南省乡村发展基金会办公室</w:t>
      </w:r>
      <w:r>
        <w:rPr>
          <w:rFonts w:ascii="Times New Roman" w:hAnsi="Times New Roman" w:eastAsia="仿宋_GB2312" w:cs="Times New Roman"/>
          <w:bCs/>
          <w:kern w:val="0"/>
          <w:sz w:val="32"/>
          <w:szCs w:val="32"/>
        </w:rPr>
        <w:t>本级</w:t>
      </w:r>
      <w:r>
        <w:rPr>
          <w:rFonts w:hint="eastAsia" w:ascii="仿宋_GB2312" w:eastAsia="仿宋_GB2312" w:hAnsiTheme="minorEastAsia"/>
          <w:bCs/>
          <w:kern w:val="0"/>
          <w:sz w:val="32"/>
          <w:szCs w:val="32"/>
          <w:highlight w:val="none"/>
        </w:rPr>
        <w:t>。</w:t>
      </w:r>
    </w:p>
    <w:p>
      <w:pPr>
        <w:jc w:val="left"/>
        <w:rPr>
          <w:rFonts w:ascii="Times New Roman" w:hAnsi="Times New Roman" w:eastAsia="仿宋_GB2312" w:cs="Times New Roman"/>
          <w:sz w:val="28"/>
          <w:szCs w:val="32"/>
          <w:highlight w:val="yellow"/>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2"/>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5"/>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湖南省乡村发展基金会办公室</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rPr>
        <w:t>单位：万元</w:t>
      </w:r>
    </w:p>
    <w:tbl>
      <w:tblPr>
        <w:tblStyle w:val="9"/>
        <w:tblW w:w="1442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06"/>
        <w:gridCol w:w="826"/>
        <w:gridCol w:w="1719"/>
        <w:gridCol w:w="4321"/>
        <w:gridCol w:w="674"/>
        <w:gridCol w:w="21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51"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7170"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71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21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71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21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一、一般公共预算财政拨款收入</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184.00</w:t>
            </w: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一、一般公共服务支出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二、政府性基金预算财政拨款收入</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二、外交支出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三、国有资本经营预算财政拨款收入</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三、国防支出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四、上级补助收入</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四、公共安全支出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五、事业收入</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五、教育支出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六、经营收入</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六、科学技术支出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七、附属单位上缴收入</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七、文化旅游体育与传媒支出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八、其他收入</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八、社会保障和就业支出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九、卫生健康支出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十、节能环保支出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十一、城乡社区支出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十二、农林水支出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十三、交通运输支出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十四、资源勘探工业信息等支出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十五、商业服务业等支出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十六、金融支出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十七、援助其他地区支出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十八、自然资源海洋气象等支出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十九、住房保障支出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二十、粮油物资储备支出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二十一、国有资本经营预算支出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二十二、灾害防治及应急管理支出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二十三、其他支出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b/>
                <w:bCs/>
                <w:i w:val="0"/>
                <w:iCs w:val="0"/>
                <w:color w:val="000000"/>
                <w:sz w:val="20"/>
                <w:szCs w:val="20"/>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二十四、债务还本支出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0"/>
                <w:szCs w:val="20"/>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二十五、债务付息支出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0"/>
                <w:szCs w:val="20"/>
                <w:u w:val="none"/>
              </w:rPr>
            </w:pP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二十六、抗疫特别国债安排的支出</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本年收入合计</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184.00</w:t>
            </w: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本年支出合计</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使用非财政拨款结余（含专用结余）</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结余分配</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年初结转和结余</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w:t>
            </w: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年末结转和结余</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0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总计</w:t>
            </w:r>
          </w:p>
        </w:tc>
        <w:tc>
          <w:tcPr>
            <w:tcW w:w="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71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190.13</w:t>
            </w:r>
          </w:p>
        </w:tc>
        <w:tc>
          <w:tcPr>
            <w:tcW w:w="432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总计</w:t>
            </w:r>
          </w:p>
        </w:tc>
        <w:tc>
          <w:tcPr>
            <w:tcW w:w="6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1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190.13</w:t>
            </w:r>
          </w:p>
        </w:tc>
      </w:tr>
    </w:tbl>
    <w:p>
      <w:pPr>
        <w:widowControl/>
        <w:jc w:val="left"/>
        <w:textAlignment w:val="center"/>
        <w:rPr>
          <w:rFonts w:ascii="Times New Roman" w:hAnsi="Times New Roman" w:eastAsia="宋体" w:cs="Times New Roman"/>
          <w:color w:val="000000"/>
          <w:kern w:val="0"/>
          <w:sz w:val="24"/>
          <w:szCs w:val="24"/>
        </w:rPr>
      </w:pPr>
    </w:p>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注：1.本表反映部门本年度的总收支和年末结转结余情况。</w:t>
      </w:r>
      <w:r>
        <w:rPr>
          <w:rFonts w:ascii="Times New Roman" w:hAnsi="Times New Roman" w:eastAsia="仿宋_GB2312" w:cs="Times New Roman"/>
          <w:color w:val="000000"/>
          <w:kern w:val="0"/>
          <w:sz w:val="24"/>
          <w:szCs w:val="24"/>
        </w:rPr>
        <w:br w:type="textWrapping"/>
      </w:r>
      <w:r>
        <w:rPr>
          <w:rFonts w:ascii="Times New Roman" w:hAnsi="Times New Roman" w:eastAsia="仿宋_GB2312" w:cs="Times New Roman"/>
          <w:color w:val="000000"/>
          <w:kern w:val="0"/>
          <w:sz w:val="24"/>
          <w:szCs w:val="24"/>
        </w:rPr>
        <w:t xml:space="preserve">    2.本套报表金额单位转换时可能存在尾数误差。</w:t>
      </w:r>
    </w:p>
    <w:p>
      <w:pPr>
        <w:rPr>
          <w:rFonts w:ascii="Times New Roman" w:hAnsi="Times New Roman" w:eastAsia="华文中宋" w:cs="Times New Roman"/>
          <w:color w:val="000000"/>
          <w:sz w:val="32"/>
          <w:szCs w:val="32"/>
        </w:rPr>
      </w:pPr>
      <w:r>
        <w:br w:type="page"/>
      </w:r>
    </w:p>
    <w:p>
      <w:pPr>
        <w:widowControl/>
        <w:spacing w:after="156" w:afterLines="50"/>
        <w:ind w:firstLine="6120" w:firstLineChars="1700"/>
        <w:jc w:val="both"/>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收入决算表</w:t>
      </w:r>
    </w:p>
    <w:p>
      <w:pPr>
        <w:tabs>
          <w:tab w:val="left" w:pos="315"/>
          <w:tab w:val="left" w:pos="630"/>
          <w:tab w:val="left" w:pos="2100"/>
          <w:tab w:val="left" w:pos="3895"/>
          <w:tab w:val="left" w:pos="5690"/>
          <w:tab w:val="left" w:pos="7485"/>
          <w:tab w:val="left" w:pos="9280"/>
          <w:tab w:val="left" w:pos="11075"/>
          <w:tab w:val="left" w:pos="12870"/>
        </w:tabs>
        <w:jc w:val="center"/>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公开02表</w:t>
      </w:r>
    </w:p>
    <w:p>
      <w:pPr>
        <w:tabs>
          <w:tab w:val="left" w:pos="630"/>
          <w:tab w:val="left" w:pos="2100"/>
          <w:tab w:val="left" w:pos="3895"/>
          <w:tab w:val="left" w:pos="5690"/>
          <w:tab w:val="left" w:pos="7485"/>
          <w:tab w:val="left" w:pos="9280"/>
          <w:tab w:val="left" w:pos="11075"/>
          <w:tab w:val="left" w:pos="12870"/>
        </w:tabs>
        <w:ind w:firstLine="400" w:firstLineChars="200"/>
        <w:jc w:val="both"/>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sz w:val="20"/>
          <w:szCs w:val="20"/>
        </w:rPr>
        <w:t>湖南省乡村发展基金会办公室</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hint="eastAsia" w:ascii="Times New Roman" w:hAnsi="Times New Roman" w:eastAsia="仿宋_GB2312" w:cs="Times New Roman"/>
          <w:sz w:val="24"/>
          <w:szCs w:val="24"/>
          <w:lang w:val="en-US" w:eastAsia="zh-CN"/>
        </w:rPr>
        <w:t xml:space="preserve">                                                             </w:t>
      </w:r>
      <w:r>
        <w:rPr>
          <w:rFonts w:ascii="Times New Roman" w:hAnsi="Times New Roman" w:eastAsia="仿宋_GB2312" w:cs="Times New Roman"/>
          <w:color w:val="000000"/>
          <w:sz w:val="20"/>
          <w:szCs w:val="20"/>
        </w:rPr>
        <w:t>单位：万元</w:t>
      </w:r>
    </w:p>
    <w:tbl>
      <w:tblPr>
        <w:tblStyle w:val="9"/>
        <w:tblW w:w="1451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90"/>
        <w:gridCol w:w="3741"/>
        <w:gridCol w:w="1800"/>
        <w:gridCol w:w="1350"/>
        <w:gridCol w:w="1365"/>
        <w:gridCol w:w="1305"/>
        <w:gridCol w:w="1200"/>
        <w:gridCol w:w="1305"/>
        <w:gridCol w:w="14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31"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项目</w:t>
            </w:r>
          </w:p>
        </w:tc>
        <w:tc>
          <w:tcPr>
            <w:tcW w:w="180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本年收入合计</w:t>
            </w:r>
          </w:p>
        </w:tc>
        <w:tc>
          <w:tcPr>
            <w:tcW w:w="135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财政拨款收入</w:t>
            </w:r>
          </w:p>
        </w:tc>
        <w:tc>
          <w:tcPr>
            <w:tcW w:w="136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上级补助收入</w:t>
            </w:r>
          </w:p>
        </w:tc>
        <w:tc>
          <w:tcPr>
            <w:tcW w:w="130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事业收入</w:t>
            </w:r>
          </w:p>
        </w:tc>
        <w:tc>
          <w:tcPr>
            <w:tcW w:w="120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经营收入</w:t>
            </w:r>
          </w:p>
        </w:tc>
        <w:tc>
          <w:tcPr>
            <w:tcW w:w="130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附属单位上缴收入</w:t>
            </w:r>
          </w:p>
        </w:tc>
        <w:tc>
          <w:tcPr>
            <w:tcW w:w="145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功能分类科目编码</w:t>
            </w:r>
          </w:p>
        </w:tc>
        <w:tc>
          <w:tcPr>
            <w:tcW w:w="3741"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科目名称</w:t>
            </w: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仿宋_GB2312" w:hAnsi="仿宋_GB2312" w:eastAsia="仿宋_GB2312" w:cs="仿宋_GB2312"/>
                <w:i w:val="0"/>
                <w:iCs w:val="0"/>
                <w:color w:val="000000"/>
                <w:sz w:val="22"/>
                <w:szCs w:val="22"/>
                <w:u w:val="none"/>
              </w:rPr>
            </w:pPr>
          </w:p>
        </w:tc>
        <w:tc>
          <w:tcPr>
            <w:tcW w:w="135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仿宋_GB2312" w:hAnsi="仿宋_GB2312" w:eastAsia="仿宋_GB2312" w:cs="仿宋_GB2312"/>
                <w:i w:val="0"/>
                <w:iCs w:val="0"/>
                <w:color w:val="000000"/>
                <w:sz w:val="22"/>
                <w:szCs w:val="22"/>
                <w:u w:val="none"/>
              </w:rPr>
            </w:pPr>
          </w:p>
        </w:tc>
        <w:tc>
          <w:tcPr>
            <w:tcW w:w="136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仿宋_GB2312" w:hAnsi="仿宋_GB2312" w:eastAsia="仿宋_GB2312" w:cs="仿宋_GB2312"/>
                <w:i w:val="0"/>
                <w:iCs w:val="0"/>
                <w:color w:val="000000"/>
                <w:sz w:val="22"/>
                <w:szCs w:val="22"/>
                <w:u w:val="none"/>
              </w:rPr>
            </w:pPr>
          </w:p>
        </w:tc>
        <w:tc>
          <w:tcPr>
            <w:tcW w:w="130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仿宋_GB2312" w:hAnsi="仿宋_GB2312" w:eastAsia="仿宋_GB2312" w:cs="仿宋_GB2312"/>
                <w:i w:val="0"/>
                <w:iCs w:val="0"/>
                <w:color w:val="000000"/>
                <w:sz w:val="22"/>
                <w:szCs w:val="22"/>
                <w:u w:val="none"/>
              </w:rPr>
            </w:pPr>
          </w:p>
        </w:tc>
        <w:tc>
          <w:tcPr>
            <w:tcW w:w="12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仿宋_GB2312" w:hAnsi="仿宋_GB2312" w:eastAsia="仿宋_GB2312" w:cs="仿宋_GB2312"/>
                <w:i w:val="0"/>
                <w:iCs w:val="0"/>
                <w:color w:val="000000"/>
                <w:sz w:val="22"/>
                <w:szCs w:val="22"/>
                <w:u w:val="none"/>
              </w:rPr>
            </w:pPr>
          </w:p>
        </w:tc>
        <w:tc>
          <w:tcPr>
            <w:tcW w:w="130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仿宋_GB2312" w:hAnsi="仿宋_GB2312" w:eastAsia="仿宋_GB2312" w:cs="仿宋_GB2312"/>
                <w:i w:val="0"/>
                <w:iCs w:val="0"/>
                <w:color w:val="000000"/>
                <w:sz w:val="22"/>
                <w:szCs w:val="22"/>
                <w:u w:val="none"/>
              </w:rPr>
            </w:pPr>
          </w:p>
        </w:tc>
        <w:tc>
          <w:tcPr>
            <w:tcW w:w="145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仿宋_GB2312" w:hAnsi="仿宋_GB2312"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741"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5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6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0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0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5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741"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5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6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0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0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5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4731"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栏次</w:t>
            </w:r>
          </w:p>
        </w:tc>
        <w:tc>
          <w:tcPr>
            <w:tcW w:w="180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5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65"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05"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0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05"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455"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31"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合计</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184.00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184.00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2089999</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卫生健康支出</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行政事业单位医疗</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2101102</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事业单位医疗</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2101103</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公务员医疗补助</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137.70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137.70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巩固脱贫攻坚成果衔接乡村振兴</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137.70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137.70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2130501</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行政运行</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122.70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122.70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2130502</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一般行政管理事务</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374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11.80</w:t>
            </w:r>
          </w:p>
        </w:tc>
        <w:tc>
          <w:tcPr>
            <w:tcW w:w="13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11.80</w:t>
            </w:r>
          </w:p>
        </w:tc>
        <w:tc>
          <w:tcPr>
            <w:tcW w:w="136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color w:val="000000"/>
          <w:kern w:val="0"/>
          <w:sz w:val="36"/>
          <w:szCs w:val="36"/>
        </w:rPr>
      </w:pPr>
      <w:r>
        <w:rPr>
          <w:rFonts w:ascii="Times New Roman" w:hAnsi="Times New Roman" w:eastAsia="黑体" w:cs="Times New Roman"/>
          <w:bCs/>
          <w:kern w:val="0"/>
          <w:sz w:val="32"/>
          <w:szCs w:val="32"/>
        </w:rPr>
        <w:t xml:space="preserve"> </w:t>
      </w:r>
      <w:r>
        <w:rPr>
          <w:rFonts w:hint="eastAsia" w:ascii="Times New Roman" w:hAnsi="Times New Roman" w:eastAsia="黑体" w:cs="Times New Roman"/>
          <w:bCs/>
          <w:kern w:val="0"/>
          <w:sz w:val="32"/>
          <w:szCs w:val="32"/>
          <w:lang w:val="en-US" w:eastAsia="zh-CN"/>
        </w:rPr>
        <w:t xml:space="preserve">                                 </w:t>
      </w:r>
      <w:r>
        <w:rPr>
          <w:rFonts w:ascii="Times New Roman" w:hAnsi="Times New Roman" w:eastAsia="黑体" w:cs="Times New Roman"/>
          <w:color w:val="000000"/>
          <w:kern w:val="0"/>
          <w:sz w:val="36"/>
          <w:szCs w:val="36"/>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湖南省乡村发展基金会办公室</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单位：万元</w:t>
      </w:r>
    </w:p>
    <w:tbl>
      <w:tblPr>
        <w:tblStyle w:val="9"/>
        <w:tblW w:w="148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90"/>
        <w:gridCol w:w="3930"/>
        <w:gridCol w:w="1799"/>
        <w:gridCol w:w="1799"/>
        <w:gridCol w:w="1799"/>
        <w:gridCol w:w="1799"/>
        <w:gridCol w:w="1359"/>
        <w:gridCol w:w="13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920"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项目</w:t>
            </w:r>
          </w:p>
        </w:tc>
        <w:tc>
          <w:tcPr>
            <w:tcW w:w="179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本年支出合计</w:t>
            </w:r>
          </w:p>
        </w:tc>
        <w:tc>
          <w:tcPr>
            <w:tcW w:w="179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基本支出</w:t>
            </w:r>
          </w:p>
        </w:tc>
        <w:tc>
          <w:tcPr>
            <w:tcW w:w="179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项目支出</w:t>
            </w:r>
          </w:p>
        </w:tc>
        <w:tc>
          <w:tcPr>
            <w:tcW w:w="179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上缴上级支出</w:t>
            </w:r>
          </w:p>
        </w:tc>
        <w:tc>
          <w:tcPr>
            <w:tcW w:w="135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经营支出</w:t>
            </w:r>
          </w:p>
        </w:tc>
        <w:tc>
          <w:tcPr>
            <w:tcW w:w="136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功能分类科目编码</w:t>
            </w:r>
          </w:p>
        </w:tc>
        <w:tc>
          <w:tcPr>
            <w:tcW w:w="3930"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科目名称</w:t>
            </w:r>
          </w:p>
        </w:tc>
        <w:tc>
          <w:tcPr>
            <w:tcW w:w="17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7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7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7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35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3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3930"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b/>
                <w:bCs/>
                <w:i w:val="0"/>
                <w:iCs w:val="0"/>
                <w:color w:val="000000"/>
                <w:sz w:val="22"/>
                <w:szCs w:val="22"/>
                <w:u w:val="none"/>
              </w:rPr>
            </w:pPr>
          </w:p>
        </w:tc>
        <w:tc>
          <w:tcPr>
            <w:tcW w:w="17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7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7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7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35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3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3930"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b/>
                <w:bCs/>
                <w:i w:val="0"/>
                <w:iCs w:val="0"/>
                <w:color w:val="000000"/>
                <w:sz w:val="22"/>
                <w:szCs w:val="22"/>
                <w:u w:val="none"/>
              </w:rPr>
            </w:pPr>
          </w:p>
        </w:tc>
        <w:tc>
          <w:tcPr>
            <w:tcW w:w="17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7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7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7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35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3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920"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栏次</w:t>
            </w:r>
          </w:p>
        </w:tc>
        <w:tc>
          <w:tcPr>
            <w:tcW w:w="179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179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179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179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135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136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920"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合计</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131.52</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115.56</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15.96</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b/>
                <w:bCs/>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b/>
                <w:bCs/>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社会保障和就业支出</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14.65</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14.65</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行政事业单位养老支出</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14.27</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14.27</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事业单位离退休</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机关事业单位基本养老保险缴费支出</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9.74</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9.74</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其他社会保障和就业支出</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0.38</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0.38</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2089999</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其他社会保障和就业支出</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0.38</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0.38</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卫生健康支出</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11.04</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11.04</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行政事业单位医疗</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11.04</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11.04</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2101102</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事业单位医疗</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6.38</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6.38</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2101103</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公务员医疗补助</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4.66</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4.66</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农林水支出</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96.63</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80.66</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15.96</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巩固脱贫攻坚成果衔接乡村振兴</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96.63</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80.66</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15.96</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2130501</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行政运行</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86.23</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80.66</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5.57</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2130502</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一般行政管理事务</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10.39</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10.39</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住房保障支出</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住房改革支出</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39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住房公积金</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7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after="156" w:afterLines="50"/>
        <w:ind w:firstLine="5040" w:firstLineChars="1400"/>
        <w:jc w:val="both"/>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w:t>
      </w: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公开04表</w:t>
      </w:r>
    </w:p>
    <w:p>
      <w:pPr>
        <w:widowControl/>
        <w:tabs>
          <w:tab w:val="left" w:pos="3595"/>
          <w:tab w:val="left" w:pos="4031"/>
          <w:tab w:val="left" w:pos="5109"/>
          <w:tab w:val="left" w:pos="9152"/>
          <w:tab w:val="left" w:pos="9587"/>
          <w:tab w:val="left" w:pos="11160"/>
          <w:tab w:val="left" w:pos="12554"/>
          <w:tab w:val="left" w:pos="13948"/>
        </w:tabs>
        <w:ind w:firstLine="400" w:firstLineChars="200"/>
        <w:jc w:val="both"/>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湖南省乡村发展基金会办公室</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color w:val="000000"/>
          <w:kern w:val="0"/>
          <w:sz w:val="20"/>
          <w:szCs w:val="20"/>
        </w:rPr>
        <w:t>单位：万元</w:t>
      </w:r>
    </w:p>
    <w:tbl>
      <w:tblPr>
        <w:tblStyle w:val="9"/>
        <w:tblW w:w="1461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96"/>
        <w:gridCol w:w="570"/>
        <w:gridCol w:w="1339"/>
        <w:gridCol w:w="4161"/>
        <w:gridCol w:w="931"/>
        <w:gridCol w:w="1064"/>
        <w:gridCol w:w="1080"/>
        <w:gridCol w:w="1020"/>
        <w:gridCol w:w="11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05"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收     入</w:t>
            </w:r>
          </w:p>
        </w:tc>
        <w:tc>
          <w:tcPr>
            <w:tcW w:w="9411" w:type="dxa"/>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29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项目</w:t>
            </w:r>
          </w:p>
        </w:tc>
        <w:tc>
          <w:tcPr>
            <w:tcW w:w="57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行次</w:t>
            </w:r>
          </w:p>
        </w:tc>
        <w:tc>
          <w:tcPr>
            <w:tcW w:w="133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金额</w:t>
            </w:r>
          </w:p>
        </w:tc>
        <w:tc>
          <w:tcPr>
            <w:tcW w:w="4161"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项目</w:t>
            </w:r>
          </w:p>
        </w:tc>
        <w:tc>
          <w:tcPr>
            <w:tcW w:w="931"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行次</w:t>
            </w:r>
          </w:p>
        </w:tc>
        <w:tc>
          <w:tcPr>
            <w:tcW w:w="1064"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合计</w:t>
            </w:r>
          </w:p>
        </w:tc>
        <w:tc>
          <w:tcPr>
            <w:tcW w:w="108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一般公共预算财政拨款</w:t>
            </w:r>
          </w:p>
        </w:tc>
        <w:tc>
          <w:tcPr>
            <w:tcW w:w="102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政府性基金预算财政拨款</w:t>
            </w:r>
          </w:p>
        </w:tc>
        <w:tc>
          <w:tcPr>
            <w:tcW w:w="115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29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57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33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4161"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931"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064"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b/>
                <w:bCs/>
                <w:i w:val="0"/>
                <w:iCs w:val="0"/>
                <w:color w:val="000000"/>
                <w:sz w:val="22"/>
                <w:szCs w:val="22"/>
                <w:u w:val="none"/>
              </w:rPr>
            </w:pPr>
          </w:p>
        </w:tc>
        <w:tc>
          <w:tcPr>
            <w:tcW w:w="108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02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c>
          <w:tcPr>
            <w:tcW w:w="115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栏次</w:t>
            </w: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b/>
                <w:bCs/>
                <w:i w:val="0"/>
                <w:iCs w:val="0"/>
                <w:color w:val="000000"/>
                <w:sz w:val="22"/>
                <w:szCs w:val="22"/>
                <w:u w:val="none"/>
              </w:rPr>
            </w:pPr>
          </w:p>
        </w:tc>
        <w:tc>
          <w:tcPr>
            <w:tcW w:w="133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栏次</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b/>
                <w:bCs/>
                <w:i w:val="0"/>
                <w:iCs w:val="0"/>
                <w:color w:val="000000"/>
                <w:sz w:val="22"/>
                <w:szCs w:val="22"/>
                <w:u w:val="none"/>
              </w:rPr>
            </w:pPr>
          </w:p>
        </w:tc>
        <w:tc>
          <w:tcPr>
            <w:tcW w:w="106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10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102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115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一、一般公共预算财政拨款</w:t>
            </w: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184.00</w:t>
            </w: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一、一般公共服务支出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二、政府性基金预算财政拨款</w:t>
            </w: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二、外交支出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三、国有资本经营预算财政拨款</w:t>
            </w: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三、国防支出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四、公共安全支出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五、教育支出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六、科学技术支出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七、文化旅游体育与传媒支出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八、社会保障和就业支出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14.65</w:t>
            </w: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14.65</w:t>
            </w: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九、卫生健康支出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11.04</w:t>
            </w: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11.04</w:t>
            </w: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十、节能环保支出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十一、城乡社区支出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十二、农林水支出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96.63</w:t>
            </w: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96.63</w:t>
            </w: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十三、交通运输支出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十四、资源勘探工业信息等支出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十五、商业服务业等支出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十六、金融支出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十七、援助其他地区支出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十八、自然资源海洋气象等支出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十九、住房保障支出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二十、粮油物资储备支出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二十一、国有资本经营预算支出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二十二、灾害防治及应急管理支出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二十三、其他支出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b/>
                <w:bCs/>
                <w:i w:val="0"/>
                <w:iCs w:val="0"/>
                <w:color w:val="000000"/>
                <w:sz w:val="20"/>
                <w:szCs w:val="20"/>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二十四、债务还本支出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0"/>
                <w:szCs w:val="20"/>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二十五、债务付息支出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0"/>
                <w:szCs w:val="20"/>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二十六、抗疫特别国债安排的支出</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本年收入合计</w:t>
            </w: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184.00</w:t>
            </w: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本年支出合计</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131.52</w:t>
            </w: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131.52</w:t>
            </w: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年初财政拨款结转和结余</w:t>
            </w: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w:t>
            </w: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年末财政拨款结转和结余</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58.61</w:t>
            </w: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58.61</w:t>
            </w: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一般公共预算财政拨款</w:t>
            </w: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w:t>
            </w: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仿宋_GB2312" w:hAnsi="仿宋_GB2312" w:eastAsia="仿宋_GB2312" w:cs="仿宋_GB2312"/>
                <w:i w:val="0"/>
                <w:iCs w:val="0"/>
                <w:color w:val="000000"/>
                <w:sz w:val="22"/>
                <w:szCs w:val="22"/>
                <w:u w:val="none"/>
              </w:rPr>
            </w:pP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政府性基金预算财政拨款</w:t>
            </w: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仿宋_GB2312" w:hAnsi="仿宋_GB2312" w:eastAsia="仿宋_GB2312" w:cs="仿宋_GB2312"/>
                <w:i w:val="0"/>
                <w:iCs w:val="0"/>
                <w:color w:val="000000"/>
                <w:sz w:val="22"/>
                <w:szCs w:val="22"/>
                <w:u w:val="none"/>
              </w:rPr>
            </w:pP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国有资本经营预算财政拨款</w:t>
            </w: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仿宋_GB2312" w:hAnsi="仿宋_GB2312" w:eastAsia="仿宋_GB2312" w:cs="仿宋_GB2312"/>
                <w:i w:val="0"/>
                <w:iCs w:val="0"/>
                <w:color w:val="000000"/>
                <w:sz w:val="22"/>
                <w:szCs w:val="22"/>
                <w:u w:val="none"/>
              </w:rPr>
            </w:pP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总计</w:t>
            </w:r>
          </w:p>
        </w:tc>
        <w:tc>
          <w:tcPr>
            <w:tcW w:w="5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3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190.13</w:t>
            </w:r>
          </w:p>
        </w:tc>
        <w:tc>
          <w:tcPr>
            <w:tcW w:w="416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总计</w:t>
            </w:r>
          </w:p>
        </w:tc>
        <w:tc>
          <w:tcPr>
            <w:tcW w:w="9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0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190.13</w:t>
            </w:r>
          </w:p>
        </w:tc>
        <w:tc>
          <w:tcPr>
            <w:tcW w:w="10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190.13</w:t>
            </w:r>
          </w:p>
        </w:tc>
        <w:tc>
          <w:tcPr>
            <w:tcW w:w="10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ind w:firstLine="420" w:firstLineChars="200"/>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rPr>
        <w:t>湖南省乡村发展基金会办公室</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9"/>
        <w:tblW w:w="1376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51"/>
        <w:gridCol w:w="3675"/>
        <w:gridCol w:w="2715"/>
        <w:gridCol w:w="2790"/>
        <w:gridCol w:w="30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26"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项目</w:t>
            </w:r>
          </w:p>
        </w:tc>
        <w:tc>
          <w:tcPr>
            <w:tcW w:w="8535" w:type="dxa"/>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22"/>
                <w:szCs w:val="22"/>
                <w:u w:val="none"/>
                <w:lang w:val="en-US" w:eastAsia="zh-CN" w:bidi="ar"/>
              </w:rPr>
            </w:pPr>
            <w:r>
              <w:rPr>
                <w:rFonts w:hint="eastAsia" w:ascii="仿宋_GB2312" w:hAnsi="仿宋_GB2312" w:eastAsia="仿宋_GB2312" w:cs="仿宋_GB2312"/>
                <w:b/>
                <w:bCs/>
                <w:i w:val="0"/>
                <w:iCs w:val="0"/>
                <w:color w:val="000000"/>
                <w:kern w:val="0"/>
                <w:sz w:val="22"/>
                <w:szCs w:val="22"/>
                <w:u w:val="none"/>
                <w:lang w:val="en-US" w:eastAsia="zh-CN" w:bidi="ar"/>
              </w:rPr>
              <w:t>功能分类</w:t>
            </w:r>
          </w:p>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科目编码</w:t>
            </w:r>
          </w:p>
        </w:tc>
        <w:tc>
          <w:tcPr>
            <w:tcW w:w="3675"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科目名称</w:t>
            </w:r>
          </w:p>
        </w:tc>
        <w:tc>
          <w:tcPr>
            <w:tcW w:w="271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小计</w:t>
            </w:r>
          </w:p>
        </w:tc>
        <w:tc>
          <w:tcPr>
            <w:tcW w:w="279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基本支出</w:t>
            </w:r>
          </w:p>
        </w:tc>
        <w:tc>
          <w:tcPr>
            <w:tcW w:w="303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51"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675"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271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7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03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675"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271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7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03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26"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栏次</w:t>
            </w:r>
          </w:p>
        </w:tc>
        <w:tc>
          <w:tcPr>
            <w:tcW w:w="27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7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0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26"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合计</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131.52</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115.56</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社会保障和就业支出</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14.65</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14.65</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行政事业单位养老支出</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14.27</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14.27</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事业单位离退休</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机关事业单位基本养老保险缴费支出</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9.74</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9.74</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其他社会保障和就业支出</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0.38</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0.38</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2089999</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其他社会保障和就业支出</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0.38</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0.38</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卫生健康支出</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11.04</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11.04</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行政事业单位医疗</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11.04</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11.04</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2101102</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事业单位医疗</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6.38</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6.38</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2101103</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公务员医疗补助</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4.66</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4.66</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农林水支出</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96.63</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80.66</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巩固脱贫攻坚成果衔接乡村振兴</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96.63</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80.66</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2130501</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行政运行</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86.23</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80.66</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2130502</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一般行政管理事务</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10.39</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住房保障支出</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住房改革支出</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36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住房公积金</w:t>
            </w:r>
          </w:p>
        </w:tc>
        <w:tc>
          <w:tcPr>
            <w:tcW w:w="27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27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30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bl>
    <w:p>
      <w:pPr>
        <w:widowControl/>
        <w:spacing w:before="120"/>
        <w:jc w:val="left"/>
        <w:rPr>
          <w:rFonts w:ascii="Times New Roman" w:hAnsi="Times New Roman" w:eastAsia="仿宋_GB2312" w:cs="Times New Roman"/>
          <w:bCs/>
          <w:kern w:val="0"/>
          <w:szCs w:val="21"/>
        </w:rPr>
      </w:pPr>
      <w:r>
        <w:rPr>
          <w:rFonts w:ascii="Times New Roman" w:hAnsi="Times New Roman" w:eastAsia="仿宋_GB2312" w:cs="Times New Roman"/>
          <w:kern w:val="0"/>
          <w:szCs w:val="21"/>
        </w:rPr>
        <w:t>注：本表反映部门本年度一般公共预算财政拨款支出情况。</w:t>
      </w:r>
    </w:p>
    <w:p>
      <w:pPr>
        <w:widowControl/>
        <w:spacing w:after="120"/>
        <w:jc w:val="center"/>
        <w:textAlignment w:val="center"/>
        <w:rPr>
          <w:rFonts w:ascii="Times New Roman" w:hAnsi="Times New Roman" w:eastAsia="黑体" w:cs="Times New Roman"/>
          <w:color w:val="000000"/>
          <w:kern w:val="0"/>
          <w:sz w:val="36"/>
          <w:szCs w:val="36"/>
        </w:rPr>
      </w:pPr>
      <w:bookmarkStart w:id="2" w:name="RANGE!A1:I34"/>
      <w:r>
        <w:rPr>
          <w:rFonts w:ascii="Times New Roman" w:hAnsi="Times New Roman" w:eastAsia="黑体" w:cs="Times New Roman"/>
          <w:color w:val="000000"/>
          <w:kern w:val="0"/>
          <w:sz w:val="36"/>
          <w:szCs w:val="36"/>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公开06表</w:t>
      </w:r>
    </w:p>
    <w:p>
      <w:pPr>
        <w:widowControl/>
        <w:spacing w:line="240" w:lineRule="exact"/>
        <w:ind w:firstLine="400" w:firstLineChars="200"/>
        <w:jc w:val="both"/>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湖南省乡村发展基金会办公室</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9"/>
        <w:tblW w:w="1470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6"/>
        <w:gridCol w:w="3390"/>
        <w:gridCol w:w="960"/>
        <w:gridCol w:w="1095"/>
        <w:gridCol w:w="2190"/>
        <w:gridCol w:w="915"/>
        <w:gridCol w:w="1065"/>
        <w:gridCol w:w="3060"/>
        <w:gridCol w:w="10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376"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人员经费</w:t>
            </w:r>
          </w:p>
        </w:tc>
        <w:tc>
          <w:tcPr>
            <w:tcW w:w="9330" w:type="dxa"/>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color w:val="000000"/>
                <w:kern w:val="0"/>
                <w:sz w:val="20"/>
                <w:szCs w:val="20"/>
              </w:rPr>
              <w:t>经济分类科目编码</w:t>
            </w:r>
          </w:p>
        </w:tc>
        <w:tc>
          <w:tcPr>
            <w:tcW w:w="339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科目名称</w:t>
            </w:r>
          </w:p>
        </w:tc>
        <w:tc>
          <w:tcPr>
            <w:tcW w:w="96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决算数</w:t>
            </w:r>
          </w:p>
        </w:tc>
        <w:tc>
          <w:tcPr>
            <w:tcW w:w="109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color w:val="000000"/>
                <w:kern w:val="0"/>
                <w:sz w:val="20"/>
                <w:szCs w:val="20"/>
              </w:rPr>
              <w:t>经济分类科目编码</w:t>
            </w:r>
          </w:p>
        </w:tc>
        <w:tc>
          <w:tcPr>
            <w:tcW w:w="219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科目名称</w:t>
            </w:r>
          </w:p>
        </w:tc>
        <w:tc>
          <w:tcPr>
            <w:tcW w:w="91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决算数</w:t>
            </w:r>
          </w:p>
        </w:tc>
        <w:tc>
          <w:tcPr>
            <w:tcW w:w="106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color w:val="000000"/>
                <w:kern w:val="0"/>
                <w:sz w:val="20"/>
                <w:szCs w:val="20"/>
              </w:rPr>
              <w:t>经济分类科目编码</w:t>
            </w:r>
          </w:p>
        </w:tc>
        <w:tc>
          <w:tcPr>
            <w:tcW w:w="306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科目名称</w:t>
            </w:r>
          </w:p>
        </w:tc>
        <w:tc>
          <w:tcPr>
            <w:tcW w:w="100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3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09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91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06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0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00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工资福利支出</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98.32</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商品和服务支出</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12.71</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307</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债务利息及费用支出</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30101</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基本工资</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24.82</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30201</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办公费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0.99</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30701</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国内债务付息</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30102</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津贴补贴</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31.13</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30202</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印刷费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30702</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国外债务付息</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30103</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奖金</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30203</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咨询费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资本性支出</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30106</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伙食补助费</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30204</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手续费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31001</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房屋建筑物购建</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30107</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绩效工资</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30205</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水费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31002</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办公设备购置</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30108</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机关事业单位基本养老保险缴费</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9.74</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30206</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电费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31003</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专用设备购置</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30109</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职业年金缴费</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30207</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邮电费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31005</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基础设施建设</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30110</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职工基本医疗保险缴费</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6.38</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30208</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取暖费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31006</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大型修缮</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30111</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公务员医疗补助缴费</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4.66</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30209</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物业管理费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31007</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信息网络及软件购置更新</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30112</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其他社会保障缴费</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0.38</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30211</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差旅费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31008</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物资储备</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30113</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住房公积金</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30212</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因公出国（境）费用</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31009</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土地补偿</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30114</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医疗费</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30213</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维修（护）费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31010</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安置补助</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30199</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其他工资福利支出</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30214</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租赁费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31011</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地上附着物和青苗补偿</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303</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对个人和家庭的补助</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30215</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会议费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31012</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拆迁补偿</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30301</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离休费</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30216</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培训费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31013</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公务用车购置</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30302</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退休费</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30217</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公务接待费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31019</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其他交通工具购置</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30303</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退职（役）费</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30218</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专用材料费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31021</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文物和陈列品购置</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30304</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抚恤金</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30224</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被装购置费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31022</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无形资产购置</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30305</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生活补助</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30225</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专用燃料费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31099</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其他资本性支出</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30306</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救济费</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30226</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劳务费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399</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其他支出</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30307</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医疗费补助</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30227</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委托业务费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39907</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国家赔偿费用支出</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30308</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助学金</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30228</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工会经费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39908</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对民间非营利组织和群众性自治组织补贴</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30309</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奖励金</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30229</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福利费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39909</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经常性赠与</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30310</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个人农业生产补贴</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30231</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公务用车运行维护费</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39910</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资本性赠与</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30311</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代缴社会保险费</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30239</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其他交通费用</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3.67</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39999</w:t>
            </w: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其他支出</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1"/>
                <w:szCs w:val="21"/>
                <w:u w:val="none"/>
              </w:rPr>
            </w:pPr>
            <w:r>
              <w:rPr>
                <w:rFonts w:ascii="Times New Roman" w:hAnsi="Times New Roman" w:eastAsia="仿宋_GB2312" w:cs="Times New Roman"/>
                <w:color w:val="000000"/>
                <w:kern w:val="0"/>
                <w:szCs w:val="20"/>
              </w:rPr>
              <w:t>30399</w:t>
            </w: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其他对个人和家庭的补助</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30240</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税金及附加费用</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33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1"/>
                <w:szCs w:val="21"/>
                <w:u w:val="none"/>
              </w:rPr>
            </w:pP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widowControl/>
              <w:jc w:val="left"/>
              <w:rPr>
                <w:rFonts w:hint="eastAsia" w:ascii="宋体" w:hAnsi="宋体" w:eastAsia="宋体" w:cs="宋体"/>
                <w:i w:val="0"/>
                <w:iCs w:val="0"/>
                <w:color w:val="000000"/>
                <w:sz w:val="22"/>
                <w:szCs w:val="22"/>
                <w:u w:val="none"/>
              </w:rPr>
            </w:pPr>
            <w:r>
              <w:rPr>
                <w:rFonts w:ascii="Times New Roman" w:hAnsi="Times New Roman" w:eastAsia="仿宋_GB2312" w:cs="Times New Roman"/>
                <w:color w:val="000000"/>
                <w:kern w:val="0"/>
                <w:szCs w:val="20"/>
              </w:rPr>
              <w:t>30299</w:t>
            </w:r>
          </w:p>
        </w:tc>
        <w:tc>
          <w:tcPr>
            <w:tcW w:w="21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 xml:space="preserve">  其他商品和服务支出</w:t>
            </w:r>
          </w:p>
        </w:tc>
        <w:tc>
          <w:tcPr>
            <w:tcW w:w="9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3.29</w:t>
            </w:r>
          </w:p>
        </w:tc>
        <w:tc>
          <w:tcPr>
            <w:tcW w:w="106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306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416"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仿宋_GB2312" w:eastAsia="仿宋_GB2312" w:cs="仿宋_GB2312"/>
                <w:i w:val="0"/>
                <w:iCs w:val="0"/>
                <w:color w:val="000000"/>
                <w:kern w:val="0"/>
                <w:sz w:val="21"/>
                <w:szCs w:val="21"/>
                <w:u w:val="none"/>
                <w:lang w:val="en-US" w:eastAsia="zh-CN" w:bidi="ar"/>
              </w:rPr>
              <w:t>人员经费合计</w:t>
            </w:r>
          </w:p>
        </w:tc>
        <w:tc>
          <w:tcPr>
            <w:tcW w:w="9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102.85</w:t>
            </w:r>
          </w:p>
        </w:tc>
        <w:tc>
          <w:tcPr>
            <w:tcW w:w="8325" w:type="dxa"/>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仿宋_GB2312" w:hAnsi="仿宋_GB2312" w:eastAsia="仿宋_GB2312" w:cs="仿宋_GB2312"/>
                <w:i w:val="0"/>
                <w:iCs w:val="0"/>
                <w:color w:val="000000"/>
                <w:kern w:val="0"/>
                <w:sz w:val="21"/>
                <w:szCs w:val="21"/>
                <w:u w:val="none"/>
                <w:lang w:val="en-US" w:eastAsia="zh-CN" w:bidi="ar"/>
              </w:rPr>
              <w:t>公用经费合计</w:t>
            </w:r>
          </w:p>
        </w:tc>
        <w:tc>
          <w:tcPr>
            <w:tcW w:w="10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12.71</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rPr>
      </w:pP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湖南省乡村发展基金会办公室</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rPr>
        <w:t>单位：万元</w:t>
      </w:r>
    </w:p>
    <w:tbl>
      <w:tblPr>
        <w:tblStyle w:val="9"/>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 xml:space="preserve">项 </w:t>
            </w:r>
            <w:r>
              <w:rPr>
                <w:rStyle w:val="18"/>
                <w:rFonts w:hint="default" w:ascii="Times New Roman" w:hAnsi="Times New Roman" w:eastAsia="仿宋_GB2312" w:cs="Times New Roman"/>
                <w:b/>
                <w:bCs/>
              </w:rPr>
              <w:t xml:space="preserve">   </w:t>
            </w:r>
            <w:r>
              <w:rPr>
                <w:rStyle w:val="19"/>
                <w:rFonts w:hint="default" w:ascii="Times New Roman" w:hAnsi="Times New Roman" w:eastAsia="仿宋_GB2312" w:cs="Times New Roman"/>
                <w:b/>
                <w:bCs/>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rPr>
      </w:pPr>
    </w:p>
    <w:p>
      <w:pPr>
        <w:widowControl/>
        <w:jc w:val="left"/>
        <w:textAlignment w:val="center"/>
        <w:rPr>
          <w:rFonts w:ascii="Times New Roman" w:hAnsi="Times New Roman" w:eastAsia="仿宋_GB2312" w:cs="Times New Roman"/>
          <w:color w:val="000000"/>
          <w:kern w:val="0"/>
          <w:sz w:val="24"/>
          <w:szCs w:val="24"/>
        </w:rPr>
      </w:pPr>
      <w:r>
        <w:rPr>
          <w:rFonts w:ascii="Times New Roman" w:hAnsi="Times New Roman" w:eastAsia="仿宋_GB2312" w:cs="Times New Roman"/>
          <w:b/>
          <w:bCs/>
          <w:kern w:val="0"/>
          <w:sz w:val="24"/>
          <w:szCs w:val="24"/>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 xml:space="preserve">                                                                                                            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湖南省乡村发展基金会办公室</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rPr>
        <w:t>单位：万元</w:t>
      </w:r>
    </w:p>
    <w:tbl>
      <w:tblPr>
        <w:tblStyle w:val="9"/>
        <w:tblW w:w="14217" w:type="dxa"/>
        <w:tblInd w:w="0" w:type="dxa"/>
        <w:tblLayout w:type="fixed"/>
        <w:tblCellMar>
          <w:top w:w="0" w:type="dxa"/>
          <w:left w:w="108" w:type="dxa"/>
          <w:bottom w:w="0" w:type="dxa"/>
          <w:right w:w="108" w:type="dxa"/>
        </w:tblCellMar>
      </w:tblPr>
      <w:tblGrid>
        <w:gridCol w:w="3094"/>
        <w:gridCol w:w="3097"/>
        <w:gridCol w:w="1832"/>
        <w:gridCol w:w="3097"/>
        <w:gridCol w:w="3097"/>
      </w:tblGrid>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 xml:space="preserve">项 </w:t>
            </w:r>
            <w:r>
              <w:rPr>
                <w:rFonts w:ascii="Times New Roman" w:hAnsi="Times New Roman" w:eastAsia="仿宋_GB2312" w:cs="Times New Roman"/>
                <w:b/>
                <w:bCs/>
                <w:color w:val="000000"/>
                <w:kern w:val="0"/>
                <w:sz w:val="22"/>
              </w:rPr>
              <w:t xml:space="preserve">   </w:t>
            </w:r>
            <w:r>
              <w:rPr>
                <w:rStyle w:val="20"/>
                <w:rFonts w:hint="default" w:ascii="Times New Roman" w:hAnsi="Times New Roman" w:eastAsia="仿宋_GB2312" w:cs="Times New Roman"/>
                <w:b/>
                <w:bCs/>
              </w:rPr>
              <w:t>目</w:t>
            </w:r>
          </w:p>
        </w:tc>
        <w:tc>
          <w:tcPr>
            <w:tcW w:w="80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本年支出</w:t>
            </w:r>
          </w:p>
        </w:tc>
      </w:tr>
      <w:tr>
        <w:tblPrEx>
          <w:tblCellMar>
            <w:top w:w="0" w:type="dxa"/>
            <w:left w:w="108" w:type="dxa"/>
            <w:bottom w:w="0" w:type="dxa"/>
            <w:right w:w="108" w:type="dxa"/>
          </w:tblCellMar>
        </w:tblPrEx>
        <w:trPr>
          <w:trHeight w:val="312" w:hRule="exact"/>
        </w:trPr>
        <w:tc>
          <w:tcPr>
            <w:tcW w:w="3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 xml:space="preserve">基本支出  </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项目支出</w:t>
            </w:r>
          </w:p>
        </w:tc>
      </w:tr>
      <w:tr>
        <w:tblPrEx>
          <w:tblCellMar>
            <w:top w:w="0" w:type="dxa"/>
            <w:left w:w="108" w:type="dxa"/>
            <w:bottom w:w="0" w:type="dxa"/>
            <w:right w:w="108" w:type="dxa"/>
          </w:tblCellMar>
        </w:tblPrEx>
        <w:trPr>
          <w:trHeight w:val="312" w:hRule="exac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2</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3</w:t>
            </w:r>
          </w:p>
        </w:tc>
      </w:tr>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rPr>
      </w:pPr>
    </w:p>
    <w:p>
      <w:pPr>
        <w:widowControl/>
        <w:jc w:val="left"/>
        <w:textAlignment w:val="center"/>
        <w:rPr>
          <w:rFonts w:ascii="Times New Roman" w:hAnsi="Times New Roman" w:eastAsia="楷体_GB2312" w:cs="Times New Roman"/>
          <w:color w:val="000000"/>
          <w:kern w:val="0"/>
          <w:sz w:val="24"/>
          <w:szCs w:val="24"/>
        </w:rPr>
      </w:pPr>
      <w:r>
        <w:rPr>
          <w:rFonts w:ascii="Times New Roman" w:hAnsi="Times New Roman" w:eastAsia="楷体_GB2312" w:cs="Times New Roman"/>
          <w:b/>
          <w:bCs/>
          <w:kern w:val="0"/>
          <w:sz w:val="24"/>
          <w:szCs w:val="24"/>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2"/>
        <w:spacing w:line="400" w:lineRule="exact"/>
        <w:rPr>
          <w:rFonts w:ascii="Times New Roman" w:hAnsi="Times New Roman" w:eastAsia="华文中宋" w:cs="Times New Roman"/>
          <w:color w:val="000000"/>
          <w:kern w:val="0"/>
          <w:sz w:val="32"/>
          <w:szCs w:val="32"/>
        </w:rPr>
      </w:pPr>
    </w:p>
    <w:p>
      <w:pPr>
        <w:widowControl/>
        <w:spacing w:after="156" w:afterLines="50"/>
        <w:jc w:val="center"/>
        <w:textAlignment w:val="center"/>
        <w:rPr>
          <w:rFonts w:ascii="Times New Roman" w:hAnsi="Times New Roman" w:eastAsia="黑体" w:cs="Times New Roman"/>
          <w:color w:val="000000"/>
          <w:kern w:val="0"/>
          <w:sz w:val="36"/>
          <w:szCs w:val="36"/>
        </w:rPr>
      </w:pPr>
      <w:r>
        <w:rPr>
          <w:rFonts w:ascii="Times New Roman" w:hAnsi="Times New Roman" w:eastAsia="黑体" w:cs="Times New Roman"/>
          <w:color w:val="000000"/>
          <w:kern w:val="0"/>
          <w:sz w:val="36"/>
          <w:szCs w:val="36"/>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ind w:firstLine="400" w:firstLineChars="200"/>
        <w:jc w:val="both"/>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rPr>
        <w:t>部门：</w:t>
      </w:r>
      <w:r>
        <w:rPr>
          <w:rFonts w:hint="eastAsia" w:ascii="Times New Roman" w:hAnsi="Times New Roman" w:eastAsia="楷体_GB2312" w:cs="Times New Roman"/>
          <w:color w:val="000000"/>
          <w:kern w:val="0"/>
          <w:sz w:val="20"/>
          <w:szCs w:val="20"/>
        </w:rPr>
        <w:t>湖南省乡村发展基金会办公室</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kern w:val="0"/>
          <w:sz w:val="20"/>
          <w:szCs w:val="20"/>
        </w:rPr>
        <w:t>单位：万元</w:t>
      </w:r>
    </w:p>
    <w:tbl>
      <w:tblPr>
        <w:tblStyle w:val="9"/>
        <w:tblW w:w="146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09"/>
        <w:gridCol w:w="1139"/>
        <w:gridCol w:w="1154"/>
        <w:gridCol w:w="1410"/>
        <w:gridCol w:w="1410"/>
        <w:gridCol w:w="1410"/>
        <w:gridCol w:w="990"/>
        <w:gridCol w:w="1203"/>
        <w:gridCol w:w="825"/>
        <w:gridCol w:w="1410"/>
        <w:gridCol w:w="1410"/>
        <w:gridCol w:w="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32" w:type="dxa"/>
            <w:gridSpan w:val="6"/>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6738" w:type="dxa"/>
            <w:gridSpan w:val="6"/>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0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13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974" w:type="dxa"/>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141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99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203"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645" w:type="dxa"/>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90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0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13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154"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41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41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141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9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0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825"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41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41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9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0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3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154"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1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1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1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99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203"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825"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41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41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90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0.20</w:t>
            </w:r>
          </w:p>
        </w:tc>
        <w:tc>
          <w:tcPr>
            <w:tcW w:w="113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5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4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4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4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0.20</w:t>
            </w:r>
          </w:p>
        </w:tc>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20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4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4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9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br w:type="page"/>
      </w: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eastAsia="方正小标宋_GBK"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br w:type="page"/>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highlight w:val="none"/>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190.13</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4.96</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2.68</w:t>
      </w:r>
      <w:r>
        <w:rPr>
          <w:rFonts w:ascii="Times New Roman" w:hAnsi="Times New Roman" w:eastAsia="仿宋_GB2312" w:cs="Times New Roman"/>
          <w:sz w:val="32"/>
          <w:szCs w:val="32"/>
        </w:rPr>
        <w:t>%，主要是因为</w:t>
      </w:r>
      <w:r>
        <w:rPr>
          <w:rFonts w:hint="eastAsia" w:ascii="仿宋_GB2312" w:hAnsi="仿宋" w:eastAsia="仿宋_GB2312"/>
          <w:color w:val="auto"/>
          <w:sz w:val="32"/>
          <w:szCs w:val="32"/>
          <w:highlight w:val="none"/>
        </w:rPr>
        <w:t>人员经费增加。</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184.00</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184.00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131.52</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115.56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87.86</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15.96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12.14</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5"/>
        <w:overflowPunct w:val="0"/>
        <w:autoSpaceDE/>
        <w:autoSpaceDN/>
        <w:spacing w:line="600" w:lineRule="exact"/>
        <w:ind w:firstLine="640" w:firstLineChars="200"/>
        <w:jc w:val="both"/>
        <w:rPr>
          <w:rFonts w:hint="eastAsia" w:ascii="仿宋_GB2312" w:hAnsi="仿宋" w:eastAsia="仿宋_GB2312"/>
          <w:sz w:val="32"/>
          <w:szCs w:val="32"/>
          <w:highlight w:val="yellow"/>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190.13</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4.96</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2.68</w:t>
      </w:r>
      <w:r>
        <w:rPr>
          <w:rFonts w:ascii="Times New Roman" w:hAnsi="Times New Roman" w:eastAsia="仿宋_GB2312" w:cs="Times New Roman"/>
          <w:sz w:val="32"/>
          <w:szCs w:val="32"/>
        </w:rPr>
        <w:t>%，主要是</w:t>
      </w:r>
      <w:r>
        <w:rPr>
          <w:rFonts w:ascii="Times New Roman" w:hAnsi="Times New Roman" w:eastAsia="仿宋_GB2312" w:cs="Times New Roman"/>
          <w:sz w:val="32"/>
          <w:szCs w:val="32"/>
          <w:highlight w:val="none"/>
        </w:rPr>
        <w:t>因为</w:t>
      </w:r>
      <w:r>
        <w:rPr>
          <w:rFonts w:hint="eastAsia" w:ascii="仿宋_GB2312" w:hAnsi="仿宋" w:eastAsia="仿宋_GB2312"/>
          <w:sz w:val="32"/>
          <w:szCs w:val="32"/>
          <w:highlight w:val="none"/>
        </w:rPr>
        <w:t>人员经费增加。</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5"/>
        <w:spacing w:line="600" w:lineRule="exact"/>
        <w:ind w:firstLine="640" w:firstLineChars="200"/>
        <w:rPr>
          <w:rFonts w:ascii="Times New Roman" w:hAnsi="Times New Roman" w:eastAsia="仿宋_GB2312"/>
          <w:sz w:val="32"/>
          <w:szCs w:val="32"/>
          <w:highlight w:val="yellow"/>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131.52</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31.90</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19.52</w:t>
      </w:r>
      <w:r>
        <w:rPr>
          <w:rFonts w:ascii="Times New Roman" w:hAnsi="Times New Roman" w:eastAsia="仿宋_GB2312" w:cs="Times New Roman"/>
          <w:sz w:val="32"/>
          <w:szCs w:val="32"/>
        </w:rPr>
        <w:t>%，主要是</w:t>
      </w:r>
      <w:r>
        <w:rPr>
          <w:rFonts w:ascii="Times New Roman" w:hAnsi="Times New Roman" w:eastAsia="仿宋_GB2312" w:cs="Times New Roman"/>
          <w:sz w:val="32"/>
          <w:szCs w:val="32"/>
          <w:highlight w:val="none"/>
        </w:rPr>
        <w:t>因为</w:t>
      </w:r>
      <w:r>
        <w:rPr>
          <w:rFonts w:hint="eastAsia" w:ascii="Times New Roman" w:hAnsi="Times New Roman" w:eastAsia="仿宋_GB2312"/>
          <w:sz w:val="32"/>
          <w:szCs w:val="32"/>
          <w:highlight w:val="none"/>
          <w:lang w:eastAsia="zh-CN"/>
        </w:rPr>
        <w:t>本年年中调离</w:t>
      </w:r>
      <w:r>
        <w:rPr>
          <w:rFonts w:hint="eastAsia" w:ascii="Times New Roman" w:hAnsi="Times New Roman" w:eastAsia="仿宋_GB2312"/>
          <w:sz w:val="32"/>
          <w:szCs w:val="32"/>
          <w:highlight w:val="none"/>
          <w:lang w:val="en-US" w:eastAsia="zh-CN"/>
        </w:rPr>
        <w:t>1人</w:t>
      </w:r>
      <w:r>
        <w:rPr>
          <w:rFonts w:hint="eastAsia" w:ascii="Times New Roman" w:hAnsi="Times New Roman" w:eastAsia="仿宋_GB2312"/>
          <w:sz w:val="32"/>
          <w:szCs w:val="32"/>
          <w:highlight w:val="none"/>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5"/>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131.52</w:t>
      </w:r>
      <w:r>
        <w:rPr>
          <w:rFonts w:ascii="Times New Roman" w:hAnsi="Times New Roman" w:eastAsia="仿宋_GB2312" w:cs="Times New Roman"/>
          <w:sz w:val="32"/>
          <w:szCs w:val="32"/>
        </w:rPr>
        <w:t>万元，主要用于以下方面：</w:t>
      </w:r>
      <w:r>
        <w:rPr>
          <w:rFonts w:hint="eastAsia" w:ascii="Times New Roman" w:hAnsi="Times New Roman" w:eastAsia="仿宋_GB2312"/>
          <w:color w:val="auto"/>
          <w:sz w:val="32"/>
          <w:szCs w:val="32"/>
        </w:rPr>
        <w:t>社会保障和就业（类）支出</w:t>
      </w:r>
      <w:r>
        <w:rPr>
          <w:rFonts w:hint="eastAsia" w:ascii="Times New Roman" w:hAnsi="Times New Roman" w:eastAsia="仿宋_GB2312"/>
          <w:color w:val="auto"/>
          <w:sz w:val="32"/>
          <w:szCs w:val="32"/>
          <w:lang w:val="en-US" w:eastAsia="zh-CN"/>
        </w:rPr>
        <w:t>14.65</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11.13</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highlight w:val="none"/>
        </w:rPr>
        <w:t>卫生健康（类）支出</w:t>
      </w:r>
      <w:r>
        <w:rPr>
          <w:rFonts w:hint="eastAsia" w:ascii="Times New Roman" w:hAnsi="Times New Roman" w:eastAsia="仿宋_GB2312"/>
          <w:color w:val="auto"/>
          <w:sz w:val="32"/>
          <w:szCs w:val="32"/>
          <w:highlight w:val="none"/>
          <w:lang w:val="en-US" w:eastAsia="zh-CN"/>
        </w:rPr>
        <w:t>11.04</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val="en-US" w:eastAsia="zh-CN"/>
        </w:rPr>
        <w:t>8.39</w:t>
      </w:r>
      <w:r>
        <w:rPr>
          <w:rFonts w:hint="eastAsia" w:ascii="Times New Roman" w:hAnsi="Times New Roman" w:eastAsia="仿宋_GB2312"/>
          <w:color w:val="auto"/>
          <w:sz w:val="32"/>
          <w:szCs w:val="32"/>
        </w:rPr>
        <w:t>%;农林水（类）支出</w:t>
      </w:r>
      <w:r>
        <w:rPr>
          <w:rFonts w:hint="eastAsia" w:ascii="Times New Roman" w:hAnsi="Times New Roman" w:eastAsia="仿宋_GB2312"/>
          <w:color w:val="auto"/>
          <w:sz w:val="32"/>
          <w:szCs w:val="32"/>
          <w:lang w:val="en-US" w:eastAsia="zh-CN"/>
        </w:rPr>
        <w:t>96.63</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val="en-US" w:eastAsia="zh-CN"/>
        </w:rPr>
        <w:t>73.47</w:t>
      </w:r>
      <w:r>
        <w:rPr>
          <w:rFonts w:hint="eastAsia" w:ascii="Times New Roman" w:hAnsi="Times New Roman" w:eastAsia="仿宋_GB2312"/>
          <w:color w:val="auto"/>
          <w:sz w:val="32"/>
          <w:szCs w:val="32"/>
        </w:rPr>
        <w:t>%；住房保障（类）支出</w:t>
      </w:r>
      <w:r>
        <w:rPr>
          <w:rFonts w:hint="eastAsia" w:ascii="Times New Roman" w:hAnsi="Times New Roman" w:eastAsia="仿宋_GB2312"/>
          <w:color w:val="auto"/>
          <w:sz w:val="32"/>
          <w:szCs w:val="32"/>
          <w:lang w:val="en-US" w:eastAsia="zh-CN"/>
        </w:rPr>
        <w:t>9.21</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7.00</w:t>
      </w:r>
      <w:r>
        <w:rPr>
          <w:rFonts w:hint="eastAsia" w:ascii="Times New Roman" w:hAnsi="Times New Roman" w:eastAsia="仿宋_GB2312"/>
          <w:color w:val="auto"/>
          <w:sz w:val="32"/>
          <w:szCs w:val="32"/>
        </w:rPr>
        <w:t>%。</w:t>
      </w:r>
    </w:p>
    <w:p>
      <w:pPr>
        <w:pStyle w:val="15"/>
        <w:overflowPunct w:val="0"/>
        <w:autoSpaceDE/>
        <w:autoSpaceDN/>
        <w:spacing w:line="600" w:lineRule="exact"/>
        <w:ind w:firstLine="320" w:firstLineChars="1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182.63</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131.52</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72.01</w:t>
      </w:r>
      <w:r>
        <w:rPr>
          <w:rFonts w:ascii="Times New Roman" w:hAnsi="Times New Roman" w:eastAsia="仿宋_GB2312" w:cs="Times New Roman"/>
          <w:sz w:val="32"/>
          <w:szCs w:val="32"/>
        </w:rPr>
        <w:t>%，其中：</w:t>
      </w:r>
    </w:p>
    <w:p>
      <w:pPr>
        <w:pStyle w:val="15"/>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1、社会保障和就业支出（类）行政事业单位养老支出（款）</w:t>
      </w:r>
      <w:r>
        <w:rPr>
          <w:rFonts w:hint="eastAsia" w:ascii="Times New Roman" w:hAnsi="Times New Roman" w:eastAsia="仿宋_GB2312"/>
          <w:sz w:val="32"/>
          <w:szCs w:val="32"/>
          <w:lang w:eastAsia="zh-CN"/>
        </w:rPr>
        <w:t>事业单位离退休</w:t>
      </w:r>
      <w:r>
        <w:rPr>
          <w:rFonts w:hint="eastAsia" w:ascii="Times New Roman" w:hAnsi="Times New Roman" w:eastAsia="仿宋_GB2312"/>
          <w:sz w:val="32"/>
          <w:szCs w:val="32"/>
        </w:rPr>
        <w:t>（项）。</w:t>
      </w:r>
    </w:p>
    <w:p>
      <w:pPr>
        <w:pStyle w:val="15"/>
        <w:spacing w:line="640" w:lineRule="exact"/>
        <w:ind w:firstLine="800" w:firstLineChars="250"/>
        <w:rPr>
          <w:rFonts w:hint="eastAsia" w:eastAsia="仿宋_GB2312" w:cs="仿宋_GB2312" w:asciiTheme="minorEastAsia" w:hAnsiTheme="minorEastAsia"/>
          <w:b/>
          <w:bCs/>
          <w:kern w:val="2"/>
          <w:sz w:val="32"/>
          <w:szCs w:val="32"/>
          <w:highlight w:val="none"/>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4.70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4.53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96.38</w:t>
      </w:r>
      <w:r>
        <w:rPr>
          <w:rFonts w:hint="eastAsia" w:ascii="Times New Roman" w:hAnsi="Times New Roman" w:eastAsia="仿宋_GB2312"/>
          <w:sz w:val="32"/>
          <w:szCs w:val="32"/>
        </w:rPr>
        <w:t>%，</w:t>
      </w:r>
      <w:r>
        <w:rPr>
          <w:rFonts w:ascii="Times New Roman" w:hAnsi="Times New Roman" w:eastAsia="仿宋_GB2312" w:cs="Times New Roman"/>
          <w:sz w:val="32"/>
          <w:szCs w:val="32"/>
        </w:rPr>
        <w:t>决算数小于年初预算数的主要原因是：</w:t>
      </w:r>
      <w:r>
        <w:rPr>
          <w:rFonts w:hint="eastAsia" w:ascii="Times New Roman" w:hAnsi="Times New Roman" w:eastAsia="仿宋_GB2312" w:cs="Times New Roman"/>
          <w:sz w:val="32"/>
          <w:szCs w:val="32"/>
          <w:highlight w:val="none"/>
          <w:lang w:eastAsia="zh-CN"/>
        </w:rPr>
        <w:t>本年此项经费有结余。</w:t>
      </w:r>
    </w:p>
    <w:p>
      <w:pPr>
        <w:pStyle w:val="15"/>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、社会保障和就业支出（类）行政事业单位养老支出（款）机关事业单位基本养老保险缴费支出（项）。</w:t>
      </w:r>
    </w:p>
    <w:p>
      <w:pPr>
        <w:pStyle w:val="15"/>
        <w:spacing w:line="640" w:lineRule="exact"/>
        <w:ind w:firstLine="800" w:firstLineChars="250"/>
        <w:rPr>
          <w:rFonts w:ascii="Times New Roman" w:hAnsi="Times New Roman" w:eastAsia="仿宋_GB2312" w:cs="Times New Roman"/>
          <w:sz w:val="32"/>
          <w:szCs w:val="32"/>
          <w:highlight w:val="yellow"/>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14.30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9.74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68.11</w:t>
      </w:r>
      <w:r>
        <w:rPr>
          <w:rFonts w:hint="eastAsia" w:ascii="Times New Roman" w:hAnsi="Times New Roman" w:eastAsia="仿宋_GB2312"/>
          <w:sz w:val="32"/>
          <w:szCs w:val="32"/>
        </w:rPr>
        <w:t>%，</w:t>
      </w:r>
      <w:r>
        <w:rPr>
          <w:rFonts w:ascii="Times New Roman" w:hAnsi="Times New Roman" w:eastAsia="仿宋_GB2312" w:cs="Times New Roman"/>
          <w:sz w:val="32"/>
          <w:szCs w:val="32"/>
        </w:rPr>
        <w:t>决算数小于年初预算数的主要原因是：</w:t>
      </w:r>
      <w:r>
        <w:rPr>
          <w:rFonts w:ascii="Times New Roman" w:hAnsi="Times New Roman" w:eastAsia="仿宋_GB2312" w:cs="Times New Roman"/>
          <w:sz w:val="32"/>
          <w:szCs w:val="32"/>
          <w:highlight w:val="none"/>
        </w:rPr>
        <w:t>因为</w:t>
      </w:r>
      <w:r>
        <w:rPr>
          <w:rFonts w:hint="eastAsia" w:ascii="Times New Roman" w:hAnsi="Times New Roman" w:eastAsia="仿宋_GB2312"/>
          <w:sz w:val="32"/>
          <w:szCs w:val="32"/>
          <w:highlight w:val="none"/>
          <w:lang w:eastAsia="zh-CN"/>
        </w:rPr>
        <w:t>本年年中调离</w:t>
      </w:r>
      <w:r>
        <w:rPr>
          <w:rFonts w:hint="eastAsia" w:ascii="Times New Roman" w:hAnsi="Times New Roman" w:eastAsia="仿宋_GB2312"/>
          <w:sz w:val="32"/>
          <w:szCs w:val="32"/>
          <w:highlight w:val="none"/>
          <w:lang w:val="en-US" w:eastAsia="zh-CN"/>
        </w:rPr>
        <w:t>1人。</w:t>
      </w:r>
    </w:p>
    <w:p>
      <w:pPr>
        <w:pStyle w:val="15"/>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、社会保障和就业支出（类）其他社会保障和就业支出（款）其他社会保障和就业支出（项）。</w:t>
      </w:r>
    </w:p>
    <w:p>
      <w:pPr>
        <w:pStyle w:val="15"/>
        <w:spacing w:line="600" w:lineRule="exact"/>
        <w:ind w:firstLine="800" w:firstLineChars="250"/>
        <w:rPr>
          <w:rFonts w:ascii="Times New Roman" w:hAnsi="Times New Roman" w:eastAsia="仿宋_GB2312" w:cs="Times New Roman"/>
          <w:sz w:val="32"/>
          <w:szCs w:val="32"/>
          <w:highlight w:val="none"/>
        </w:rPr>
      </w:pPr>
      <w:r>
        <w:rPr>
          <w:rFonts w:hint="eastAsia" w:ascii="Times New Roman" w:hAnsi="Times New Roman" w:eastAsia="仿宋_GB2312"/>
          <w:sz w:val="32"/>
          <w:szCs w:val="32"/>
        </w:rPr>
        <w:t>年初预算为1.</w:t>
      </w:r>
      <w:r>
        <w:rPr>
          <w:rFonts w:hint="eastAsia" w:ascii="Times New Roman" w:hAnsi="Times New Roman" w:eastAsia="仿宋_GB2312"/>
          <w:sz w:val="32"/>
          <w:szCs w:val="32"/>
          <w:lang w:val="en-US" w:eastAsia="zh-CN"/>
        </w:rPr>
        <w:t>60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0.38</w:t>
      </w:r>
      <w:r>
        <w:rPr>
          <w:rFonts w:hint="eastAsia" w:ascii="Times New Roman" w:hAnsi="Times New Roman" w:eastAsia="仿宋_GB2312"/>
          <w:sz w:val="32"/>
          <w:szCs w:val="32"/>
        </w:rPr>
        <w:t>万元，完成年初预算的</w:t>
      </w:r>
      <w:r>
        <w:rPr>
          <w:rFonts w:hint="eastAsia" w:ascii="Times New Roman" w:hAnsi="Times New Roman" w:eastAsia="仿宋_GB2312"/>
          <w:b/>
          <w:sz w:val="32"/>
          <w:szCs w:val="32"/>
          <w:lang w:val="en-US" w:eastAsia="zh-CN"/>
        </w:rPr>
        <w:t>23.75</w:t>
      </w:r>
      <w:r>
        <w:rPr>
          <w:rFonts w:hint="eastAsia" w:ascii="Times New Roman" w:hAnsi="Times New Roman" w:eastAsia="仿宋_GB2312"/>
          <w:b/>
          <w:sz w:val="32"/>
          <w:szCs w:val="32"/>
        </w:rPr>
        <w:t>%</w:t>
      </w:r>
      <w:r>
        <w:rPr>
          <w:rFonts w:hint="eastAsia" w:ascii="Times New Roman" w:hAnsi="Times New Roman" w:eastAsia="仿宋_GB2312"/>
          <w:sz w:val="32"/>
          <w:szCs w:val="32"/>
        </w:rPr>
        <w:t>，</w:t>
      </w:r>
      <w:r>
        <w:rPr>
          <w:rFonts w:ascii="Times New Roman" w:hAnsi="Times New Roman" w:eastAsia="仿宋_GB2312" w:cs="Times New Roman"/>
          <w:sz w:val="32"/>
          <w:szCs w:val="32"/>
        </w:rPr>
        <w:t>决算数小于年初预算数的主要原因是：</w:t>
      </w:r>
      <w:r>
        <w:rPr>
          <w:rFonts w:hint="eastAsia" w:ascii="Times New Roman" w:hAnsi="Times New Roman" w:eastAsia="仿宋_GB2312" w:cs="Times New Roman"/>
          <w:sz w:val="32"/>
          <w:szCs w:val="32"/>
          <w:highlight w:val="none"/>
          <w:lang w:eastAsia="zh-CN"/>
        </w:rPr>
        <w:t>本年残保金减免</w:t>
      </w:r>
      <w:r>
        <w:rPr>
          <w:rFonts w:hint="eastAsia" w:ascii="Times New Roman" w:hAnsi="Times New Roman" w:eastAsia="仿宋_GB2312" w:cs="Times New Roman"/>
          <w:sz w:val="32"/>
          <w:szCs w:val="32"/>
          <w:highlight w:val="none"/>
        </w:rPr>
        <w:t>。</w:t>
      </w:r>
    </w:p>
    <w:p>
      <w:pPr>
        <w:pStyle w:val="15"/>
        <w:spacing w:line="640" w:lineRule="exact"/>
        <w:ind w:left="-27" w:leftChars="-13" w:firstLine="800" w:firstLineChars="250"/>
        <w:rPr>
          <w:rFonts w:cs="仿宋_GB2312" w:asciiTheme="minorEastAsia" w:hAnsiTheme="minorEastAsia" w:eastAsiaTheme="minorEastAsia"/>
          <w:b/>
          <w:bCs/>
          <w:kern w:val="2"/>
          <w:sz w:val="32"/>
          <w:szCs w:val="32"/>
        </w:rPr>
      </w:pPr>
      <w:r>
        <w:rPr>
          <w:rFonts w:hint="eastAsia" w:cs="仿宋_GB2312" w:asciiTheme="minorEastAsia" w:hAnsiTheme="minorEastAsia" w:eastAsiaTheme="minorEastAsia"/>
          <w:b/>
          <w:bCs/>
          <w:kern w:val="2"/>
          <w:sz w:val="32"/>
          <w:szCs w:val="32"/>
          <w:lang w:val="en-US" w:eastAsia="zh-CN"/>
        </w:rPr>
        <w:t>4</w:t>
      </w:r>
      <w:r>
        <w:rPr>
          <w:rFonts w:hint="eastAsia" w:cs="仿宋_GB2312" w:asciiTheme="minorEastAsia" w:hAnsiTheme="minorEastAsia" w:eastAsiaTheme="minorEastAsia"/>
          <w:b/>
          <w:bCs/>
          <w:kern w:val="2"/>
          <w:sz w:val="32"/>
          <w:szCs w:val="32"/>
        </w:rPr>
        <w:t>.</w:t>
      </w:r>
      <w:r>
        <w:rPr>
          <w:rFonts w:hint="eastAsia" w:ascii="Times New Roman" w:hAnsi="Times New Roman" w:eastAsia="仿宋_GB2312"/>
          <w:sz w:val="32"/>
          <w:szCs w:val="32"/>
        </w:rPr>
        <w:t>卫生健康支出（类）行政事业单位医疗（款）事业单位医疗（项）。</w:t>
      </w:r>
    </w:p>
    <w:p>
      <w:pPr>
        <w:pStyle w:val="15"/>
        <w:spacing w:line="640" w:lineRule="exact"/>
        <w:ind w:firstLine="800" w:firstLineChars="250"/>
        <w:rPr>
          <w:rFonts w:ascii="Times New Roman" w:hAnsi="Times New Roman" w:eastAsia="仿宋_GB2312" w:cs="Times New Roman"/>
          <w:sz w:val="32"/>
          <w:szCs w:val="32"/>
          <w:highlight w:val="yellow"/>
        </w:rPr>
      </w:pPr>
      <w:r>
        <w:rPr>
          <w:rFonts w:hint="eastAsia" w:cs="仿宋_GB2312" w:asciiTheme="minorEastAsia" w:hAnsiTheme="minorEastAsia" w:eastAsiaTheme="minorEastAsia"/>
          <w:sz w:val="32"/>
          <w:szCs w:val="32"/>
        </w:rPr>
        <w:t>年初预算为</w:t>
      </w:r>
      <w:r>
        <w:rPr>
          <w:rFonts w:hint="eastAsia" w:cs="仿宋_GB2312" w:asciiTheme="minorEastAsia" w:hAnsiTheme="minorEastAsia" w:eastAsiaTheme="minorEastAsia"/>
          <w:b/>
          <w:sz w:val="32"/>
          <w:szCs w:val="32"/>
          <w:lang w:val="en-US" w:eastAsia="zh-CN"/>
        </w:rPr>
        <w:t>8.20</w:t>
      </w:r>
      <w:r>
        <w:rPr>
          <w:rFonts w:hint="eastAsia" w:cs="仿宋_GB2312" w:asciiTheme="minorEastAsia" w:hAnsiTheme="minorEastAsia" w:eastAsiaTheme="minorEastAsia"/>
          <w:sz w:val="32"/>
          <w:szCs w:val="32"/>
        </w:rPr>
        <w:t>万元，支出决算为</w:t>
      </w:r>
      <w:r>
        <w:rPr>
          <w:rFonts w:hint="eastAsia" w:asciiTheme="minorEastAsia" w:hAnsiTheme="minorEastAsia" w:eastAsiaTheme="minorEastAsia"/>
          <w:b/>
          <w:sz w:val="32"/>
          <w:lang w:val="en-US" w:eastAsia="zh-CN"/>
        </w:rPr>
        <w:t>6.38</w:t>
      </w:r>
      <w:r>
        <w:rPr>
          <w:rFonts w:hint="eastAsia" w:cs="仿宋_GB2312" w:asciiTheme="minorEastAsia" w:hAnsiTheme="minorEastAsia" w:eastAsiaTheme="minorEastAsia"/>
          <w:sz w:val="32"/>
          <w:szCs w:val="32"/>
        </w:rPr>
        <w:t>万元，完成年初预算的</w:t>
      </w:r>
      <w:r>
        <w:rPr>
          <w:rFonts w:hint="eastAsia" w:cs="仿宋_GB2312" w:asciiTheme="minorEastAsia" w:hAnsiTheme="minorEastAsia" w:eastAsiaTheme="minorEastAsia"/>
          <w:b/>
          <w:sz w:val="32"/>
          <w:szCs w:val="32"/>
          <w:lang w:val="en-US" w:eastAsia="zh-CN"/>
        </w:rPr>
        <w:t>77.81</w:t>
      </w:r>
      <w:r>
        <w:rPr>
          <w:rFonts w:hint="eastAsia" w:cs="仿宋_GB2312" w:asciiTheme="minorEastAsia" w:hAnsiTheme="minorEastAsia" w:eastAsiaTheme="minorEastAsia"/>
          <w:b/>
          <w:sz w:val="32"/>
          <w:szCs w:val="32"/>
        </w:rPr>
        <w:t>%</w:t>
      </w:r>
      <w:r>
        <w:rPr>
          <w:rFonts w:hint="eastAsia" w:cs="仿宋_GB2312" w:asciiTheme="minorEastAsia" w:hAnsiTheme="minorEastAsia" w:eastAsiaTheme="minorEastAsia"/>
          <w:sz w:val="32"/>
          <w:szCs w:val="32"/>
        </w:rPr>
        <w:t>，</w:t>
      </w:r>
      <w:r>
        <w:rPr>
          <w:rFonts w:ascii="Times New Roman" w:hAnsi="Times New Roman" w:eastAsia="仿宋_GB2312" w:cs="Times New Roman"/>
          <w:sz w:val="32"/>
          <w:szCs w:val="32"/>
        </w:rPr>
        <w:t>决算数小于年初预算数的主要原因是：</w:t>
      </w:r>
      <w:r>
        <w:rPr>
          <w:rFonts w:ascii="Times New Roman" w:hAnsi="Times New Roman" w:eastAsia="仿宋_GB2312" w:cs="Times New Roman"/>
          <w:sz w:val="32"/>
          <w:szCs w:val="32"/>
          <w:highlight w:val="none"/>
        </w:rPr>
        <w:t>因为</w:t>
      </w:r>
      <w:r>
        <w:rPr>
          <w:rFonts w:hint="eastAsia" w:ascii="Times New Roman" w:hAnsi="Times New Roman" w:eastAsia="仿宋_GB2312"/>
          <w:sz w:val="32"/>
          <w:szCs w:val="32"/>
          <w:highlight w:val="none"/>
          <w:lang w:eastAsia="zh-CN"/>
        </w:rPr>
        <w:t>本年年中调离</w:t>
      </w:r>
      <w:r>
        <w:rPr>
          <w:rFonts w:hint="eastAsia" w:ascii="Times New Roman" w:hAnsi="Times New Roman" w:eastAsia="仿宋_GB2312"/>
          <w:sz w:val="32"/>
          <w:szCs w:val="32"/>
          <w:highlight w:val="none"/>
          <w:lang w:val="en-US" w:eastAsia="zh-CN"/>
        </w:rPr>
        <w:t>1人</w:t>
      </w:r>
      <w:r>
        <w:rPr>
          <w:rFonts w:hint="eastAsia" w:ascii="Times New Roman" w:hAnsi="Times New Roman" w:eastAsia="仿宋_GB2312" w:cs="Times New Roman"/>
          <w:sz w:val="32"/>
          <w:szCs w:val="32"/>
          <w:highlight w:val="none"/>
        </w:rPr>
        <w:t>。</w:t>
      </w:r>
    </w:p>
    <w:p>
      <w:pPr>
        <w:pStyle w:val="15"/>
        <w:spacing w:line="640" w:lineRule="exact"/>
        <w:ind w:firstLine="800" w:firstLineChars="250"/>
        <w:rPr>
          <w:rFonts w:ascii="Times New Roman" w:hAnsi="Times New Roman" w:eastAsia="仿宋_GB2312"/>
          <w:sz w:val="32"/>
          <w:szCs w:val="32"/>
        </w:rPr>
      </w:pPr>
      <w:r>
        <w:rPr>
          <w:rFonts w:hint="eastAsia" w:cs="仿宋_GB2312" w:asciiTheme="minorEastAsia" w:hAnsiTheme="minorEastAsia" w:eastAsiaTheme="minorEastAsia"/>
          <w:b/>
          <w:bCs/>
          <w:kern w:val="2"/>
          <w:sz w:val="32"/>
          <w:szCs w:val="32"/>
          <w:lang w:val="en-US" w:eastAsia="zh-CN"/>
        </w:rPr>
        <w:t>5</w:t>
      </w:r>
      <w:r>
        <w:rPr>
          <w:rFonts w:hint="eastAsia" w:cs="仿宋_GB2312" w:asciiTheme="minorEastAsia" w:hAnsiTheme="minorEastAsia" w:eastAsiaTheme="minorEastAsia"/>
          <w:b/>
          <w:bCs/>
          <w:kern w:val="2"/>
          <w:sz w:val="32"/>
          <w:szCs w:val="32"/>
        </w:rPr>
        <w:t xml:space="preserve">. </w:t>
      </w:r>
      <w:r>
        <w:rPr>
          <w:rFonts w:hint="eastAsia" w:ascii="Times New Roman" w:hAnsi="Times New Roman" w:eastAsia="仿宋_GB2312"/>
          <w:sz w:val="32"/>
          <w:szCs w:val="32"/>
        </w:rPr>
        <w:t>卫生健康支出（类）行政事业单位医疗（款）公务员医疗补助（项）。</w:t>
      </w:r>
    </w:p>
    <w:p>
      <w:pPr>
        <w:pStyle w:val="15"/>
        <w:spacing w:line="640" w:lineRule="exact"/>
        <w:ind w:firstLine="800" w:firstLineChars="250"/>
        <w:rPr>
          <w:rFonts w:ascii="Times New Roman" w:hAnsi="Times New Roman" w:eastAsia="仿宋_GB2312" w:cs="Times New Roman"/>
          <w:sz w:val="32"/>
          <w:szCs w:val="32"/>
          <w:highlight w:val="yellow"/>
        </w:rPr>
      </w:pPr>
      <w:r>
        <w:rPr>
          <w:rFonts w:hint="eastAsia" w:cs="仿宋_GB2312" w:asciiTheme="minorEastAsia" w:hAnsiTheme="minorEastAsia" w:eastAsiaTheme="minorEastAsia"/>
          <w:sz w:val="32"/>
          <w:szCs w:val="32"/>
        </w:rPr>
        <w:t>年初预算为</w:t>
      </w:r>
      <w:r>
        <w:rPr>
          <w:rFonts w:hint="eastAsia" w:cs="仿宋_GB2312" w:asciiTheme="minorEastAsia" w:hAnsiTheme="minorEastAsia" w:eastAsiaTheme="minorEastAsia"/>
          <w:b/>
          <w:sz w:val="32"/>
          <w:szCs w:val="32"/>
          <w:lang w:val="en-US" w:eastAsia="zh-CN"/>
        </w:rPr>
        <w:t>5.70</w:t>
      </w:r>
      <w:r>
        <w:rPr>
          <w:rFonts w:hint="eastAsia" w:cs="仿宋_GB2312" w:asciiTheme="minorEastAsia" w:hAnsiTheme="minorEastAsia" w:eastAsiaTheme="minorEastAsia"/>
          <w:sz w:val="32"/>
          <w:szCs w:val="32"/>
        </w:rPr>
        <w:t>万元，支出决算为</w:t>
      </w:r>
      <w:r>
        <w:rPr>
          <w:rFonts w:hint="eastAsia" w:asciiTheme="minorEastAsia" w:hAnsiTheme="minorEastAsia" w:eastAsiaTheme="minorEastAsia"/>
          <w:b/>
          <w:sz w:val="32"/>
          <w:lang w:val="en-US" w:eastAsia="zh-CN"/>
        </w:rPr>
        <w:t>4.66</w:t>
      </w:r>
      <w:r>
        <w:rPr>
          <w:rFonts w:hint="eastAsia" w:cs="仿宋_GB2312" w:asciiTheme="minorEastAsia" w:hAnsiTheme="minorEastAsia" w:eastAsiaTheme="minorEastAsia"/>
          <w:sz w:val="32"/>
          <w:szCs w:val="32"/>
        </w:rPr>
        <w:t>万元，完成年初预算的</w:t>
      </w:r>
      <w:r>
        <w:rPr>
          <w:rFonts w:hint="eastAsia" w:cs="仿宋_GB2312" w:asciiTheme="minorEastAsia" w:hAnsiTheme="minorEastAsia" w:eastAsiaTheme="minorEastAsia"/>
          <w:b/>
          <w:sz w:val="32"/>
          <w:szCs w:val="32"/>
          <w:lang w:val="en-US" w:eastAsia="zh-CN"/>
        </w:rPr>
        <w:t>81.75</w:t>
      </w:r>
      <w:r>
        <w:rPr>
          <w:rFonts w:hint="eastAsia" w:cs="仿宋_GB2312" w:asciiTheme="minorEastAsia" w:hAnsiTheme="minorEastAsia" w:eastAsiaTheme="minorEastAsia"/>
          <w:b/>
          <w:sz w:val="32"/>
          <w:szCs w:val="32"/>
        </w:rPr>
        <w:t>%</w:t>
      </w:r>
      <w:r>
        <w:rPr>
          <w:rFonts w:hint="eastAsia" w:cs="仿宋_GB2312" w:asciiTheme="minorEastAsia" w:hAnsiTheme="minorEastAsia" w:eastAsiaTheme="minorEastAsia"/>
          <w:sz w:val="32"/>
          <w:szCs w:val="32"/>
        </w:rPr>
        <w:t>，</w:t>
      </w:r>
      <w:r>
        <w:rPr>
          <w:rFonts w:ascii="Times New Roman" w:hAnsi="Times New Roman" w:eastAsia="仿宋_GB2312" w:cs="Times New Roman"/>
          <w:sz w:val="32"/>
          <w:szCs w:val="32"/>
        </w:rPr>
        <w:t>决算数小于年初预算数的主要原因是：</w:t>
      </w:r>
      <w:r>
        <w:rPr>
          <w:rFonts w:ascii="Times New Roman" w:hAnsi="Times New Roman" w:eastAsia="仿宋_GB2312" w:cs="Times New Roman"/>
          <w:sz w:val="32"/>
          <w:szCs w:val="32"/>
          <w:highlight w:val="none"/>
        </w:rPr>
        <w:t>因为</w:t>
      </w:r>
      <w:r>
        <w:rPr>
          <w:rFonts w:hint="eastAsia" w:ascii="Times New Roman" w:hAnsi="Times New Roman" w:eastAsia="仿宋_GB2312"/>
          <w:sz w:val="32"/>
          <w:szCs w:val="32"/>
          <w:highlight w:val="none"/>
          <w:lang w:eastAsia="zh-CN"/>
        </w:rPr>
        <w:t>本年年中调离</w:t>
      </w:r>
      <w:r>
        <w:rPr>
          <w:rFonts w:hint="eastAsia" w:ascii="Times New Roman" w:hAnsi="Times New Roman" w:eastAsia="仿宋_GB2312"/>
          <w:sz w:val="32"/>
          <w:szCs w:val="32"/>
          <w:highlight w:val="none"/>
          <w:lang w:val="en-US" w:eastAsia="zh-CN"/>
        </w:rPr>
        <w:t>1人</w:t>
      </w:r>
      <w:r>
        <w:rPr>
          <w:rFonts w:hint="eastAsia" w:ascii="Times New Roman" w:hAnsi="Times New Roman" w:eastAsia="仿宋_GB2312" w:cs="Times New Roman"/>
          <w:sz w:val="32"/>
          <w:szCs w:val="32"/>
          <w:highlight w:val="none"/>
        </w:rPr>
        <w:t>。</w:t>
      </w:r>
    </w:p>
    <w:p>
      <w:pPr>
        <w:pStyle w:val="15"/>
        <w:spacing w:line="640" w:lineRule="exact"/>
        <w:ind w:firstLine="640" w:firstLineChars="200"/>
        <w:rPr>
          <w:rFonts w:cs="仿宋_GB2312" w:asciiTheme="minorEastAsia" w:hAnsiTheme="minorEastAsia" w:eastAsiaTheme="minorEastAsia"/>
          <w:b/>
          <w:bCs/>
          <w:kern w:val="2"/>
          <w:sz w:val="32"/>
          <w:szCs w:val="32"/>
        </w:rPr>
      </w:pPr>
      <w:r>
        <w:rPr>
          <w:rFonts w:hint="eastAsia" w:cs="仿宋_GB2312" w:asciiTheme="minorEastAsia" w:hAnsiTheme="minorEastAsia" w:eastAsiaTheme="minorEastAsia"/>
          <w:b/>
          <w:bCs/>
          <w:kern w:val="2"/>
          <w:sz w:val="32"/>
          <w:szCs w:val="32"/>
          <w:lang w:val="en-US" w:eastAsia="zh-CN"/>
        </w:rPr>
        <w:t>6</w:t>
      </w:r>
      <w:r>
        <w:rPr>
          <w:rFonts w:hint="eastAsia" w:cs="仿宋_GB2312" w:asciiTheme="minorEastAsia" w:hAnsiTheme="minorEastAsia" w:eastAsiaTheme="minorEastAsia"/>
          <w:b/>
          <w:bCs/>
          <w:kern w:val="2"/>
          <w:sz w:val="32"/>
          <w:szCs w:val="32"/>
        </w:rPr>
        <w:t xml:space="preserve">. </w:t>
      </w:r>
      <w:r>
        <w:rPr>
          <w:rFonts w:hint="eastAsia" w:ascii="Times New Roman" w:hAnsi="Times New Roman" w:eastAsia="仿宋_GB2312"/>
          <w:sz w:val="32"/>
          <w:szCs w:val="32"/>
        </w:rPr>
        <w:t>农林水支出（类）巩固脱贫衔接乡村振兴（款）行政运行（项）。</w:t>
      </w:r>
    </w:p>
    <w:p>
      <w:pPr>
        <w:pStyle w:val="15"/>
        <w:spacing w:line="640" w:lineRule="exact"/>
        <w:ind w:firstLine="800" w:firstLineChars="250"/>
        <w:rPr>
          <w:rFonts w:ascii="Times New Roman" w:hAnsi="Times New Roman" w:eastAsia="仿宋_GB2312" w:cs="Times New Roman"/>
          <w:sz w:val="32"/>
          <w:szCs w:val="32"/>
          <w:highlight w:val="yellow"/>
        </w:rPr>
      </w:pPr>
      <w:r>
        <w:rPr>
          <w:rFonts w:hint="eastAsia" w:cs="仿宋_GB2312" w:asciiTheme="minorEastAsia" w:hAnsiTheme="minorEastAsia" w:eastAsiaTheme="minorEastAsia"/>
          <w:sz w:val="32"/>
          <w:szCs w:val="32"/>
        </w:rPr>
        <w:t>年初预算为</w:t>
      </w:r>
      <w:r>
        <w:rPr>
          <w:rFonts w:hint="eastAsia" w:cs="仿宋_GB2312" w:asciiTheme="minorEastAsia" w:hAnsiTheme="minorEastAsia" w:eastAsiaTheme="minorEastAsia"/>
          <w:b/>
          <w:sz w:val="32"/>
          <w:szCs w:val="32"/>
          <w:lang w:val="en-US" w:eastAsia="zh-CN"/>
        </w:rPr>
        <w:t>115.20</w:t>
      </w:r>
      <w:r>
        <w:rPr>
          <w:rFonts w:hint="eastAsia" w:cs="仿宋_GB2312" w:asciiTheme="minorEastAsia" w:hAnsiTheme="minorEastAsia" w:eastAsiaTheme="minorEastAsia"/>
          <w:sz w:val="32"/>
          <w:szCs w:val="32"/>
        </w:rPr>
        <w:t>万元，支出决算为</w:t>
      </w:r>
      <w:r>
        <w:rPr>
          <w:rFonts w:hint="eastAsia" w:asciiTheme="minorEastAsia" w:hAnsiTheme="minorEastAsia" w:eastAsiaTheme="minorEastAsia"/>
          <w:b/>
          <w:sz w:val="32"/>
          <w:lang w:val="en-US" w:eastAsia="zh-CN"/>
        </w:rPr>
        <w:t>86.23</w:t>
      </w:r>
      <w:r>
        <w:rPr>
          <w:rFonts w:hint="eastAsia" w:cs="仿宋_GB2312" w:asciiTheme="minorEastAsia" w:hAnsiTheme="minorEastAsia" w:eastAsiaTheme="minorEastAsia"/>
          <w:sz w:val="32"/>
          <w:szCs w:val="32"/>
        </w:rPr>
        <w:t>万元，完成年初预算的</w:t>
      </w:r>
      <w:r>
        <w:rPr>
          <w:rFonts w:hint="eastAsia" w:cs="仿宋_GB2312" w:asciiTheme="minorEastAsia" w:hAnsiTheme="minorEastAsia" w:eastAsiaTheme="minorEastAsia"/>
          <w:b/>
          <w:sz w:val="32"/>
          <w:szCs w:val="32"/>
          <w:lang w:val="en-US" w:eastAsia="zh-CN"/>
        </w:rPr>
        <w:t>74.85</w:t>
      </w:r>
      <w:r>
        <w:rPr>
          <w:rFonts w:hint="eastAsia" w:cs="仿宋_GB2312" w:asciiTheme="minorEastAsia" w:hAnsiTheme="minorEastAsia" w:eastAsiaTheme="minorEastAsia"/>
          <w:b/>
          <w:sz w:val="32"/>
          <w:szCs w:val="32"/>
        </w:rPr>
        <w:t>%</w:t>
      </w:r>
      <w:r>
        <w:rPr>
          <w:rFonts w:hint="eastAsia" w:cs="仿宋_GB2312" w:asciiTheme="minorEastAsia" w:hAnsiTheme="minorEastAsia" w:eastAsiaTheme="minorEastAsia"/>
          <w:sz w:val="32"/>
          <w:szCs w:val="32"/>
        </w:rPr>
        <w:t>。</w:t>
      </w:r>
      <w:r>
        <w:rPr>
          <w:rFonts w:hint="eastAsia" w:ascii="Times New Roman" w:hAnsi="Times New Roman" w:eastAsia="仿宋_GB2312"/>
          <w:sz w:val="32"/>
          <w:szCs w:val="32"/>
        </w:rPr>
        <w:t>决算数小于年初预算数的主要原因是：</w:t>
      </w:r>
      <w:r>
        <w:rPr>
          <w:rFonts w:ascii="Times New Roman" w:hAnsi="Times New Roman" w:eastAsia="仿宋_GB2312" w:cs="Times New Roman"/>
          <w:sz w:val="32"/>
          <w:szCs w:val="32"/>
          <w:highlight w:val="none"/>
        </w:rPr>
        <w:t>因为</w:t>
      </w:r>
      <w:r>
        <w:rPr>
          <w:rFonts w:hint="eastAsia" w:ascii="Times New Roman" w:hAnsi="Times New Roman" w:eastAsia="仿宋_GB2312"/>
          <w:sz w:val="32"/>
          <w:szCs w:val="32"/>
          <w:highlight w:val="none"/>
          <w:lang w:eastAsia="zh-CN"/>
        </w:rPr>
        <w:t>本年年中调离</w:t>
      </w:r>
      <w:r>
        <w:rPr>
          <w:rFonts w:hint="eastAsia" w:ascii="Times New Roman" w:hAnsi="Times New Roman" w:eastAsia="仿宋_GB2312"/>
          <w:sz w:val="32"/>
          <w:szCs w:val="32"/>
          <w:highlight w:val="none"/>
          <w:lang w:val="en-US" w:eastAsia="zh-CN"/>
        </w:rPr>
        <w:t>1人。</w:t>
      </w:r>
    </w:p>
    <w:p>
      <w:pPr>
        <w:pStyle w:val="15"/>
        <w:spacing w:line="640" w:lineRule="exact"/>
        <w:ind w:firstLine="640" w:firstLineChars="200"/>
        <w:rPr>
          <w:rFonts w:ascii="Times New Roman" w:hAnsi="Times New Roman" w:eastAsia="仿宋_GB2312"/>
          <w:sz w:val="32"/>
          <w:szCs w:val="32"/>
        </w:rPr>
      </w:pPr>
      <w:r>
        <w:rPr>
          <w:rFonts w:hint="eastAsia" w:cs="仿宋_GB2312" w:asciiTheme="minorEastAsia" w:hAnsiTheme="minorEastAsia" w:eastAsiaTheme="minorEastAsia"/>
          <w:b/>
          <w:bCs/>
          <w:kern w:val="2"/>
          <w:sz w:val="32"/>
          <w:szCs w:val="32"/>
          <w:lang w:val="en-US" w:eastAsia="zh-CN"/>
        </w:rPr>
        <w:t>7</w:t>
      </w:r>
      <w:r>
        <w:rPr>
          <w:rFonts w:hint="eastAsia" w:cs="仿宋_GB2312" w:asciiTheme="minorEastAsia" w:hAnsiTheme="minorEastAsia" w:eastAsiaTheme="minorEastAsia"/>
          <w:b/>
          <w:bCs/>
          <w:kern w:val="2"/>
          <w:sz w:val="32"/>
          <w:szCs w:val="32"/>
        </w:rPr>
        <w:t xml:space="preserve">. </w:t>
      </w:r>
      <w:r>
        <w:rPr>
          <w:rFonts w:hint="eastAsia" w:ascii="Times New Roman" w:hAnsi="Times New Roman" w:eastAsia="仿宋_GB2312"/>
          <w:sz w:val="32"/>
          <w:szCs w:val="32"/>
        </w:rPr>
        <w:t>农林水支出（类）巩固脱贫衔接乡村振兴（款）一般行政管理事务（项）。</w:t>
      </w:r>
    </w:p>
    <w:p>
      <w:pPr>
        <w:pStyle w:val="15"/>
        <w:spacing w:line="600" w:lineRule="exact"/>
        <w:ind w:firstLine="640" w:firstLineChars="200"/>
        <w:rPr>
          <w:rFonts w:hint="eastAsia" w:ascii="仿宋_GB2312" w:hAnsi="仿宋" w:eastAsia="仿宋_GB2312"/>
          <w:sz w:val="32"/>
          <w:szCs w:val="32"/>
          <w:highlight w:val="yellow"/>
          <w:lang w:eastAsia="zh-CN"/>
        </w:rPr>
      </w:pPr>
      <w:r>
        <w:rPr>
          <w:rFonts w:hint="eastAsia" w:cs="仿宋_GB2312" w:asciiTheme="minorEastAsia" w:hAnsiTheme="minorEastAsia" w:eastAsiaTheme="minorEastAsia"/>
          <w:sz w:val="32"/>
          <w:szCs w:val="32"/>
        </w:rPr>
        <w:t>年初预算为</w:t>
      </w:r>
      <w:r>
        <w:rPr>
          <w:rFonts w:hint="eastAsia" w:cs="仿宋_GB2312" w:asciiTheme="minorEastAsia" w:hAnsiTheme="minorEastAsia" w:eastAsiaTheme="minorEastAsia"/>
          <w:b/>
          <w:sz w:val="32"/>
          <w:szCs w:val="32"/>
          <w:lang w:val="en-US" w:eastAsia="zh-CN"/>
        </w:rPr>
        <w:t>21.13</w:t>
      </w:r>
      <w:r>
        <w:rPr>
          <w:rFonts w:hint="eastAsia" w:cs="仿宋_GB2312" w:asciiTheme="minorEastAsia" w:hAnsiTheme="minorEastAsia" w:eastAsiaTheme="minorEastAsia"/>
          <w:sz w:val="32"/>
          <w:szCs w:val="32"/>
        </w:rPr>
        <w:t>万元，支出决算为</w:t>
      </w:r>
      <w:r>
        <w:rPr>
          <w:rFonts w:hint="eastAsia" w:asciiTheme="minorEastAsia" w:hAnsiTheme="minorEastAsia" w:eastAsiaTheme="minorEastAsia"/>
          <w:b/>
          <w:sz w:val="32"/>
          <w:lang w:val="en-US" w:eastAsia="zh-CN"/>
        </w:rPr>
        <w:t>10.39</w:t>
      </w:r>
      <w:r>
        <w:rPr>
          <w:rFonts w:hint="eastAsia" w:cs="仿宋_GB2312" w:asciiTheme="minorEastAsia" w:hAnsiTheme="minorEastAsia" w:eastAsiaTheme="minorEastAsia"/>
          <w:sz w:val="32"/>
          <w:szCs w:val="32"/>
        </w:rPr>
        <w:t>万元，完成年初预算的</w:t>
      </w:r>
      <w:r>
        <w:rPr>
          <w:rFonts w:hint="eastAsia" w:cs="仿宋_GB2312" w:asciiTheme="minorEastAsia" w:hAnsiTheme="minorEastAsia" w:eastAsiaTheme="minorEastAsia"/>
          <w:b/>
          <w:sz w:val="32"/>
          <w:szCs w:val="32"/>
          <w:lang w:val="en-US" w:eastAsia="zh-CN"/>
        </w:rPr>
        <w:t>49.17</w:t>
      </w:r>
      <w:r>
        <w:rPr>
          <w:rFonts w:hint="eastAsia" w:cs="仿宋_GB2312" w:asciiTheme="minorEastAsia" w:hAnsiTheme="minorEastAsia" w:eastAsiaTheme="minorEastAsia"/>
          <w:b/>
          <w:sz w:val="32"/>
          <w:szCs w:val="32"/>
        </w:rPr>
        <w:t>%。</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eastAsia="zh-CN"/>
        </w:rPr>
        <w:t>本年因工作安排部分项目推迟至次年。</w:t>
      </w:r>
    </w:p>
    <w:p>
      <w:pPr>
        <w:pStyle w:val="15"/>
        <w:spacing w:line="640" w:lineRule="exact"/>
        <w:ind w:firstLine="800" w:firstLineChars="250"/>
        <w:rPr>
          <w:rFonts w:cs="仿宋_GB2312" w:asciiTheme="minorEastAsia" w:hAnsiTheme="minorEastAsia" w:eastAsiaTheme="minorEastAsia"/>
          <w:kern w:val="2"/>
          <w:sz w:val="32"/>
          <w:szCs w:val="32"/>
        </w:rPr>
      </w:pPr>
      <w:r>
        <w:rPr>
          <w:rFonts w:hint="eastAsia" w:cs="仿宋_GB2312" w:asciiTheme="minorEastAsia" w:hAnsiTheme="minorEastAsia" w:eastAsiaTheme="minorEastAsia"/>
          <w:b/>
          <w:bCs/>
          <w:kern w:val="2"/>
          <w:sz w:val="32"/>
          <w:szCs w:val="32"/>
          <w:lang w:val="en-US" w:eastAsia="zh-CN"/>
        </w:rPr>
        <w:t>8</w:t>
      </w:r>
      <w:r>
        <w:rPr>
          <w:rFonts w:hint="eastAsia" w:cs="仿宋_GB2312" w:asciiTheme="minorEastAsia" w:hAnsiTheme="minorEastAsia" w:eastAsiaTheme="minorEastAsia"/>
          <w:b/>
          <w:bCs/>
          <w:kern w:val="2"/>
          <w:sz w:val="32"/>
          <w:szCs w:val="32"/>
        </w:rPr>
        <w:t xml:space="preserve">. </w:t>
      </w:r>
      <w:r>
        <w:rPr>
          <w:rFonts w:hint="eastAsia" w:ascii="Times New Roman" w:hAnsi="Times New Roman" w:eastAsia="仿宋_GB2312"/>
          <w:sz w:val="32"/>
          <w:szCs w:val="32"/>
        </w:rPr>
        <w:t>住房保障支出（类）住房改革支出（款）住房公积金（项）</w:t>
      </w:r>
      <w:r>
        <w:rPr>
          <w:rFonts w:hint="eastAsia" w:cs="仿宋_GB2312" w:asciiTheme="minorEastAsia" w:hAnsiTheme="minorEastAsia" w:eastAsiaTheme="minorEastAsia"/>
          <w:kern w:val="2"/>
          <w:sz w:val="32"/>
          <w:szCs w:val="32"/>
        </w:rPr>
        <w:t>。</w:t>
      </w:r>
    </w:p>
    <w:p>
      <w:pPr>
        <w:pStyle w:val="15"/>
        <w:spacing w:line="640" w:lineRule="exact"/>
        <w:ind w:firstLine="800" w:firstLineChars="250"/>
        <w:rPr>
          <w:rFonts w:ascii="Times New Roman" w:hAnsi="Times New Roman" w:eastAsia="仿宋_GB2312" w:cs="Times New Roman"/>
          <w:sz w:val="32"/>
          <w:szCs w:val="32"/>
          <w:highlight w:val="yellow"/>
        </w:rPr>
      </w:pPr>
      <w:r>
        <w:rPr>
          <w:rFonts w:hint="eastAsia" w:cs="仿宋_GB2312" w:asciiTheme="minorEastAsia" w:hAnsiTheme="minorEastAsia" w:eastAsiaTheme="minorEastAsia"/>
          <w:sz w:val="32"/>
          <w:szCs w:val="32"/>
        </w:rPr>
        <w:t>年初预算为</w:t>
      </w:r>
      <w:r>
        <w:rPr>
          <w:rFonts w:hint="eastAsia" w:cs="仿宋_GB2312" w:asciiTheme="minorEastAsia" w:hAnsiTheme="minorEastAsia" w:eastAsiaTheme="minorEastAsia"/>
          <w:b/>
          <w:sz w:val="32"/>
          <w:szCs w:val="32"/>
          <w:lang w:val="en-US" w:eastAsia="zh-CN"/>
        </w:rPr>
        <w:t>11.8</w:t>
      </w:r>
      <w:r>
        <w:rPr>
          <w:rFonts w:hint="eastAsia" w:cs="仿宋_GB2312" w:asciiTheme="minorEastAsia" w:hAnsiTheme="minorEastAsia" w:eastAsiaTheme="minorEastAsia"/>
          <w:b/>
          <w:sz w:val="32"/>
          <w:szCs w:val="32"/>
        </w:rPr>
        <w:t>0</w:t>
      </w:r>
      <w:r>
        <w:rPr>
          <w:rFonts w:hint="eastAsia" w:cs="仿宋_GB2312" w:asciiTheme="minorEastAsia" w:hAnsiTheme="minorEastAsia" w:eastAsiaTheme="minorEastAsia"/>
          <w:sz w:val="32"/>
          <w:szCs w:val="32"/>
        </w:rPr>
        <w:t>万元，支出决算为</w:t>
      </w:r>
      <w:r>
        <w:rPr>
          <w:rFonts w:hint="eastAsia" w:asciiTheme="minorEastAsia" w:hAnsiTheme="minorEastAsia" w:eastAsiaTheme="minorEastAsia"/>
          <w:b/>
          <w:sz w:val="32"/>
          <w:lang w:val="en-US" w:eastAsia="zh-CN"/>
        </w:rPr>
        <w:t>9.21</w:t>
      </w:r>
      <w:r>
        <w:rPr>
          <w:rFonts w:hint="eastAsia" w:cs="仿宋_GB2312" w:asciiTheme="minorEastAsia" w:hAnsiTheme="minorEastAsia" w:eastAsiaTheme="minorEastAsia"/>
          <w:sz w:val="32"/>
          <w:szCs w:val="32"/>
        </w:rPr>
        <w:t>万元，完成年初预算的</w:t>
      </w:r>
      <w:r>
        <w:rPr>
          <w:rFonts w:hint="eastAsia" w:cs="仿宋_GB2312" w:asciiTheme="minorEastAsia" w:hAnsiTheme="minorEastAsia" w:eastAsiaTheme="minorEastAsia"/>
          <w:b/>
          <w:sz w:val="32"/>
          <w:szCs w:val="32"/>
          <w:lang w:val="en-US" w:eastAsia="zh-CN"/>
        </w:rPr>
        <w:t>78.05</w:t>
      </w:r>
      <w:r>
        <w:rPr>
          <w:rFonts w:hint="eastAsia" w:cs="仿宋_GB2312" w:asciiTheme="minorEastAsia" w:hAnsiTheme="minorEastAsia" w:eastAsiaTheme="minorEastAsia"/>
          <w:b/>
          <w:sz w:val="32"/>
          <w:szCs w:val="32"/>
        </w:rPr>
        <w:t>%。</w:t>
      </w:r>
      <w:r>
        <w:rPr>
          <w:rFonts w:hint="eastAsia" w:ascii="Times New Roman" w:hAnsi="Times New Roman" w:eastAsia="仿宋_GB2312"/>
          <w:sz w:val="32"/>
          <w:szCs w:val="32"/>
        </w:rPr>
        <w:t>决算数小于年初预算数的主要原因是：</w:t>
      </w:r>
      <w:r>
        <w:rPr>
          <w:rFonts w:ascii="Times New Roman" w:hAnsi="Times New Roman" w:eastAsia="仿宋_GB2312" w:cs="Times New Roman"/>
          <w:sz w:val="32"/>
          <w:szCs w:val="32"/>
          <w:highlight w:val="none"/>
        </w:rPr>
        <w:t>因为</w:t>
      </w:r>
      <w:r>
        <w:rPr>
          <w:rFonts w:hint="eastAsia" w:ascii="Times New Roman" w:hAnsi="Times New Roman" w:eastAsia="仿宋_GB2312"/>
          <w:sz w:val="32"/>
          <w:szCs w:val="32"/>
          <w:highlight w:val="none"/>
          <w:lang w:eastAsia="zh-CN"/>
        </w:rPr>
        <w:t>本年年中调离</w:t>
      </w:r>
      <w:r>
        <w:rPr>
          <w:rFonts w:hint="eastAsia" w:ascii="Times New Roman" w:hAnsi="Times New Roman" w:eastAsia="仿宋_GB2312"/>
          <w:sz w:val="32"/>
          <w:szCs w:val="32"/>
          <w:highlight w:val="none"/>
          <w:lang w:val="en-US" w:eastAsia="zh-CN"/>
        </w:rPr>
        <w:t>1人。</w:t>
      </w:r>
    </w:p>
    <w:p>
      <w:pPr>
        <w:pStyle w:val="15"/>
        <w:overflowPunct w:val="0"/>
        <w:autoSpaceDE/>
        <w:autoSpaceDN/>
        <w:spacing w:line="600" w:lineRule="exact"/>
        <w:ind w:firstLine="320" w:firstLineChars="1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115.56</w:t>
      </w:r>
      <w:r>
        <w:rPr>
          <w:rFonts w:ascii="Times New Roman" w:hAnsi="Times New Roman" w:eastAsia="仿宋_GB2312" w:cs="Times New Roman"/>
          <w:sz w:val="32"/>
          <w:szCs w:val="32"/>
        </w:rPr>
        <w:t>万元，其中：</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102.85</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highlight w:val="none"/>
          <w:lang w:val="en-US" w:eastAsia="zh-CN"/>
        </w:rPr>
        <w:t>89.00</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,主要包括</w:t>
      </w:r>
      <w:r>
        <w:rPr>
          <w:rFonts w:hint="eastAsia" w:ascii="仿宋_GB2312" w:eastAsia="仿宋_GB2312" w:cs="仿宋_GB2312" w:hAnsiTheme="minorEastAsia"/>
          <w:sz w:val="32"/>
        </w:rPr>
        <w:t>基本工资、津贴补贴、奖金、伙食补助费、基础绩效工资、机关事业单位基本养老保险缴费、职工基本医疗保险缴费、公务员医疗补助缴费、其他社会保障缴费、住房公积金、对个人和家庭的补助</w:t>
      </w:r>
      <w:r>
        <w:rPr>
          <w:rFonts w:hint="eastAsia" w:ascii="仿宋_GB2312" w:eastAsia="仿宋_GB2312" w:cs="仿宋_GB2312" w:hAnsiTheme="minorEastAsia"/>
          <w:color w:val="auto"/>
          <w:sz w:val="32"/>
        </w:rPr>
        <w:t>等</w:t>
      </w:r>
      <w:r>
        <w:rPr>
          <w:rFonts w:hint="eastAsia" w:ascii="仿宋_GB2312" w:eastAsia="仿宋_GB2312" w:cs="仿宋_GB2312" w:hAnsiTheme="minorEastAsia"/>
          <w:sz w:val="32"/>
        </w:rPr>
        <w:t>。</w:t>
      </w:r>
    </w:p>
    <w:p>
      <w:pPr>
        <w:pStyle w:val="15"/>
        <w:spacing w:line="600" w:lineRule="exact"/>
        <w:ind w:firstLine="640" w:firstLineChars="200"/>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12.71</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highlight w:val="none"/>
          <w:lang w:val="en-US" w:eastAsia="zh-CN"/>
        </w:rPr>
        <w:t>11.00</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，主要包括</w:t>
      </w:r>
      <w:r>
        <w:rPr>
          <w:rFonts w:hint="eastAsia" w:ascii="Times New Roman" w:hAnsi="Times New Roman" w:eastAsia="仿宋_GB2312"/>
          <w:sz w:val="32"/>
          <w:szCs w:val="32"/>
        </w:rPr>
        <w:t>办公费、邮电费、差旅费、租赁费、工会经费、其他交通费用、其他商品服务支出</w:t>
      </w:r>
      <w:r>
        <w:rPr>
          <w:rFonts w:hint="eastAsia" w:ascii="Times New Roman" w:hAnsi="Times New Roman" w:eastAsia="仿宋_GB2312"/>
          <w:color w:val="auto"/>
          <w:sz w:val="32"/>
          <w:szCs w:val="32"/>
        </w:rPr>
        <w:t>等</w:t>
      </w:r>
      <w:r>
        <w:rPr>
          <w:rFonts w:hint="eastAsia" w:ascii="Times New Roman" w:hAnsi="Times New Roman" w:eastAsia="仿宋_GB2312"/>
          <w:sz w:val="32"/>
          <w:szCs w:val="32"/>
        </w:rPr>
        <w:t>。</w:t>
      </w:r>
    </w:p>
    <w:p>
      <w:pPr>
        <w:pStyle w:val="15"/>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0.20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0.18</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%。决算数小于预算数的主要原因是</w:t>
      </w:r>
      <w:r>
        <w:rPr>
          <w:rFonts w:hint="eastAsia" w:ascii="仿宋_GB2312" w:hAnsi="仿宋" w:eastAsia="仿宋_GB2312"/>
          <w:sz w:val="32"/>
          <w:szCs w:val="32"/>
        </w:rPr>
        <w:t>单位严控经费支出</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s="Times New Roman"/>
          <w:sz w:val="32"/>
          <w:szCs w:val="32"/>
          <w:highlight w:val="none"/>
          <w:lang w:eastAsia="zh-CN"/>
        </w:rPr>
        <w:t>本年</w:t>
      </w:r>
      <w:r>
        <w:rPr>
          <w:rFonts w:hint="eastAsia" w:ascii="仿宋_GB2312" w:hAnsi="仿宋" w:eastAsia="仿宋_GB2312"/>
          <w:sz w:val="32"/>
          <w:szCs w:val="32"/>
          <w:highlight w:val="none"/>
          <w:lang w:eastAsia="zh-CN"/>
        </w:rPr>
        <w:t>减少公务接待活动</w:t>
      </w:r>
      <w:r>
        <w:rPr>
          <w:rFonts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highlight w:val="none"/>
        </w:rPr>
        <w:t>（二）“三公”经费财政拨</w:t>
      </w:r>
      <w:r>
        <w:rPr>
          <w:rFonts w:ascii="Times New Roman" w:hAnsi="Times New Roman" w:eastAsia="楷体_GB2312" w:cs="Times New Roman"/>
          <w:b/>
          <w:sz w:val="32"/>
          <w:szCs w:val="32"/>
        </w:rPr>
        <w:t>款支出决算具体情况说明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yellow"/>
          <w:lang w:val="en-US" w:eastAsia="zh-CN"/>
        </w:rPr>
      </w:pPr>
      <w:r>
        <w:rPr>
          <w:rFonts w:ascii="Times New Roman" w:hAnsi="Times New Roman" w:eastAsia="仿宋_GB2312" w:cs="Times New Roman"/>
          <w:sz w:val="32"/>
          <w:szCs w:val="32"/>
          <w:highlight w:val="none"/>
        </w:rPr>
        <w:t>1.因公出国（境）费支出预算为</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万元；与上年相比</w:t>
      </w:r>
      <w:r>
        <w:rPr>
          <w:rFonts w:hint="eastAsia" w:ascii="Times New Roman" w:hAnsi="Times New Roman" w:eastAsia="仿宋_GB2312" w:cs="Times New Roman"/>
          <w:sz w:val="32"/>
          <w:szCs w:val="32"/>
          <w:highlight w:val="none"/>
          <w:lang w:eastAsia="zh-CN"/>
        </w:rPr>
        <w:t>无变化。</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eastAsia="zh-CN"/>
        </w:rPr>
        <w:t>无变化。其中：</w:t>
      </w: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eastAsia="zh-CN"/>
        </w:rPr>
        <w:t>无变化。</w:t>
      </w:r>
      <w:r>
        <w:rPr>
          <w:rFonts w:hint="eastAsia" w:ascii="Times New Roman" w:hAnsi="Times New Roman" w:eastAsia="仿宋_GB2312" w:cs="Times New Roman"/>
          <w:sz w:val="32"/>
          <w:szCs w:val="32"/>
          <w:highlight w:val="none"/>
          <w:lang w:eastAsia="zh-CN"/>
        </w:rPr>
        <w:t>本</w:t>
      </w:r>
      <w:r>
        <w:rPr>
          <w:rFonts w:ascii="Times New Roman" w:hAnsi="Times New Roman" w:eastAsia="仿宋_GB2312" w:cs="Times New Roman"/>
          <w:sz w:val="32"/>
          <w:szCs w:val="32"/>
          <w:highlight w:val="none"/>
        </w:rPr>
        <w:t>单位更新公务用车</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辆</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万元；与上年相比</w:t>
      </w:r>
      <w:r>
        <w:rPr>
          <w:rFonts w:hint="eastAsia" w:ascii="Times New Roman" w:hAnsi="Times New Roman" w:eastAsia="仿宋_GB2312" w:cs="Times New Roman"/>
          <w:sz w:val="32"/>
          <w:szCs w:val="32"/>
          <w:lang w:eastAsia="zh-CN"/>
        </w:rPr>
        <w:t>无变化</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0.20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0.18</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%。决算数小于预算数的主要原因是</w:t>
      </w:r>
      <w:r>
        <w:rPr>
          <w:rFonts w:hint="eastAsia" w:ascii="仿宋_GB2312" w:hAnsi="仿宋" w:eastAsia="仿宋_GB2312"/>
          <w:sz w:val="32"/>
          <w:szCs w:val="32"/>
        </w:rPr>
        <w:t>单位严控经费支出</w:t>
      </w:r>
      <w:r>
        <w:rPr>
          <w:rFonts w:hint="eastAsia" w:ascii="仿宋_GB2312" w:hAnsi="仿宋" w:eastAsia="仿宋_GB2312"/>
          <w:sz w:val="32"/>
          <w:szCs w:val="32"/>
          <w:highlight w:val="none"/>
        </w:rPr>
        <w:t>。</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s="Times New Roman"/>
          <w:sz w:val="32"/>
          <w:szCs w:val="32"/>
          <w:highlight w:val="none"/>
          <w:lang w:eastAsia="zh-CN"/>
        </w:rPr>
        <w:t>本年</w:t>
      </w:r>
      <w:r>
        <w:rPr>
          <w:rFonts w:hint="eastAsia" w:ascii="仿宋_GB2312" w:hAnsi="仿宋" w:eastAsia="仿宋_GB2312"/>
          <w:sz w:val="32"/>
          <w:szCs w:val="32"/>
          <w:highlight w:val="none"/>
          <w:lang w:eastAsia="zh-CN"/>
        </w:rPr>
        <w:t>减少公务接待活动。</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年度本单位无政府性基金收支情况。</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5"/>
        <w:spacing w:line="640" w:lineRule="exact"/>
        <w:ind w:firstLine="800" w:firstLineChars="250"/>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lang w:val="en-US" w:eastAsia="zh-CN"/>
        </w:rPr>
        <w:t>12.71</w:t>
      </w:r>
      <w:r>
        <w:rPr>
          <w:rFonts w:ascii="Times New Roman" w:hAnsi="Times New Roman" w:eastAsia="仿宋_GB2312" w:cs="Times New Roman"/>
          <w:sz w:val="32"/>
          <w:szCs w:val="32"/>
        </w:rPr>
        <w:t>万元，比</w:t>
      </w:r>
      <w:r>
        <w:rPr>
          <w:rFonts w:hint="eastAsia" w:ascii="Times New Roman" w:hAnsi="Times New Roman" w:eastAsia="仿宋_GB2312" w:cs="Times New Roman"/>
          <w:sz w:val="32"/>
          <w:szCs w:val="32"/>
          <w:lang w:eastAsia="zh-CN"/>
        </w:rPr>
        <w:t>上年决</w:t>
      </w:r>
      <w:r>
        <w:rPr>
          <w:rFonts w:ascii="Times New Roman" w:hAnsi="Times New Roman" w:eastAsia="仿宋_GB2312" w:cs="Times New Roman"/>
          <w:sz w:val="32"/>
          <w:szCs w:val="32"/>
        </w:rPr>
        <w:t>算数减少</w:t>
      </w:r>
      <w:r>
        <w:rPr>
          <w:rFonts w:hint="eastAsia" w:ascii="Times New Roman" w:hAnsi="Times New Roman" w:eastAsia="仿宋_GB2312" w:cs="Times New Roman"/>
          <w:sz w:val="32"/>
          <w:szCs w:val="32"/>
          <w:lang w:val="en-US" w:eastAsia="zh-CN"/>
        </w:rPr>
        <w:t>12.64</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49.86</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主要原因是：</w:t>
      </w:r>
      <w:r>
        <w:rPr>
          <w:rFonts w:hint="eastAsia" w:ascii="Times New Roman" w:hAnsi="Times New Roman" w:eastAsia="仿宋_GB2312" w:cs="Times New Roman"/>
          <w:sz w:val="32"/>
          <w:szCs w:val="32"/>
          <w:highlight w:val="none"/>
          <w:lang w:eastAsia="zh-CN"/>
        </w:rPr>
        <w:t>认真贯彻中央八项规定和厉行节约的要求，严控各项经费支出。</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w:t>
      </w:r>
      <w:r>
        <w:rPr>
          <w:rFonts w:ascii="Times New Roman" w:hAnsi="Times New Roman" w:eastAsia="仿宋_GB2312" w:cs="Times New Roman"/>
          <w:sz w:val="32"/>
          <w:szCs w:val="32"/>
          <w:highlight w:val="none"/>
        </w:rPr>
        <w:t>；开支培训费</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未</w:t>
      </w:r>
      <w:r>
        <w:rPr>
          <w:rFonts w:ascii="Times New Roman" w:hAnsi="Times New Roman" w:eastAsia="仿宋_GB2312" w:cs="Times New Roman"/>
          <w:sz w:val="32"/>
          <w:szCs w:val="32"/>
          <w:highlight w:val="none"/>
        </w:rPr>
        <w:t>举办节庆、晚会、论坛、赛事</w:t>
      </w:r>
      <w:r>
        <w:rPr>
          <w:rFonts w:hint="eastAsia" w:ascii="Times New Roman" w:hAnsi="Times New Roman" w:eastAsia="仿宋_GB2312" w:cs="Times New Roman"/>
          <w:sz w:val="32"/>
          <w:szCs w:val="32"/>
          <w:highlight w:val="none"/>
          <w:lang w:eastAsia="zh-CN"/>
        </w:rPr>
        <w:t>等</w:t>
      </w:r>
      <w:r>
        <w:rPr>
          <w:rFonts w:ascii="Times New Roman" w:hAnsi="Times New Roman" w:eastAsia="仿宋_GB2312" w:cs="Times New Roman"/>
          <w:sz w:val="32"/>
          <w:szCs w:val="32"/>
          <w:highlight w:val="none"/>
        </w:rPr>
        <w:t>活动。</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5"/>
        <w:overflowPunct w:val="0"/>
        <w:autoSpaceDE/>
        <w:autoSpaceDN/>
        <w:spacing w:line="600" w:lineRule="exact"/>
        <w:ind w:firstLine="640" w:firstLineChars="200"/>
        <w:jc w:val="both"/>
        <w:rPr>
          <w:rFonts w:ascii="Times New Roman" w:hAnsi="Times New Roman" w:eastAsia="楷体" w:cs="Times New Roman"/>
          <w:b/>
          <w:bCs/>
          <w:i/>
          <w:color w:val="auto"/>
          <w:sz w:val="32"/>
          <w:szCs w:val="32"/>
          <w:highlight w:val="none"/>
        </w:rPr>
      </w:pPr>
      <w:r>
        <w:rPr>
          <w:rFonts w:ascii="Times New Roman" w:hAnsi="Times New Roman" w:eastAsia="仿宋_GB2312" w:cs="Times New Roman"/>
          <w:sz w:val="32"/>
          <w:szCs w:val="32"/>
          <w:highlight w:val="none"/>
        </w:rPr>
        <w:t>本部门2024年度政府采购支出总额</w:t>
      </w:r>
      <w:r>
        <w:rPr>
          <w:rFonts w:hint="eastAsia" w:ascii="Times New Roman" w:hAnsi="Times New Roman" w:eastAsia="仿宋_GB2312" w:cs="Times New Roman"/>
          <w:sz w:val="32"/>
          <w:szCs w:val="32"/>
          <w:highlight w:val="none"/>
          <w:lang w:val="en-US" w:eastAsia="zh-CN"/>
        </w:rPr>
        <w:t>2.00</w:t>
      </w:r>
      <w:r>
        <w:rPr>
          <w:rFonts w:ascii="Times New Roman" w:hAnsi="Times New Roman" w:eastAsia="仿宋_GB2312" w:cs="Times New Roman"/>
          <w:sz w:val="32"/>
          <w:szCs w:val="32"/>
          <w:highlight w:val="none"/>
        </w:rPr>
        <w:t>万元，其中：政府采购货物支出</w:t>
      </w:r>
      <w:r>
        <w:rPr>
          <w:rFonts w:hint="eastAsia" w:ascii="Times New Roman" w:hAnsi="Times New Roman" w:eastAsia="仿宋_GB2312" w:cs="Times New Roman"/>
          <w:sz w:val="32"/>
          <w:szCs w:val="32"/>
          <w:highlight w:val="none"/>
          <w:lang w:val="en-US" w:eastAsia="zh-CN"/>
        </w:rPr>
        <w:t>2.00</w:t>
      </w:r>
      <w:r>
        <w:rPr>
          <w:rFonts w:ascii="Times New Roman" w:hAnsi="Times New Roman" w:eastAsia="仿宋_GB2312" w:cs="Times New Roman"/>
          <w:sz w:val="32"/>
          <w:szCs w:val="32"/>
          <w:highlight w:val="none"/>
        </w:rPr>
        <w:t xml:space="preserve"> 万元、政府采购工程支出</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万元、政府采购服务支出</w:t>
      </w:r>
      <w:r>
        <w:rPr>
          <w:rFonts w:hint="eastAsia" w:ascii="Times New Roman" w:hAnsi="Times New Roman" w:eastAsia="仿宋_GB2312" w:cs="Times New Roman"/>
          <w:sz w:val="32"/>
          <w:szCs w:val="32"/>
          <w:highlight w:val="none"/>
          <w:lang w:val="en-US" w:eastAsia="zh-CN"/>
        </w:rPr>
        <w:t>0.00</w:t>
      </w:r>
      <w:r>
        <w:rPr>
          <w:rFonts w:ascii="Times New Roman" w:hAnsi="Times New Roman" w:eastAsia="仿宋_GB2312" w:cs="Times New Roman"/>
          <w:sz w:val="32"/>
          <w:szCs w:val="32"/>
          <w:highlight w:val="none"/>
        </w:rPr>
        <w:t>万元。授予中小企业合同金额</w:t>
      </w:r>
      <w:r>
        <w:rPr>
          <w:rFonts w:hint="eastAsia" w:ascii="Times New Roman" w:hAnsi="Times New Roman" w:eastAsia="仿宋_GB2312" w:cs="Times New Roman"/>
          <w:sz w:val="32"/>
          <w:szCs w:val="32"/>
          <w:highlight w:val="none"/>
          <w:lang w:val="en-US" w:eastAsia="zh-CN"/>
        </w:rPr>
        <w:t>2.00</w:t>
      </w:r>
      <w:r>
        <w:rPr>
          <w:rFonts w:ascii="Times New Roman" w:hAnsi="Times New Roman" w:eastAsia="仿宋_GB2312" w:cs="Times New Roman"/>
          <w:sz w:val="32"/>
          <w:szCs w:val="32"/>
          <w:highlight w:val="none"/>
        </w:rPr>
        <w:t>万元，占政府采购支出总额的</w:t>
      </w:r>
      <w:r>
        <w:rPr>
          <w:rFonts w:hint="eastAsia" w:ascii="Times New Roman" w:hAnsi="Times New Roman" w:eastAsia="仿宋_GB2312" w:cs="Times New Roman"/>
          <w:sz w:val="32"/>
          <w:szCs w:val="32"/>
          <w:highlight w:val="none"/>
          <w:lang w:val="en-US" w:eastAsia="zh-CN"/>
        </w:rPr>
        <w:t>100</w:t>
      </w:r>
      <w:r>
        <w:rPr>
          <w:rFonts w:ascii="Times New Roman" w:hAnsi="Times New Roman" w:eastAsia="仿宋_GB2312" w:cs="Times New Roman"/>
          <w:sz w:val="32"/>
          <w:szCs w:val="32"/>
          <w:highlight w:val="none"/>
        </w:rPr>
        <w:t>%，其中：授予小微企业合同金额</w:t>
      </w:r>
      <w:r>
        <w:rPr>
          <w:rFonts w:hint="eastAsia" w:ascii="Times New Roman" w:hAnsi="Times New Roman" w:eastAsia="仿宋_GB2312" w:cs="Times New Roman"/>
          <w:sz w:val="32"/>
          <w:szCs w:val="32"/>
          <w:highlight w:val="none"/>
          <w:lang w:val="en-US" w:eastAsia="zh-CN"/>
        </w:rPr>
        <w:t>2.00</w:t>
      </w:r>
      <w:r>
        <w:rPr>
          <w:rFonts w:ascii="Times New Roman" w:hAnsi="Times New Roman" w:eastAsia="仿宋_GB2312" w:cs="Times New Roman"/>
          <w:sz w:val="32"/>
          <w:szCs w:val="32"/>
          <w:highlight w:val="none"/>
        </w:rPr>
        <w:t>万元，</w:t>
      </w:r>
      <w:r>
        <w:rPr>
          <w:rFonts w:ascii="Times New Roman" w:hAnsi="Times New Roman" w:eastAsia="仿宋_GB2312" w:cs="Times New Roman"/>
          <w:color w:val="auto"/>
          <w:sz w:val="32"/>
          <w:szCs w:val="32"/>
          <w:highlight w:val="none"/>
        </w:rPr>
        <w:t>占授予中小企业合同金额的</w:t>
      </w:r>
      <w:r>
        <w:rPr>
          <w:rFonts w:hint="eastAsia" w:ascii="Times New Roman" w:hAnsi="Times New Roman" w:eastAsia="仿宋_GB2312" w:cs="Times New Roman"/>
          <w:color w:val="auto"/>
          <w:sz w:val="32"/>
          <w:szCs w:val="32"/>
          <w:highlight w:val="none"/>
          <w:lang w:val="en-US" w:eastAsia="zh-CN"/>
        </w:rPr>
        <w:t>100</w:t>
      </w:r>
      <w:r>
        <w:rPr>
          <w:rFonts w:ascii="Times New Roman" w:hAnsi="Times New Roman" w:eastAsia="仿宋_GB2312" w:cs="Times New Roman"/>
          <w:color w:val="auto"/>
          <w:sz w:val="32"/>
          <w:szCs w:val="32"/>
          <w:highlight w:val="none"/>
        </w:rPr>
        <w:t>%。货物采购授予中小企业合同金额占货物支出金额的</w:t>
      </w:r>
      <w:r>
        <w:rPr>
          <w:rFonts w:hint="eastAsia" w:ascii="Times New Roman" w:hAnsi="Times New Roman" w:eastAsia="仿宋_GB2312" w:cs="Times New Roman"/>
          <w:color w:val="auto"/>
          <w:sz w:val="32"/>
          <w:szCs w:val="32"/>
          <w:highlight w:val="none"/>
          <w:lang w:val="en-US" w:eastAsia="zh-CN"/>
        </w:rPr>
        <w:t>100</w:t>
      </w:r>
      <w:r>
        <w:rPr>
          <w:rFonts w:ascii="Times New Roman" w:hAnsi="Times New Roman" w:eastAsia="仿宋_GB2312" w:cs="Times New Roman"/>
          <w:color w:val="auto"/>
          <w:sz w:val="32"/>
          <w:szCs w:val="32"/>
          <w:highlight w:val="none"/>
        </w:rPr>
        <w:t>%。</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w:t>
      </w:r>
      <w:r>
        <w:rPr>
          <w:rFonts w:hint="eastAsia" w:ascii="Times New Roman" w:hAnsi="Times New Roman" w:eastAsia="仿宋_GB2312" w:cs="Times New Roman"/>
          <w:color w:val="auto"/>
          <w:sz w:val="32"/>
          <w:szCs w:val="32"/>
          <w:lang w:eastAsia="zh-CN"/>
        </w:rPr>
        <w:t>本</w:t>
      </w:r>
      <w:r>
        <w:rPr>
          <w:rFonts w:ascii="Times New Roman" w:hAnsi="Times New Roman" w:eastAsia="仿宋_GB2312" w:cs="Times New Roman"/>
          <w:color w:val="auto"/>
          <w:sz w:val="32"/>
          <w:szCs w:val="32"/>
        </w:rPr>
        <w:t>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b/>
          <w:bCs/>
          <w:kern w:val="0"/>
          <w:sz w:val="32"/>
          <w:szCs w:val="32"/>
          <w:highlight w:val="none"/>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15.96</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15.96</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12.14</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 xml:space="preserve"> 万元</w:t>
      </w:r>
      <w:r>
        <w:rPr>
          <w:rFonts w:ascii="Times New Roman" w:hAnsi="Times New Roman" w:eastAsia="仿宋_GB2312" w:cs="Times New Roman"/>
          <w:kern w:val="0"/>
          <w:sz w:val="32"/>
          <w:szCs w:val="32"/>
          <w:highlight w:val="none"/>
        </w:rPr>
        <w:t>；</w:t>
      </w:r>
      <w:r>
        <w:rPr>
          <w:rFonts w:ascii="Times New Roman" w:hAnsi="Times New Roman" w:eastAsia="仿宋_GB2312" w:cs="Times New Roman"/>
          <w:kern w:val="0"/>
          <w:sz w:val="32"/>
          <w:szCs w:val="32"/>
        </w:rPr>
        <w:t>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w:t>
      </w:r>
      <w:r>
        <w:rPr>
          <w:rFonts w:ascii="Times New Roman" w:hAnsi="Times New Roman" w:eastAsia="仿宋_GB2312" w:cs="Times New Roman"/>
          <w:b/>
          <w:bCs/>
          <w:kern w:val="0"/>
          <w:sz w:val="32"/>
          <w:szCs w:val="32"/>
          <w:highlight w:val="none"/>
        </w:rPr>
        <w:t>。</w:t>
      </w:r>
    </w:p>
    <w:p>
      <w:pPr>
        <w:snapToGrid w:val="0"/>
        <w:spacing w:line="520" w:lineRule="exact"/>
        <w:ind w:firstLine="640" w:firstLineChars="200"/>
        <w:rPr>
          <w:rFonts w:ascii="Times New Roman" w:hAnsi="Times New Roman" w:eastAsia="仿宋_GB2312" w:cs="Times New Roman"/>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190.13</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131.52</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69.18</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绩效自评得分</w:t>
      </w:r>
      <w:r>
        <w:rPr>
          <w:rFonts w:hint="eastAsia" w:ascii="Times New Roman" w:hAnsi="Times New Roman" w:eastAsia="仿宋_GB2312" w:cs="Times New Roman"/>
          <w:kern w:val="0"/>
          <w:sz w:val="32"/>
          <w:szCs w:val="32"/>
          <w:highlight w:val="none"/>
          <w:lang w:val="en-US" w:eastAsia="zh-CN"/>
        </w:rPr>
        <w:t>9</w:t>
      </w:r>
      <w:r>
        <w:rPr>
          <w:rFonts w:hint="eastAsia" w:ascii="Times New Roman" w:hAnsi="Times New Roman" w:eastAsia="仿宋_GB2312" w:cs="Times New Roman"/>
          <w:sz w:val="32"/>
          <w:szCs w:val="32"/>
          <w:highlight w:val="none"/>
          <w:lang w:val="en-US" w:eastAsia="zh-CN"/>
        </w:rPr>
        <w:t>6.92</w:t>
      </w:r>
      <w:r>
        <w:rPr>
          <w:rFonts w:ascii="Times New Roman" w:hAnsi="Times New Roman" w:eastAsia="仿宋_GB2312" w:cs="Times New Roman"/>
          <w:sz w:val="32"/>
          <w:szCs w:val="32"/>
          <w:highlight w:val="none"/>
        </w:rPr>
        <w:t>分</w:t>
      </w:r>
      <w:r>
        <w:rPr>
          <w:rFonts w:ascii="Times New Roman" w:hAnsi="Times New Roman" w:eastAsia="仿宋_GB2312" w:cs="Times New Roman"/>
          <w:kern w:val="0"/>
          <w:sz w:val="32"/>
          <w:szCs w:val="32"/>
          <w:highlight w:val="none"/>
        </w:rPr>
        <w:t>，评价等级为</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优秀</w:t>
      </w:r>
      <w:r>
        <w:rPr>
          <w:rFonts w:ascii="Times New Roman" w:hAnsi="Times New Roman" w:eastAsia="仿宋_GB2312" w:cs="Times New Roman"/>
          <w:sz w:val="32"/>
          <w:szCs w:val="32"/>
          <w:highlight w:val="none"/>
        </w:rPr>
        <w:t>”。绩效目标完成情况：</w:t>
      </w:r>
      <w:r>
        <w:rPr>
          <w:rFonts w:hint="eastAsia" w:ascii="Times New Roman" w:hAnsi="Times New Roman" w:eastAsia="仿宋_GB2312" w:cs="Times New Roman"/>
          <w:sz w:val="32"/>
          <w:szCs w:val="32"/>
          <w:highlight w:val="none"/>
          <w:lang w:eastAsia="zh-CN"/>
        </w:rPr>
        <w:t>一</w:t>
      </w:r>
      <w:r>
        <w:rPr>
          <w:rFonts w:hint="eastAsia" w:ascii="仿宋_GB2312" w:hAnsi="Calibri" w:eastAsia="仿宋_GB2312" w:cs="Times New Roman"/>
          <w:b/>
          <w:color w:val="000000"/>
          <w:sz w:val="32"/>
          <w:szCs w:val="32"/>
          <w:lang w:eastAsia="zh-CN"/>
        </w:rPr>
        <w:t>是</w:t>
      </w:r>
      <w:r>
        <w:rPr>
          <w:rFonts w:hint="eastAsia" w:ascii="仿宋_GB2312" w:hAnsi="Calibri" w:eastAsia="仿宋_GB2312" w:cs="Times New Roman"/>
          <w:b/>
          <w:color w:val="000000"/>
          <w:sz w:val="32"/>
          <w:szCs w:val="32"/>
        </w:rPr>
        <w:t>省乡村发展基金会办公室聚焦乡村振兴公益事业主责主业，全力支持乡村产业发展，不断助力巩固拓展脱贫攻坚成果，各项工作稳中有进</w:t>
      </w:r>
      <w:r>
        <w:rPr>
          <w:rFonts w:hint="eastAsia" w:ascii="Calibri" w:hAnsi="Calibri" w:eastAsia="仿宋_GB2312" w:cs="Times New Roman"/>
          <w:color w:val="000000"/>
          <w:sz w:val="32"/>
          <w:szCs w:val="32"/>
        </w:rPr>
        <w:t>。</w:t>
      </w:r>
      <w:r>
        <w:rPr>
          <w:rFonts w:hint="eastAsia" w:ascii="Calibri" w:hAnsi="Calibri" w:eastAsia="仿宋_GB2312" w:cs="Times New Roman"/>
          <w:color w:val="000000"/>
          <w:sz w:val="32"/>
          <w:szCs w:val="32"/>
          <w:lang w:val="en-US" w:eastAsia="zh-CN"/>
        </w:rPr>
        <w:t>1、</w:t>
      </w:r>
      <w:r>
        <w:rPr>
          <w:rFonts w:hint="eastAsia" w:ascii="Times New Roman" w:hAnsi="Times New Roman" w:eastAsia="仿宋_GB2312" w:cs="Times New Roman"/>
          <w:color w:val="000000"/>
          <w:kern w:val="2"/>
          <w:sz w:val="32"/>
          <w:szCs w:val="32"/>
          <w:lang w:val="en-US" w:eastAsia="zh-CN" w:bidi="ar-SA"/>
        </w:rPr>
        <w:t>首先坚持党建引领，筑牢发展根基：深化理论武装，抓实纪律建设，强化组织建设</w:t>
      </w:r>
      <w:r>
        <w:rPr>
          <w:rFonts w:hint="eastAsia" w:ascii="Times New Roman" w:hAnsi="Times New Roman" w:eastAsia="仿宋_GB2312" w:cs="Times New Roman"/>
          <w:b/>
          <w:color w:val="000000"/>
          <w:sz w:val="32"/>
          <w:szCs w:val="32"/>
        </w:rPr>
        <w:t>。</w:t>
      </w:r>
      <w:r>
        <w:rPr>
          <w:rFonts w:hint="eastAsia" w:ascii="Times New Roman" w:hAnsi="Times New Roman" w:eastAsia="仿宋_GB2312" w:cs="Times New Roman"/>
          <w:color w:val="000000"/>
          <w:sz w:val="32"/>
          <w:szCs w:val="32"/>
        </w:rPr>
        <w:t>始终把政治建设发在首位，充分发挥基层党组织战斗堡垒作用和党员先锋模范作用，为各项事业高质量发展提供坚强的政治保证。全年召开支部党员大会集体学习15次，支部书记讲党课1次，深入学习习近平经济思想、法治思想、党的建设和党的自我革命重要思想，习近平总书记关于为基层减负、意识形态、发展新质生产力推动高质量发展和“三农”工作的重要论述。特别是考察湖南重要讲话重要指示、党的二十届三中全会精神，确保基金会办公室各项工作遵循大政方针。通过集中学习和个人自学相结合，对《中国共产党纪律处分条例》逐条原文学习，开展党纪学习教育集中研讨5次，确保各项条文入脑入心。结合杨乾等人严重违纪违法案例，用“身边人”“身边事”进行警示教育，观看警示教育片2次，以案为鉴、以案明纪、以案促改，教育引导党员干部知敬畏、守底线。机构改革后，基金会办公室支部党员力量进一步充实，严格落实“三会一课”制度、开展谈心谈话2次、开展主题党日活动2次，不断提升支部战斗堡垒作用。坚持党建带群建，群建促党建，组织春游活动、“三农杯”运动会拔河、羽毛球、跳绳比赛，落实年休假、健康体检等制度，关心关爱干部职工身心健康。2</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推进乡村公益，巩固脱贫成果，落实产业帮扶，赋能乡村振兴：抓好传统公益项目，做大做强专项基金，支持灾后重建，稳步推进帮扶产业重点项目建设</w:t>
      </w:r>
      <w:r>
        <w:rPr>
          <w:rFonts w:hint="eastAsia" w:ascii="Times New Roman" w:hAnsi="Times New Roman" w:eastAsia="仿宋_GB2312" w:cs="Times New Roman"/>
          <w:color w:val="000000"/>
          <w:sz w:val="32"/>
          <w:szCs w:val="32"/>
        </w:rPr>
        <w:t>。聚焦主责主业，协调和组织社会各界参与公益活动，锲而不舍巩固拓展脱贫攻坚成果。汇聚社会各界的公益力量，积</w:t>
      </w:r>
      <w:bookmarkStart w:id="3" w:name="_GoBack"/>
      <w:bookmarkEnd w:id="3"/>
      <w:r>
        <w:rPr>
          <w:rFonts w:hint="eastAsia" w:ascii="Times New Roman" w:hAnsi="Times New Roman" w:eastAsia="仿宋_GB2312" w:cs="Times New Roman"/>
          <w:color w:val="000000"/>
          <w:sz w:val="32"/>
          <w:szCs w:val="32"/>
        </w:rPr>
        <w:t>极推动定向捐赠的拓展。与湖南兵器建华精密、建设银行、湖南农发集团等企业签订了定向捐赠协议，共计787.9</w:t>
      </w:r>
      <w:r>
        <w:rPr>
          <w:rFonts w:hint="eastAsia" w:ascii="Times New Roman" w:hAnsi="Times New Roman" w:eastAsia="仿宋_GB2312" w:cs="Times New Roman"/>
          <w:color w:val="000000"/>
          <w:sz w:val="32"/>
          <w:szCs w:val="32"/>
          <w:lang w:val="en-US" w:eastAsia="zh-CN"/>
        </w:rPr>
        <w:t>0</w:t>
      </w:r>
      <w:r>
        <w:rPr>
          <w:rFonts w:hint="eastAsia" w:ascii="Times New Roman" w:hAnsi="Times New Roman" w:eastAsia="仿宋_GB2312" w:cs="Times New Roman"/>
          <w:color w:val="000000"/>
          <w:sz w:val="32"/>
          <w:szCs w:val="32"/>
        </w:rPr>
        <w:t>万元</w:t>
      </w:r>
      <w:r>
        <w:rPr>
          <w:rFonts w:hint="eastAsia" w:ascii="Calibri" w:hAnsi="Calibri" w:eastAsia="仿宋_GB2312" w:cs="Times New Roman"/>
          <w:color w:val="000000"/>
          <w:sz w:val="32"/>
          <w:szCs w:val="32"/>
        </w:rPr>
        <w:t>；</w:t>
      </w:r>
      <w:r>
        <w:rPr>
          <w:rFonts w:hint="eastAsia" w:ascii="Times New Roman" w:hAnsi="Times New Roman" w:eastAsia="仿宋_GB2312" w:cs="Times New Roman"/>
          <w:color w:val="000000"/>
          <w:sz w:val="32"/>
          <w:szCs w:val="32"/>
        </w:rPr>
        <w:t>继湘西泸溪县成功实施五个“溪桥工程”后，为满足永州市双牌县何家洞镇群众出行需求，联合中国乡村发展基金会再次启动了双牌县的“溪桥工程”项目，支持建设小型便民桥，助力乡村宜居</w:t>
      </w:r>
      <w:r>
        <w:rPr>
          <w:rFonts w:hint="eastAsia" w:ascii="Calibri" w:hAnsi="Calibri" w:eastAsia="仿宋_GB2312" w:cs="Times New Roman"/>
          <w:color w:val="000000"/>
          <w:sz w:val="32"/>
          <w:szCs w:val="32"/>
        </w:rPr>
        <w:t>；</w:t>
      </w:r>
      <w:r>
        <w:rPr>
          <w:rFonts w:hint="eastAsia" w:ascii="Times New Roman" w:hAnsi="Times New Roman" w:eastAsia="仿宋_GB2312" w:cs="Times New Roman"/>
          <w:color w:val="000000"/>
          <w:sz w:val="32"/>
          <w:szCs w:val="32"/>
        </w:rPr>
        <w:t>由大汉控股集团有限公司和湖南大三湘茶油股份有限公司捐赠的湖南省乡村发展基金会“红汉子”专项基金正式启动，旨在资助培养农村技能型人才并助其就业创业，促进农文旅深度融合和乡村产业多元化发展</w:t>
      </w:r>
      <w:r>
        <w:rPr>
          <w:rFonts w:hint="eastAsia" w:ascii="Calibri" w:hAnsi="Calibri" w:eastAsia="仿宋_GB2312" w:cs="Times New Roman"/>
          <w:color w:val="000000"/>
          <w:sz w:val="32"/>
          <w:szCs w:val="32"/>
        </w:rPr>
        <w:t>；在</w:t>
      </w:r>
      <w:r>
        <w:rPr>
          <w:rFonts w:hint="eastAsia" w:ascii="Times New Roman" w:hAnsi="Times New Roman" w:eastAsia="仿宋_GB2312" w:cs="Times New Roman"/>
          <w:color w:val="000000"/>
          <w:sz w:val="32"/>
          <w:szCs w:val="32"/>
        </w:rPr>
        <w:t>今年6月，怀化溆浦县发生特大洪灾，省乡村发展基金会会捐赠十万元人民币支持溆浦县红星村灾后重建，帮助渡过难关；安排省帮扶产业发展重点项目资金3亿元，推动水果、茶叶、蔬菜和中药材4类帮扶主导特色产业提档升级、提质增效，明确每个省重点项目联农带农方式不少于3类，均要建立联农带农台账，台账中每名农户都要有联农带农举措。培育壮大联农带农主体，支持带动脱贫人口较多的龙头企业288家、合作社547家，预计新带动脱贫人口发展产业3.61万人、安排就业2.28万人，确保了脱贫群众在乡村产业发展中有活干、有钱赚。</w:t>
      </w:r>
      <w:r>
        <w:rPr>
          <w:rFonts w:hint="eastAsia" w:ascii="Times New Roman" w:hAnsi="Times New Roman" w:eastAsia="仿宋_GB2312" w:cs="Times New Roman"/>
          <w:b/>
          <w:bCs/>
          <w:sz w:val="32"/>
          <w:szCs w:val="32"/>
          <w:lang w:eastAsia="zh-CN"/>
        </w:rPr>
        <w:t>二是</w:t>
      </w:r>
      <w:r>
        <w:rPr>
          <w:rFonts w:hint="eastAsia" w:ascii="Times New Roman" w:hAnsi="Times New Roman" w:eastAsia="仿宋_GB2312" w:cs="Times New Roman"/>
          <w:b/>
          <w:bCs/>
          <w:sz w:val="32"/>
          <w:szCs w:val="32"/>
        </w:rPr>
        <w:t>通过加强预算收支管理，不断建立健全内部管理制度，梳理内部管理流程，部门整体支出管理情况得到提升。</w:t>
      </w:r>
      <w:r>
        <w:rPr>
          <w:rFonts w:hint="eastAsia" w:ascii="Times New Roman" w:hAnsi="Times New Roman" w:eastAsia="仿宋_GB2312" w:cs="Times New Roman"/>
          <w:sz w:val="32"/>
          <w:szCs w:val="32"/>
          <w:lang w:eastAsia="zh-CN"/>
        </w:rPr>
        <w:t>（一）</w:t>
      </w:r>
      <w:r>
        <w:rPr>
          <w:rFonts w:hint="eastAsia" w:ascii="Times New Roman" w:hAnsi="Times New Roman" w:eastAsia="仿宋_GB2312" w:cs="Times New Roman"/>
          <w:sz w:val="32"/>
          <w:szCs w:val="32"/>
        </w:rPr>
        <w:t>运行成本控制</w:t>
      </w:r>
      <w:r>
        <w:rPr>
          <w:rFonts w:hint="eastAsia" w:ascii="Times New Roman" w:hAnsi="Times New Roman" w:eastAsia="仿宋_GB2312" w:cs="Times New Roman"/>
          <w:sz w:val="32"/>
          <w:szCs w:val="32"/>
          <w:lang w:eastAsia="zh-CN"/>
        </w:rPr>
        <w:t>方面</w:t>
      </w:r>
      <w:r>
        <w:rPr>
          <w:rFonts w:hint="eastAsia" w:ascii="Times New Roman" w:hAnsi="Times New Roman" w:eastAsia="仿宋_GB2312" w:cs="Times New Roman"/>
          <w:sz w:val="32"/>
          <w:szCs w:val="32"/>
        </w:rPr>
        <w:t>。2024年本单位财政决算为131.52万元，预算执行率为69.18%，在职在编人员5人，退休人员1人。人员经费支出102.8</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万元，占比高达78.19%。业务工作经费支出减少5.11%，是因厉行节约，严控单位经费支出。履职效能和社会</w:t>
      </w:r>
      <w:r>
        <w:rPr>
          <w:rFonts w:hint="eastAsia" w:ascii="Times New Roman" w:hAnsi="Times New Roman" w:eastAsia="仿宋_GB2312" w:cs="Times New Roman"/>
          <w:color w:val="000000"/>
          <w:sz w:val="32"/>
          <w:szCs w:val="32"/>
        </w:rPr>
        <w:t>效应。2024年本单位</w:t>
      </w:r>
      <w:r>
        <w:rPr>
          <w:rFonts w:ascii="Times New Roman" w:hAnsi="Times New Roman" w:eastAsia="仿宋_GB2312" w:cs="Times New Roman"/>
          <w:sz w:val="32"/>
          <w:szCs w:val="32"/>
        </w:rPr>
        <w:t>紧紧围绕乡村发展公益事业中心工作</w:t>
      </w:r>
      <w:r>
        <w:rPr>
          <w:rFonts w:hint="eastAsia" w:ascii="Times New Roman" w:hAnsi="Times New Roman" w:eastAsia="仿宋_GB2312" w:cs="Times New Roman"/>
          <w:sz w:val="32"/>
          <w:szCs w:val="32"/>
        </w:rPr>
        <w:t>，</w:t>
      </w:r>
      <w:r>
        <w:rPr>
          <w:rFonts w:hint="eastAsia" w:ascii="Times New Roman" w:hAnsi="Times New Roman" w:eastAsia="仿宋_GB2312"/>
          <w:color w:val="000000"/>
          <w:sz w:val="32"/>
          <w:szCs w:val="32"/>
        </w:rPr>
        <w:t>聚焦主责主业，协调和组织社会各界参与公益活动，锲而不舍巩固拓展脱贫攻坚成果。</w:t>
      </w:r>
      <w:r>
        <w:rPr>
          <w:rFonts w:hint="eastAsia" w:ascii="Times New Roman" w:hAnsi="Times New Roman" w:eastAsia="仿宋_GB2312"/>
          <w:color w:val="000000"/>
          <w:sz w:val="32"/>
          <w:szCs w:val="32"/>
          <w:lang w:eastAsia="zh-CN"/>
        </w:rPr>
        <w:t>（二）</w:t>
      </w:r>
      <w:r>
        <w:rPr>
          <w:rFonts w:hint="eastAsia" w:ascii="Times New Roman" w:hAnsi="Times New Roman" w:eastAsia="仿宋_GB2312" w:cs="Times New Roman"/>
          <w:sz w:val="32"/>
          <w:szCs w:val="32"/>
        </w:rPr>
        <w:t>从绩效指标方面评估，共设有3个产出指标和3个社会效益指标。产出指标方面，一是</w:t>
      </w:r>
      <w:r>
        <w:rPr>
          <w:rFonts w:hint="eastAsia" w:ascii="仿宋_GB2312" w:hAnsi="仿宋_GB2312" w:eastAsia="仿宋_GB2312" w:cs="仿宋_GB2312"/>
          <w:sz w:val="32"/>
          <w:szCs w:val="32"/>
        </w:rPr>
        <w:t>完成了基金会筹资目标工作。不断拓宽资金募集渠道，筹资规模保持良好的增长，2024年度捐赠资金787.94</w:t>
      </w:r>
      <w:r>
        <w:rPr>
          <w:rFonts w:hint="eastAsia" w:ascii="Times New Roman" w:hAnsi="Times New Roman" w:eastAsia="仿宋_GB2312" w:cs="Times New Roman"/>
          <w:sz w:val="32"/>
          <w:szCs w:val="32"/>
        </w:rPr>
        <w:t>万元，</w:t>
      </w:r>
      <w:r>
        <w:rPr>
          <w:rFonts w:hint="eastAsia" w:ascii="仿宋_GB2312" w:hAnsi="仿宋_GB2312" w:eastAsia="仿宋_GB2312" w:cs="仿宋_GB2312"/>
          <w:sz w:val="32"/>
          <w:szCs w:val="32"/>
        </w:rPr>
        <w:t>期间净资产增长82.45万元</w:t>
      </w:r>
      <w:r>
        <w:rPr>
          <w:rFonts w:ascii="Times New Roman" w:hAnsi="Times New Roman" w:eastAsia="仿宋_GB2312" w:cs="Times New Roman"/>
          <w:sz w:val="36"/>
          <w:szCs w:val="36"/>
        </w:rPr>
        <w:t>。</w:t>
      </w:r>
      <w:r>
        <w:rPr>
          <w:rFonts w:hint="eastAsia" w:ascii="Times New Roman" w:hAnsi="Times New Roman" w:eastAsia="仿宋_GB2312" w:cs="Times New Roman"/>
          <w:sz w:val="32"/>
          <w:szCs w:val="32"/>
        </w:rPr>
        <w:t>二是</w:t>
      </w:r>
      <w:r>
        <w:rPr>
          <w:rFonts w:hint="eastAsia" w:ascii="仿宋_GB2312" w:hAnsi="仿宋_GB2312" w:eastAsia="仿宋_GB2312" w:cs="仿宋_GB2312"/>
          <w:sz w:val="32"/>
          <w:szCs w:val="32"/>
        </w:rPr>
        <w:t>推进乡村发展公益项目超过1个。</w:t>
      </w:r>
      <w:r>
        <w:rPr>
          <w:rFonts w:hint="eastAsia" w:ascii="仿宋_GB2312" w:hAnsi="Times New Roman" w:eastAsia="仿宋_GB2312" w:cs="Times New Roman"/>
          <w:sz w:val="32"/>
          <w:szCs w:val="32"/>
        </w:rPr>
        <w:t>联合中国乡村发展基金会实施了“溪桥工程”，</w:t>
      </w:r>
      <w:r>
        <w:rPr>
          <w:rFonts w:hint="eastAsia" w:ascii="Times New Roman" w:hAnsi="Times New Roman" w:eastAsia="仿宋_GB2312" w:cs="Times New Roman"/>
          <w:color w:val="000000"/>
          <w:sz w:val="32"/>
          <w:szCs w:val="32"/>
        </w:rPr>
        <w:t xml:space="preserve"> 支持建设小型便民桥，助力乡村宜居</w:t>
      </w:r>
      <w:r>
        <w:rPr>
          <w:rFonts w:hint="eastAsia" w:ascii="仿宋_GB2312" w:hAnsi="Times New Roman" w:eastAsia="仿宋_GB2312" w:cs="Times New Roman"/>
          <w:sz w:val="32"/>
          <w:szCs w:val="32"/>
        </w:rPr>
        <w:t>。三是响应《湖南省深化安全可靠应用替代工作</w:t>
      </w:r>
      <w:r>
        <w:rPr>
          <w:rFonts w:hint="eastAsia" w:ascii="宋体" w:hAnsi="宋体" w:eastAsia="宋体" w:cs="宋体"/>
          <w:sz w:val="32"/>
          <w:szCs w:val="32"/>
        </w:rPr>
        <w:t>实施方案</w:t>
      </w:r>
      <w:r>
        <w:rPr>
          <w:rFonts w:hint="eastAsia" w:ascii="仿宋_GB2312" w:hAnsi="Times New Roman" w:eastAsia="仿宋_GB2312" w:cs="Times New Roman"/>
          <w:sz w:val="32"/>
          <w:szCs w:val="32"/>
        </w:rPr>
        <w:t>》文件精神，打好数字关键核心技术攻坚战，维护国家安全发展利益，成功置换3台以安可替代范畴的计算机终端产品。效益指标方面，</w:t>
      </w:r>
      <w:r>
        <w:rPr>
          <w:rFonts w:hint="eastAsia" w:ascii="Times New Roman" w:hAnsi="Times New Roman" w:eastAsia="仿宋_GB2312" w:cs="Times New Roman"/>
          <w:color w:val="000000"/>
          <w:sz w:val="32"/>
          <w:szCs w:val="32"/>
        </w:rPr>
        <w:t>一是</w:t>
      </w:r>
      <w:r>
        <w:rPr>
          <w:rFonts w:hint="eastAsia" w:ascii="仿宋_GB2312" w:hAnsi="仿宋_GB2312" w:eastAsia="仿宋_GB2312" w:cs="仿宋_GB2312"/>
          <w:sz w:val="32"/>
          <w:szCs w:val="32"/>
        </w:rPr>
        <w:t>接受管理社会资金捐赠超过200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w:t>
      </w:r>
      <w:r>
        <w:rPr>
          <w:rFonts w:hint="eastAsia" w:ascii="Times New Roman" w:hAnsi="Times New Roman" w:eastAsia="仿宋_GB2312"/>
          <w:color w:val="000000"/>
          <w:sz w:val="32"/>
          <w:szCs w:val="32"/>
        </w:rPr>
        <w:t>围绕产业帮扶，不断增强脱贫地区和脱贫群众内生发展动力</w:t>
      </w:r>
      <w:r>
        <w:rPr>
          <w:rFonts w:hint="eastAsia" w:ascii="仿宋_GB2312" w:hAnsi="仿宋_GB2312" w:eastAsia="仿宋_GB2312" w:cs="仿宋_GB2312"/>
          <w:sz w:val="32"/>
          <w:szCs w:val="32"/>
        </w:rPr>
        <w:t>。</w:t>
      </w:r>
      <w:r>
        <w:rPr>
          <w:rFonts w:hint="eastAsia" w:ascii="Times New Roman" w:hAnsi="Times New Roman" w:eastAsia="仿宋_GB2312" w:cs="Times New Roman"/>
          <w:color w:val="000000"/>
          <w:sz w:val="32"/>
          <w:szCs w:val="32"/>
        </w:rPr>
        <w:t>二是消费帮扶受益群体95%以上。</w:t>
      </w:r>
      <w:r>
        <w:rPr>
          <w:rFonts w:ascii="Times New Roman" w:hAnsi="Times New Roman" w:eastAsia="仿宋_GB2312" w:cs="Times New Roman"/>
          <w:color w:val="000000"/>
          <w:sz w:val="32"/>
          <w:szCs w:val="32"/>
        </w:rPr>
        <w:t>随着脱贫攻坚工作体系全面转向乡村振兴</w:t>
      </w:r>
      <w:r>
        <w:rPr>
          <w:rFonts w:hint="eastAsia" w:ascii="Times New Roman" w:hAnsi="Times New Roman" w:eastAsia="仿宋_GB2312" w:cs="Times New Roman"/>
          <w:color w:val="000000"/>
          <w:sz w:val="32"/>
          <w:szCs w:val="32"/>
        </w:rPr>
        <w:t>，越来越多的</w:t>
      </w:r>
      <w:r>
        <w:rPr>
          <w:rFonts w:hint="eastAsia" w:ascii="Times New Roman" w:hAnsi="Times New Roman" w:eastAsia="仿宋_GB2312" w:cs="Times New Roman"/>
          <w:sz w:val="32"/>
          <w:szCs w:val="32"/>
        </w:rPr>
        <w:t>国有企事业单位、社会各界人士</w:t>
      </w:r>
      <w:r>
        <w:rPr>
          <w:rFonts w:hint="eastAsia" w:ascii="仿宋_GB2312" w:hAnsi="仿宋_GB2312" w:eastAsia="仿宋_GB2312" w:cs="仿宋_GB2312"/>
          <w:color w:val="000000"/>
          <w:sz w:val="32"/>
          <w:szCs w:val="32"/>
        </w:rPr>
        <w:t>通过跨平台、多渠道线上线下助推帮扶农产品销售，形成了具有联动效应的融屏互动消费帮扶，直播带货，对口帮扶和定点帮扶。如签约抖音头部主播唐艺为湖南省乡村发展基金会红色沙洲专项基金形象大使。帮助脱贫地区建产起适合市场需要的产品销售链条，推动和建立长期有效的助力机制，促进脱贫地区农业产业健康发展，以便最终形成长期性可持续的“消费帮扶”模式，成为农户增收的有力助手。</w:t>
      </w:r>
      <w:r>
        <w:rPr>
          <w:rFonts w:hint="eastAsia" w:ascii="仿宋_GB2312" w:hAnsi="仿宋_GB2312" w:eastAsia="仿宋_GB2312" w:cs="仿宋_GB2312"/>
          <w:color w:val="000000"/>
          <w:sz w:val="32"/>
          <w:szCs w:val="32"/>
          <w:lang w:eastAsia="zh-CN"/>
        </w:rPr>
        <w:t>（三）</w:t>
      </w:r>
      <w:r>
        <w:rPr>
          <w:rFonts w:hint="eastAsia" w:ascii="仿宋_GB2312" w:hAnsi="仿宋_GB2312" w:eastAsia="仿宋_GB2312" w:cs="仿宋_GB2312"/>
          <w:color w:val="000000"/>
          <w:sz w:val="32"/>
          <w:szCs w:val="32"/>
        </w:rPr>
        <w:t>服务对象满意度评价</w:t>
      </w:r>
      <w:r>
        <w:rPr>
          <w:rFonts w:hint="eastAsia" w:ascii="Times New Roman" w:hAnsi="Times New Roman" w:eastAsia="仿宋_GB2312" w:cs="Times New Roman"/>
          <w:b/>
          <w:bCs/>
          <w:color w:val="000000"/>
          <w:sz w:val="32"/>
          <w:szCs w:val="32"/>
        </w:rPr>
        <w:t>。</w:t>
      </w:r>
      <w:r>
        <w:rPr>
          <w:rFonts w:hint="eastAsia" w:ascii="Times New Roman" w:hAnsi="Times New Roman" w:eastAsia="仿宋_GB2312" w:cs="Times New Roman"/>
          <w:sz w:val="32"/>
          <w:szCs w:val="32"/>
        </w:rPr>
        <w:t>主要是消费帮扶通过各平台线上线下营销多样化，使得更多的农户和消费者受益</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一致获得好评。</w:t>
      </w:r>
    </w:p>
    <w:p>
      <w:pPr>
        <w:overflowPunct w:val="0"/>
        <w:spacing w:line="600" w:lineRule="exact"/>
        <w:ind w:firstLine="640" w:firstLineChars="200"/>
        <w:rPr>
          <w:rFonts w:ascii="Times New Roman" w:hAnsi="Times New Roman" w:eastAsia="仿宋_GB2312" w:cs="Times New Roman"/>
          <w:bCs/>
          <w:sz w:val="32"/>
          <w:szCs w:val="32"/>
          <w:highlight w:val="yellow"/>
        </w:rPr>
      </w:pPr>
      <w:r>
        <w:rPr>
          <w:rFonts w:ascii="Times New Roman" w:hAnsi="Times New Roman" w:eastAsia="仿宋_GB2312" w:cs="Times New Roman"/>
          <w:sz w:val="32"/>
          <w:szCs w:val="32"/>
        </w:rPr>
        <w:t>发现的主要问题及原因：</w:t>
      </w:r>
      <w:r>
        <w:rPr>
          <w:rFonts w:hint="eastAsia" w:ascii="Times New Roman" w:hAnsi="Times New Roman" w:eastAsia="仿宋_GB2312" w:cs="Times New Roman"/>
          <w:sz w:val="32"/>
          <w:szCs w:val="32"/>
        </w:rPr>
        <w:t>一是预算编制不够精准</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rPr>
        <w:t>二是绩效评价结果应用有待提高</w:t>
      </w:r>
      <w:r>
        <w:rPr>
          <w:rFonts w:ascii="Times New Roman" w:hAnsi="Times New Roman" w:eastAsia="仿宋_GB2312" w:cs="Times New Roman"/>
          <w:sz w:val="32"/>
          <w:szCs w:val="32"/>
        </w:rPr>
        <w:t>。下一步改进措施：一是</w:t>
      </w:r>
      <w:r>
        <w:rPr>
          <w:rFonts w:hint="eastAsia" w:ascii="Times New Roman" w:hAnsi="Times New Roman" w:eastAsia="仿宋_GB2312" w:cs="Times New Roman"/>
          <w:sz w:val="32"/>
          <w:szCs w:val="32"/>
        </w:rPr>
        <w:t>进一步提高预算编制的科学性、严谨性和可控性</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要本着实事求是的原则，及时按程序调减预算，并同步调整绩效目标</w:t>
      </w:r>
      <w:r>
        <w:rPr>
          <w:rFonts w:ascii="Times New Roman" w:hAnsi="Times New Roman" w:eastAsia="仿宋_GB2312" w:cs="Times New Roman"/>
          <w:sz w:val="32"/>
          <w:szCs w:val="32"/>
        </w:rPr>
        <w:t>。</w:t>
      </w:r>
    </w:p>
    <w:p>
      <w:pPr>
        <w:widowControl/>
        <w:spacing w:line="600" w:lineRule="exact"/>
        <w:ind w:firstLine="480" w:firstLineChars="150"/>
        <w:jc w:val="left"/>
        <w:rPr>
          <w:rFonts w:ascii="仿宋_GB2312" w:eastAsia="仿宋_GB2312" w:cs="仿宋_GB2312" w:hAnsiTheme="minorEastAsia"/>
          <w:color w:val="000000"/>
          <w:sz w:val="32"/>
          <w:szCs w:val="32"/>
        </w:rPr>
      </w:pPr>
      <w:r>
        <w:rPr>
          <w:rFonts w:ascii="Times New Roman" w:hAnsi="Times New Roman" w:eastAsia="楷体_GB2312" w:cs="Times New Roman"/>
          <w:b/>
          <w:bCs/>
          <w:color w:val="auto"/>
          <w:kern w:val="2"/>
          <w:sz w:val="32"/>
          <w:szCs w:val="32"/>
        </w:rPr>
        <w:t>（三）评价结果应用情况。</w:t>
      </w:r>
    </w:p>
    <w:p>
      <w:pPr>
        <w:pStyle w:val="15"/>
        <w:ind w:firstLine="320" w:firstLineChars="100"/>
        <w:rPr>
          <w:rFonts w:hint="eastAsia" w:ascii="Times New Roman" w:hAnsi="Times New Roman" w:eastAsia="仿宋_GB2312" w:cs="Times New Roman"/>
          <w:color w:val="auto"/>
          <w:sz w:val="32"/>
          <w:szCs w:val="32"/>
          <w:lang w:eastAsia="zh-CN"/>
        </w:rPr>
      </w:pPr>
      <w:r>
        <w:rPr>
          <w:rFonts w:ascii="Times New Roman" w:hAnsi="Times New Roman" w:eastAsia="仿宋_GB2312" w:cs="Times New Roman"/>
          <w:color w:val="auto"/>
          <w:sz w:val="32"/>
          <w:szCs w:val="32"/>
        </w:rPr>
        <w:t>根据2024年度绩效自评结果</w:t>
      </w:r>
      <w:r>
        <w:rPr>
          <w:rFonts w:hint="eastAsia" w:ascii="Times New Roman" w:hAnsi="Times New Roman" w:eastAsia="仿宋_GB2312" w:cs="Times New Roman"/>
          <w:color w:val="auto"/>
          <w:sz w:val="32"/>
          <w:szCs w:val="32"/>
          <w:lang w:eastAsia="zh-CN"/>
        </w:rPr>
        <w:t>，</w:t>
      </w:r>
      <w:r>
        <w:rPr>
          <w:rFonts w:ascii="Times New Roman" w:hAnsi="Times New Roman" w:eastAsia="仿宋_GB2312" w:cs="Times New Roman"/>
          <w:color w:val="auto"/>
          <w:sz w:val="32"/>
          <w:szCs w:val="32"/>
        </w:rPr>
        <w:t>本</w:t>
      </w:r>
      <w:r>
        <w:rPr>
          <w:rFonts w:hint="eastAsia" w:ascii="Times New Roman" w:hAnsi="Times New Roman" w:eastAsia="仿宋_GB2312" w:cs="Times New Roman"/>
          <w:color w:val="auto"/>
          <w:sz w:val="32"/>
          <w:szCs w:val="32"/>
          <w:lang w:eastAsia="zh-CN"/>
        </w:rPr>
        <w:t>单位</w:t>
      </w:r>
      <w:r>
        <w:rPr>
          <w:rFonts w:ascii="Times New Roman" w:hAnsi="Times New Roman" w:eastAsia="仿宋_GB2312" w:cs="Times New Roman"/>
          <w:color w:val="auto"/>
          <w:sz w:val="32"/>
          <w:szCs w:val="32"/>
        </w:rPr>
        <w:t>2025年度预算安排，支出结构调整</w:t>
      </w:r>
      <w:r>
        <w:rPr>
          <w:rFonts w:hint="eastAsia" w:ascii="Times New Roman" w:hAnsi="Times New Roman" w:eastAsia="仿宋_GB2312" w:cs="Times New Roman"/>
          <w:color w:val="auto"/>
          <w:sz w:val="32"/>
          <w:szCs w:val="32"/>
          <w:lang w:eastAsia="zh-CN"/>
        </w:rPr>
        <w:t>会进一步合理化</w:t>
      </w:r>
      <w:r>
        <w:rPr>
          <w:rFonts w:ascii="Times New Roman" w:hAnsi="Times New Roman" w:eastAsia="仿宋_GB2312" w:cs="Times New Roman"/>
          <w:color w:val="auto"/>
          <w:sz w:val="32"/>
          <w:szCs w:val="32"/>
        </w:rPr>
        <w:t>，资金管理</w:t>
      </w:r>
      <w:r>
        <w:rPr>
          <w:rFonts w:hint="eastAsia" w:ascii="Times New Roman" w:hAnsi="Times New Roman" w:eastAsia="仿宋_GB2312" w:cs="Times New Roman"/>
          <w:color w:val="auto"/>
          <w:sz w:val="32"/>
          <w:szCs w:val="32"/>
          <w:lang w:eastAsia="zh-CN"/>
        </w:rPr>
        <w:t>更加精细</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进一步压减非重点非刚性支出；以事定钱编制预算；进一步完善各项资金管理，强化预算绩效目标管理；更好的完成</w:t>
      </w:r>
      <w:r>
        <w:rPr>
          <w:rFonts w:hint="eastAsia" w:ascii="仿宋_GB2312" w:eastAsia="仿宋_GB2312" w:cs="仿宋_GB2312" w:hAnsiTheme="minorEastAsia"/>
          <w:color w:val="000000"/>
          <w:sz w:val="32"/>
          <w:szCs w:val="32"/>
        </w:rPr>
        <w:t>本部门单位的工作目标和任务</w:t>
      </w:r>
      <w:r>
        <w:rPr>
          <w:rFonts w:hint="eastAsia" w:ascii="仿宋_GB2312" w:eastAsia="仿宋_GB2312" w:cs="仿宋_GB2312" w:hAnsiTheme="minorEastAsia"/>
          <w:color w:val="000000"/>
          <w:sz w:val="32"/>
          <w:szCs w:val="32"/>
          <w:lang w:eastAsia="zh-CN"/>
        </w:rPr>
        <w:t>。</w:t>
      </w:r>
    </w:p>
    <w:p>
      <w:pPr>
        <w:pStyle w:val="15"/>
        <w:overflowPunct w:val="0"/>
        <w:autoSpaceDE/>
        <w:autoSpaceDN/>
        <w:spacing w:line="600" w:lineRule="exact"/>
        <w:ind w:firstLine="1440" w:firstLineChars="200"/>
        <w:jc w:val="both"/>
        <w:rPr>
          <w:rFonts w:hint="eastAsia" w:ascii="Times New Roman" w:hAnsi="Times New Roman" w:eastAsia="仿宋_GB2312" w:cs="Times New Roman"/>
          <w:color w:val="auto"/>
          <w:sz w:val="72"/>
          <w:szCs w:val="72"/>
          <w:lang w:eastAsia="zh-CN"/>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spacing w:line="360" w:lineRule="auto"/>
        <w:ind w:firstLine="1040" w:firstLineChars="200"/>
        <w:jc w:val="both"/>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spacing w:line="600" w:lineRule="exact"/>
        <w:rPr>
          <w:rFonts w:ascii="仿宋_GB2312" w:eastAsia="仿宋_GB2312" w:hAnsiTheme="minorEastAsia"/>
          <w:kern w:val="0"/>
          <w:sz w:val="32"/>
          <w:szCs w:val="32"/>
        </w:rPr>
      </w:pPr>
      <w:r>
        <w:rPr>
          <w:rFonts w:hint="eastAsia" w:ascii="仿宋_GB2312" w:eastAsia="仿宋_GB2312" w:hAnsiTheme="minorEastAsia"/>
          <w:b/>
          <w:bCs/>
          <w:kern w:val="0"/>
          <w:sz w:val="32"/>
          <w:szCs w:val="32"/>
          <w:lang w:eastAsia="zh-CN"/>
        </w:rPr>
        <w:t>一</w:t>
      </w:r>
      <w:r>
        <w:rPr>
          <w:rFonts w:hint="eastAsia" w:ascii="仿宋_GB2312" w:eastAsia="仿宋_GB2312" w:hAnsiTheme="minorEastAsia"/>
          <w:b/>
          <w:bCs/>
          <w:kern w:val="0"/>
          <w:sz w:val="32"/>
          <w:szCs w:val="32"/>
        </w:rPr>
        <w:t>、基本支出：</w:t>
      </w:r>
      <w:r>
        <w:rPr>
          <w:rFonts w:hint="eastAsia" w:ascii="仿宋_GB2312" w:eastAsia="仿宋_GB2312" w:hAnsiTheme="minorEastAsia"/>
          <w:kern w:val="0"/>
          <w:sz w:val="32"/>
          <w:szCs w:val="32"/>
        </w:rPr>
        <w:t>指单位为保障其机构正常运转、完成日常工作任务而发生的人员支出和公用支出。</w:t>
      </w:r>
    </w:p>
    <w:p>
      <w:pPr>
        <w:spacing w:line="600" w:lineRule="exact"/>
        <w:rPr>
          <w:rFonts w:ascii="仿宋_GB2312" w:eastAsia="仿宋_GB2312" w:hAnsiTheme="minorEastAsia"/>
          <w:kern w:val="0"/>
          <w:sz w:val="32"/>
          <w:szCs w:val="32"/>
        </w:rPr>
      </w:pPr>
      <w:r>
        <w:rPr>
          <w:rFonts w:hint="eastAsia" w:ascii="仿宋_GB2312" w:eastAsia="仿宋_GB2312" w:hAnsiTheme="minorEastAsia"/>
          <w:b/>
          <w:bCs/>
          <w:kern w:val="0"/>
          <w:sz w:val="32"/>
          <w:szCs w:val="32"/>
          <w:lang w:eastAsia="zh-CN"/>
        </w:rPr>
        <w:t>二</w:t>
      </w:r>
      <w:r>
        <w:rPr>
          <w:rFonts w:hint="eastAsia" w:ascii="仿宋_GB2312" w:eastAsia="仿宋_GB2312" w:hAnsiTheme="minorEastAsia"/>
          <w:b/>
          <w:bCs/>
          <w:kern w:val="0"/>
          <w:sz w:val="32"/>
          <w:szCs w:val="32"/>
        </w:rPr>
        <w:t>、项目支出：</w:t>
      </w:r>
      <w:r>
        <w:rPr>
          <w:rFonts w:hint="eastAsia" w:ascii="仿宋_GB2312" w:eastAsia="仿宋_GB2312" w:hAnsiTheme="minorEastAsia"/>
          <w:kern w:val="0"/>
          <w:sz w:val="32"/>
          <w:szCs w:val="32"/>
        </w:rPr>
        <w:t>指单位为完成特定行政任务和事业发展目标在基本支出之外所发生的支出。</w:t>
      </w:r>
    </w:p>
    <w:p>
      <w:pPr>
        <w:spacing w:line="600" w:lineRule="exact"/>
        <w:rPr>
          <w:rFonts w:ascii="仿宋_GB2312" w:eastAsia="仿宋_GB2312"/>
          <w:kern w:val="0"/>
          <w:sz w:val="32"/>
          <w:szCs w:val="32"/>
        </w:rPr>
      </w:pPr>
      <w:r>
        <w:rPr>
          <w:rFonts w:hint="eastAsia" w:ascii="仿宋_GB2312" w:eastAsia="仿宋_GB2312" w:hAnsiTheme="minorEastAsia"/>
          <w:b/>
          <w:bCs/>
          <w:kern w:val="0"/>
          <w:sz w:val="32"/>
          <w:szCs w:val="32"/>
          <w:lang w:eastAsia="zh-CN"/>
        </w:rPr>
        <w:t>三</w:t>
      </w:r>
      <w:r>
        <w:rPr>
          <w:rFonts w:hint="eastAsia" w:ascii="仿宋_GB2312" w:eastAsia="仿宋_GB2312" w:hAnsiTheme="minorEastAsia"/>
          <w:b/>
          <w:bCs/>
          <w:kern w:val="0"/>
          <w:sz w:val="32"/>
          <w:szCs w:val="32"/>
        </w:rPr>
        <w:t>、</w:t>
      </w:r>
      <w:r>
        <w:rPr>
          <w:rFonts w:hint="eastAsia" w:ascii="仿宋_GB2312" w:eastAsia="仿宋_GB2312"/>
          <w:b/>
          <w:bCs/>
          <w:kern w:val="0"/>
          <w:sz w:val="32"/>
          <w:szCs w:val="32"/>
        </w:rPr>
        <w:t>“三公”经费：</w:t>
      </w:r>
      <w:r>
        <w:rPr>
          <w:rFonts w:hint="eastAsia" w:ascii="仿宋_GB2312" w:eastAsia="仿宋_GB2312"/>
          <w:kern w:val="0"/>
          <w:sz w:val="32"/>
          <w:szCs w:val="32"/>
        </w:rPr>
        <w:t>纳入财政预决算管理的“三公”经费，是指用财政拨款安排的因公出国（境）费、公务用车购置及运行费和公务接待费，是党政机关维持运转或完成特定工作任务所开支的相关支出，是政府行政开支的一部分。其中，因公出国（境）费反映单位公务出国（境）的国际旅费、国外城市间交通费、住宿费、伙食费、培训费、公杂费等支出；公务用车购置及运行费反映单位公务用车车辆购置支出（含车辆购置税）及燃料费、维修费、过路过桥费、保险费、安全奖励费用等支出；公务接待费反映单位按规定开支的各类公务接待（含外宾接待）支出。</w:t>
      </w:r>
    </w:p>
    <w:p>
      <w:pPr>
        <w:spacing w:line="600" w:lineRule="exact"/>
        <w:rPr>
          <w:rFonts w:ascii="仿宋_GB2312" w:eastAsia="仿宋_GB2312" w:hAnsiTheme="minorEastAsia"/>
          <w:kern w:val="0"/>
          <w:sz w:val="32"/>
          <w:szCs w:val="32"/>
        </w:rPr>
      </w:pPr>
      <w:r>
        <w:rPr>
          <w:rFonts w:hint="eastAsia" w:ascii="仿宋_GB2312" w:eastAsia="仿宋_GB2312" w:hAnsiTheme="minorEastAsia"/>
          <w:b/>
          <w:bCs/>
          <w:kern w:val="0"/>
          <w:sz w:val="32"/>
          <w:szCs w:val="32"/>
          <w:lang w:eastAsia="zh-CN"/>
        </w:rPr>
        <w:t>四</w:t>
      </w:r>
      <w:r>
        <w:rPr>
          <w:rFonts w:hint="eastAsia" w:ascii="仿宋_GB2312" w:eastAsia="仿宋_GB2312" w:hAnsiTheme="minorEastAsia"/>
          <w:b/>
          <w:bCs/>
          <w:kern w:val="0"/>
          <w:sz w:val="32"/>
          <w:szCs w:val="32"/>
        </w:rPr>
        <w:t>、机关运行经费：</w:t>
      </w:r>
      <w:r>
        <w:rPr>
          <w:rFonts w:hint="eastAsia" w:ascii="仿宋_GB2312" w:eastAsia="仿宋_GB2312" w:hAnsiTheme="minorEastAsia"/>
          <w:kern w:val="0"/>
          <w:sz w:val="32"/>
          <w:szCs w:val="32"/>
        </w:rPr>
        <w:t>指为保障行政单位（含参公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5"/>
        <w:jc w:val="center"/>
        <w:rPr>
          <w:rFonts w:ascii="Times New Roman" w:hAnsi="Times New Roman" w:cs="Times New Roman"/>
          <w:sz w:val="72"/>
          <w:szCs w:val="7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ind w:firstLine="2080" w:firstLineChars="400"/>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ind w:firstLine="2080" w:firstLineChars="400"/>
        <w:jc w:val="both"/>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5"/>
        <w:spacing w:line="600" w:lineRule="exact"/>
        <w:ind w:firstLine="640" w:firstLineChars="200"/>
        <w:rPr>
          <w:rFonts w:ascii="Times New Roman" w:hAnsi="Times New Roman" w:eastAsia="仿宋_GB2312" w:cs="Times New Roman"/>
          <w:sz w:val="32"/>
          <w:szCs w:val="3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p>
      <w:pPr>
        <w:spacing w:line="600" w:lineRule="exact"/>
        <w:rPr>
          <w:rFonts w:ascii="Times New Roman" w:hAnsi="Times New Roman" w:eastAsia="黑体" w:cs="Times New Roman"/>
          <w:kern w:val="0"/>
          <w:sz w:val="32"/>
          <w:szCs w:val="32"/>
        </w:rPr>
      </w:pPr>
    </w:p>
    <w:p>
      <w:pPr>
        <w:jc w:val="center"/>
        <w:rPr>
          <w:rFonts w:hint="eastAsia" w:ascii="方正小标宋_GBK" w:hAnsi="Times New Roman" w:eastAsia="方正小标宋_GBK" w:cs="Times New Roman"/>
          <w:sz w:val="52"/>
          <w:szCs w:val="52"/>
        </w:rPr>
      </w:pPr>
    </w:p>
    <w:p>
      <w:pPr>
        <w:jc w:val="center"/>
        <w:rPr>
          <w:rFonts w:hint="eastAsia" w:ascii="方正小标宋_GBK" w:hAnsi="Times New Roman" w:eastAsia="方正小标宋_GBK" w:cs="Times New Roman"/>
          <w:sz w:val="52"/>
          <w:szCs w:val="52"/>
        </w:rPr>
      </w:pPr>
    </w:p>
    <w:p>
      <w:pPr>
        <w:pStyle w:val="2"/>
        <w:rPr>
          <w:rFonts w:hint="eastAsia" w:ascii="方正小标宋_GBK" w:hAnsi="Times New Roman" w:eastAsia="方正小标宋_GBK" w:cs="Times New Roman"/>
          <w:sz w:val="52"/>
          <w:szCs w:val="52"/>
        </w:rPr>
      </w:pPr>
    </w:p>
    <w:p>
      <w:pPr>
        <w:pStyle w:val="3"/>
        <w:rPr>
          <w:rFonts w:hint="eastAsia" w:ascii="方正小标宋_GBK" w:hAnsi="Times New Roman" w:eastAsia="方正小标宋_GBK" w:cs="Times New Roman"/>
          <w:sz w:val="52"/>
          <w:szCs w:val="52"/>
        </w:rPr>
      </w:pPr>
    </w:p>
    <w:p>
      <w:pPr>
        <w:rPr>
          <w:rFonts w:hint="eastAsia" w:ascii="方正小标宋_GBK" w:hAnsi="Times New Roman" w:eastAsia="方正小标宋_GBK" w:cs="Times New Roman"/>
          <w:sz w:val="52"/>
          <w:szCs w:val="52"/>
        </w:rPr>
      </w:pPr>
    </w:p>
    <w:p>
      <w:pPr>
        <w:pStyle w:val="3"/>
        <w:ind w:left="0" w:leftChars="0" w:firstLine="0" w:firstLineChars="0"/>
        <w:rPr>
          <w:rFonts w:hint="eastAsia" w:ascii="方正小标宋_GBK" w:hAnsi="Times New Roman" w:eastAsia="方正小标宋_GBK" w:cs="Times New Roman"/>
          <w:sz w:val="52"/>
          <w:szCs w:val="52"/>
        </w:rPr>
      </w:pPr>
    </w:p>
    <w:p>
      <w:pPr>
        <w:rPr>
          <w:rFonts w:hint="eastAsia"/>
        </w:rPr>
      </w:pPr>
    </w:p>
    <w:p>
      <w:pPr>
        <w:jc w:val="center"/>
        <w:rPr>
          <w:rFonts w:hint="eastAsia" w:ascii="方正小标宋_GBK" w:hAnsi="Times New Roman" w:eastAsia="方正小标宋_GBK" w:cs="Times New Roman"/>
          <w:sz w:val="52"/>
          <w:szCs w:val="52"/>
        </w:rPr>
      </w:pPr>
    </w:p>
    <w:p>
      <w:pPr>
        <w:jc w:val="center"/>
        <w:rPr>
          <w:rFonts w:ascii="方正小标宋_GBK" w:hAnsi="Times New Roman" w:eastAsia="方正小标宋_GBK" w:cs="Times New Roman"/>
          <w:sz w:val="52"/>
          <w:szCs w:val="52"/>
        </w:rPr>
      </w:pPr>
      <w:r>
        <w:rPr>
          <w:rFonts w:hint="eastAsia" w:ascii="方正小标宋_GBK" w:hAnsi="Times New Roman" w:eastAsia="方正小标宋_GBK" w:cs="Times New Roman"/>
          <w:sz w:val="52"/>
          <w:szCs w:val="52"/>
        </w:rPr>
        <w:t>2024年度湖南省乡村发展基金会办公室整体支出绩效自评报告</w:t>
      </w:r>
    </w:p>
    <w:p>
      <w:pPr>
        <w:jc w:val="center"/>
        <w:rPr>
          <w:rFonts w:ascii="方正小标宋_GBK" w:hAnsi="Times New Roman" w:eastAsia="方正小标宋_GBK" w:cs="Times New Roman"/>
          <w:b/>
          <w:sz w:val="52"/>
          <w:szCs w:val="52"/>
        </w:rPr>
      </w:pPr>
    </w:p>
    <w:p>
      <w:pPr>
        <w:jc w:val="center"/>
        <w:rPr>
          <w:rFonts w:ascii="Times New Roman" w:hAnsi="Times New Roman" w:eastAsia="楷体_GB2312" w:cs="Times New Roman"/>
          <w:b/>
          <w:sz w:val="32"/>
          <w:szCs w:val="32"/>
        </w:rPr>
      </w:pPr>
    </w:p>
    <w:p>
      <w:pPr>
        <w:jc w:val="center"/>
        <w:rPr>
          <w:rFonts w:ascii="Times New Roman" w:hAnsi="Times New Roman" w:eastAsia="楷体_GB2312" w:cs="Times New Roman"/>
          <w:b/>
          <w:sz w:val="32"/>
          <w:szCs w:val="32"/>
        </w:rPr>
      </w:pPr>
    </w:p>
    <w:p>
      <w:pPr>
        <w:jc w:val="center"/>
        <w:rPr>
          <w:rFonts w:ascii="Times New Roman" w:hAnsi="Times New Roman" w:eastAsia="楷体_GB2312" w:cs="Times New Roman"/>
          <w:b/>
          <w:sz w:val="32"/>
          <w:szCs w:val="32"/>
        </w:rPr>
      </w:pPr>
    </w:p>
    <w:p>
      <w:pPr>
        <w:jc w:val="center"/>
        <w:rPr>
          <w:rFonts w:ascii="Times New Roman" w:hAnsi="Times New Roman" w:eastAsia="楷体_GB2312" w:cs="Times New Roman"/>
          <w:b/>
          <w:sz w:val="32"/>
          <w:szCs w:val="32"/>
        </w:rPr>
      </w:pPr>
    </w:p>
    <w:p>
      <w:pPr>
        <w:jc w:val="center"/>
        <w:rPr>
          <w:rFonts w:ascii="Times New Roman" w:hAnsi="Times New Roman" w:eastAsia="楷体_GB2312" w:cs="Times New Roman"/>
          <w:b/>
          <w:sz w:val="32"/>
          <w:szCs w:val="32"/>
        </w:rPr>
      </w:pPr>
    </w:p>
    <w:p>
      <w:pPr>
        <w:jc w:val="center"/>
        <w:rPr>
          <w:rFonts w:ascii="Times New Roman" w:hAnsi="Times New Roman" w:eastAsia="楷体_GB2312" w:cs="Times New Roman"/>
          <w:b/>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spacing w:line="600" w:lineRule="exact"/>
        <w:ind w:firstLine="1600" w:firstLineChars="500"/>
        <w:rPr>
          <w:rFonts w:ascii="Times New Roman" w:hAnsi="Times New Roman" w:eastAsia="仿宋_GB2312" w:cs="Times New Roman"/>
          <w:sz w:val="32"/>
          <w:szCs w:val="32"/>
        </w:rPr>
      </w:pPr>
    </w:p>
    <w:p>
      <w:pPr>
        <w:spacing w:line="600" w:lineRule="exact"/>
        <w:ind w:firstLine="1600" w:firstLineChars="500"/>
        <w:rPr>
          <w:rFonts w:ascii="Times New Roman" w:hAnsi="Times New Roman" w:eastAsia="仿宋_GB2312" w:cs="Times New Roman"/>
          <w:sz w:val="32"/>
          <w:szCs w:val="32"/>
        </w:rPr>
      </w:pPr>
    </w:p>
    <w:p>
      <w:pPr>
        <w:spacing w:line="600" w:lineRule="exact"/>
        <w:ind w:firstLine="1600" w:firstLineChars="5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单位名称：</w:t>
      </w:r>
      <w:r>
        <w:rPr>
          <w:rFonts w:hint="eastAsia" w:ascii="Times New Roman" w:hAnsi="Times New Roman" w:eastAsia="仿宋_GB2312" w:cs="Times New Roman"/>
          <w:sz w:val="32"/>
          <w:szCs w:val="32"/>
          <w:u w:val="single"/>
        </w:rPr>
        <w:t>湖南省乡村发展基金会办公室</w:t>
      </w:r>
      <w:r>
        <w:rPr>
          <w:rFonts w:ascii="Times New Roman" w:hAnsi="Times New Roman" w:eastAsia="仿宋_GB2312" w:cs="Times New Roman"/>
          <w:sz w:val="32"/>
          <w:szCs w:val="32"/>
          <w:u w:val="single"/>
        </w:rPr>
        <w:t xml:space="preserve"> </w:t>
      </w:r>
    </w:p>
    <w:p>
      <w:pPr>
        <w:spacing w:line="600" w:lineRule="exact"/>
        <w:ind w:firstLine="3200" w:firstLineChars="1000"/>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2024</w:t>
      </w:r>
      <w:r>
        <w:rPr>
          <w:rFonts w:ascii="Times New Roman" w:hAnsi="Times New Roman" w:eastAsia="楷体_GB2312" w:cs="Times New Roman"/>
          <w:sz w:val="32"/>
          <w:szCs w:val="32"/>
        </w:rPr>
        <w:t>年</w:t>
      </w:r>
      <w:r>
        <w:rPr>
          <w:rFonts w:hint="eastAsia" w:ascii="Times New Roman" w:hAnsi="Times New Roman" w:eastAsia="楷体_GB2312" w:cs="Times New Roman"/>
          <w:sz w:val="32"/>
          <w:szCs w:val="32"/>
        </w:rPr>
        <w:t>04</w:t>
      </w:r>
      <w:r>
        <w:rPr>
          <w:rFonts w:ascii="Times New Roman" w:hAnsi="Times New Roman" w:eastAsia="楷体_GB2312" w:cs="Times New Roman"/>
          <w:sz w:val="32"/>
          <w:szCs w:val="32"/>
        </w:rPr>
        <w:t xml:space="preserve"> 月</w:t>
      </w:r>
      <w:r>
        <w:rPr>
          <w:rFonts w:hint="eastAsia" w:ascii="Times New Roman" w:hAnsi="Times New Roman" w:eastAsia="楷体_GB2312" w:cs="Times New Roman"/>
          <w:sz w:val="32"/>
          <w:szCs w:val="32"/>
        </w:rPr>
        <w:t>01</w:t>
      </w:r>
      <w:r>
        <w:rPr>
          <w:rFonts w:ascii="Times New Roman" w:hAnsi="Times New Roman" w:eastAsia="楷体_GB2312" w:cs="Times New Roman"/>
          <w:sz w:val="32"/>
          <w:szCs w:val="32"/>
        </w:rPr>
        <w:t>日</w:t>
      </w:r>
    </w:p>
    <w:p>
      <w:pPr>
        <w:jc w:val="center"/>
        <w:rPr>
          <w:rFonts w:ascii="Times New Roman" w:hAnsi="Times New Roman" w:eastAsia="黑体" w:cs="Times New Roman"/>
          <w:sz w:val="32"/>
          <w:szCs w:val="32"/>
        </w:rPr>
      </w:pPr>
    </w:p>
    <w:p>
      <w:pPr>
        <w:rPr>
          <w:rFonts w:ascii="Times New Roman" w:hAnsi="Times New Roman" w:eastAsia="仿宋_GB2312" w:cs="Times New Roman"/>
          <w:sz w:val="32"/>
          <w:szCs w:val="32"/>
        </w:rPr>
      </w:pPr>
    </w:p>
    <w:p>
      <w:pPr>
        <w:numPr>
          <w:ilvl w:val="0"/>
          <w:numId w:val="0"/>
        </w:numPr>
        <w:rPr>
          <w:rFonts w:hint="eastAsia" w:ascii="黑体" w:hAnsi="Times New Roman" w:eastAsia="黑体" w:cs="Times New Roman"/>
          <w:sz w:val="32"/>
          <w:szCs w:val="32"/>
          <w:lang w:eastAsia="zh-CN"/>
        </w:rPr>
      </w:pPr>
    </w:p>
    <w:p>
      <w:pPr>
        <w:numPr>
          <w:ilvl w:val="0"/>
          <w:numId w:val="0"/>
        </w:numPr>
        <w:rPr>
          <w:rFonts w:hint="eastAsia" w:ascii="黑体" w:hAnsi="Times New Roman" w:eastAsia="黑体" w:cs="Times New Roman"/>
          <w:sz w:val="32"/>
          <w:szCs w:val="32"/>
          <w:lang w:eastAsia="zh-CN"/>
        </w:rPr>
      </w:pPr>
    </w:p>
    <w:p>
      <w:pPr>
        <w:numPr>
          <w:ilvl w:val="0"/>
          <w:numId w:val="0"/>
        </w:numPr>
        <w:rPr>
          <w:rFonts w:ascii="黑体" w:hAnsi="Times New Roman" w:eastAsia="黑体" w:cs="Times New Roman"/>
          <w:sz w:val="32"/>
          <w:szCs w:val="32"/>
        </w:rPr>
      </w:pPr>
      <w:r>
        <w:rPr>
          <w:rFonts w:hint="eastAsia" w:ascii="黑体" w:hAnsi="Times New Roman" w:eastAsia="黑体" w:cs="Times New Roman"/>
          <w:sz w:val="32"/>
          <w:szCs w:val="32"/>
          <w:lang w:eastAsia="zh-CN"/>
        </w:rPr>
        <w:t>一、</w:t>
      </w:r>
      <w:r>
        <w:rPr>
          <w:rFonts w:hint="eastAsia" w:ascii="黑体" w:hAnsi="Times New Roman" w:eastAsia="黑体" w:cs="Times New Roman"/>
          <w:sz w:val="32"/>
          <w:szCs w:val="32"/>
        </w:rPr>
        <w:t>单位基本情况</w:t>
      </w:r>
    </w:p>
    <w:p>
      <w:pPr>
        <w:snapToGrid w:val="0"/>
        <w:spacing w:afterLines="50" w:line="520" w:lineRule="exact"/>
        <w:ind w:firstLine="640" w:firstLineChars="200"/>
        <w:rPr>
          <w:rFonts w:ascii="仿宋_GB2312" w:hAnsi="仿宋" w:eastAsia="仿宋_GB2312"/>
          <w:sz w:val="32"/>
          <w:szCs w:val="32"/>
        </w:rPr>
      </w:pPr>
      <w:r>
        <w:rPr>
          <w:rFonts w:eastAsia="楷体_GB2312"/>
          <w:b/>
          <w:sz w:val="32"/>
          <w:szCs w:val="32"/>
        </w:rPr>
        <w:t>（一）职能职责。</w:t>
      </w:r>
      <w:r>
        <w:rPr>
          <w:rFonts w:hint="eastAsia" w:ascii="仿宋_GB2312" w:hAnsi="仿宋" w:eastAsia="仿宋_GB2312"/>
          <w:sz w:val="32"/>
          <w:szCs w:val="32"/>
        </w:rPr>
        <w:t>湖南省乡村发展基金会办公室是湖南省农业农村厅领导下属二级预算单位。 主要职责是研究提出我省乡村振兴公益事业有关政策建议；指导、协调全省社会各界参与乡村振兴公益活动；接受管理社会帮扶捐赠资金和物资；加强与国内外公益慈善机构联系和交流；组织开展乡村振兴公益项目活动；参与光伏扶贫、消费扶贫工作联络以及承办领导交办的其他工作。</w:t>
      </w:r>
    </w:p>
    <w:p>
      <w:pPr>
        <w:pStyle w:val="8"/>
        <w:ind w:firstLine="640" w:firstLineChars="200"/>
        <w:rPr>
          <w:rFonts w:hint="eastAsia" w:ascii="仿宋_GB2312" w:hAnsi="仿宋" w:eastAsia="仿宋_GB2312" w:cs="Times New Roman"/>
          <w:b w:val="0"/>
          <w:bCs/>
          <w:sz w:val="32"/>
          <w:szCs w:val="32"/>
        </w:rPr>
      </w:pPr>
      <w:r>
        <w:rPr>
          <w:rFonts w:eastAsia="楷体_GB2312"/>
          <w:sz w:val="32"/>
          <w:szCs w:val="32"/>
        </w:rPr>
        <w:t>（</w:t>
      </w:r>
      <w:r>
        <w:rPr>
          <w:rFonts w:hint="eastAsia" w:eastAsia="楷体_GB2312"/>
          <w:sz w:val="32"/>
          <w:szCs w:val="32"/>
        </w:rPr>
        <w:t>二</w:t>
      </w:r>
      <w:r>
        <w:rPr>
          <w:rFonts w:eastAsia="楷体_GB2312"/>
          <w:sz w:val="32"/>
          <w:szCs w:val="32"/>
        </w:rPr>
        <w:t>）</w:t>
      </w:r>
      <w:r>
        <w:rPr>
          <w:rFonts w:hint="eastAsia" w:eastAsia="楷体_GB2312"/>
          <w:sz w:val="32"/>
          <w:szCs w:val="32"/>
        </w:rPr>
        <w:t>机构设置</w:t>
      </w:r>
      <w:r>
        <w:rPr>
          <w:rFonts w:eastAsia="楷体_GB2312"/>
          <w:sz w:val="32"/>
          <w:szCs w:val="32"/>
        </w:rPr>
        <w:t>。</w:t>
      </w:r>
      <w:r>
        <w:rPr>
          <w:rFonts w:hint="eastAsia" w:ascii="仿宋_GB2312" w:hAnsi="仿宋" w:eastAsia="仿宋_GB2312" w:cs="Times New Roman"/>
          <w:b w:val="0"/>
          <w:bCs/>
          <w:sz w:val="32"/>
          <w:szCs w:val="32"/>
        </w:rPr>
        <w:t>湖南省乡村发展基金会办公室属参公管理的事业单位，编制7名，目前在职在编人员5人，退休干部1人。</w:t>
      </w:r>
    </w:p>
    <w:p>
      <w:pPr>
        <w:pStyle w:val="8"/>
        <w:rPr>
          <w:rFonts w:ascii="Times New Roman" w:hAnsi="Times New Roman" w:eastAsia="黑体" w:cs="Times New Roman"/>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一般公共预算支出情况</w:t>
      </w:r>
    </w:p>
    <w:p>
      <w:pPr>
        <w:widowControl/>
        <w:spacing w:line="600" w:lineRule="exact"/>
        <w:rPr>
          <w:rFonts w:ascii="楷体_GB2312" w:hAnsi="Times New Roman" w:eastAsia="楷体_GB2312" w:cs="Times New Roman"/>
          <w:b/>
          <w:sz w:val="32"/>
          <w:szCs w:val="32"/>
        </w:rPr>
      </w:pPr>
      <w:r>
        <w:rPr>
          <w:rFonts w:hint="eastAsia" w:ascii="楷体_GB2312" w:hAnsi="Times New Roman" w:eastAsia="楷体_GB2312" w:cs="Times New Roman"/>
          <w:b/>
          <w:sz w:val="32"/>
          <w:szCs w:val="32"/>
        </w:rPr>
        <w:t>（一）基本支出情况</w:t>
      </w:r>
    </w:p>
    <w:p>
      <w:pPr>
        <w:widowControl/>
        <w:spacing w:line="600" w:lineRule="exact"/>
        <w:ind w:firstLine="640" w:firstLineChars="200"/>
      </w:pPr>
      <w:r>
        <w:rPr>
          <w:rFonts w:hint="eastAsia" w:ascii="Times New Roman" w:hAnsi="Times New Roman" w:eastAsia="仿宋_GB2312" w:cs="Times New Roman"/>
          <w:sz w:val="32"/>
          <w:szCs w:val="32"/>
        </w:rPr>
        <w:t>2024年本单位财政预算中基本支出为</w:t>
      </w:r>
      <w:r>
        <w:rPr>
          <w:rFonts w:hint="eastAsia" w:ascii="Times New Roman" w:hAnsi="Times New Roman" w:eastAsia="仿宋_GB2312" w:cs="Times New Roman"/>
          <w:sz w:val="32"/>
          <w:szCs w:val="32"/>
          <w:lang w:val="en-US" w:eastAsia="zh-CN"/>
        </w:rPr>
        <w:t>163</w:t>
      </w:r>
      <w:r>
        <w:rPr>
          <w:rFonts w:hint="eastAsia" w:ascii="Times New Roman" w:hAnsi="Times New Roman" w:eastAsia="仿宋_GB2312" w:cs="Times New Roman"/>
          <w:sz w:val="32"/>
          <w:szCs w:val="32"/>
        </w:rPr>
        <w:t>.00万元，年度财政决算基本支出为115.56万元，其中人员经费102.85万元，公用经费12.71万元，预算执行率为</w:t>
      </w:r>
      <w:r>
        <w:rPr>
          <w:rFonts w:hint="eastAsia" w:ascii="Times New Roman" w:hAnsi="Times New Roman" w:eastAsia="仿宋_GB2312" w:cs="Times New Roman"/>
          <w:sz w:val="32"/>
          <w:szCs w:val="32"/>
          <w:lang w:val="en-US" w:eastAsia="zh-CN"/>
        </w:rPr>
        <w:t>70.90</w:t>
      </w:r>
      <w:r>
        <w:rPr>
          <w:rFonts w:hint="eastAsia" w:ascii="Times New Roman" w:hAnsi="Times New Roman" w:eastAsia="仿宋_GB2312" w:cs="Times New Roman"/>
          <w:sz w:val="32"/>
          <w:szCs w:val="32"/>
        </w:rPr>
        <w:t>%。公用经费主要是办公费、差旅费、邮电费、工会经费、租赁费、其他交通费、其他商品和服务支出费用，均为机构正常运转必要开支。因人员异动情况，结余47.44万元，其中37.35万元为人员经费，10.09万元为公用经费。</w:t>
      </w:r>
    </w:p>
    <w:p>
      <w:pPr>
        <w:widowControl/>
        <w:numPr>
          <w:ilvl w:val="0"/>
          <w:numId w:val="1"/>
        </w:numPr>
        <w:spacing w:line="600" w:lineRule="exact"/>
        <w:rPr>
          <w:rFonts w:ascii="楷体_GB2312" w:hAnsi="Times New Roman" w:eastAsia="楷体_GB2312" w:cs="Times New Roman"/>
          <w:b/>
          <w:sz w:val="32"/>
          <w:szCs w:val="32"/>
        </w:rPr>
      </w:pPr>
      <w:r>
        <w:rPr>
          <w:rFonts w:ascii="楷体_GB2312" w:hAnsi="Times New Roman" w:eastAsia="楷体_GB2312" w:cs="Times New Roman"/>
          <w:b/>
          <w:sz w:val="32"/>
          <w:szCs w:val="32"/>
        </w:rPr>
        <w:t>项目支出情况</w:t>
      </w:r>
    </w:p>
    <w:p>
      <w:pPr>
        <w:widowControl/>
        <w:spacing w:line="600" w:lineRule="exact"/>
        <w:ind w:firstLine="420" w:firstLineChars="200"/>
        <w:jc w:val="left"/>
        <w:rPr>
          <w:rFonts w:ascii="Times New Roman" w:hAnsi="Times New Roman" w:eastAsia="仿宋_GB2312" w:cs="Times New Roman"/>
          <w:sz w:val="32"/>
          <w:szCs w:val="32"/>
        </w:rPr>
      </w:pPr>
      <w:r>
        <w:rPr>
          <w:rFonts w:hint="eastAsia"/>
        </w:rPr>
        <w:t xml:space="preserve">      </w:t>
      </w:r>
      <w:r>
        <w:rPr>
          <w:rFonts w:hint="eastAsia" w:ascii="Times New Roman" w:hAnsi="Times New Roman" w:eastAsia="仿宋_GB2312" w:cs="Times New Roman"/>
          <w:sz w:val="32"/>
          <w:szCs w:val="32"/>
        </w:rPr>
        <w:t>2024年本单位财政预算中项目支出为27.13万元，年度财政决算项目支出为15.96万元，执行率58.83%。其中其他事业发展金5.57万元；差旅费0.2</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万元；委托业务费2.00万元；办公费0.99万元；办公设备购置2.68万元；其他商品和服务支出4.52万元。</w:t>
      </w:r>
    </w:p>
    <w:p>
      <w:pPr>
        <w:widowControl/>
        <w:spacing w:line="600" w:lineRule="exact"/>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三、政府性基金预算支出情况</w:t>
      </w:r>
    </w:p>
    <w:p>
      <w:pPr>
        <w:pStyle w:val="8"/>
        <w:ind w:firstLine="525" w:firstLineChars="150"/>
        <w:rPr>
          <w:rFonts w:ascii="仿宋_GB2312" w:hAnsi="仿宋" w:eastAsia="仿宋_GB2312" w:cs="仿宋"/>
          <w:spacing w:val="15"/>
          <w:kern w:val="0"/>
          <w:sz w:val="32"/>
          <w:szCs w:val="32"/>
        </w:rPr>
      </w:pPr>
      <w:r>
        <w:rPr>
          <w:rFonts w:hint="eastAsia" w:ascii="仿宋_GB2312" w:hAnsi="仿宋" w:eastAsia="仿宋_GB2312" w:cs="仿宋"/>
          <w:spacing w:val="15"/>
          <w:kern w:val="0"/>
          <w:sz w:val="32"/>
          <w:szCs w:val="32"/>
        </w:rPr>
        <w:t>本单位无政府性基金预算情况支出。</w:t>
      </w:r>
    </w:p>
    <w:p>
      <w:pPr>
        <w:pStyle w:val="8"/>
        <w:rPr>
          <w:rFonts w:ascii="Times New Roman" w:hAnsi="Times New Roman" w:eastAsia="黑体" w:cs="Times New Roman"/>
          <w:b w:val="0"/>
          <w:sz w:val="32"/>
          <w:szCs w:val="32"/>
        </w:rPr>
      </w:pPr>
      <w:r>
        <w:rPr>
          <w:rFonts w:hint="eastAsia" w:ascii="Times New Roman" w:hAnsi="Times New Roman" w:eastAsia="黑体" w:cs="Times New Roman"/>
          <w:b w:val="0"/>
          <w:sz w:val="32"/>
          <w:szCs w:val="32"/>
        </w:rPr>
        <w:t>四、国有资本经营预算支出情况</w:t>
      </w:r>
    </w:p>
    <w:p>
      <w:pPr>
        <w:pStyle w:val="8"/>
        <w:ind w:firstLine="525" w:firstLineChars="150"/>
        <w:rPr>
          <w:rFonts w:hint="eastAsia" w:ascii="仿宋_GB2312" w:hAnsi="仿宋" w:eastAsia="仿宋_GB2312" w:cs="仿宋"/>
          <w:spacing w:val="15"/>
          <w:kern w:val="0"/>
          <w:sz w:val="32"/>
          <w:szCs w:val="32"/>
        </w:rPr>
      </w:pPr>
      <w:r>
        <w:rPr>
          <w:rFonts w:hint="eastAsia" w:ascii="仿宋_GB2312" w:hAnsi="仿宋" w:eastAsia="仿宋_GB2312" w:cs="仿宋"/>
          <w:spacing w:val="15"/>
          <w:kern w:val="0"/>
          <w:sz w:val="32"/>
          <w:szCs w:val="32"/>
        </w:rPr>
        <w:t>本单位无国有资本经营预算情况支出。</w:t>
      </w:r>
    </w:p>
    <w:p>
      <w:pPr>
        <w:pStyle w:val="8"/>
        <w:rPr>
          <w:rFonts w:ascii="Times New Roman" w:hAnsi="Times New Roman" w:eastAsia="黑体" w:cs="Times New Roman"/>
          <w:sz w:val="32"/>
          <w:szCs w:val="32"/>
        </w:rPr>
      </w:pPr>
      <w:r>
        <w:rPr>
          <w:rFonts w:hint="eastAsia" w:ascii="Times New Roman" w:hAnsi="Times New Roman" w:eastAsia="黑体" w:cs="Times New Roman"/>
          <w:sz w:val="32"/>
          <w:szCs w:val="32"/>
        </w:rPr>
        <w:t>五、社会保险基金预算支出情况</w:t>
      </w:r>
    </w:p>
    <w:p>
      <w:pPr>
        <w:pStyle w:val="8"/>
        <w:ind w:firstLine="360" w:firstLineChars="150"/>
        <w:rPr>
          <w:rFonts w:ascii="仿宋_GB2312" w:hAnsi="仿宋" w:eastAsia="仿宋_GB2312" w:cs="仿宋"/>
          <w:spacing w:val="15"/>
          <w:kern w:val="0"/>
          <w:sz w:val="32"/>
          <w:szCs w:val="32"/>
        </w:rPr>
      </w:pPr>
      <w:r>
        <w:rPr>
          <w:rFonts w:hint="eastAsia"/>
        </w:rPr>
        <w:t xml:space="preserve">  </w:t>
      </w:r>
      <w:r>
        <w:rPr>
          <w:rFonts w:hint="eastAsia" w:ascii="仿宋_GB2312" w:hAnsi="仿宋" w:eastAsia="仿宋_GB2312" w:cs="仿宋"/>
          <w:spacing w:val="15"/>
          <w:kern w:val="0"/>
          <w:sz w:val="32"/>
          <w:szCs w:val="32"/>
        </w:rPr>
        <w:t>本单位无社会保险基金预算情况支出。</w:t>
      </w:r>
    </w:p>
    <w:p>
      <w:pPr>
        <w:pStyle w:val="8"/>
        <w:rPr>
          <w:rFonts w:ascii="仿宋_GB2312" w:hAnsi="仿宋" w:eastAsia="仿宋_GB2312" w:cs="仿宋"/>
          <w:spacing w:val="15"/>
          <w:kern w:val="0"/>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、部门整体支出绩效情况</w:t>
      </w:r>
    </w:p>
    <w:p>
      <w:pPr>
        <w:snapToGrid w:val="0"/>
        <w:spacing w:line="520" w:lineRule="exact"/>
        <w:ind w:firstLine="700" w:firstLineChars="200"/>
        <w:rPr>
          <w:rFonts w:ascii="Calibri" w:hAnsi="Calibri" w:eastAsia="仿宋_GB2312" w:cs="Times New Roman"/>
          <w:color w:val="000000"/>
          <w:sz w:val="32"/>
          <w:szCs w:val="32"/>
        </w:rPr>
      </w:pPr>
      <w:r>
        <w:rPr>
          <w:rFonts w:hint="eastAsia" w:ascii="仿宋_GB2312" w:hAnsi="仿宋" w:eastAsia="仿宋_GB2312" w:cs="仿宋"/>
          <w:spacing w:val="15"/>
          <w:kern w:val="0"/>
          <w:sz w:val="32"/>
          <w:szCs w:val="32"/>
        </w:rPr>
        <w:t>2024年，</w:t>
      </w:r>
      <w:r>
        <w:rPr>
          <w:rFonts w:hint="eastAsia" w:ascii="Calibri" w:hAnsi="Calibri" w:eastAsia="仿宋_GB2312" w:cs="Times New Roman"/>
          <w:color w:val="000000"/>
          <w:sz w:val="32"/>
          <w:szCs w:val="32"/>
        </w:rPr>
        <w:t>省乡村发展基金会办公室聚焦乡村振兴公益事业主责主业，全力支持乡村产业发展，不断助力巩固拓展脱贫攻坚成果，各项工作稳中有进。</w:t>
      </w:r>
    </w:p>
    <w:p>
      <w:pPr>
        <w:pStyle w:val="21"/>
        <w:spacing w:line="600" w:lineRule="exact"/>
        <w:ind w:firstLine="640" w:firstLineChars="200"/>
        <w:rPr>
          <w:rFonts w:ascii="Times New Roman" w:hAnsi="Times New Roman" w:eastAsia="仿宋_GB2312" w:cs="Times New Roman"/>
          <w:color w:val="000000"/>
          <w:sz w:val="32"/>
          <w:szCs w:val="32"/>
        </w:rPr>
      </w:pPr>
      <w:r>
        <w:rPr>
          <w:rFonts w:hint="eastAsia" w:ascii="Calibri" w:hAnsi="Calibri" w:eastAsia="仿宋_GB2312" w:cs="Times New Roman"/>
          <w:color w:val="000000"/>
          <w:sz w:val="32"/>
          <w:szCs w:val="32"/>
        </w:rPr>
        <w:t>1)</w:t>
      </w:r>
      <w:r>
        <w:rPr>
          <w:rFonts w:hint="eastAsia" w:ascii="仿宋_GB2312" w:hAnsi="Calibri" w:eastAsia="仿宋_GB2312" w:cs="Times New Roman"/>
          <w:b/>
          <w:color w:val="000000"/>
          <w:sz w:val="32"/>
          <w:szCs w:val="32"/>
        </w:rPr>
        <w:t>首先</w:t>
      </w:r>
      <w:r>
        <w:rPr>
          <w:rFonts w:hint="eastAsia" w:ascii="仿宋_GB2312" w:hAnsi="黑体" w:eastAsia="仿宋_GB2312" w:cs="黑体"/>
          <w:b/>
          <w:color w:val="000000"/>
          <w:sz w:val="32"/>
          <w:szCs w:val="32"/>
        </w:rPr>
        <w:t>坚持</w:t>
      </w:r>
      <w:r>
        <w:rPr>
          <w:rFonts w:hint="eastAsia" w:ascii="Times New Roman" w:hAnsi="Times New Roman" w:eastAsia="仿宋_GB2312" w:cs="Times New Roman"/>
          <w:b/>
          <w:color w:val="000000"/>
          <w:sz w:val="32"/>
          <w:szCs w:val="32"/>
        </w:rPr>
        <w:t>党建引领，筑牢发展根基：深化理论武装，抓实纪律建设，强化组织建设。</w:t>
      </w:r>
    </w:p>
    <w:p>
      <w:pPr>
        <w:pStyle w:val="21"/>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始终把政治建设发在首位，充分发挥基层党组织战斗堡垒作用和党员先锋模范作用，为各项事业高质量发展提供坚强的政治保证。全年召开支部党员大会集体学习15次，支部书记讲党课1次，深入学习习近平经济思想、法治思想、党的建设和党的自我革命重要思想，习近平总书记关于为基层减负、意识形态、发展新质生产力推动高质量发展和“三农”工作的重要论述。特别是考察湖南重要讲话重要指示、党的二十届三中全会精神，确保基金会办公室各项工作遵循大政方针。通过集中学习和个人自学相结合，对《中国共产党纪律处分条例》逐条原文学习，开展党纪学习教育集中研讨5次，确保各项条文入脑入心。结合杨乾等人严重违纪违法案例，用“身边人”“身边事”进行警示教育，观看警示教育片2次，以案为鉴、以案明纪、以案促改，教育引导党员干部知敬畏、守底线。机构改革后，基金会办公室支部党员力量进一步充实，严格落实“三会一课”制度、开展谈心谈话2次、开展主题党日活动2次，不断提升支部战斗堡垒作用。坚持党建带群建，群建促党建，组织春游活动、“三农杯”运动会拔河、羽毛球、跳绳比赛，落实年休假、健康体检等制度，关心关爱干部职工身心健康。</w:t>
      </w:r>
    </w:p>
    <w:p>
      <w:pPr>
        <w:pStyle w:val="21"/>
        <w:spacing w:line="560" w:lineRule="exact"/>
        <w:ind w:firstLine="420" w:firstLineChars="200"/>
        <w:rPr>
          <w:rFonts w:ascii="仿宋_GB2312" w:hAnsi="仿宋" w:eastAsia="仿宋_GB2312" w:cs="仿宋"/>
          <w:b/>
          <w:bCs/>
          <w:spacing w:val="15"/>
          <w:kern w:val="0"/>
          <w:sz w:val="32"/>
          <w:szCs w:val="32"/>
        </w:rPr>
      </w:pPr>
      <w:r>
        <w:rPr>
          <w:rFonts w:hint="eastAsia" w:ascii="Calibri" w:hAnsi="Calibri" w:eastAsia="宋体" w:cs="Times New Roman"/>
        </w:rPr>
        <w:t xml:space="preserve">    </w:t>
      </w:r>
      <w:r>
        <w:rPr>
          <w:rFonts w:hint="eastAsia" w:ascii="仿宋_GB2312" w:hAnsi="楷体" w:eastAsia="仿宋_GB2312" w:cs="楷体"/>
          <w:b/>
          <w:bCs/>
          <w:spacing w:val="15"/>
          <w:kern w:val="0"/>
          <w:sz w:val="32"/>
          <w:szCs w:val="32"/>
        </w:rPr>
        <w:t>2）</w:t>
      </w:r>
      <w:r>
        <w:rPr>
          <w:rFonts w:hint="eastAsia" w:ascii="仿宋_GB2312" w:hAnsi="仿宋" w:eastAsia="仿宋_GB2312" w:cs="仿宋"/>
          <w:b/>
          <w:bCs/>
          <w:spacing w:val="15"/>
          <w:kern w:val="0"/>
          <w:sz w:val="32"/>
          <w:szCs w:val="32"/>
        </w:rPr>
        <w:t>推进乡村公益，巩固脱贫成果，落实产业帮扶，赋能乡村振兴</w:t>
      </w:r>
      <w:r>
        <w:rPr>
          <w:rFonts w:hint="eastAsia" w:ascii="黑体" w:hAnsi="黑体" w:eastAsia="黑体" w:cs="黑体"/>
          <w:color w:val="000000"/>
          <w:sz w:val="32"/>
          <w:szCs w:val="32"/>
        </w:rPr>
        <w:t>：</w:t>
      </w:r>
      <w:r>
        <w:rPr>
          <w:rFonts w:hint="eastAsia" w:ascii="仿宋_GB2312" w:hAnsi="楷体" w:eastAsia="仿宋_GB2312" w:cs="楷体"/>
          <w:b/>
          <w:bCs/>
          <w:color w:val="000000"/>
          <w:sz w:val="32"/>
          <w:szCs w:val="32"/>
        </w:rPr>
        <w:t>抓好传统公益项目，做大做强专项基金，支持灾后重建，</w:t>
      </w:r>
      <w:r>
        <w:rPr>
          <w:rFonts w:hint="eastAsia" w:ascii="仿宋_GB2312" w:hAnsi="仿宋" w:eastAsia="仿宋_GB2312" w:cs="仿宋"/>
          <w:b/>
          <w:bCs/>
          <w:spacing w:val="15"/>
          <w:kern w:val="0"/>
          <w:sz w:val="32"/>
          <w:szCs w:val="32"/>
        </w:rPr>
        <w:t>稳步推进帮扶产业重点项目建设。</w:t>
      </w:r>
    </w:p>
    <w:p>
      <w:pPr>
        <w:pStyle w:val="21"/>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聚焦主责主业，协调和组织社会各界参与公益活动，锲而不舍巩固拓展脱贫攻坚成果。汇聚社会各界的公益力量，积极推动定向捐赠的拓展。与湖南兵器建华精密、建设银行、湖南农发集团等企业签订了定向捐赠协议，共计787.9</w:t>
      </w:r>
      <w:r>
        <w:rPr>
          <w:rFonts w:hint="eastAsia" w:ascii="Times New Roman" w:hAnsi="Times New Roman" w:eastAsia="仿宋_GB2312" w:cs="Times New Roman"/>
          <w:color w:val="000000"/>
          <w:sz w:val="32"/>
          <w:szCs w:val="32"/>
          <w:lang w:val="en-US" w:eastAsia="zh-CN"/>
        </w:rPr>
        <w:t>0</w:t>
      </w:r>
      <w:r>
        <w:rPr>
          <w:rFonts w:hint="eastAsia" w:ascii="Times New Roman" w:hAnsi="Times New Roman" w:eastAsia="仿宋_GB2312" w:cs="Times New Roman"/>
          <w:color w:val="000000"/>
          <w:sz w:val="32"/>
          <w:szCs w:val="32"/>
        </w:rPr>
        <w:t>万元</w:t>
      </w:r>
      <w:r>
        <w:rPr>
          <w:rFonts w:hint="eastAsia" w:ascii="Calibri" w:hAnsi="Calibri" w:eastAsia="仿宋_GB2312" w:cs="Times New Roman"/>
          <w:color w:val="000000"/>
          <w:sz w:val="32"/>
          <w:szCs w:val="32"/>
        </w:rPr>
        <w:t>；</w:t>
      </w:r>
      <w:r>
        <w:rPr>
          <w:rFonts w:hint="eastAsia" w:ascii="Times New Roman" w:hAnsi="Times New Roman" w:eastAsia="仿宋_GB2312" w:cs="Times New Roman"/>
          <w:color w:val="000000"/>
          <w:sz w:val="32"/>
          <w:szCs w:val="32"/>
        </w:rPr>
        <w:t>继湘西泸溪县成功实施五个“溪桥工程”后，为满足永州市双牌县何家洞镇群众出行需求，联合中国乡村发展基金会再次启动了双牌县的“溪桥工程”项目，支持建设小型便民桥，助力乡村宜居</w:t>
      </w:r>
      <w:r>
        <w:rPr>
          <w:rFonts w:hint="eastAsia" w:ascii="Calibri" w:hAnsi="Calibri" w:eastAsia="仿宋_GB2312" w:cs="Times New Roman"/>
          <w:color w:val="000000"/>
          <w:sz w:val="32"/>
          <w:szCs w:val="32"/>
        </w:rPr>
        <w:t>；</w:t>
      </w:r>
      <w:r>
        <w:rPr>
          <w:rFonts w:hint="eastAsia" w:ascii="Times New Roman" w:hAnsi="Times New Roman" w:eastAsia="仿宋_GB2312" w:cs="Times New Roman"/>
          <w:color w:val="000000"/>
          <w:sz w:val="32"/>
          <w:szCs w:val="32"/>
        </w:rPr>
        <w:t>由大汉控股集团有限公司和湖南大三湘茶油股份有限公司捐赠的湖南省乡村发展基金会“红汉子”专项基金正式启动，旨在资助培养农村技能型人才并助其就业创业，促进农文旅深度融合和乡村产业多元化发展</w:t>
      </w:r>
      <w:r>
        <w:rPr>
          <w:rFonts w:hint="eastAsia" w:ascii="Calibri" w:hAnsi="Calibri" w:eastAsia="仿宋_GB2312" w:cs="Times New Roman"/>
          <w:color w:val="000000"/>
          <w:sz w:val="32"/>
          <w:szCs w:val="32"/>
        </w:rPr>
        <w:t>；在</w:t>
      </w:r>
      <w:r>
        <w:rPr>
          <w:rFonts w:hint="eastAsia" w:ascii="Times New Roman" w:hAnsi="Times New Roman" w:eastAsia="仿宋_GB2312" w:cs="Times New Roman"/>
          <w:color w:val="000000"/>
          <w:sz w:val="32"/>
          <w:szCs w:val="32"/>
        </w:rPr>
        <w:t>今年6月，怀化溆浦县发生特大洪灾，省乡村发展基金会会捐赠十万元人民币支持溆浦县红星村灾后重建，帮助渡过难关；安排省帮扶产业发展重点项目资金3亿元，推动水果、茶叶、蔬菜和中药材4类帮扶主导特色产业提档升级、提质增效，明确每个省重点项目联农带农方式不少于3类，均要建立联农带农台账，台账中每名农户都要有联农带农举措。培育壮大联农带农主体，支持带动脱贫人口较多的龙头企业288家、合作社547家，预计新带动脱贫人口发展产业3.61万人、安排就业2.28万人，确保了脱贫群众在乡村产业发展中有活干、有钱赚。</w:t>
      </w:r>
    </w:p>
    <w:p>
      <w:pPr>
        <w:pStyle w:val="21"/>
        <w:spacing w:line="560" w:lineRule="exact"/>
        <w:ind w:firstLine="640" w:firstLineChars="200"/>
        <w:rPr>
          <w:rFonts w:ascii="仿宋_GB2312" w:hAnsi="仿宋" w:eastAsia="仿宋_GB2312" w:cs="仿宋"/>
          <w:spacing w:val="15"/>
          <w:kern w:val="0"/>
          <w:sz w:val="32"/>
          <w:szCs w:val="32"/>
        </w:rPr>
      </w:pPr>
      <w:r>
        <w:rPr>
          <w:rFonts w:hint="eastAsia" w:ascii="Times New Roman" w:hAnsi="Times New Roman" w:eastAsia="仿宋_GB2312" w:cs="Times New Roman"/>
          <w:sz w:val="32"/>
          <w:szCs w:val="32"/>
        </w:rPr>
        <w:t>通过加强预算收支管理，不断建立健全内部管理制度，梳理内部管理流程，部门整体支出管理情况得到提升。</w:t>
      </w:r>
    </w:p>
    <w:p>
      <w:pPr>
        <w:numPr>
          <w:ilvl w:val="0"/>
          <w:numId w:val="2"/>
        </w:num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运行成本控制评价。</w:t>
      </w:r>
      <w:r>
        <w:rPr>
          <w:rFonts w:hint="eastAsia" w:ascii="Times New Roman" w:hAnsi="Times New Roman" w:eastAsia="仿宋_GB2312" w:cs="Times New Roman"/>
          <w:sz w:val="32"/>
          <w:szCs w:val="32"/>
        </w:rPr>
        <w:t>2024年本单位财政决算为131.52万元，预算执行率为69.18%，在职在编人员5人，退休人员1人。人员经费支出102.8</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万元，占比高达78.19%。业务工作经费支出减少5.11%，是因厉行节约，严控单位经费支出。</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s="Times New Roman"/>
          <w:b/>
          <w:bCs/>
          <w:sz w:val="32"/>
          <w:szCs w:val="32"/>
        </w:rPr>
        <w:t>履职效能</w:t>
      </w:r>
      <w:r>
        <w:rPr>
          <w:rFonts w:hint="eastAsia" w:ascii="Times New Roman" w:hAnsi="Times New Roman" w:eastAsia="仿宋_GB2312" w:cs="Times New Roman"/>
          <w:b/>
          <w:bCs/>
          <w:sz w:val="32"/>
          <w:szCs w:val="32"/>
        </w:rPr>
        <w:t>和</w:t>
      </w:r>
      <w:r>
        <w:rPr>
          <w:rFonts w:ascii="Times New Roman" w:hAnsi="Times New Roman" w:eastAsia="仿宋_GB2312" w:cs="Times New Roman"/>
          <w:b/>
          <w:bCs/>
          <w:sz w:val="32"/>
          <w:szCs w:val="32"/>
        </w:rPr>
        <w:t>社会效应</w:t>
      </w:r>
      <w:r>
        <w:rPr>
          <w:rFonts w:hint="eastAsia" w:ascii="Times New Roman" w:hAnsi="Times New Roman" w:eastAsia="仿宋_GB2312" w:cs="Times New Roman"/>
          <w:b/>
          <w:bCs/>
          <w:sz w:val="32"/>
          <w:szCs w:val="32"/>
        </w:rPr>
        <w:t>评价</w:t>
      </w:r>
      <w:r>
        <w:rPr>
          <w:rFonts w:hint="eastAsia" w:ascii="Times New Roman" w:hAnsi="Times New Roman" w:eastAsia="仿宋_GB2312" w:cs="Times New Roman"/>
          <w:b/>
          <w:bCs/>
          <w:color w:val="000000"/>
          <w:sz w:val="32"/>
          <w:szCs w:val="32"/>
        </w:rPr>
        <w:t>。</w:t>
      </w:r>
      <w:r>
        <w:rPr>
          <w:rFonts w:hint="eastAsia" w:ascii="Times New Roman" w:hAnsi="Times New Roman" w:eastAsia="仿宋_GB2312" w:cs="Times New Roman"/>
          <w:color w:val="000000"/>
          <w:sz w:val="32"/>
          <w:szCs w:val="32"/>
        </w:rPr>
        <w:t>2024年本单位</w:t>
      </w:r>
      <w:r>
        <w:rPr>
          <w:rFonts w:ascii="Times New Roman" w:hAnsi="Times New Roman" w:eastAsia="仿宋_GB2312" w:cs="Times New Roman"/>
          <w:sz w:val="32"/>
          <w:szCs w:val="32"/>
        </w:rPr>
        <w:t>紧紧围绕乡村发展公益事业中心工作</w:t>
      </w:r>
      <w:r>
        <w:rPr>
          <w:rFonts w:hint="eastAsia" w:ascii="Times New Roman" w:hAnsi="Times New Roman" w:eastAsia="仿宋_GB2312" w:cs="Times New Roman"/>
          <w:sz w:val="32"/>
          <w:szCs w:val="32"/>
        </w:rPr>
        <w:t>，</w:t>
      </w:r>
      <w:r>
        <w:rPr>
          <w:rFonts w:hint="eastAsia" w:ascii="Times New Roman" w:hAnsi="Times New Roman" w:eastAsia="仿宋_GB2312"/>
          <w:color w:val="000000"/>
          <w:sz w:val="32"/>
          <w:szCs w:val="32"/>
        </w:rPr>
        <w:t>聚焦主责主业，协调和组织社会各界参与公益活动，锲而不舍巩固拓展脱贫攻坚成果。</w:t>
      </w:r>
    </w:p>
    <w:p>
      <w:pPr>
        <w:numPr>
          <w:ilvl w:val="0"/>
          <w:numId w:val="2"/>
        </w:num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Times New Roman" w:hAnsi="Times New Roman" w:eastAsia="仿宋_GB2312" w:cs="Times New Roman"/>
          <w:sz w:val="32"/>
          <w:szCs w:val="32"/>
        </w:rPr>
        <w:t>从绩效指标方面评估，共设有3个产出指标和3个社会效益指标。</w:t>
      </w:r>
      <w:r>
        <w:rPr>
          <w:rFonts w:hint="eastAsia" w:ascii="Times New Roman" w:hAnsi="Times New Roman" w:eastAsia="仿宋_GB2312" w:cs="Times New Roman"/>
          <w:b/>
          <w:bCs/>
          <w:sz w:val="32"/>
          <w:szCs w:val="32"/>
        </w:rPr>
        <w:t>产出指标方面</w:t>
      </w:r>
      <w:r>
        <w:rPr>
          <w:rFonts w:hint="eastAsia" w:ascii="Times New Roman" w:hAnsi="Times New Roman" w:eastAsia="仿宋_GB2312" w:cs="Times New Roman"/>
          <w:sz w:val="32"/>
          <w:szCs w:val="32"/>
        </w:rPr>
        <w:t>，一是</w:t>
      </w:r>
      <w:r>
        <w:rPr>
          <w:rFonts w:hint="eastAsia" w:ascii="仿宋_GB2312" w:hAnsi="仿宋_GB2312" w:eastAsia="仿宋_GB2312" w:cs="仿宋_GB2312"/>
          <w:sz w:val="32"/>
          <w:szCs w:val="32"/>
        </w:rPr>
        <w:t>完成了基金会筹资目标工作。不断拓宽资金募集渠道，筹资规模保持良好的增长，2024年度捐赠资金787.94</w:t>
      </w:r>
      <w:r>
        <w:rPr>
          <w:rFonts w:hint="eastAsia" w:ascii="Times New Roman" w:hAnsi="Times New Roman" w:eastAsia="仿宋_GB2312" w:cs="Times New Roman"/>
          <w:sz w:val="32"/>
          <w:szCs w:val="32"/>
        </w:rPr>
        <w:t>万元，</w:t>
      </w:r>
      <w:r>
        <w:rPr>
          <w:rFonts w:hint="eastAsia" w:ascii="仿宋_GB2312" w:hAnsi="仿宋_GB2312" w:eastAsia="仿宋_GB2312" w:cs="仿宋_GB2312"/>
          <w:sz w:val="32"/>
          <w:szCs w:val="32"/>
        </w:rPr>
        <w:t>期间净资产增长82.45万元</w:t>
      </w:r>
      <w:r>
        <w:rPr>
          <w:rFonts w:ascii="Times New Roman" w:hAnsi="Times New Roman" w:eastAsia="仿宋_GB2312" w:cs="Times New Roman"/>
          <w:sz w:val="36"/>
          <w:szCs w:val="36"/>
        </w:rPr>
        <w:t>。</w:t>
      </w:r>
      <w:r>
        <w:rPr>
          <w:rFonts w:hint="eastAsia" w:ascii="Times New Roman" w:hAnsi="Times New Roman" w:eastAsia="仿宋_GB2312" w:cs="Times New Roman"/>
          <w:sz w:val="32"/>
          <w:szCs w:val="32"/>
        </w:rPr>
        <w:t>二是</w:t>
      </w:r>
      <w:r>
        <w:rPr>
          <w:rFonts w:hint="eastAsia" w:ascii="仿宋_GB2312" w:hAnsi="仿宋_GB2312" w:eastAsia="仿宋_GB2312" w:cs="仿宋_GB2312"/>
          <w:sz w:val="32"/>
          <w:szCs w:val="32"/>
        </w:rPr>
        <w:t>推进乡村发展公益项目超过1个。</w:t>
      </w:r>
      <w:r>
        <w:rPr>
          <w:rFonts w:hint="eastAsia" w:ascii="仿宋_GB2312" w:hAnsi="Times New Roman" w:eastAsia="仿宋_GB2312" w:cs="Times New Roman"/>
          <w:sz w:val="32"/>
          <w:szCs w:val="32"/>
        </w:rPr>
        <w:t>联合中国乡村发展基金会实施了“溪桥工程”，</w:t>
      </w:r>
      <w:r>
        <w:rPr>
          <w:rFonts w:hint="eastAsia" w:ascii="Times New Roman" w:hAnsi="Times New Roman" w:eastAsia="仿宋_GB2312" w:cs="Times New Roman"/>
          <w:color w:val="000000"/>
          <w:sz w:val="32"/>
          <w:szCs w:val="32"/>
        </w:rPr>
        <w:t xml:space="preserve"> 支持建设小型便民桥，助力乡村宜居</w:t>
      </w:r>
      <w:r>
        <w:rPr>
          <w:rFonts w:hint="eastAsia" w:ascii="仿宋_GB2312" w:hAnsi="Times New Roman" w:eastAsia="仿宋_GB2312" w:cs="Times New Roman"/>
          <w:sz w:val="32"/>
          <w:szCs w:val="32"/>
        </w:rPr>
        <w:t>。三是响应《湖南省深化安全可靠应用替代工作</w:t>
      </w:r>
      <w:r>
        <w:rPr>
          <w:rFonts w:hint="eastAsia" w:ascii="宋体" w:hAnsi="宋体" w:eastAsia="宋体" w:cs="宋体"/>
          <w:sz w:val="32"/>
          <w:szCs w:val="32"/>
        </w:rPr>
        <w:t>实施方案</w:t>
      </w:r>
      <w:r>
        <w:rPr>
          <w:rFonts w:hint="eastAsia" w:ascii="仿宋_GB2312" w:hAnsi="Times New Roman" w:eastAsia="仿宋_GB2312" w:cs="Times New Roman"/>
          <w:sz w:val="32"/>
          <w:szCs w:val="32"/>
        </w:rPr>
        <w:t>》文件精神，打好数字关键核心技术攻坚战，维护国家安全发展利益，成功置换3台以安可替代范畴的计算机终端产品。</w:t>
      </w:r>
      <w:r>
        <w:rPr>
          <w:rFonts w:hint="eastAsia" w:ascii="Times New Roman" w:hAnsi="Times New Roman" w:eastAsia="仿宋_GB2312" w:cs="Times New Roman"/>
          <w:b/>
          <w:bCs/>
          <w:color w:val="000000"/>
          <w:sz w:val="32"/>
          <w:szCs w:val="32"/>
        </w:rPr>
        <w:t>效益指标方面，</w:t>
      </w:r>
      <w:r>
        <w:rPr>
          <w:rFonts w:hint="eastAsia" w:ascii="Times New Roman" w:hAnsi="Times New Roman" w:eastAsia="仿宋_GB2312" w:cs="Times New Roman"/>
          <w:color w:val="000000"/>
          <w:sz w:val="32"/>
          <w:szCs w:val="32"/>
        </w:rPr>
        <w:t>一是</w:t>
      </w:r>
      <w:r>
        <w:rPr>
          <w:rFonts w:hint="eastAsia" w:ascii="仿宋_GB2312" w:hAnsi="仿宋_GB2312" w:eastAsia="仿宋_GB2312" w:cs="仿宋_GB2312"/>
          <w:sz w:val="32"/>
          <w:szCs w:val="32"/>
        </w:rPr>
        <w:t>接受管理社会资金捐赠超过200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w:t>
      </w:r>
      <w:r>
        <w:rPr>
          <w:rFonts w:hint="eastAsia" w:ascii="Times New Roman" w:hAnsi="Times New Roman" w:eastAsia="仿宋_GB2312"/>
          <w:color w:val="000000"/>
          <w:sz w:val="32"/>
          <w:szCs w:val="32"/>
        </w:rPr>
        <w:t>围绕产业帮扶，不断增强脱贫地区和脱贫群众内生发展动力</w:t>
      </w:r>
      <w:r>
        <w:rPr>
          <w:rFonts w:hint="eastAsia" w:ascii="仿宋_GB2312" w:hAnsi="仿宋_GB2312" w:eastAsia="仿宋_GB2312" w:cs="仿宋_GB2312"/>
          <w:sz w:val="32"/>
          <w:szCs w:val="32"/>
        </w:rPr>
        <w:t>。</w:t>
      </w:r>
      <w:r>
        <w:rPr>
          <w:rFonts w:hint="eastAsia" w:ascii="Times New Roman" w:hAnsi="Times New Roman" w:eastAsia="仿宋_GB2312" w:cs="Times New Roman"/>
          <w:color w:val="000000"/>
          <w:sz w:val="32"/>
          <w:szCs w:val="32"/>
        </w:rPr>
        <w:t>二是消费帮扶受益群体95%以上。</w:t>
      </w:r>
      <w:r>
        <w:rPr>
          <w:rFonts w:ascii="Times New Roman" w:hAnsi="Times New Roman" w:eastAsia="仿宋_GB2312" w:cs="Times New Roman"/>
          <w:color w:val="000000"/>
          <w:sz w:val="32"/>
          <w:szCs w:val="32"/>
        </w:rPr>
        <w:t>随着脱贫攻坚工作体系全面转向乡村振兴</w:t>
      </w:r>
      <w:r>
        <w:rPr>
          <w:rFonts w:hint="eastAsia" w:ascii="Times New Roman" w:hAnsi="Times New Roman" w:eastAsia="仿宋_GB2312" w:cs="Times New Roman"/>
          <w:color w:val="000000"/>
          <w:sz w:val="32"/>
          <w:szCs w:val="32"/>
        </w:rPr>
        <w:t>，越来越多的</w:t>
      </w:r>
      <w:r>
        <w:rPr>
          <w:rFonts w:hint="eastAsia" w:ascii="Times New Roman" w:hAnsi="Times New Roman" w:eastAsia="仿宋_GB2312" w:cs="Times New Roman"/>
          <w:sz w:val="32"/>
          <w:szCs w:val="32"/>
        </w:rPr>
        <w:t>国有企事业单位、社会各界人士</w:t>
      </w:r>
      <w:r>
        <w:rPr>
          <w:rFonts w:hint="eastAsia" w:ascii="仿宋_GB2312" w:hAnsi="仿宋_GB2312" w:eastAsia="仿宋_GB2312" w:cs="仿宋_GB2312"/>
          <w:color w:val="000000"/>
          <w:sz w:val="32"/>
          <w:szCs w:val="32"/>
        </w:rPr>
        <w:t>通过跨平台、多渠道线上线下助推帮扶农产品销售，形成了具有联动效应的融屏互动消费帮扶，直播带货，对口帮扶和定点帮扶。如签约抖音头部主播唐艺为湖南省乡村发展基金会红色沙洲专项基金形象大使。帮助脱贫地区建产起适合市场需要的产品销售链条，推动和建立长期有效的助力机制，促进脱贫地区农业产业健康发展，以便最终形成长期性可持续的“消费帮扶”模式，成为农户增收的有力助手。</w:t>
      </w:r>
    </w:p>
    <w:p>
      <w:pPr>
        <w:adjustRightInd w:val="0"/>
        <w:snapToGrid w:val="0"/>
        <w:spacing w:line="600" w:lineRule="exact"/>
        <w:ind w:firstLine="704" w:firstLineChars="220"/>
        <w:rPr>
          <w:rFonts w:ascii="Times New Roman" w:hAnsi="Times New Roman" w:eastAsia="仿宋_GB2312" w:cs="Times New Roman"/>
          <w:sz w:val="32"/>
          <w:szCs w:val="32"/>
        </w:rPr>
      </w:pPr>
      <w:r>
        <w:rPr>
          <w:rFonts w:hint="eastAsia" w:ascii="Times New Roman" w:hAnsi="Times New Roman" w:eastAsia="仿宋_GB2312" w:cs="Times New Roman"/>
          <w:b/>
          <w:bCs/>
          <w:color w:val="000000"/>
          <w:sz w:val="32"/>
          <w:szCs w:val="32"/>
        </w:rPr>
        <w:t xml:space="preserve"> (三）</w:t>
      </w:r>
      <w:r>
        <w:rPr>
          <w:rFonts w:ascii="Times New Roman" w:hAnsi="Times New Roman" w:eastAsia="仿宋_GB2312" w:cs="Times New Roman"/>
          <w:b/>
          <w:bCs/>
          <w:color w:val="000000"/>
          <w:sz w:val="32"/>
          <w:szCs w:val="32"/>
        </w:rPr>
        <w:t>服务对象满意度</w:t>
      </w:r>
      <w:r>
        <w:rPr>
          <w:rFonts w:hint="eastAsia" w:ascii="Times New Roman" w:hAnsi="Times New Roman" w:eastAsia="仿宋_GB2312" w:cs="Times New Roman"/>
          <w:b/>
          <w:bCs/>
          <w:color w:val="000000"/>
          <w:sz w:val="32"/>
          <w:szCs w:val="32"/>
        </w:rPr>
        <w:t>评价。</w:t>
      </w:r>
      <w:r>
        <w:rPr>
          <w:rFonts w:hint="eastAsia" w:ascii="Times New Roman" w:hAnsi="Times New Roman" w:eastAsia="仿宋_GB2312" w:cs="Times New Roman"/>
          <w:sz w:val="32"/>
          <w:szCs w:val="32"/>
        </w:rPr>
        <w:t>主要是消费帮扶通过各平台线上线下营销多样化，使得更多的农户和消费者受益</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一致获得好评。</w:t>
      </w:r>
    </w:p>
    <w:p>
      <w:pPr>
        <w:widowControl/>
        <w:spacing w:line="600" w:lineRule="exact"/>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七、</w:t>
      </w:r>
      <w:r>
        <w:rPr>
          <w:rFonts w:ascii="Times New Roman" w:hAnsi="Times New Roman" w:eastAsia="黑体" w:cs="Times New Roman"/>
          <w:sz w:val="32"/>
          <w:szCs w:val="32"/>
        </w:rPr>
        <w:t>存在的问题及原因分析</w:t>
      </w:r>
    </w:p>
    <w:p>
      <w:pPr>
        <w:widowControl/>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一是预算编制不够精准；二是绩效评价结果应用有待提高。</w:t>
      </w:r>
    </w:p>
    <w:p>
      <w:pPr>
        <w:widowControl/>
        <w:spacing w:line="600" w:lineRule="exact"/>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八、下一步改进措施</w:t>
      </w:r>
    </w:p>
    <w:p>
      <w:pPr>
        <w:widowControl/>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（一）进一步细化预算编制工作，提高预算的合规性和精确性。</w:t>
      </w:r>
      <w:r>
        <w:rPr>
          <w:rFonts w:hint="eastAsia" w:ascii="Times New Roman" w:hAnsi="Times New Roman" w:eastAsia="仿宋_GB2312" w:cs="Times New Roman"/>
          <w:sz w:val="32"/>
          <w:szCs w:val="32"/>
        </w:rPr>
        <w:t>结合单位实际情况，酌情考虑优先保障刚性支出，尽量压缩变动性的、有控制空间的费用项目，进一步提高预算编制的科学性、严谨性和可控性。</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（二）进一步提高绩效目标的前瞻性和合规性。</w:t>
      </w:r>
      <w:r>
        <w:rPr>
          <w:rFonts w:hint="eastAsia" w:ascii="Times New Roman" w:hAnsi="Times New Roman" w:eastAsia="仿宋_GB2312" w:cs="Times New Roman"/>
          <w:sz w:val="32"/>
          <w:szCs w:val="32"/>
        </w:rPr>
        <w:t>对因政策变化，突发事件等客观因素导致预算执行进度缓慢或预计无法实现绩效目标的，要本着实事求是的原则，及时按程序调减预算，并同步调整绩效目标。</w:t>
      </w:r>
    </w:p>
    <w:p>
      <w:pPr>
        <w:pStyle w:val="21"/>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s="Times New Roman"/>
          <w:b/>
          <w:bCs/>
          <w:sz w:val="32"/>
          <w:szCs w:val="32"/>
        </w:rPr>
        <w:t>（</w:t>
      </w:r>
      <w:r>
        <w:rPr>
          <w:rFonts w:hint="eastAsia" w:ascii="仿宋_GB2312" w:hAnsi="仿宋_GB2312" w:eastAsia="仿宋_GB2312" w:cs="仿宋_GB2312"/>
          <w:b/>
          <w:bCs/>
          <w:sz w:val="32"/>
          <w:szCs w:val="32"/>
        </w:rPr>
        <w:t>三）进一步</w:t>
      </w:r>
      <w:r>
        <w:rPr>
          <w:rFonts w:hint="eastAsia" w:ascii="仿宋_GB2312" w:hAnsi="Times New Roman" w:eastAsia="仿宋_GB2312" w:cs="Times New Roman"/>
          <w:b/>
          <w:sz w:val="32"/>
          <w:szCs w:val="32"/>
        </w:rPr>
        <w:t>树立有影响的品牌项目和专项基金</w:t>
      </w:r>
      <w:r>
        <w:rPr>
          <w:rFonts w:hint="eastAsia" w:ascii="仿宋_GB2312" w:hAnsi="Times New Roman" w:eastAsia="仿宋_GB2312" w:cs="Times New Roman"/>
          <w:sz w:val="32"/>
          <w:szCs w:val="32"/>
        </w:rPr>
        <w:t>。</w:t>
      </w:r>
      <w:r>
        <w:rPr>
          <w:rFonts w:hint="eastAsia" w:ascii="Times New Roman" w:hAnsi="Times New Roman" w:eastAsia="仿宋_GB2312"/>
          <w:color w:val="000000"/>
          <w:sz w:val="32"/>
          <w:szCs w:val="32"/>
        </w:rPr>
        <w:t>继续做好定向捐赠，结合驻村帮扶工作，继续与央企、省管企业、科研单位和高校签定定向捐赠协议；持续设立专项基金，抓好创新探索，持续完善专项基金管理，加强主动对接，做好服务工作，</w:t>
      </w:r>
      <w:r>
        <w:rPr>
          <w:rFonts w:ascii="Times New Roman" w:hAnsi="Times New Roman" w:eastAsia="仿宋_GB2312"/>
          <w:color w:val="000000"/>
          <w:sz w:val="32"/>
          <w:szCs w:val="32"/>
        </w:rPr>
        <w:t>确保工作不断档、不脱节。</w:t>
      </w:r>
      <w:r>
        <w:rPr>
          <w:rFonts w:hint="eastAsia" w:ascii="Times New Roman" w:hAnsi="Times New Roman" w:eastAsia="仿宋_GB2312"/>
          <w:color w:val="000000"/>
          <w:sz w:val="32"/>
          <w:szCs w:val="32"/>
        </w:rPr>
        <w:t>规范内部管理，维护募资渠道，抓好项目实施，加强产业帮扶，以实际行动巩固拓展脱贫攻坚成果，不断推进乡村全面振兴。</w:t>
      </w:r>
    </w:p>
    <w:p>
      <w:pPr>
        <w:pStyle w:val="8"/>
        <w:rPr>
          <w:rFonts w:eastAsia="仿宋_GB2312"/>
          <w:sz w:val="32"/>
          <w:szCs w:val="32"/>
        </w:rPr>
      </w:pPr>
      <w:r>
        <w:rPr>
          <w:rFonts w:hint="eastAsia" w:eastAsia="仿宋_GB2312"/>
          <w:sz w:val="32"/>
          <w:szCs w:val="32"/>
        </w:rPr>
        <w:t>九、绩效自评结果拟应用和公开情况</w:t>
      </w:r>
    </w:p>
    <w:p>
      <w:pPr>
        <w:widowControl/>
        <w:spacing w:line="600" w:lineRule="exact"/>
        <w:ind w:firstLine="525" w:firstLineChars="150"/>
        <w:jc w:val="left"/>
        <w:rPr>
          <w:rFonts w:ascii="仿宋_GB2312" w:eastAsia="仿宋_GB2312" w:cs="仿宋_GB2312" w:hAnsiTheme="minorEastAsia"/>
          <w:color w:val="000000"/>
          <w:sz w:val="32"/>
          <w:szCs w:val="32"/>
        </w:rPr>
      </w:pPr>
      <w:r>
        <w:rPr>
          <w:rFonts w:hint="eastAsia" w:ascii="仿宋_GB2312" w:hAnsi="仿宋" w:eastAsia="仿宋_GB2312" w:cs="仿宋"/>
          <w:spacing w:val="15"/>
          <w:kern w:val="0"/>
          <w:sz w:val="32"/>
          <w:szCs w:val="32"/>
        </w:rPr>
        <w:t>部门整体支出绩效自评按照相关规定执行。</w:t>
      </w:r>
      <w:r>
        <w:rPr>
          <w:rFonts w:hint="eastAsia" w:ascii="仿宋_GB2312" w:eastAsia="仿宋_GB2312" w:cs="仿宋_GB2312" w:hAnsiTheme="minorEastAsia"/>
          <w:color w:val="000000"/>
          <w:sz w:val="32"/>
          <w:szCs w:val="32"/>
        </w:rPr>
        <w:t>本单位没有门户网站，2024年度整体支出绩效自评报告将在主管单位湖南省农业农村厅的门户网站向社会全文公开，接受社会公众监督。</w:t>
      </w:r>
    </w:p>
    <w:p>
      <w:pPr>
        <w:widowControl/>
        <w:spacing w:line="600" w:lineRule="exact"/>
        <w:jc w:val="left"/>
        <w:rPr>
          <w:rFonts w:ascii="仿宋_GB2312" w:eastAsia="仿宋_GB2312" w:cs="仿宋_GB2312" w:hAnsiTheme="minorEastAsia"/>
          <w:b/>
          <w:color w:val="000000"/>
          <w:sz w:val="32"/>
          <w:szCs w:val="32"/>
        </w:rPr>
      </w:pPr>
      <w:r>
        <w:rPr>
          <w:rFonts w:hint="eastAsia" w:ascii="仿宋_GB2312" w:eastAsia="仿宋_GB2312" w:cs="仿宋_GB2312" w:hAnsiTheme="minorEastAsia"/>
          <w:b/>
          <w:color w:val="000000"/>
          <w:sz w:val="32"/>
          <w:szCs w:val="32"/>
        </w:rPr>
        <w:t>其他需要说明的情况</w:t>
      </w:r>
    </w:p>
    <w:p>
      <w:pPr>
        <w:widowControl/>
        <w:spacing w:line="600" w:lineRule="exact"/>
        <w:ind w:firstLine="640" w:firstLineChars="200"/>
        <w:jc w:val="left"/>
        <w:rPr>
          <w:rFonts w:ascii="仿宋_GB2312" w:eastAsia="仿宋_GB2312" w:cs="仿宋_GB2312" w:hAnsiTheme="minorEastAsia"/>
          <w:bCs/>
          <w:color w:val="000000"/>
          <w:sz w:val="32"/>
          <w:szCs w:val="32"/>
        </w:rPr>
      </w:pPr>
      <w:r>
        <w:rPr>
          <w:rFonts w:hint="eastAsia" w:ascii="仿宋_GB2312" w:eastAsia="仿宋_GB2312" w:cs="仿宋_GB2312" w:hAnsiTheme="minorEastAsia"/>
          <w:bCs/>
          <w:color w:val="000000"/>
          <w:sz w:val="32"/>
          <w:szCs w:val="32"/>
        </w:rPr>
        <w:t>无。</w:t>
      </w:r>
    </w:p>
    <w:p>
      <w:pPr>
        <w:widowControl/>
        <w:spacing w:line="600" w:lineRule="exact"/>
        <w:ind w:firstLine="640" w:firstLineChars="200"/>
        <w:jc w:val="left"/>
        <w:rPr>
          <w:rFonts w:ascii="仿宋_GB2312" w:eastAsia="仿宋_GB2312" w:cs="仿宋_GB2312" w:hAnsiTheme="minorEastAsia"/>
          <w:b/>
          <w:color w:val="000000"/>
          <w:sz w:val="32"/>
          <w:szCs w:val="32"/>
        </w:rPr>
      </w:pPr>
    </w:p>
    <w:p>
      <w:pPr>
        <w:widowControl/>
        <w:spacing w:line="600" w:lineRule="exact"/>
        <w:jc w:val="left"/>
        <w:rPr>
          <w:rFonts w:ascii="仿宋_GB2312" w:eastAsia="仿宋_GB2312" w:cs="仿宋_GB2312" w:hAnsiTheme="minorEastAsia"/>
          <w:b/>
          <w:color w:val="000000"/>
          <w:sz w:val="32"/>
          <w:szCs w:val="32"/>
        </w:rPr>
      </w:pPr>
      <w:r>
        <w:rPr>
          <w:rFonts w:hint="eastAsia" w:ascii="仿宋_GB2312" w:eastAsia="仿宋_GB2312" w:cs="仿宋_GB2312" w:hAnsiTheme="minorEastAsia"/>
          <w:b/>
          <w:color w:val="000000"/>
          <w:sz w:val="32"/>
          <w:szCs w:val="32"/>
        </w:rPr>
        <w:t>附件：</w:t>
      </w:r>
    </w:p>
    <w:p>
      <w:pPr>
        <w:widowControl/>
        <w:spacing w:line="600" w:lineRule="exact"/>
        <w:jc w:val="left"/>
        <w:rPr>
          <w:rFonts w:ascii="仿宋_GB2312" w:eastAsia="仿宋_GB2312" w:cs="仿宋_GB2312" w:hAnsiTheme="minorEastAsia"/>
          <w:bCs/>
          <w:color w:val="000000"/>
          <w:sz w:val="32"/>
          <w:szCs w:val="32"/>
        </w:rPr>
      </w:pPr>
      <w:r>
        <w:rPr>
          <w:rFonts w:hint="eastAsia" w:ascii="仿宋_GB2312" w:eastAsia="仿宋_GB2312" w:cs="仿宋_GB2312" w:hAnsiTheme="minorEastAsia"/>
          <w:bCs/>
          <w:color w:val="000000"/>
          <w:sz w:val="32"/>
          <w:szCs w:val="32"/>
        </w:rPr>
        <w:t>1、部门整体支出绩效评价基础数据表</w:t>
      </w:r>
    </w:p>
    <w:p>
      <w:pPr>
        <w:widowControl/>
        <w:spacing w:line="600" w:lineRule="exact"/>
        <w:jc w:val="left"/>
        <w:rPr>
          <w:rFonts w:ascii="仿宋_GB2312" w:eastAsia="仿宋_GB2312" w:cs="仿宋_GB2312" w:hAnsiTheme="minorEastAsia"/>
          <w:bCs/>
          <w:color w:val="000000"/>
          <w:sz w:val="32"/>
          <w:szCs w:val="32"/>
        </w:rPr>
      </w:pPr>
      <w:r>
        <w:rPr>
          <w:rFonts w:hint="eastAsia" w:ascii="仿宋_GB2312" w:eastAsia="仿宋_GB2312" w:cs="仿宋_GB2312" w:hAnsiTheme="minorEastAsia"/>
          <w:bCs/>
          <w:color w:val="000000"/>
          <w:sz w:val="32"/>
          <w:szCs w:val="32"/>
        </w:rPr>
        <w:t>2、部门整体支出绩效自评表</w:t>
      </w:r>
    </w:p>
    <w:p>
      <w:pPr>
        <w:widowControl/>
        <w:spacing w:line="600" w:lineRule="exact"/>
        <w:jc w:val="left"/>
        <w:rPr>
          <w:rFonts w:ascii="仿宋_GB2312" w:eastAsia="仿宋_GB2312" w:cs="仿宋_GB2312" w:hAnsiTheme="minorEastAsia"/>
          <w:bCs/>
          <w:color w:val="000000"/>
          <w:sz w:val="32"/>
          <w:szCs w:val="32"/>
        </w:rPr>
      </w:pPr>
      <w:r>
        <w:rPr>
          <w:rFonts w:hint="eastAsia" w:ascii="仿宋_GB2312" w:eastAsia="仿宋_GB2312" w:cs="仿宋_GB2312" w:hAnsiTheme="minorEastAsia"/>
          <w:bCs/>
          <w:color w:val="000000"/>
          <w:sz w:val="32"/>
          <w:szCs w:val="32"/>
        </w:rPr>
        <w:t>3-1、项目支出绩效自评表（业务工作经费）</w:t>
      </w:r>
    </w:p>
    <w:p>
      <w:pPr>
        <w:widowControl/>
        <w:spacing w:line="600" w:lineRule="exact"/>
        <w:jc w:val="left"/>
        <w:rPr>
          <w:rFonts w:ascii="仿宋_GB2312" w:eastAsia="仿宋_GB2312" w:cs="仿宋_GB2312" w:hAnsiTheme="minorEastAsia"/>
          <w:bCs/>
          <w:color w:val="000000"/>
          <w:sz w:val="32"/>
          <w:szCs w:val="32"/>
        </w:rPr>
      </w:pPr>
      <w:r>
        <w:rPr>
          <w:rFonts w:hint="eastAsia" w:ascii="仿宋_GB2312" w:eastAsia="仿宋_GB2312" w:cs="仿宋_GB2312" w:hAnsiTheme="minorEastAsia"/>
          <w:bCs/>
          <w:color w:val="000000"/>
          <w:sz w:val="32"/>
          <w:szCs w:val="32"/>
        </w:rPr>
        <w:t>3-2、项目支出绩效自评表（其他事业发展资金）</w:t>
      </w:r>
    </w:p>
    <w:p>
      <w:pPr>
        <w:widowControl/>
        <w:spacing w:line="600" w:lineRule="exact"/>
        <w:ind w:firstLine="640" w:firstLineChars="200"/>
        <w:jc w:val="left"/>
        <w:rPr>
          <w:rFonts w:ascii="仿宋_GB2312" w:eastAsia="仿宋_GB2312" w:cs="仿宋_GB2312" w:hAnsiTheme="minorEastAsia"/>
          <w:b/>
          <w:color w:val="000000"/>
          <w:sz w:val="32"/>
          <w:szCs w:val="32"/>
        </w:rPr>
      </w:pPr>
      <w:r>
        <w:rPr>
          <w:rFonts w:hint="eastAsia" w:ascii="仿宋_GB2312" w:eastAsia="仿宋_GB2312" w:cs="仿宋_GB2312" w:hAnsiTheme="minorEastAsia"/>
          <w:b/>
          <w:color w:val="000000"/>
          <w:sz w:val="32"/>
          <w:szCs w:val="32"/>
        </w:rPr>
        <w:t xml:space="preserve">      </w:t>
      </w:r>
    </w:p>
    <w:p>
      <w:pPr>
        <w:pStyle w:val="8"/>
      </w:pPr>
      <w:r>
        <w:rPr>
          <w:rFonts w:hint="eastAsia"/>
        </w:rPr>
        <w:t xml:space="preserve">         </w:t>
      </w:r>
    </w:p>
    <w:p>
      <w:pPr>
        <w:rPr>
          <w:rFonts w:eastAsia="仿宋_GB2312"/>
          <w:sz w:val="32"/>
          <w:szCs w:val="32"/>
        </w:rPr>
      </w:pPr>
    </w:p>
    <w:p>
      <w:pPr>
        <w:pStyle w:val="8"/>
        <w:ind w:firstLine="480" w:firstLineChars="200"/>
        <w:jc w:val="both"/>
      </w:pPr>
    </w:p>
    <w:p>
      <w:pPr>
        <w:spacing w:afterLines="50" w:line="600" w:lineRule="exact"/>
        <w:jc w:val="center"/>
        <w:rPr>
          <w:rFonts w:ascii="Times New Roman" w:hAnsi="Times New Roman" w:eastAsia="方正小标宋_GBK" w:cs="Times New Roman"/>
          <w:kern w:val="0"/>
          <w:sz w:val="36"/>
          <w:szCs w:val="36"/>
        </w:rPr>
      </w:pPr>
    </w:p>
    <w:p>
      <w:pPr>
        <w:spacing w:afterLines="50" w:line="600" w:lineRule="exact"/>
        <w:jc w:val="center"/>
        <w:rPr>
          <w:rFonts w:ascii="Times New Roman" w:hAnsi="Times New Roman" w:eastAsia="方正小标宋_GBK" w:cs="Times New Roman"/>
          <w:kern w:val="0"/>
          <w:sz w:val="36"/>
          <w:szCs w:val="36"/>
        </w:rPr>
      </w:pPr>
    </w:p>
    <w:p>
      <w:pPr>
        <w:spacing w:afterLines="50" w:line="600" w:lineRule="exact"/>
        <w:jc w:val="center"/>
        <w:rPr>
          <w:rFonts w:ascii="Times New Roman" w:hAnsi="Times New Roman" w:eastAsia="方正小标宋_GBK" w:cs="Times New Roman"/>
          <w:kern w:val="0"/>
          <w:sz w:val="36"/>
          <w:szCs w:val="36"/>
        </w:rPr>
      </w:pPr>
    </w:p>
    <w:p>
      <w:pPr>
        <w:widowControl/>
        <w:spacing w:line="600" w:lineRule="exact"/>
        <w:jc w:val="left"/>
        <w:rPr>
          <w:rFonts w:hint="eastAsia" w:ascii="仿宋_GB2312" w:eastAsia="仿宋_GB2312" w:cs="仿宋_GB2312" w:hAnsiTheme="minorEastAsia"/>
          <w:b/>
          <w:color w:val="000000"/>
          <w:sz w:val="32"/>
          <w:szCs w:val="32"/>
        </w:rPr>
      </w:pPr>
    </w:p>
    <w:p>
      <w:pPr>
        <w:widowControl/>
        <w:spacing w:line="600" w:lineRule="exact"/>
        <w:jc w:val="left"/>
        <w:rPr>
          <w:rFonts w:hint="eastAsia" w:ascii="仿宋_GB2312" w:eastAsia="仿宋_GB2312" w:cs="仿宋_GB2312" w:hAnsiTheme="minorEastAsia"/>
          <w:b/>
          <w:color w:val="000000"/>
          <w:sz w:val="32"/>
          <w:szCs w:val="32"/>
        </w:rPr>
      </w:pPr>
    </w:p>
    <w:p>
      <w:pPr>
        <w:widowControl/>
        <w:spacing w:line="600" w:lineRule="exact"/>
        <w:jc w:val="left"/>
        <w:rPr>
          <w:rFonts w:hint="eastAsia" w:ascii="仿宋_GB2312" w:eastAsia="仿宋_GB2312" w:cs="仿宋_GB2312" w:hAnsiTheme="minorEastAsia"/>
          <w:b/>
          <w:color w:val="000000"/>
          <w:sz w:val="32"/>
          <w:szCs w:val="32"/>
        </w:rPr>
      </w:pPr>
    </w:p>
    <w:p>
      <w:pPr>
        <w:widowControl/>
        <w:spacing w:line="600" w:lineRule="exact"/>
        <w:jc w:val="left"/>
        <w:rPr>
          <w:rFonts w:hint="eastAsia" w:ascii="仿宋_GB2312" w:eastAsia="仿宋_GB2312" w:cs="仿宋_GB2312" w:hAnsiTheme="minorEastAsia"/>
          <w:b/>
          <w:color w:val="000000"/>
          <w:sz w:val="32"/>
          <w:szCs w:val="32"/>
        </w:rPr>
      </w:pPr>
    </w:p>
    <w:p>
      <w:pPr>
        <w:widowControl/>
        <w:spacing w:line="600" w:lineRule="exact"/>
        <w:jc w:val="left"/>
        <w:rPr>
          <w:rFonts w:hint="eastAsia" w:ascii="仿宋_GB2312" w:eastAsia="仿宋_GB2312" w:cs="仿宋_GB2312" w:hAnsiTheme="minorEastAsia"/>
          <w:b/>
          <w:color w:val="000000"/>
          <w:sz w:val="32"/>
          <w:szCs w:val="32"/>
        </w:rPr>
      </w:pPr>
    </w:p>
    <w:p>
      <w:pPr>
        <w:widowControl/>
        <w:spacing w:line="600" w:lineRule="exact"/>
        <w:jc w:val="left"/>
        <w:rPr>
          <w:rFonts w:hint="eastAsia" w:ascii="仿宋_GB2312" w:eastAsia="仿宋_GB2312" w:cs="仿宋_GB2312" w:hAnsiTheme="minorEastAsia"/>
          <w:b/>
          <w:color w:val="000000"/>
          <w:sz w:val="32"/>
          <w:szCs w:val="32"/>
        </w:rPr>
      </w:pPr>
    </w:p>
    <w:p>
      <w:pPr>
        <w:widowControl/>
        <w:spacing w:line="600" w:lineRule="exact"/>
        <w:jc w:val="left"/>
        <w:rPr>
          <w:rFonts w:hint="eastAsia" w:ascii="仿宋_GB2312" w:eastAsia="仿宋_GB2312" w:cs="仿宋_GB2312" w:hAnsiTheme="minorEastAsia"/>
          <w:b/>
          <w:color w:val="000000"/>
          <w:sz w:val="32"/>
          <w:szCs w:val="32"/>
        </w:rPr>
      </w:pPr>
    </w:p>
    <w:p>
      <w:pPr>
        <w:widowControl/>
        <w:spacing w:line="600" w:lineRule="exact"/>
        <w:jc w:val="left"/>
        <w:rPr>
          <w:rFonts w:hint="eastAsia" w:ascii="仿宋_GB2312" w:eastAsia="仿宋_GB2312" w:cs="仿宋_GB2312" w:hAnsiTheme="minorEastAsia"/>
          <w:b/>
          <w:color w:val="000000"/>
          <w:sz w:val="32"/>
          <w:szCs w:val="32"/>
        </w:rPr>
      </w:pPr>
    </w:p>
    <w:p>
      <w:pPr>
        <w:widowControl/>
        <w:spacing w:line="600" w:lineRule="exact"/>
        <w:jc w:val="left"/>
        <w:rPr>
          <w:rFonts w:hint="eastAsia" w:ascii="仿宋_GB2312" w:eastAsia="仿宋_GB2312" w:cs="仿宋_GB2312" w:hAnsiTheme="minorEastAsia"/>
          <w:b/>
          <w:color w:val="000000"/>
          <w:sz w:val="32"/>
          <w:szCs w:val="32"/>
        </w:rPr>
      </w:pPr>
    </w:p>
    <w:p>
      <w:pPr>
        <w:widowControl/>
        <w:spacing w:line="600" w:lineRule="exact"/>
        <w:jc w:val="left"/>
        <w:rPr>
          <w:rFonts w:hint="eastAsia" w:ascii="仿宋_GB2312" w:eastAsia="仿宋_GB2312" w:cs="仿宋_GB2312" w:hAnsiTheme="minorEastAsia"/>
          <w:b/>
          <w:color w:val="000000"/>
          <w:sz w:val="32"/>
          <w:szCs w:val="32"/>
        </w:rPr>
      </w:pPr>
    </w:p>
    <w:p>
      <w:pPr>
        <w:widowControl/>
        <w:spacing w:line="600" w:lineRule="exact"/>
        <w:jc w:val="left"/>
        <w:rPr>
          <w:rFonts w:ascii="仿宋_GB2312" w:eastAsia="仿宋_GB2312" w:cs="仿宋_GB2312" w:hAnsiTheme="minorEastAsia"/>
          <w:b/>
          <w:color w:val="000000"/>
          <w:sz w:val="32"/>
          <w:szCs w:val="32"/>
        </w:rPr>
      </w:pPr>
      <w:r>
        <w:rPr>
          <w:rFonts w:hint="eastAsia" w:ascii="仿宋_GB2312" w:eastAsia="仿宋_GB2312" w:cs="仿宋_GB2312" w:hAnsiTheme="minorEastAsia"/>
          <w:b/>
          <w:color w:val="000000"/>
          <w:sz w:val="32"/>
          <w:szCs w:val="32"/>
        </w:rPr>
        <w:t>附件1</w:t>
      </w:r>
    </w:p>
    <w:p>
      <w:pPr>
        <w:widowControl/>
        <w:ind w:firstLine="1800" w:firstLineChars="500"/>
        <w:jc w:val="left"/>
        <w:rPr>
          <w:rFonts w:ascii="Times New Roman" w:hAnsi="Times New Roman" w:eastAsia="仿宋_GB2312" w:cs="Times New Roman"/>
          <w:kern w:val="0"/>
          <w:sz w:val="22"/>
          <w:szCs w:val="24"/>
        </w:rPr>
      </w:pPr>
      <w:r>
        <w:rPr>
          <w:rFonts w:ascii="Times New Roman" w:hAnsi="Times New Roman" w:eastAsia="方正小标宋_GBK" w:cs="Times New Roman"/>
          <w:kern w:val="0"/>
          <w:sz w:val="36"/>
          <w:szCs w:val="36"/>
        </w:rPr>
        <w:t>部门整体支出绩效评价基础数据表</w:t>
      </w:r>
    </w:p>
    <w:tbl>
      <w:tblPr>
        <w:tblStyle w:val="9"/>
        <w:tblpPr w:leftFromText="180" w:rightFromText="180" w:vertAnchor="text" w:horzAnchor="margin" w:tblpXSpec="center" w:tblpY="396"/>
        <w:tblW w:w="9464" w:type="dxa"/>
        <w:tblInd w:w="0" w:type="dxa"/>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CellMar>
            <w:top w:w="0" w:type="dxa"/>
            <w:left w:w="108" w:type="dxa"/>
            <w:bottom w:w="0" w:type="dxa"/>
            <w:right w:w="108" w:type="dxa"/>
          </w:tblCellMar>
        </w:tblPrEx>
        <w:trPr>
          <w:trHeight w:val="397" w:hRule="atLeast"/>
        </w:trPr>
        <w:tc>
          <w:tcPr>
            <w:tcW w:w="33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财政供养人员情况（人）</w:t>
            </w:r>
          </w:p>
        </w:tc>
        <w:tc>
          <w:tcPr>
            <w:tcW w:w="2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编制数</w:t>
            </w:r>
          </w:p>
        </w:tc>
        <w:tc>
          <w:tcPr>
            <w:tcW w:w="22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w:t>
            </w:r>
            <w:r>
              <w:rPr>
                <w:rFonts w:hint="eastAsia" w:ascii="Times New Roman" w:hAnsi="Times New Roman" w:eastAsia="仿宋_GB2312" w:cs="Times New Roman"/>
                <w:b/>
                <w:bCs/>
                <w:kern w:val="0"/>
                <w:szCs w:val="21"/>
              </w:rPr>
              <w:t>4</w:t>
            </w:r>
            <w:r>
              <w:rPr>
                <w:rFonts w:ascii="Times New Roman" w:hAnsi="Times New Roman" w:eastAsia="仿宋_GB2312" w:cs="Times New Roman"/>
                <w:b/>
                <w:bCs/>
                <w:kern w:val="0"/>
                <w:szCs w:val="21"/>
              </w:rPr>
              <w:t>年实际在职人数</w:t>
            </w: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控制率</w:t>
            </w:r>
          </w:p>
        </w:tc>
      </w:tr>
      <w:tr>
        <w:tblPrEx>
          <w:tblCellMar>
            <w:top w:w="0" w:type="dxa"/>
            <w:left w:w="108" w:type="dxa"/>
            <w:bottom w:w="0" w:type="dxa"/>
            <w:right w:w="108" w:type="dxa"/>
          </w:tblCellMar>
        </w:tblPrEx>
        <w:trPr>
          <w:trHeight w:val="397" w:hRule="atLeast"/>
        </w:trPr>
        <w:tc>
          <w:tcPr>
            <w:tcW w:w="33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0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7</w:t>
            </w:r>
          </w:p>
        </w:tc>
        <w:tc>
          <w:tcPr>
            <w:tcW w:w="22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5</w:t>
            </w: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71.43%</w:t>
            </w: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经费控制情况（万元）</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w:t>
            </w:r>
            <w:r>
              <w:rPr>
                <w:rFonts w:hint="eastAsia" w:ascii="Times New Roman" w:hAnsi="Times New Roman" w:eastAsia="仿宋_GB2312" w:cs="Times New Roman"/>
                <w:b/>
                <w:bCs/>
                <w:kern w:val="0"/>
                <w:szCs w:val="21"/>
              </w:rPr>
              <w:t>23</w:t>
            </w:r>
            <w:r>
              <w:rPr>
                <w:rFonts w:ascii="Times New Roman" w:hAnsi="Times New Roman" w:eastAsia="仿宋_GB2312" w:cs="Times New Roman"/>
                <w:b/>
                <w:bCs/>
                <w:kern w:val="0"/>
                <w:szCs w:val="21"/>
              </w:rPr>
              <w:t>年决算数</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w:t>
            </w:r>
            <w:r>
              <w:rPr>
                <w:rFonts w:hint="eastAsia" w:ascii="Times New Roman" w:hAnsi="Times New Roman" w:eastAsia="仿宋_GB2312" w:cs="Times New Roman"/>
                <w:b/>
                <w:bCs/>
                <w:kern w:val="0"/>
                <w:szCs w:val="21"/>
              </w:rPr>
              <w:t>4</w:t>
            </w:r>
            <w:r>
              <w:rPr>
                <w:rFonts w:ascii="Times New Roman" w:hAnsi="Times New Roman" w:eastAsia="仿宋_GB2312" w:cs="Times New Roman"/>
                <w:b/>
                <w:bCs/>
                <w:kern w:val="0"/>
                <w:szCs w:val="21"/>
              </w:rPr>
              <w:t>年预算数</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w:t>
            </w:r>
            <w:r>
              <w:rPr>
                <w:rFonts w:hint="eastAsia" w:ascii="Times New Roman" w:hAnsi="Times New Roman" w:eastAsia="仿宋_GB2312" w:cs="Times New Roman"/>
                <w:b/>
                <w:bCs/>
                <w:kern w:val="0"/>
                <w:szCs w:val="21"/>
              </w:rPr>
              <w:t>4</w:t>
            </w:r>
            <w:r>
              <w:rPr>
                <w:rFonts w:ascii="Times New Roman" w:hAnsi="Times New Roman" w:eastAsia="仿宋_GB2312" w:cs="Times New Roman"/>
                <w:b/>
                <w:bCs/>
                <w:kern w:val="0"/>
                <w:szCs w:val="21"/>
              </w:rPr>
              <w:t>年决算数</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三公经费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highlight w:val="red"/>
              </w:rPr>
            </w:pPr>
            <w:r>
              <w:rPr>
                <w:rFonts w:hint="eastAsia" w:ascii="Times New Roman" w:hAnsi="Times New Roman" w:eastAsia="仿宋_GB2312" w:cs="Times New Roman"/>
                <w:kern w:val="0"/>
                <w:szCs w:val="21"/>
              </w:rPr>
              <w:t>0.18</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highlight w:val="red"/>
              </w:rPr>
            </w:pPr>
            <w:r>
              <w:rPr>
                <w:rFonts w:hint="eastAsia" w:ascii="Times New Roman" w:hAnsi="Times New Roman" w:eastAsia="仿宋_GB2312" w:cs="Times New Roman"/>
                <w:kern w:val="0"/>
                <w:szCs w:val="21"/>
              </w:rPr>
              <w:t>0.20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其中：公车购置</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公车运行维护</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2、出国经费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3、公务接待</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0.18</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0.20</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项目支出：</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16.82</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27.13</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15.96</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1、业务工作经费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16.82</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21.13</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10.39</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2、</w:t>
            </w:r>
            <w:r>
              <w:rPr>
                <w:rFonts w:eastAsia="仿宋_GB2312"/>
                <w:kern w:val="0"/>
                <w:szCs w:val="21"/>
              </w:rPr>
              <w:t>运行维护经费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ind w:firstLine="420" w:firstLineChars="2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3、省级专项资金（一个专项一行）</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ind w:firstLine="420" w:firstLineChars="200"/>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4、其他事业类发展资金</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6.00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5.57</w:t>
            </w: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公用经费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25.35</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22.80</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12.71</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其中：办公费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17.00</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1.00</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0.99</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水费、电费、差旅费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1.00</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2.00</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1.98</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会议费、培训费</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政府采购金额</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2.03</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highlight w:val="red"/>
              </w:rPr>
            </w:pPr>
            <w:r>
              <w:rPr>
                <w:rFonts w:hint="eastAsia" w:ascii="Times New Roman" w:hAnsi="Times New Roman" w:eastAsia="仿宋_GB2312" w:cs="Times New Roman"/>
                <w:kern w:val="0"/>
                <w:szCs w:val="21"/>
              </w:rPr>
              <w:t>0</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highlight w:val="red"/>
              </w:rPr>
            </w:pPr>
            <w:r>
              <w:rPr>
                <w:rFonts w:hint="eastAsia" w:ascii="Times New Roman" w:hAnsi="Times New Roman" w:eastAsia="仿宋_GB2312" w:cs="Times New Roman"/>
                <w:kern w:val="0"/>
                <w:szCs w:val="21"/>
              </w:rPr>
              <w:t>2.00</w:t>
            </w:r>
          </w:p>
        </w:tc>
      </w:tr>
      <w:tr>
        <w:tblPrEx>
          <w:tblCellMar>
            <w:top w:w="0" w:type="dxa"/>
            <w:left w:w="108" w:type="dxa"/>
            <w:bottom w:w="0" w:type="dxa"/>
            <w:right w:w="108" w:type="dxa"/>
          </w:tblCellMar>
        </w:tblPrEx>
        <w:trPr>
          <w:trHeight w:val="397"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22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837" w:hRule="atLeast"/>
        </w:trPr>
        <w:tc>
          <w:tcPr>
            <w:tcW w:w="33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楼堂馆所控制情况</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（202</w:t>
            </w:r>
            <w:r>
              <w:rPr>
                <w:rFonts w:hint="eastAsia" w:ascii="Times New Roman" w:hAnsi="Times New Roman" w:eastAsia="仿宋_GB2312" w:cs="Times New Roman"/>
                <w:kern w:val="0"/>
                <w:szCs w:val="21"/>
              </w:rPr>
              <w:t>4</w:t>
            </w:r>
            <w:r>
              <w:rPr>
                <w:rFonts w:ascii="Times New Roman" w:hAnsi="Times New Roman" w:eastAsia="仿宋_GB2312" w:cs="Times New Roman"/>
                <w:kern w:val="0"/>
                <w:szCs w:val="21"/>
              </w:rPr>
              <w:t>年完工项目）</w:t>
            </w:r>
          </w:p>
        </w:tc>
        <w:tc>
          <w:tcPr>
            <w:tcW w:w="11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批复规模</w:t>
            </w:r>
            <w:r>
              <w:rPr>
                <w:rFonts w:ascii="Times New Roman" w:hAnsi="Times New Roman" w:eastAsia="仿宋_GB2312" w:cs="Times New Roman"/>
                <w:bCs/>
                <w:kern w:val="0"/>
                <w:szCs w:val="21"/>
              </w:rPr>
              <w:br w:type="textWrapping"/>
            </w:r>
            <w:r>
              <w:rPr>
                <w:rFonts w:ascii="Times New Roman" w:hAnsi="Times New Roman" w:eastAsia="仿宋_GB2312" w:cs="Times New Roman"/>
                <w:bCs/>
                <w:kern w:val="0"/>
                <w:szCs w:val="21"/>
              </w:rPr>
              <w:t>（</w:t>
            </w:r>
            <w:r>
              <w:rPr>
                <w:rFonts w:ascii="Times New Roman" w:hAnsi="Times New Roman" w:eastAsia="宋体" w:cs="Times New Roman"/>
                <w:bCs/>
                <w:kern w:val="0"/>
                <w:szCs w:val="21"/>
              </w:rPr>
              <w:t>㎡</w:t>
            </w:r>
            <w:r>
              <w:rPr>
                <w:rFonts w:ascii="Times New Roman" w:hAnsi="Times New Roman" w:eastAsia="仿宋_GB2312" w:cs="Times New Roman"/>
                <w:bCs/>
                <w:kern w:val="0"/>
                <w:szCs w:val="21"/>
              </w:rPr>
              <w:t>）</w:t>
            </w:r>
          </w:p>
        </w:tc>
        <w:tc>
          <w:tcPr>
            <w:tcW w:w="84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实际规模（</w:t>
            </w:r>
            <w:r>
              <w:rPr>
                <w:rFonts w:ascii="Times New Roman" w:hAnsi="Times New Roman" w:eastAsia="宋体" w:cs="Times New Roman"/>
                <w:bCs/>
                <w:kern w:val="0"/>
                <w:szCs w:val="21"/>
              </w:rPr>
              <w:t>㎡</w:t>
            </w:r>
            <w:r>
              <w:rPr>
                <w:rFonts w:ascii="Times New Roman" w:hAnsi="Times New Roman" w:eastAsia="仿宋_GB2312" w:cs="Times New Roman"/>
                <w:bCs/>
                <w:kern w:val="0"/>
                <w:szCs w:val="21"/>
              </w:rPr>
              <w:t>）</w:t>
            </w:r>
          </w:p>
        </w:tc>
        <w:tc>
          <w:tcPr>
            <w:tcW w:w="112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规模控制率</w:t>
            </w:r>
          </w:p>
        </w:tc>
        <w:tc>
          <w:tcPr>
            <w:tcW w:w="111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预算投资（万元）</w:t>
            </w:r>
          </w:p>
        </w:tc>
        <w:tc>
          <w:tcPr>
            <w:tcW w:w="9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实际投资（万元）</w:t>
            </w:r>
          </w:p>
        </w:tc>
        <w:tc>
          <w:tcPr>
            <w:tcW w:w="86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bCs/>
                <w:kern w:val="0"/>
                <w:szCs w:val="21"/>
              </w:rPr>
            </w:pPr>
            <w:r>
              <w:rPr>
                <w:rFonts w:ascii="Times New Roman" w:hAnsi="Times New Roman" w:eastAsia="仿宋_GB2312" w:cs="Times New Roman"/>
                <w:bCs/>
                <w:kern w:val="0"/>
                <w:szCs w:val="21"/>
              </w:rPr>
              <w:t>投资概算控制率</w:t>
            </w:r>
          </w:p>
        </w:tc>
      </w:tr>
      <w:tr>
        <w:tblPrEx>
          <w:tblCellMar>
            <w:top w:w="0" w:type="dxa"/>
            <w:left w:w="108" w:type="dxa"/>
            <w:bottom w:w="0" w:type="dxa"/>
            <w:right w:w="108" w:type="dxa"/>
          </w:tblCellMar>
        </w:tblPrEx>
        <w:trPr>
          <w:trHeight w:val="454" w:hRule="atLeast"/>
        </w:trPr>
        <w:tc>
          <w:tcPr>
            <w:tcW w:w="3354"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18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849"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129"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111"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969"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86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756" w:hRule="atLeast"/>
        </w:trPr>
        <w:tc>
          <w:tcPr>
            <w:tcW w:w="335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厉行节约保障措施</w:t>
            </w:r>
          </w:p>
        </w:tc>
        <w:tc>
          <w:tcPr>
            <w:tcW w:w="6110"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结合上年预算执行情况，优化支出结构，压降委托业务费用、办公费、邮电费、公务接待费。</w:t>
            </w:r>
          </w:p>
        </w:tc>
      </w:tr>
    </w:tbl>
    <w:p>
      <w:pPr>
        <w:widowControl/>
        <w:ind w:firstLine="3630" w:firstLineChars="1650"/>
        <w:jc w:val="left"/>
        <w:rPr>
          <w:rFonts w:ascii="Times New Roman" w:hAnsi="Times New Roman" w:eastAsia="仿宋_GB2312" w:cs="Times New Roman"/>
          <w:kern w:val="0"/>
          <w:sz w:val="22"/>
          <w:szCs w:val="24"/>
        </w:rPr>
      </w:pPr>
      <w:r>
        <w:rPr>
          <w:rFonts w:hint="eastAsia" w:ascii="Times New Roman" w:hAnsi="Times New Roman" w:eastAsia="仿宋_GB2312" w:cs="Times New Roman"/>
          <w:kern w:val="0"/>
          <w:sz w:val="22"/>
          <w:szCs w:val="24"/>
        </w:rPr>
        <w:t>（2024年度）</w:t>
      </w:r>
    </w:p>
    <w:p>
      <w:pPr>
        <w:widowControl/>
        <w:jc w:val="left"/>
        <w:rPr>
          <w:rFonts w:ascii="Times New Roman" w:hAnsi="Times New Roman" w:eastAsia="仿宋_GB2312" w:cs="Times New Roman"/>
          <w:kern w:val="0"/>
          <w:sz w:val="22"/>
          <w:szCs w:val="24"/>
        </w:rPr>
      </w:pPr>
      <w:r>
        <w:rPr>
          <w:rFonts w:ascii="Times New Roman" w:hAnsi="Times New Roman" w:eastAsia="仿宋_GB2312" w:cs="Times New Roman"/>
          <w:kern w:val="0"/>
          <w:sz w:val="22"/>
          <w:szCs w:val="24"/>
        </w:rPr>
        <w:t>说明：“项目支出”需要填报基本支出以外的所有项目支出情况，“公用经费”填报基本支出中的一般商品和服务支出。</w:t>
      </w:r>
    </w:p>
    <w:p>
      <w:pPr>
        <w:widowControl/>
        <w:jc w:val="left"/>
        <w:rPr>
          <w:rFonts w:ascii="Times New Roman" w:hAnsi="Times New Roman" w:eastAsia="仿宋_GB2312" w:cs="Times New Roman"/>
          <w:kern w:val="0"/>
          <w:sz w:val="22"/>
          <w:szCs w:val="24"/>
        </w:rPr>
      </w:pPr>
    </w:p>
    <w:p>
      <w:pPr>
        <w:widowControl/>
        <w:jc w:val="left"/>
        <w:rPr>
          <w:rFonts w:ascii="Times New Roman" w:hAnsi="Times New Roman" w:eastAsia="仿宋_GB2312" w:cs="Times New Roman"/>
          <w:kern w:val="0"/>
          <w:sz w:val="22"/>
          <w:szCs w:val="24"/>
        </w:rPr>
      </w:pPr>
    </w:p>
    <w:p>
      <w:pPr>
        <w:widowControl/>
        <w:jc w:val="left"/>
        <w:rPr>
          <w:rFonts w:ascii="Times New Roman" w:hAnsi="Times New Roman" w:eastAsia="仿宋_GB2312" w:cs="Times New Roman"/>
          <w:kern w:val="0"/>
          <w:sz w:val="22"/>
          <w:szCs w:val="24"/>
        </w:rPr>
      </w:pPr>
      <w:r>
        <w:rPr>
          <w:rFonts w:hint="eastAsia" w:ascii="仿宋_GB2312" w:eastAsia="仿宋_GB2312" w:cs="仿宋_GB2312" w:hAnsiTheme="minorEastAsia"/>
          <w:b/>
          <w:color w:val="000000"/>
          <w:sz w:val="32"/>
          <w:szCs w:val="32"/>
        </w:rPr>
        <w:t>附件2</w:t>
      </w:r>
    </w:p>
    <w:p>
      <w:pPr>
        <w:widowControl/>
        <w:spacing w:afterLines="50"/>
        <w:ind w:firstLine="2520" w:firstLineChars="700"/>
        <w:jc w:val="left"/>
        <w:rPr>
          <w:rFonts w:ascii="Times New Roman" w:hAnsi="Times New Roman" w:eastAsia="方正小标宋_GBK" w:cs="Times New Roman"/>
          <w:color w:val="000000"/>
          <w:kern w:val="0"/>
          <w:sz w:val="36"/>
          <w:szCs w:val="36"/>
        </w:rPr>
      </w:pPr>
      <w:r>
        <w:rPr>
          <w:rFonts w:ascii="Times New Roman" w:hAnsi="Times New Roman" w:eastAsia="方正小标宋_GBK" w:cs="Times New Roman"/>
          <w:color w:val="000000"/>
          <w:kern w:val="0"/>
          <w:sz w:val="36"/>
          <w:szCs w:val="36"/>
        </w:rPr>
        <w:t>部门整体支出绩效自评表</w:t>
      </w:r>
    </w:p>
    <w:p>
      <w:pPr>
        <w:widowControl/>
        <w:ind w:firstLine="3520" w:firstLineChars="1600"/>
        <w:jc w:val="left"/>
        <w:rPr>
          <w:rFonts w:ascii="Times New Roman" w:hAnsi="Times New Roman" w:eastAsia="仿宋_GB2312" w:cs="Times New Roman"/>
          <w:kern w:val="0"/>
          <w:sz w:val="22"/>
          <w:szCs w:val="24"/>
        </w:rPr>
      </w:pPr>
      <w:r>
        <w:rPr>
          <w:rFonts w:hint="eastAsia" w:ascii="Times New Roman" w:hAnsi="Times New Roman" w:eastAsia="仿宋_GB2312" w:cs="Times New Roman"/>
          <w:kern w:val="0"/>
          <w:sz w:val="22"/>
          <w:szCs w:val="24"/>
        </w:rPr>
        <w:t>（2024年度）</w:t>
      </w:r>
    </w:p>
    <w:tbl>
      <w:tblPr>
        <w:tblStyle w:val="9"/>
        <w:tblpPr w:leftFromText="180" w:rightFromText="180" w:vertAnchor="text" w:horzAnchor="margin" w:tblpXSpec="center" w:tblpY="30"/>
        <w:tblW w:w="10391" w:type="dxa"/>
        <w:tblInd w:w="0" w:type="dxa"/>
        <w:tblLayout w:type="fixed"/>
        <w:tblCellMar>
          <w:top w:w="0" w:type="dxa"/>
          <w:left w:w="108" w:type="dxa"/>
          <w:bottom w:w="0" w:type="dxa"/>
          <w:right w:w="108" w:type="dxa"/>
        </w:tblCellMar>
      </w:tblPr>
      <w:tblGrid>
        <w:gridCol w:w="1067"/>
        <w:gridCol w:w="1114"/>
        <w:gridCol w:w="943"/>
        <w:gridCol w:w="1527"/>
        <w:gridCol w:w="1410"/>
        <w:gridCol w:w="1273"/>
        <w:gridCol w:w="567"/>
        <w:gridCol w:w="864"/>
        <w:gridCol w:w="1626"/>
      </w:tblGrid>
      <w:tr>
        <w:tblPrEx>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省级预算部门名称</w:t>
            </w:r>
          </w:p>
        </w:tc>
        <w:tc>
          <w:tcPr>
            <w:tcW w:w="9324" w:type="dxa"/>
            <w:gridSpan w:val="8"/>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湖南省乡村发展基金会办公室</w:t>
            </w:r>
            <w:r>
              <w:rPr>
                <w:rFonts w:ascii="Times New Roman" w:hAnsi="Times New Roman" w:eastAsia="仿宋_GB2312" w:cs="Times New Roman"/>
                <w:color w:val="000000"/>
                <w:kern w:val="0"/>
                <w:szCs w:val="21"/>
              </w:rPr>
              <w:t>　　</w:t>
            </w:r>
          </w:p>
        </w:tc>
      </w:tr>
      <w:tr>
        <w:tblPrEx>
          <w:tblCellMar>
            <w:top w:w="0" w:type="dxa"/>
            <w:left w:w="108" w:type="dxa"/>
            <w:bottom w:w="0" w:type="dxa"/>
            <w:right w:w="108" w:type="dxa"/>
          </w:tblCellMar>
        </w:tblPrEx>
        <w:tc>
          <w:tcPr>
            <w:tcW w:w="1067" w:type="dxa"/>
            <w:vMerge w:val="restart"/>
            <w:tcBorders>
              <w:top w:val="nil"/>
              <w:left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年度预</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算申请</w:t>
            </w:r>
            <w:r>
              <w:rPr>
                <w:rFonts w:ascii="Times New Roman" w:hAnsi="Times New Roman" w:eastAsia="仿宋_GB2312" w:cs="Times New Roman"/>
                <w:color w:val="000000"/>
                <w:kern w:val="0"/>
                <w:szCs w:val="21"/>
              </w:rPr>
              <w:br w:type="textWrapping"/>
            </w:r>
            <w:r>
              <w:rPr>
                <w:rFonts w:ascii="Times New Roman" w:hAnsi="Times New Roman" w:eastAsia="仿宋_GB2312" w:cs="Times New Roman"/>
                <w:color w:val="000000"/>
                <w:kern w:val="0"/>
                <w:szCs w:val="21"/>
              </w:rPr>
              <w:t>（万元）</w:t>
            </w:r>
          </w:p>
        </w:tc>
        <w:tc>
          <w:tcPr>
            <w:tcW w:w="2057" w:type="dxa"/>
            <w:gridSpan w:val="2"/>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p>
        </w:tc>
        <w:tc>
          <w:tcPr>
            <w:tcW w:w="1527" w:type="dxa"/>
            <w:tcBorders>
              <w:top w:val="nil"/>
              <w:left w:val="nil"/>
              <w:bottom w:val="single" w:color="auto" w:sz="4" w:space="0"/>
              <w:right w:val="single" w:color="auto" w:sz="4" w:space="0"/>
            </w:tcBorders>
            <w:shd w:val="clear" w:color="auto" w:fill="auto"/>
            <w:vAlign w:val="center"/>
          </w:tcPr>
          <w:p>
            <w:pPr>
              <w:spacing w:line="240" w:lineRule="exact"/>
              <w:rPr>
                <w:rFonts w:ascii="Times New Roman" w:hAnsi="Times New Roman" w:eastAsia="仿宋_GB2312" w:cs="Times New Roman"/>
                <w:szCs w:val="21"/>
              </w:rPr>
            </w:pPr>
            <w:r>
              <w:rPr>
                <w:rFonts w:ascii="Times New Roman" w:hAnsi="Times New Roman" w:eastAsia="仿宋_GB2312" w:cs="Times New Roman"/>
                <w:szCs w:val="21"/>
              </w:rPr>
              <w:t>年初预算数</w:t>
            </w:r>
          </w:p>
        </w:tc>
        <w:tc>
          <w:tcPr>
            <w:tcW w:w="1410"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全年预算数</w:t>
            </w:r>
          </w:p>
        </w:tc>
        <w:tc>
          <w:tcPr>
            <w:tcW w:w="1273"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全年执行数</w:t>
            </w:r>
          </w:p>
        </w:tc>
        <w:tc>
          <w:tcPr>
            <w:tcW w:w="567"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分值</w:t>
            </w:r>
          </w:p>
        </w:tc>
        <w:tc>
          <w:tcPr>
            <w:tcW w:w="864"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执行率</w:t>
            </w:r>
          </w:p>
        </w:tc>
        <w:tc>
          <w:tcPr>
            <w:tcW w:w="1626"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得分</w:t>
            </w:r>
          </w:p>
        </w:tc>
      </w:tr>
      <w:tr>
        <w:tblPrEx>
          <w:tblCellMar>
            <w:top w:w="0" w:type="dxa"/>
            <w:left w:w="108" w:type="dxa"/>
            <w:bottom w:w="0" w:type="dxa"/>
            <w:right w:w="108" w:type="dxa"/>
          </w:tblCellMar>
        </w:tblPrEx>
        <w:tc>
          <w:tcPr>
            <w:tcW w:w="1067" w:type="dxa"/>
            <w:vMerge w:val="continue"/>
            <w:tcBorders>
              <w:top w:val="nil"/>
              <w:left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c>
          <w:tcPr>
            <w:tcW w:w="2057" w:type="dxa"/>
            <w:gridSpan w:val="2"/>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color w:val="000000"/>
                <w:kern w:val="0"/>
                <w:szCs w:val="21"/>
              </w:rPr>
              <w:t>年度资金总额</w:t>
            </w:r>
          </w:p>
        </w:tc>
        <w:tc>
          <w:tcPr>
            <w:tcW w:w="1527"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182.63</w:t>
            </w:r>
          </w:p>
        </w:tc>
        <w:tc>
          <w:tcPr>
            <w:tcW w:w="1410"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190.13</w:t>
            </w:r>
          </w:p>
        </w:tc>
        <w:tc>
          <w:tcPr>
            <w:tcW w:w="1273"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131.52</w:t>
            </w:r>
          </w:p>
        </w:tc>
        <w:tc>
          <w:tcPr>
            <w:tcW w:w="567"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ascii="Times New Roman" w:hAnsi="Times New Roman" w:eastAsia="仿宋_GB2312" w:cs="Times New Roman"/>
                <w:szCs w:val="21"/>
              </w:rPr>
              <w:t>10</w:t>
            </w:r>
          </w:p>
        </w:tc>
        <w:tc>
          <w:tcPr>
            <w:tcW w:w="864"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69.18%</w:t>
            </w:r>
          </w:p>
        </w:tc>
        <w:tc>
          <w:tcPr>
            <w:tcW w:w="1626"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eastAsia="仿宋_GB2312" w:cs="Times New Roman"/>
                <w:szCs w:val="21"/>
              </w:rPr>
            </w:pPr>
            <w:r>
              <w:rPr>
                <w:rFonts w:hint="eastAsia" w:ascii="Times New Roman" w:hAnsi="Times New Roman" w:eastAsia="仿宋_GB2312" w:cs="Times New Roman"/>
                <w:szCs w:val="21"/>
              </w:rPr>
              <w:t>6.92</w:t>
            </w:r>
          </w:p>
        </w:tc>
      </w:tr>
      <w:tr>
        <w:tc>
          <w:tcPr>
            <w:tcW w:w="1067"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kern w:val="0"/>
                <w:szCs w:val="21"/>
              </w:rPr>
            </w:pPr>
          </w:p>
        </w:tc>
        <w:tc>
          <w:tcPr>
            <w:tcW w:w="4994"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按收入性质分：</w:t>
            </w:r>
          </w:p>
        </w:tc>
        <w:tc>
          <w:tcPr>
            <w:tcW w:w="4330"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按支出性质分：</w:t>
            </w:r>
          </w:p>
        </w:tc>
      </w:tr>
      <w:tr>
        <w:tblPrEx>
          <w:tblCellMar>
            <w:top w:w="0" w:type="dxa"/>
            <w:left w:w="108" w:type="dxa"/>
            <w:bottom w:w="0" w:type="dxa"/>
            <w:right w:w="108" w:type="dxa"/>
          </w:tblCellMar>
        </w:tblPrEx>
        <w:tc>
          <w:tcPr>
            <w:tcW w:w="1067"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kern w:val="0"/>
                <w:szCs w:val="21"/>
              </w:rPr>
            </w:pPr>
          </w:p>
        </w:tc>
        <w:tc>
          <w:tcPr>
            <w:tcW w:w="4994"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其中：  一般公共预算：</w:t>
            </w:r>
            <w:r>
              <w:rPr>
                <w:rFonts w:hint="eastAsia" w:ascii="Times New Roman" w:hAnsi="Times New Roman" w:eastAsia="仿宋_GB2312" w:cs="Times New Roman"/>
                <w:color w:val="000000"/>
                <w:kern w:val="0"/>
                <w:szCs w:val="21"/>
              </w:rPr>
              <w:t>190.13</w:t>
            </w:r>
          </w:p>
        </w:tc>
        <w:tc>
          <w:tcPr>
            <w:tcW w:w="4330"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其中：基本支出：</w:t>
            </w:r>
            <w:r>
              <w:rPr>
                <w:rFonts w:hint="eastAsia" w:ascii="Times New Roman" w:hAnsi="Times New Roman" w:eastAsia="仿宋_GB2312" w:cs="Times New Roman"/>
                <w:color w:val="000000"/>
                <w:kern w:val="0"/>
                <w:szCs w:val="21"/>
              </w:rPr>
              <w:t>115.56</w:t>
            </w:r>
          </w:p>
        </w:tc>
      </w:tr>
      <w:tr>
        <w:tblPrEx>
          <w:tblCellMar>
            <w:top w:w="0" w:type="dxa"/>
            <w:left w:w="108" w:type="dxa"/>
            <w:bottom w:w="0" w:type="dxa"/>
            <w:right w:w="108" w:type="dxa"/>
          </w:tblCellMar>
        </w:tblPrEx>
        <w:tc>
          <w:tcPr>
            <w:tcW w:w="1067"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kern w:val="0"/>
                <w:szCs w:val="21"/>
              </w:rPr>
            </w:pPr>
          </w:p>
        </w:tc>
        <w:tc>
          <w:tcPr>
            <w:tcW w:w="4994" w:type="dxa"/>
            <w:gridSpan w:val="4"/>
            <w:tcBorders>
              <w:top w:val="nil"/>
              <w:left w:val="nil"/>
              <w:bottom w:val="single" w:color="auto" w:sz="4" w:space="0"/>
              <w:right w:val="single" w:color="auto" w:sz="4" w:space="0"/>
            </w:tcBorders>
            <w:shd w:val="clear" w:color="auto" w:fill="auto"/>
            <w:vAlign w:val="center"/>
          </w:tcPr>
          <w:p>
            <w:pPr>
              <w:widowControl/>
              <w:spacing w:line="240" w:lineRule="exact"/>
              <w:ind w:firstLine="840" w:firstLineChars="4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政府性基金拨款：</w:t>
            </w:r>
          </w:p>
        </w:tc>
        <w:tc>
          <w:tcPr>
            <w:tcW w:w="4330" w:type="dxa"/>
            <w:gridSpan w:val="4"/>
            <w:tcBorders>
              <w:top w:val="nil"/>
              <w:left w:val="nil"/>
              <w:bottom w:val="single" w:color="auto" w:sz="4" w:space="0"/>
              <w:right w:val="single" w:color="auto" w:sz="4" w:space="0"/>
            </w:tcBorders>
            <w:shd w:val="clear" w:color="auto" w:fill="auto"/>
            <w:vAlign w:val="center"/>
          </w:tcPr>
          <w:p>
            <w:pPr>
              <w:widowControl/>
              <w:spacing w:line="240" w:lineRule="exact"/>
              <w:ind w:firstLine="630" w:firstLineChars="3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项目支出：</w:t>
            </w:r>
            <w:r>
              <w:rPr>
                <w:rFonts w:hint="eastAsia" w:ascii="Times New Roman" w:hAnsi="Times New Roman" w:eastAsia="仿宋_GB2312" w:cs="Times New Roman"/>
                <w:color w:val="000000"/>
                <w:kern w:val="0"/>
                <w:szCs w:val="21"/>
              </w:rPr>
              <w:t>15.96</w:t>
            </w:r>
          </w:p>
        </w:tc>
      </w:tr>
      <w:tr>
        <w:tblPrEx>
          <w:tblCellMar>
            <w:top w:w="0" w:type="dxa"/>
            <w:left w:w="108" w:type="dxa"/>
            <w:bottom w:w="0" w:type="dxa"/>
            <w:right w:w="108" w:type="dxa"/>
          </w:tblCellMar>
        </w:tblPrEx>
        <w:tc>
          <w:tcPr>
            <w:tcW w:w="1067"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color w:val="000000"/>
                <w:kern w:val="0"/>
                <w:szCs w:val="21"/>
              </w:rPr>
            </w:pPr>
          </w:p>
        </w:tc>
        <w:tc>
          <w:tcPr>
            <w:tcW w:w="4994"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纳入专户管理的非税收入拨款：</w:t>
            </w:r>
          </w:p>
        </w:tc>
        <w:tc>
          <w:tcPr>
            <w:tcW w:w="4330"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c>
          <w:tcPr>
            <w:tcW w:w="1067" w:type="dxa"/>
            <w:vMerge w:val="continue"/>
            <w:tcBorders>
              <w:left w:val="single" w:color="auto" w:sz="4" w:space="0"/>
              <w:bottom w:val="single" w:color="000000" w:sz="4" w:space="0"/>
              <w:right w:val="single" w:color="auto" w:sz="4" w:space="0"/>
            </w:tcBorders>
            <w:vAlign w:val="center"/>
          </w:tcPr>
          <w:p>
            <w:pPr>
              <w:widowControl/>
              <w:spacing w:line="240" w:lineRule="exact"/>
              <w:jc w:val="left"/>
              <w:rPr>
                <w:rFonts w:ascii="Times New Roman" w:hAnsi="Times New Roman" w:eastAsia="仿宋_GB2312" w:cs="Times New Roman"/>
                <w:color w:val="000000"/>
                <w:kern w:val="0"/>
                <w:szCs w:val="21"/>
              </w:rPr>
            </w:pPr>
          </w:p>
        </w:tc>
        <w:tc>
          <w:tcPr>
            <w:tcW w:w="4994" w:type="dxa"/>
            <w:gridSpan w:val="4"/>
            <w:tcBorders>
              <w:top w:val="nil"/>
              <w:left w:val="nil"/>
              <w:bottom w:val="single" w:color="auto" w:sz="4" w:space="0"/>
              <w:right w:val="single" w:color="auto" w:sz="4" w:space="0"/>
            </w:tcBorders>
            <w:shd w:val="clear" w:color="auto" w:fill="auto"/>
            <w:vAlign w:val="center"/>
          </w:tcPr>
          <w:p>
            <w:pPr>
              <w:widowControl/>
              <w:spacing w:line="240" w:lineRule="exact"/>
              <w:ind w:firstLine="1680" w:firstLineChars="8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其他资金：</w:t>
            </w:r>
          </w:p>
        </w:tc>
        <w:tc>
          <w:tcPr>
            <w:tcW w:w="4330" w:type="dxa"/>
            <w:gridSpan w:val="4"/>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c>
          <w:tcPr>
            <w:tcW w:w="1067"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年度总体目标</w:t>
            </w:r>
          </w:p>
        </w:tc>
        <w:tc>
          <w:tcPr>
            <w:tcW w:w="4994"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预期目标</w:t>
            </w:r>
          </w:p>
        </w:tc>
        <w:tc>
          <w:tcPr>
            <w:tcW w:w="4330"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实际完成情况　</w:t>
            </w:r>
          </w:p>
        </w:tc>
      </w:tr>
      <w:tr>
        <w:tblPrEx>
          <w:tblCellMar>
            <w:top w:w="0" w:type="dxa"/>
            <w:left w:w="108" w:type="dxa"/>
            <w:bottom w:w="0" w:type="dxa"/>
            <w:right w:w="108" w:type="dxa"/>
          </w:tblCellMar>
        </w:tblPrEx>
        <w:tc>
          <w:tcPr>
            <w:tcW w:w="1067" w:type="dxa"/>
            <w:vMerge w:val="continue"/>
            <w:tcBorders>
              <w:top w:val="nil"/>
              <w:left w:val="single" w:color="auto" w:sz="4" w:space="0"/>
              <w:bottom w:val="single" w:color="000000" w:sz="4" w:space="0"/>
              <w:right w:val="single" w:color="auto" w:sz="4" w:space="0"/>
            </w:tcBorders>
            <w:vAlign w:val="center"/>
          </w:tcPr>
          <w:p>
            <w:pPr>
              <w:widowControl/>
              <w:spacing w:line="240" w:lineRule="exact"/>
              <w:jc w:val="left"/>
              <w:rPr>
                <w:rFonts w:ascii="Times New Roman" w:hAnsi="Times New Roman" w:eastAsia="仿宋_GB2312" w:cs="Times New Roman"/>
                <w:color w:val="000000"/>
                <w:kern w:val="0"/>
                <w:szCs w:val="21"/>
              </w:rPr>
            </w:pPr>
          </w:p>
        </w:tc>
        <w:tc>
          <w:tcPr>
            <w:tcW w:w="4994" w:type="dxa"/>
            <w:gridSpan w:val="4"/>
            <w:tcBorders>
              <w:top w:val="single" w:color="auto" w:sz="4" w:space="0"/>
              <w:left w:val="nil"/>
              <w:bottom w:val="single" w:color="auto" w:sz="4" w:space="0"/>
              <w:right w:val="single" w:color="000000" w:sz="4" w:space="0"/>
            </w:tcBorders>
            <w:shd w:val="clear" w:color="auto" w:fill="auto"/>
            <w:vAlign w:val="center"/>
          </w:tcPr>
          <w:p>
            <w:pPr>
              <w:widowControl/>
              <w:spacing w:line="240" w:lineRule="exact"/>
              <w:rPr>
                <w:rFonts w:ascii="Times New Roman" w:hAnsi="Times New Roman" w:eastAsia="仿宋_GB2312" w:cs="Times New Roman"/>
                <w:color w:val="000000"/>
                <w:kern w:val="0"/>
                <w:szCs w:val="21"/>
              </w:rPr>
            </w:pPr>
            <w:r>
              <w:rPr>
                <w:rFonts w:hint="eastAsia" w:ascii="Times New Roman" w:hAnsi="Times New Roman" w:eastAsia="仿宋_GB2312" w:cs="Times New Roman"/>
                <w:szCs w:val="21"/>
              </w:rPr>
              <w:t>指导、协调全省社会各界参与乡村振兴公益活动；组织开展乡村振兴公益项目活动，接受管理社会帮扶捐赠资金和物资,响应《湖南省深化安全可靠应用替代工作实施方案》文件精神，打好数字关键核心技术攻坚战，维护国家安全发展利益，置换3台以安可替代范畴的计算机终端产品。</w:t>
            </w:r>
          </w:p>
        </w:tc>
        <w:tc>
          <w:tcPr>
            <w:tcW w:w="4330"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ascii="Times New Roman" w:hAnsi="Times New Roman" w:eastAsia="仿宋_GB2312" w:cs="Times New Roman"/>
                <w:color w:val="000000"/>
                <w:kern w:val="0"/>
                <w:szCs w:val="21"/>
              </w:rPr>
            </w:pPr>
            <w:r>
              <w:rPr>
                <w:rFonts w:hint="eastAsia" w:ascii="Times New Roman" w:hAnsi="Times New Roman" w:eastAsia="仿宋_GB2312" w:cs="Times New Roman"/>
                <w:szCs w:val="21"/>
              </w:rPr>
              <w:t>稳步推进了传统项目，</w:t>
            </w:r>
            <w:r>
              <w:rPr>
                <w:rFonts w:ascii="Times New Roman" w:hAnsi="Times New Roman" w:eastAsia="仿宋_GB2312" w:cs="Times New Roman"/>
                <w:szCs w:val="21"/>
              </w:rPr>
              <w:t>推进消费</w:t>
            </w:r>
            <w:r>
              <w:rPr>
                <w:rFonts w:hint="eastAsia" w:ascii="Times New Roman" w:hAnsi="Times New Roman" w:eastAsia="仿宋_GB2312" w:cs="Times New Roman"/>
                <w:szCs w:val="21"/>
              </w:rPr>
              <w:t>帮扶巩固拓展脱贫攻坚成果</w:t>
            </w:r>
            <w:r>
              <w:rPr>
                <w:rFonts w:ascii="Times New Roman" w:hAnsi="Times New Roman" w:eastAsia="仿宋_GB2312" w:cs="Times New Roman"/>
                <w:szCs w:val="21"/>
              </w:rPr>
              <w:t>向纵深发展</w:t>
            </w:r>
            <w:r>
              <w:rPr>
                <w:rFonts w:hint="eastAsia" w:ascii="Times New Roman" w:hAnsi="Times New Roman" w:eastAsia="仿宋_GB2312" w:cs="Times New Roman"/>
                <w:szCs w:val="21"/>
              </w:rPr>
              <w:t>，</w:t>
            </w:r>
            <w:r>
              <w:rPr>
                <w:rFonts w:ascii="Times New Roman" w:hAnsi="Times New Roman" w:eastAsia="仿宋_GB2312" w:cs="Times New Roman"/>
                <w:szCs w:val="21"/>
              </w:rPr>
              <w:t>全面提升光伏</w:t>
            </w:r>
            <w:r>
              <w:rPr>
                <w:rFonts w:hint="eastAsia" w:ascii="Times New Roman" w:hAnsi="Times New Roman" w:eastAsia="仿宋_GB2312" w:cs="Times New Roman"/>
                <w:szCs w:val="21"/>
              </w:rPr>
              <w:t>帮扶</w:t>
            </w:r>
            <w:r>
              <w:rPr>
                <w:rFonts w:ascii="Times New Roman" w:hAnsi="Times New Roman" w:eastAsia="仿宋_GB2312" w:cs="Times New Roman"/>
                <w:szCs w:val="21"/>
              </w:rPr>
              <w:t>成效</w:t>
            </w:r>
            <w:r>
              <w:rPr>
                <w:rFonts w:hint="eastAsia" w:ascii="Times New Roman" w:hAnsi="Times New Roman" w:eastAsia="仿宋_GB2312" w:cs="Times New Roman"/>
                <w:szCs w:val="21"/>
              </w:rPr>
              <w:t>，全力推进乡村发展、乡村振兴公益项目。</w:t>
            </w:r>
          </w:p>
        </w:tc>
      </w:tr>
      <w:tr>
        <w:tblPrEx>
          <w:tblCellMar>
            <w:top w:w="0" w:type="dxa"/>
            <w:left w:w="108" w:type="dxa"/>
            <w:bottom w:w="0" w:type="dxa"/>
            <w:right w:w="108" w:type="dxa"/>
          </w:tblCellMar>
        </w:tblPrEx>
        <w:tc>
          <w:tcPr>
            <w:tcW w:w="1067" w:type="dxa"/>
            <w:vMerge w:val="restart"/>
            <w:tcBorders>
              <w:top w:val="nil"/>
              <w:left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绩</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标</w:t>
            </w:r>
          </w:p>
          <w:p>
            <w:pPr>
              <w:widowControl/>
              <w:spacing w:line="240" w:lineRule="exact"/>
              <w:jc w:val="center"/>
              <w:rPr>
                <w:rFonts w:ascii="Times New Roman" w:hAnsi="Times New Roman" w:eastAsia="仿宋_GB2312" w:cs="Times New Roman"/>
                <w:color w:val="000000"/>
                <w:kern w:val="0"/>
                <w:szCs w:val="21"/>
              </w:rPr>
            </w:pPr>
          </w:p>
        </w:tc>
        <w:tc>
          <w:tcPr>
            <w:tcW w:w="111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一级</w:t>
            </w:r>
            <w:r>
              <w:rPr>
                <w:rFonts w:hint="eastAsia" w:ascii="Times New Roman" w:hAnsi="Times New Roman" w:eastAsia="仿宋_GB2312" w:cs="Times New Roman"/>
                <w:color w:val="000000"/>
                <w:kern w:val="0"/>
                <w:szCs w:val="21"/>
              </w:rPr>
              <w:t>指</w:t>
            </w:r>
            <w:r>
              <w:rPr>
                <w:rFonts w:ascii="Times New Roman" w:hAnsi="Times New Roman" w:eastAsia="仿宋_GB2312" w:cs="Times New Roman"/>
                <w:color w:val="000000"/>
                <w:kern w:val="0"/>
                <w:szCs w:val="21"/>
              </w:rPr>
              <w:t>标</w:t>
            </w:r>
          </w:p>
        </w:tc>
        <w:tc>
          <w:tcPr>
            <w:tcW w:w="94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二级</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52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三级指标</w:t>
            </w:r>
          </w:p>
        </w:tc>
        <w:tc>
          <w:tcPr>
            <w:tcW w:w="1410" w:type="dxa"/>
            <w:tcBorders>
              <w:top w:val="nil"/>
              <w:left w:val="nil"/>
              <w:bottom w:val="single" w:color="auto" w:sz="4" w:space="0"/>
              <w:right w:val="single" w:color="auto" w:sz="4" w:space="0"/>
            </w:tcBorders>
            <w:shd w:val="clear" w:color="auto" w:fill="auto"/>
            <w:vAlign w:val="center"/>
          </w:tcPr>
          <w:p>
            <w:pPr>
              <w:widowControl/>
              <w:spacing w:line="240" w:lineRule="exac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年度指标值</w:t>
            </w:r>
          </w:p>
        </w:tc>
        <w:tc>
          <w:tcPr>
            <w:tcW w:w="1273" w:type="dxa"/>
            <w:tcBorders>
              <w:top w:val="nil"/>
              <w:left w:val="nil"/>
              <w:bottom w:val="single" w:color="auto" w:sz="4" w:space="0"/>
              <w:right w:val="single" w:color="auto" w:sz="4" w:space="0"/>
            </w:tcBorders>
            <w:shd w:val="clear" w:color="auto" w:fill="auto"/>
            <w:vAlign w:val="center"/>
          </w:tcPr>
          <w:p>
            <w:pPr>
              <w:widowControl/>
              <w:spacing w:line="240" w:lineRule="exac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实际完成值</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分值</w:t>
            </w:r>
          </w:p>
        </w:tc>
        <w:tc>
          <w:tcPr>
            <w:tcW w:w="86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得分</w:t>
            </w:r>
          </w:p>
        </w:tc>
        <w:tc>
          <w:tcPr>
            <w:tcW w:w="1626" w:type="dxa"/>
            <w:tcBorders>
              <w:top w:val="nil"/>
              <w:left w:val="nil"/>
              <w:bottom w:val="single" w:color="auto" w:sz="4" w:space="0"/>
              <w:right w:val="single" w:color="auto" w:sz="4" w:space="0"/>
            </w:tcBorders>
            <w:shd w:val="clear" w:color="auto" w:fill="auto"/>
            <w:vAlign w:val="center"/>
          </w:tcPr>
          <w:p>
            <w:pPr>
              <w:widowControl/>
              <w:spacing w:line="240" w:lineRule="exac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偏差原因</w:t>
            </w:r>
            <w:r>
              <w:rPr>
                <w:rFonts w:hint="eastAsia" w:ascii="Times New Roman" w:hAnsi="Times New Roman" w:eastAsia="仿宋_GB2312" w:cs="Times New Roman"/>
                <w:color w:val="000000"/>
                <w:kern w:val="0"/>
                <w:szCs w:val="21"/>
              </w:rPr>
              <w:t>分</w:t>
            </w:r>
            <w:r>
              <w:rPr>
                <w:rFonts w:ascii="Times New Roman" w:hAnsi="Times New Roman" w:eastAsia="仿宋_GB2312" w:cs="Times New Roman"/>
                <w:color w:val="000000"/>
                <w:kern w:val="0"/>
                <w:szCs w:val="21"/>
              </w:rPr>
              <w:t>析</w:t>
            </w:r>
            <w:r>
              <w:rPr>
                <w:rFonts w:hint="eastAsia" w:ascii="Times New Roman" w:hAnsi="Times New Roman" w:eastAsia="仿宋_GB2312" w:cs="Times New Roman"/>
                <w:color w:val="000000"/>
                <w:kern w:val="0"/>
                <w:szCs w:val="21"/>
              </w:rPr>
              <w:t>及</w:t>
            </w:r>
            <w:r>
              <w:rPr>
                <w:rFonts w:ascii="Times New Roman" w:hAnsi="Times New Roman" w:eastAsia="仿宋_GB2312" w:cs="Times New Roman"/>
                <w:color w:val="000000"/>
                <w:kern w:val="0"/>
                <w:szCs w:val="21"/>
              </w:rPr>
              <w:t>改进措施</w:t>
            </w:r>
          </w:p>
        </w:tc>
      </w:tr>
      <w:tr>
        <w:tblPrEx>
          <w:tblCellMar>
            <w:top w:w="0" w:type="dxa"/>
            <w:left w:w="108" w:type="dxa"/>
            <w:bottom w:w="0" w:type="dxa"/>
            <w:right w:w="108" w:type="dxa"/>
          </w:tblCellMar>
        </w:tblPrEx>
        <w:trPr>
          <w:trHeight w:val="23" w:hRule="atLeast"/>
        </w:trPr>
        <w:tc>
          <w:tcPr>
            <w:tcW w:w="1067" w:type="dxa"/>
            <w:vMerge w:val="continue"/>
            <w:tcBorders>
              <w:left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restart"/>
            <w:tcBorders>
              <w:top w:val="nil"/>
              <w:left w:val="nil"/>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产出指标</w:t>
            </w:r>
          </w:p>
          <w:p>
            <w:pPr>
              <w:widowControl/>
              <w:spacing w:line="240" w:lineRule="exact"/>
              <w:jc w:val="center"/>
              <w:rPr>
                <w:rFonts w:ascii="Times New Roman" w:hAnsi="Times New Roman" w:eastAsia="仿宋_GB2312" w:cs="Times New Roman"/>
                <w:color w:val="000000"/>
                <w:kern w:val="0"/>
                <w:szCs w:val="21"/>
              </w:rPr>
            </w:pP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(50分)</w:t>
            </w:r>
          </w:p>
        </w:tc>
        <w:tc>
          <w:tcPr>
            <w:tcW w:w="943" w:type="dxa"/>
            <w:vMerge w:val="restart"/>
            <w:tcBorders>
              <w:top w:val="nil"/>
              <w:left w:val="nil"/>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数量</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52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置换安可办公电脑</w:t>
            </w:r>
          </w:p>
        </w:tc>
        <w:tc>
          <w:tcPr>
            <w:tcW w:w="14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3台</w:t>
            </w:r>
          </w:p>
        </w:tc>
        <w:tc>
          <w:tcPr>
            <w:tcW w:w="12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3台</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62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CellMar>
            <w:top w:w="0" w:type="dxa"/>
            <w:left w:w="108" w:type="dxa"/>
            <w:bottom w:w="0" w:type="dxa"/>
            <w:right w:w="108" w:type="dxa"/>
          </w:tblCellMar>
        </w:tblPrEx>
        <w:trPr>
          <w:trHeight w:val="79" w:hRule="atLeast"/>
        </w:trPr>
        <w:tc>
          <w:tcPr>
            <w:tcW w:w="1067" w:type="dxa"/>
            <w:vMerge w:val="continue"/>
            <w:tcBorders>
              <w:left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continue"/>
            <w:tcBorders>
              <w:left w:val="nil"/>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943" w:type="dxa"/>
            <w:vMerge w:val="continue"/>
            <w:tcBorders>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c>
          <w:tcPr>
            <w:tcW w:w="152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推进公益项目数量</w:t>
            </w:r>
          </w:p>
        </w:tc>
        <w:tc>
          <w:tcPr>
            <w:tcW w:w="14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≥1个</w:t>
            </w:r>
          </w:p>
        </w:tc>
        <w:tc>
          <w:tcPr>
            <w:tcW w:w="127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1个</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62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513" w:hRule="atLeast"/>
        </w:trPr>
        <w:tc>
          <w:tcPr>
            <w:tcW w:w="1067" w:type="dxa"/>
            <w:vMerge w:val="continue"/>
            <w:tcBorders>
              <w:left w:val="single" w:color="auto" w:sz="4" w:space="0"/>
              <w:right w:val="single" w:color="auto" w:sz="4" w:space="0"/>
            </w:tcBorders>
            <w:shd w:val="clear" w:color="auto" w:fill="auto"/>
            <w:vAlign w:val="center"/>
          </w:tcPr>
          <w:p>
            <w:pPr>
              <w:spacing w:line="160" w:lineRule="exact"/>
              <w:jc w:val="left"/>
              <w:textAlignment w:val="center"/>
              <w:rPr>
                <w:rFonts w:ascii="Times New Roman" w:hAnsi="Times New Roman" w:eastAsia="仿宋_GB2312" w:cs="Times New Roman"/>
                <w:color w:val="000000"/>
                <w:kern w:val="0"/>
                <w:szCs w:val="21"/>
              </w:rPr>
            </w:pPr>
          </w:p>
        </w:tc>
        <w:tc>
          <w:tcPr>
            <w:tcW w:w="1114" w:type="dxa"/>
            <w:vMerge w:val="continue"/>
            <w:tcBorders>
              <w:left w:val="nil"/>
              <w:right w:val="single" w:color="auto" w:sz="4" w:space="0"/>
            </w:tcBorders>
            <w:shd w:val="clear" w:color="auto" w:fill="auto"/>
            <w:vAlign w:val="center"/>
          </w:tcPr>
          <w:p>
            <w:pPr>
              <w:spacing w:line="160" w:lineRule="exact"/>
              <w:jc w:val="left"/>
              <w:textAlignment w:val="center"/>
              <w:rPr>
                <w:rFonts w:ascii="Times New Roman" w:hAnsi="Times New Roman" w:eastAsia="仿宋_GB2312" w:cs="Times New Roman"/>
                <w:color w:val="000000"/>
                <w:kern w:val="0"/>
                <w:szCs w:val="21"/>
              </w:rPr>
            </w:pPr>
          </w:p>
        </w:tc>
        <w:tc>
          <w:tcPr>
            <w:tcW w:w="943" w:type="dxa"/>
            <w:vMerge w:val="restart"/>
            <w:tcBorders>
              <w:top w:val="nil"/>
              <w:left w:val="nil"/>
              <w:right w:val="single" w:color="auto" w:sz="4" w:space="0"/>
            </w:tcBorders>
            <w:shd w:val="clear" w:color="auto" w:fill="auto"/>
            <w:vAlign w:val="center"/>
          </w:tcPr>
          <w:p>
            <w:pPr>
              <w:widowControl/>
              <w:spacing w:line="240" w:lineRule="exact"/>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质量</w:t>
            </w:r>
          </w:p>
          <w:p>
            <w:pPr>
              <w:widowControl/>
              <w:spacing w:line="240" w:lineRule="exact"/>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指标</w:t>
            </w:r>
          </w:p>
        </w:tc>
        <w:tc>
          <w:tcPr>
            <w:tcW w:w="1527" w:type="dxa"/>
            <w:tcBorders>
              <w:top w:val="nil"/>
              <w:left w:val="nil"/>
              <w:bottom w:val="single" w:color="auto" w:sz="4" w:space="0"/>
              <w:right w:val="single" w:color="auto" w:sz="4" w:space="0"/>
            </w:tcBorders>
            <w:shd w:val="clear" w:color="auto" w:fill="auto"/>
            <w:vAlign w:val="center"/>
          </w:tcPr>
          <w:p>
            <w:r>
              <w:rPr>
                <w:rFonts w:hint="eastAsia"/>
              </w:rPr>
              <w:t>捐赠资金合规使用率</w:t>
            </w:r>
          </w:p>
        </w:tc>
        <w:tc>
          <w:tcPr>
            <w:tcW w:w="1410"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1273"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864"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1626" w:type="dxa"/>
            <w:tcBorders>
              <w:top w:val="nil"/>
              <w:left w:val="nil"/>
              <w:bottom w:val="single" w:color="auto" w:sz="4" w:space="0"/>
              <w:right w:val="single" w:color="auto" w:sz="4" w:space="0"/>
            </w:tcBorders>
            <w:shd w:val="clear" w:color="auto" w:fill="auto"/>
            <w:vAlign w:val="center"/>
          </w:tcPr>
          <w:p>
            <w:pPr>
              <w:spacing w:line="160" w:lineRule="exact"/>
              <w:jc w:val="left"/>
              <w:textAlignment w:val="center"/>
            </w:pPr>
          </w:p>
        </w:tc>
      </w:tr>
      <w:tr>
        <w:tblPrEx>
          <w:tblCellMar>
            <w:top w:w="0" w:type="dxa"/>
            <w:left w:w="108" w:type="dxa"/>
            <w:bottom w:w="0" w:type="dxa"/>
            <w:right w:w="108" w:type="dxa"/>
          </w:tblCellMar>
        </w:tblPrEx>
        <w:trPr>
          <w:trHeight w:val="513" w:hRule="atLeast"/>
        </w:trPr>
        <w:tc>
          <w:tcPr>
            <w:tcW w:w="1067" w:type="dxa"/>
            <w:vMerge w:val="continue"/>
            <w:tcBorders>
              <w:left w:val="single" w:color="auto" w:sz="4" w:space="0"/>
              <w:right w:val="single" w:color="auto" w:sz="4" w:space="0"/>
            </w:tcBorders>
            <w:shd w:val="clear" w:color="auto" w:fill="auto"/>
            <w:vAlign w:val="center"/>
          </w:tcPr>
          <w:p>
            <w:pPr>
              <w:spacing w:line="160" w:lineRule="exact"/>
              <w:jc w:val="left"/>
              <w:textAlignment w:val="center"/>
              <w:rPr>
                <w:rFonts w:ascii="Times New Roman" w:hAnsi="Times New Roman" w:eastAsia="仿宋_GB2312" w:cs="Times New Roman"/>
                <w:color w:val="000000"/>
                <w:kern w:val="0"/>
                <w:szCs w:val="21"/>
              </w:rPr>
            </w:pPr>
          </w:p>
        </w:tc>
        <w:tc>
          <w:tcPr>
            <w:tcW w:w="1114" w:type="dxa"/>
            <w:vMerge w:val="continue"/>
            <w:tcBorders>
              <w:left w:val="nil"/>
              <w:right w:val="single" w:color="auto" w:sz="4" w:space="0"/>
            </w:tcBorders>
            <w:shd w:val="clear" w:color="auto" w:fill="auto"/>
            <w:vAlign w:val="center"/>
          </w:tcPr>
          <w:p>
            <w:pPr>
              <w:spacing w:line="160" w:lineRule="exact"/>
              <w:jc w:val="left"/>
              <w:textAlignment w:val="center"/>
              <w:rPr>
                <w:rFonts w:ascii="Times New Roman" w:hAnsi="Times New Roman" w:eastAsia="仿宋_GB2312" w:cs="Times New Roman"/>
                <w:color w:val="000000"/>
                <w:kern w:val="0"/>
                <w:szCs w:val="21"/>
              </w:rPr>
            </w:pPr>
          </w:p>
        </w:tc>
        <w:tc>
          <w:tcPr>
            <w:tcW w:w="943" w:type="dxa"/>
            <w:vMerge w:val="continue"/>
            <w:tcBorders>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仿宋_GB2312" w:hAnsi="仿宋_GB2312" w:eastAsia="仿宋_GB2312" w:cs="仿宋_GB2312"/>
                <w:color w:val="000000"/>
                <w:kern w:val="0"/>
                <w:szCs w:val="21"/>
              </w:rPr>
            </w:pPr>
          </w:p>
        </w:tc>
        <w:tc>
          <w:tcPr>
            <w:tcW w:w="1527" w:type="dxa"/>
            <w:tcBorders>
              <w:top w:val="nil"/>
              <w:left w:val="nil"/>
              <w:bottom w:val="single" w:color="auto" w:sz="4" w:space="0"/>
              <w:right w:val="single" w:color="auto"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项目验收合格率</w:t>
            </w:r>
          </w:p>
        </w:tc>
        <w:tc>
          <w:tcPr>
            <w:tcW w:w="1410"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r>
              <w:rPr>
                <w:rFonts w:ascii="Times New Roman" w:hAnsi="Times New Roman" w:eastAsia="仿宋_GB2312" w:cs="Times New Roman"/>
                <w:color w:val="000000"/>
                <w:kern w:val="0"/>
                <w:szCs w:val="21"/>
              </w:rPr>
              <w:t>%</w:t>
            </w:r>
          </w:p>
        </w:tc>
        <w:tc>
          <w:tcPr>
            <w:tcW w:w="1273"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r>
              <w:rPr>
                <w:rFonts w:ascii="Times New Roman" w:hAnsi="Times New Roman" w:eastAsia="仿宋_GB2312" w:cs="Times New Roman"/>
                <w:color w:val="000000"/>
                <w:kern w:val="0"/>
                <w:szCs w:val="21"/>
              </w:rPr>
              <w:t>%</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864"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1626" w:type="dxa"/>
            <w:tcBorders>
              <w:top w:val="nil"/>
              <w:left w:val="nil"/>
              <w:bottom w:val="single" w:color="auto" w:sz="4" w:space="0"/>
              <w:right w:val="single" w:color="auto" w:sz="4" w:space="0"/>
            </w:tcBorders>
            <w:shd w:val="clear" w:color="auto" w:fill="auto"/>
            <w:vAlign w:val="center"/>
          </w:tcPr>
          <w:p>
            <w:pPr>
              <w:spacing w:line="160" w:lineRule="exact"/>
              <w:jc w:val="left"/>
              <w:textAlignment w:val="center"/>
            </w:pPr>
          </w:p>
        </w:tc>
      </w:tr>
      <w:tr>
        <w:tblPrEx>
          <w:tblCellMar>
            <w:top w:w="0" w:type="dxa"/>
            <w:left w:w="108" w:type="dxa"/>
            <w:bottom w:w="0" w:type="dxa"/>
            <w:right w:w="108" w:type="dxa"/>
          </w:tblCellMar>
        </w:tblPrEx>
        <w:trPr>
          <w:trHeight w:val="79" w:hRule="atLeast"/>
        </w:trPr>
        <w:tc>
          <w:tcPr>
            <w:tcW w:w="1067" w:type="dxa"/>
            <w:vMerge w:val="continue"/>
            <w:tcBorders>
              <w:left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continue"/>
            <w:tcBorders>
              <w:left w:val="nil"/>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943" w:type="dxa"/>
            <w:vMerge w:val="restart"/>
            <w:tcBorders>
              <w:top w:val="single" w:color="auto" w:sz="4" w:space="0"/>
              <w:left w:val="nil"/>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时效</w:t>
            </w:r>
          </w:p>
          <w:p>
            <w:pPr>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tc>
        <w:tc>
          <w:tcPr>
            <w:tcW w:w="152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项目完成的进度</w:t>
            </w:r>
          </w:p>
        </w:tc>
        <w:tc>
          <w:tcPr>
            <w:tcW w:w="14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≤2年</w:t>
            </w:r>
          </w:p>
        </w:tc>
        <w:tc>
          <w:tcPr>
            <w:tcW w:w="12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100%</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6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16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79" w:hRule="atLeast"/>
        </w:trPr>
        <w:tc>
          <w:tcPr>
            <w:tcW w:w="1067" w:type="dxa"/>
            <w:vMerge w:val="continue"/>
            <w:tcBorders>
              <w:left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continue"/>
            <w:tcBorders>
              <w:left w:val="nil"/>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943" w:type="dxa"/>
            <w:vMerge w:val="continue"/>
            <w:tcBorders>
              <w:left w:val="nil"/>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c>
          <w:tcPr>
            <w:tcW w:w="152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电脑配置时间</w:t>
            </w:r>
          </w:p>
        </w:tc>
        <w:tc>
          <w:tcPr>
            <w:tcW w:w="14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≤1年</w:t>
            </w:r>
          </w:p>
          <w:p>
            <w:pPr>
              <w:widowControl/>
              <w:spacing w:line="240" w:lineRule="exact"/>
              <w:jc w:val="center"/>
              <w:rPr>
                <w:rFonts w:ascii="Times New Roman" w:hAnsi="Times New Roman" w:eastAsia="仿宋_GB2312" w:cs="Times New Roman"/>
                <w:color w:val="000000"/>
                <w:kern w:val="0"/>
                <w:szCs w:val="21"/>
              </w:rPr>
            </w:pPr>
          </w:p>
        </w:tc>
        <w:tc>
          <w:tcPr>
            <w:tcW w:w="12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6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16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79" w:hRule="atLeast"/>
        </w:trPr>
        <w:tc>
          <w:tcPr>
            <w:tcW w:w="1067" w:type="dxa"/>
            <w:vMerge w:val="continue"/>
            <w:tcBorders>
              <w:left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restart"/>
            <w:tcBorders>
              <w:top w:val="single" w:color="auto" w:sz="4" w:space="0"/>
              <w:left w:val="nil"/>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效益指标</w:t>
            </w:r>
          </w:p>
          <w:p>
            <w:pPr>
              <w:widowControl/>
              <w:spacing w:line="240" w:lineRule="exact"/>
              <w:jc w:val="left"/>
              <w:rPr>
                <w:rFonts w:ascii="Times New Roman" w:hAnsi="Times New Roman" w:eastAsia="仿宋_GB2312" w:cs="Times New Roman"/>
                <w:color w:val="000000"/>
                <w:kern w:val="0"/>
                <w:szCs w:val="21"/>
              </w:rPr>
            </w:pPr>
          </w:p>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（30分）</w:t>
            </w:r>
          </w:p>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94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经济效</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52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接受管理社会资金和物资捐赠额</w:t>
            </w:r>
          </w:p>
        </w:tc>
        <w:tc>
          <w:tcPr>
            <w:tcW w:w="14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≥200万元</w:t>
            </w:r>
          </w:p>
          <w:p>
            <w:pPr>
              <w:widowControl/>
              <w:jc w:val="center"/>
              <w:rPr>
                <w:rFonts w:ascii="Times New Roman" w:hAnsi="Times New Roman" w:eastAsia="仿宋_GB2312" w:cs="Times New Roman"/>
                <w:color w:val="000000"/>
                <w:kern w:val="0"/>
                <w:szCs w:val="21"/>
              </w:rPr>
            </w:pPr>
          </w:p>
        </w:tc>
        <w:tc>
          <w:tcPr>
            <w:tcW w:w="12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100%</w:t>
            </w:r>
          </w:p>
          <w:p>
            <w:pPr>
              <w:widowControl/>
              <w:jc w:val="center"/>
              <w:rPr>
                <w:rFonts w:ascii="Times New Roman" w:hAnsi="Times New Roman" w:eastAsia="仿宋_GB2312" w:cs="Times New Roman"/>
                <w:color w:val="000000"/>
                <w:kern w:val="0"/>
                <w:szCs w:val="21"/>
              </w:rPr>
            </w:pP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6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79" w:hRule="atLeast"/>
        </w:trPr>
        <w:tc>
          <w:tcPr>
            <w:tcW w:w="1067" w:type="dxa"/>
            <w:vMerge w:val="continue"/>
            <w:tcBorders>
              <w:left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continue"/>
            <w:tcBorders>
              <w:left w:val="nil"/>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943" w:type="dxa"/>
            <w:tcBorders>
              <w:top w:val="single" w:color="auto" w:sz="4" w:space="0"/>
              <w:left w:val="nil"/>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社会效</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52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消费帮扶受益群体</w:t>
            </w:r>
          </w:p>
        </w:tc>
        <w:tc>
          <w:tcPr>
            <w:tcW w:w="14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p>
        </w:tc>
        <w:tc>
          <w:tcPr>
            <w:tcW w:w="12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6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79" w:hRule="atLeast"/>
        </w:trPr>
        <w:tc>
          <w:tcPr>
            <w:tcW w:w="1067" w:type="dxa"/>
            <w:vMerge w:val="continue"/>
            <w:tcBorders>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c>
          <w:tcPr>
            <w:tcW w:w="1114" w:type="dxa"/>
            <w:vMerge w:val="continue"/>
            <w:tcBorders>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可持续影响指标</w:t>
            </w:r>
          </w:p>
        </w:tc>
        <w:tc>
          <w:tcPr>
            <w:tcW w:w="1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设备使用年限</w:t>
            </w:r>
          </w:p>
        </w:tc>
        <w:tc>
          <w:tcPr>
            <w:tcW w:w="14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≥8年</w:t>
            </w:r>
          </w:p>
        </w:tc>
        <w:tc>
          <w:tcPr>
            <w:tcW w:w="12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16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CellMar>
            <w:top w:w="0" w:type="dxa"/>
            <w:left w:w="108" w:type="dxa"/>
            <w:bottom w:w="0" w:type="dxa"/>
            <w:right w:w="108" w:type="dxa"/>
          </w:tblCellMar>
        </w:tblPrEx>
        <w:trPr>
          <w:trHeight w:val="422" w:hRule="atLeast"/>
        </w:trPr>
        <w:tc>
          <w:tcPr>
            <w:tcW w:w="10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满意度</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（10分）</w:t>
            </w:r>
          </w:p>
        </w:tc>
        <w:tc>
          <w:tcPr>
            <w:tcW w:w="943"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服务对象满意度指标</w:t>
            </w:r>
          </w:p>
        </w:tc>
        <w:tc>
          <w:tcPr>
            <w:tcW w:w="1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社会公众对项目满意度</w:t>
            </w:r>
          </w:p>
        </w:tc>
        <w:tc>
          <w:tcPr>
            <w:tcW w:w="14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≥98%</w:t>
            </w:r>
          </w:p>
        </w:tc>
        <w:tc>
          <w:tcPr>
            <w:tcW w:w="12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firstLine="105" w:firstLineChar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6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 xml:space="preserve"> 5</w:t>
            </w:r>
          </w:p>
        </w:tc>
        <w:tc>
          <w:tcPr>
            <w:tcW w:w="16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CellMar>
            <w:top w:w="0" w:type="dxa"/>
            <w:left w:w="108" w:type="dxa"/>
            <w:bottom w:w="0" w:type="dxa"/>
            <w:right w:w="108" w:type="dxa"/>
          </w:tblCellMar>
        </w:tblPrEx>
        <w:trPr>
          <w:trHeight w:val="500" w:hRule="atLeast"/>
        </w:trPr>
        <w:tc>
          <w:tcPr>
            <w:tcW w:w="1067" w:type="dxa"/>
            <w:vMerge w:val="continue"/>
            <w:tcBorders>
              <w:left w:val="single" w:color="auto" w:sz="4" w:space="0"/>
              <w:bottom w:val="single" w:color="auto" w:sz="4" w:space="0"/>
              <w:right w:val="single" w:color="auto" w:sz="4" w:space="0"/>
            </w:tcBorders>
            <w:shd w:val="clear" w:color="auto" w:fill="auto"/>
            <w:vAlign w:val="center"/>
          </w:tcPr>
          <w:p>
            <w:pPr>
              <w:spacing w:line="240" w:lineRule="exact"/>
              <w:jc w:val="left"/>
              <w:rPr>
                <w:rFonts w:ascii="Times New Roman" w:hAnsi="Times New Roman" w:eastAsia="仿宋_GB2312" w:cs="Times New Roman"/>
                <w:color w:val="000000"/>
                <w:kern w:val="0"/>
                <w:szCs w:val="21"/>
              </w:rPr>
            </w:pPr>
          </w:p>
        </w:tc>
        <w:tc>
          <w:tcPr>
            <w:tcW w:w="1114"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c>
          <w:tcPr>
            <w:tcW w:w="943" w:type="dxa"/>
            <w:vMerge w:val="continue"/>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c>
          <w:tcPr>
            <w:tcW w:w="1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办公满意度</w:t>
            </w:r>
          </w:p>
        </w:tc>
        <w:tc>
          <w:tcPr>
            <w:tcW w:w="141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≥95%</w:t>
            </w:r>
          </w:p>
        </w:tc>
        <w:tc>
          <w:tcPr>
            <w:tcW w:w="127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firstLine="105" w:firstLineChars="50"/>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6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5</w:t>
            </w:r>
          </w:p>
        </w:tc>
        <w:tc>
          <w:tcPr>
            <w:tcW w:w="16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79" w:hRule="atLeast"/>
        </w:trPr>
        <w:tc>
          <w:tcPr>
            <w:tcW w:w="7334"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总分</w:t>
            </w:r>
          </w:p>
        </w:tc>
        <w:tc>
          <w:tcPr>
            <w:tcW w:w="56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86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96.92</w:t>
            </w:r>
          </w:p>
        </w:tc>
        <w:tc>
          <w:tcPr>
            <w:tcW w:w="162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bl>
    <w:p>
      <w:pPr>
        <w:widowControl/>
        <w:jc w:val="left"/>
        <w:rPr>
          <w:rFonts w:hint="eastAsia" w:ascii="仿宋_GB2312" w:eastAsia="仿宋_GB2312" w:cs="仿宋_GB2312" w:hAnsiTheme="minorEastAsia"/>
          <w:b/>
          <w:color w:val="000000"/>
          <w:sz w:val="32"/>
          <w:szCs w:val="32"/>
        </w:rPr>
      </w:pPr>
    </w:p>
    <w:p>
      <w:pPr>
        <w:widowControl/>
        <w:jc w:val="left"/>
        <w:rPr>
          <w:rFonts w:ascii="Times New Roman" w:hAnsi="Times New Roman" w:eastAsia="仿宋_GB2312" w:cs="Times New Roman"/>
          <w:kern w:val="0"/>
          <w:sz w:val="22"/>
          <w:szCs w:val="24"/>
        </w:rPr>
      </w:pPr>
      <w:r>
        <w:rPr>
          <w:rFonts w:hint="eastAsia" w:ascii="仿宋_GB2312" w:eastAsia="仿宋_GB2312" w:cs="仿宋_GB2312" w:hAnsiTheme="minorEastAsia"/>
          <w:b/>
          <w:color w:val="000000"/>
          <w:sz w:val="32"/>
          <w:szCs w:val="32"/>
        </w:rPr>
        <w:t>附件3-1</w:t>
      </w:r>
    </w:p>
    <w:p>
      <w:pPr>
        <w:widowControl/>
        <w:spacing w:line="600" w:lineRule="exact"/>
        <w:ind w:firstLine="2880" w:firstLineChars="800"/>
        <w:jc w:val="left"/>
        <w:rPr>
          <w:rFonts w:ascii="Times New Roman" w:hAnsi="Times New Roman" w:eastAsia="方正小标宋_GBK" w:cs="Times New Roman"/>
          <w:color w:val="000000"/>
          <w:kern w:val="0"/>
          <w:sz w:val="36"/>
          <w:szCs w:val="36"/>
        </w:rPr>
      </w:pPr>
      <w:r>
        <w:rPr>
          <w:rFonts w:ascii="Times New Roman" w:hAnsi="Times New Roman" w:eastAsia="方正小标宋_GBK" w:cs="Times New Roman"/>
          <w:color w:val="000000"/>
          <w:kern w:val="0"/>
          <w:sz w:val="36"/>
          <w:szCs w:val="36"/>
        </w:rPr>
        <w:t>项目支出绩效自评表</w:t>
      </w:r>
    </w:p>
    <w:p>
      <w:pPr>
        <w:widowControl/>
        <w:ind w:firstLine="3630" w:firstLineChars="1650"/>
        <w:jc w:val="left"/>
        <w:rPr>
          <w:rFonts w:ascii="Times New Roman" w:hAnsi="Times New Roman" w:eastAsia="仿宋_GB2312" w:cs="Times New Roman"/>
          <w:kern w:val="0"/>
          <w:sz w:val="22"/>
          <w:szCs w:val="24"/>
        </w:rPr>
      </w:pPr>
      <w:r>
        <w:rPr>
          <w:rFonts w:hint="eastAsia" w:ascii="Times New Roman" w:hAnsi="Times New Roman" w:eastAsia="仿宋_GB2312" w:cs="Times New Roman"/>
          <w:kern w:val="0"/>
          <w:sz w:val="22"/>
          <w:szCs w:val="24"/>
        </w:rPr>
        <w:t>（2024年度）</w:t>
      </w:r>
    </w:p>
    <w:tbl>
      <w:tblPr>
        <w:tblStyle w:val="9"/>
        <w:tblpPr w:leftFromText="180" w:rightFromText="180" w:vertAnchor="text" w:horzAnchor="margin" w:tblpXSpec="center" w:tblpY="88"/>
        <w:tblW w:w="9996" w:type="dxa"/>
        <w:tblInd w:w="0" w:type="dxa"/>
        <w:tblLayout w:type="fixed"/>
        <w:tblCellMar>
          <w:top w:w="0" w:type="dxa"/>
          <w:left w:w="108" w:type="dxa"/>
          <w:bottom w:w="0" w:type="dxa"/>
          <w:right w:w="108" w:type="dxa"/>
        </w:tblCellMar>
      </w:tblPr>
      <w:tblGrid>
        <w:gridCol w:w="1084"/>
        <w:gridCol w:w="1076"/>
        <w:gridCol w:w="1342"/>
        <w:gridCol w:w="1600"/>
        <w:gridCol w:w="1200"/>
        <w:gridCol w:w="1083"/>
        <w:gridCol w:w="616"/>
        <w:gridCol w:w="855"/>
        <w:gridCol w:w="1140"/>
      </w:tblGrid>
      <w:tr>
        <w:tblPrEx>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项目支</w:t>
            </w:r>
          </w:p>
          <w:p>
            <w:pPr>
              <w:widowControl/>
              <w:spacing w:line="26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出名称</w:t>
            </w:r>
          </w:p>
        </w:tc>
        <w:tc>
          <w:tcPr>
            <w:tcW w:w="8912" w:type="dxa"/>
            <w:gridSpan w:val="8"/>
            <w:tcBorders>
              <w:top w:val="single" w:color="auto" w:sz="4" w:space="0"/>
              <w:left w:val="nil"/>
              <w:bottom w:val="single" w:color="auto" w:sz="4" w:space="0"/>
              <w:right w:val="single" w:color="auto" w:sz="4" w:space="0"/>
            </w:tcBorders>
            <w:shd w:val="clear" w:color="auto" w:fill="auto"/>
            <w:vAlign w:val="center"/>
          </w:tcPr>
          <w:p>
            <w:pPr>
              <w:widowControl/>
              <w:ind w:firstLine="3255" w:firstLineChars="1550"/>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业务工作经费</w:t>
            </w:r>
          </w:p>
        </w:tc>
      </w:tr>
      <w:tr>
        <w:tblPrEx>
          <w:tblCellMar>
            <w:top w:w="0" w:type="dxa"/>
            <w:left w:w="108" w:type="dxa"/>
            <w:bottom w:w="0" w:type="dxa"/>
            <w:right w:w="108" w:type="dxa"/>
          </w:tblCellMar>
        </w:tblPrEx>
        <w:tc>
          <w:tcPr>
            <w:tcW w:w="108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主管部门</w:t>
            </w:r>
          </w:p>
        </w:tc>
        <w:tc>
          <w:tcPr>
            <w:tcW w:w="521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湖南省农业农村厅</w:t>
            </w:r>
          </w:p>
        </w:tc>
        <w:tc>
          <w:tcPr>
            <w:tcW w:w="1083"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实施单位</w:t>
            </w:r>
          </w:p>
        </w:tc>
        <w:tc>
          <w:tcPr>
            <w:tcW w:w="2611"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湖南省乡村发展基金会办公室</w:t>
            </w:r>
          </w:p>
        </w:tc>
      </w:tr>
      <w:tr>
        <w:tblPrEx>
          <w:tblCellMar>
            <w:top w:w="0" w:type="dxa"/>
            <w:left w:w="108" w:type="dxa"/>
            <w:bottom w:w="0" w:type="dxa"/>
            <w:right w:w="108" w:type="dxa"/>
          </w:tblCellMar>
        </w:tblPrEx>
        <w:tc>
          <w:tcPr>
            <w:tcW w:w="108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项目资金</w:t>
            </w:r>
            <w:r>
              <w:rPr>
                <w:rFonts w:ascii="Times New Roman" w:hAnsi="Times New Roman" w:eastAsia="仿宋_GB2312" w:cs="Times New Roman"/>
                <w:color w:val="000000"/>
                <w:kern w:val="0"/>
                <w:szCs w:val="21"/>
              </w:rPr>
              <w:br w:type="textWrapping"/>
            </w:r>
            <w:r>
              <w:rPr>
                <w:rFonts w:ascii="Times New Roman" w:hAnsi="Times New Roman" w:eastAsia="仿宋_GB2312" w:cs="Times New Roman"/>
                <w:color w:val="000000"/>
                <w:kern w:val="0"/>
                <w:szCs w:val="21"/>
              </w:rPr>
              <w:t>（万元）</w:t>
            </w: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年初</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预算数</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全年</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预算数</w:t>
            </w:r>
          </w:p>
        </w:tc>
        <w:tc>
          <w:tcPr>
            <w:tcW w:w="1083"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全年</w:t>
            </w:r>
          </w:p>
          <w:p>
            <w:pPr>
              <w:jc w:val="center"/>
              <w:rPr>
                <w:rFonts w:ascii="Times New Roman" w:hAnsi="Times New Roman" w:eastAsia="仿宋_GB2312" w:cs="Times New Roman"/>
                <w:szCs w:val="21"/>
              </w:rPr>
            </w:pPr>
            <w:r>
              <w:rPr>
                <w:rFonts w:ascii="Times New Roman" w:hAnsi="Times New Roman" w:eastAsia="仿宋_GB2312" w:cs="Times New Roman"/>
                <w:szCs w:val="21"/>
              </w:rPr>
              <w:t>执行数</w:t>
            </w:r>
          </w:p>
        </w:tc>
        <w:tc>
          <w:tcPr>
            <w:tcW w:w="61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分值</w:t>
            </w:r>
          </w:p>
        </w:tc>
        <w:tc>
          <w:tcPr>
            <w:tcW w:w="85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执行率</w:t>
            </w:r>
          </w:p>
        </w:tc>
        <w:tc>
          <w:tcPr>
            <w:tcW w:w="114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得分</w:t>
            </w:r>
          </w:p>
        </w:tc>
      </w:tr>
      <w:tr>
        <w:tblPrEx>
          <w:tblCellMar>
            <w:top w:w="0" w:type="dxa"/>
            <w:left w:w="108" w:type="dxa"/>
            <w:bottom w:w="0" w:type="dxa"/>
            <w:right w:w="108" w:type="dxa"/>
          </w:tblCellMar>
        </w:tblPrEx>
        <w:trPr>
          <w:trHeight w:val="348" w:hRule="atLeast"/>
        </w:trPr>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年度资金总额　</w:t>
            </w:r>
          </w:p>
        </w:tc>
        <w:tc>
          <w:tcPr>
            <w:tcW w:w="16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21.13</w:t>
            </w:r>
          </w:p>
        </w:tc>
        <w:tc>
          <w:tcPr>
            <w:tcW w:w="12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21.13</w:t>
            </w: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10.39</w:t>
            </w:r>
          </w:p>
        </w:tc>
        <w:tc>
          <w:tcPr>
            <w:tcW w:w="61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szCs w:val="21"/>
              </w:rPr>
              <w:t>49.17%</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4.92</w:t>
            </w:r>
          </w:p>
        </w:tc>
      </w:tr>
      <w:tr>
        <w:tblPrEx>
          <w:tblCellMar>
            <w:top w:w="0" w:type="dxa"/>
            <w:left w:w="108" w:type="dxa"/>
            <w:bottom w:w="0" w:type="dxa"/>
            <w:right w:w="108" w:type="dxa"/>
          </w:tblCellMar>
        </w:tblPrEx>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其中：当年财政拨款　</w:t>
            </w:r>
          </w:p>
        </w:tc>
        <w:tc>
          <w:tcPr>
            <w:tcW w:w="16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15.00</w:t>
            </w:r>
          </w:p>
        </w:tc>
        <w:tc>
          <w:tcPr>
            <w:tcW w:w="12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15.00</w:t>
            </w:r>
          </w:p>
        </w:tc>
        <w:tc>
          <w:tcPr>
            <w:tcW w:w="1083"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4.27</w:t>
            </w:r>
          </w:p>
        </w:tc>
        <w:tc>
          <w:tcPr>
            <w:tcW w:w="61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5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CellMar>
            <w:top w:w="0" w:type="dxa"/>
            <w:left w:w="108" w:type="dxa"/>
            <w:bottom w:w="0" w:type="dxa"/>
            <w:right w:w="108" w:type="dxa"/>
          </w:tblCellMar>
        </w:tblPrEx>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上年结转资金　</w:t>
            </w:r>
          </w:p>
        </w:tc>
        <w:tc>
          <w:tcPr>
            <w:tcW w:w="1600" w:type="dxa"/>
            <w:tcBorders>
              <w:top w:val="nil"/>
              <w:left w:val="nil"/>
              <w:bottom w:val="single" w:color="auto" w:sz="4" w:space="0"/>
              <w:right w:val="single" w:color="auto" w:sz="4" w:space="0"/>
            </w:tcBorders>
            <w:shd w:val="clear" w:color="auto" w:fill="auto"/>
            <w:vAlign w:val="center"/>
          </w:tcPr>
          <w:p>
            <w:pPr>
              <w:widowControl/>
              <w:ind w:firstLine="315" w:firstLineChars="1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6.13</w:t>
            </w:r>
          </w:p>
        </w:tc>
        <w:tc>
          <w:tcPr>
            <w:tcW w:w="1200" w:type="dxa"/>
            <w:tcBorders>
              <w:top w:val="nil"/>
              <w:left w:val="nil"/>
              <w:bottom w:val="single" w:color="auto" w:sz="4" w:space="0"/>
              <w:right w:val="single" w:color="auto" w:sz="4" w:space="0"/>
            </w:tcBorders>
            <w:shd w:val="clear" w:color="auto" w:fill="auto"/>
            <w:vAlign w:val="center"/>
          </w:tcPr>
          <w:p>
            <w:pPr>
              <w:widowControl/>
              <w:ind w:firstLine="105" w:firstLineChar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6.13</w:t>
            </w:r>
          </w:p>
        </w:tc>
        <w:tc>
          <w:tcPr>
            <w:tcW w:w="1083" w:type="dxa"/>
            <w:tcBorders>
              <w:top w:val="nil"/>
              <w:left w:val="nil"/>
              <w:bottom w:val="single" w:color="auto" w:sz="4" w:space="0"/>
              <w:right w:val="single" w:color="auto" w:sz="4" w:space="0"/>
            </w:tcBorders>
            <w:shd w:val="clear" w:color="auto" w:fill="auto"/>
            <w:vAlign w:val="center"/>
          </w:tcPr>
          <w:p>
            <w:pPr>
              <w:widowControl/>
              <w:ind w:firstLine="210" w:firstLineChars="100"/>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6.12</w:t>
            </w:r>
          </w:p>
        </w:tc>
        <w:tc>
          <w:tcPr>
            <w:tcW w:w="61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5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CellMar>
            <w:top w:w="0" w:type="dxa"/>
            <w:left w:w="108" w:type="dxa"/>
            <w:bottom w:w="0" w:type="dxa"/>
            <w:right w:w="108" w:type="dxa"/>
          </w:tblCellMar>
        </w:tblPrEx>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其他资金</w:t>
            </w:r>
          </w:p>
        </w:tc>
        <w:tc>
          <w:tcPr>
            <w:tcW w:w="16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2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08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61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5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CellMar>
            <w:top w:w="0" w:type="dxa"/>
            <w:left w:w="108" w:type="dxa"/>
            <w:bottom w:w="0" w:type="dxa"/>
            <w:right w:w="108" w:type="dxa"/>
          </w:tblCellMar>
        </w:tblPrEx>
        <w:tc>
          <w:tcPr>
            <w:tcW w:w="108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年度总体目标</w:t>
            </w:r>
          </w:p>
        </w:tc>
        <w:tc>
          <w:tcPr>
            <w:tcW w:w="5218"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预期目标</w:t>
            </w:r>
          </w:p>
        </w:tc>
        <w:tc>
          <w:tcPr>
            <w:tcW w:w="369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实际完成情况　</w:t>
            </w:r>
          </w:p>
        </w:tc>
      </w:tr>
      <w:tr>
        <w:tblPrEx>
          <w:tblCellMar>
            <w:top w:w="0" w:type="dxa"/>
            <w:left w:w="108" w:type="dxa"/>
            <w:bottom w:w="0" w:type="dxa"/>
            <w:right w:w="108" w:type="dxa"/>
          </w:tblCellMar>
        </w:tblPrEx>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5218"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szCs w:val="21"/>
              </w:rPr>
              <w:t>在省农业农村厅的指导下，策划实施1个大型公益项目,年度公益捐赠收入达200万元。</w:t>
            </w:r>
            <w:r>
              <w:rPr>
                <w:rFonts w:ascii="Times New Roman" w:hAnsi="Times New Roman" w:eastAsia="仿宋_GB2312" w:cs="Times New Roman"/>
                <w:color w:val="000000"/>
                <w:kern w:val="0"/>
                <w:szCs w:val="21"/>
              </w:rPr>
              <w:t>　　</w:t>
            </w:r>
          </w:p>
        </w:tc>
        <w:tc>
          <w:tcPr>
            <w:tcW w:w="3694"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各项工作有序开展，机构稳定运行，超额完成了预期目标。</w:t>
            </w:r>
          </w:p>
        </w:tc>
      </w:tr>
      <w:tr>
        <w:tblPrEx>
          <w:tblCellMar>
            <w:top w:w="0" w:type="dxa"/>
            <w:left w:w="108" w:type="dxa"/>
            <w:bottom w:w="0" w:type="dxa"/>
            <w:right w:w="108" w:type="dxa"/>
          </w:tblCellMar>
        </w:tblPrEx>
        <w:tc>
          <w:tcPr>
            <w:tcW w:w="1084" w:type="dxa"/>
            <w:vMerge w:val="restart"/>
            <w:tcBorders>
              <w:top w:val="nil"/>
              <w:left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绩</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标</w:t>
            </w:r>
          </w:p>
          <w:p>
            <w:pPr>
              <w:widowControl/>
              <w:jc w:val="center"/>
              <w:rPr>
                <w:rFonts w:ascii="Times New Roman" w:hAnsi="Times New Roman" w:eastAsia="仿宋_GB2312" w:cs="Times New Roman"/>
                <w:color w:val="000000"/>
                <w:kern w:val="0"/>
                <w:szCs w:val="21"/>
              </w:rPr>
            </w:pPr>
          </w:p>
        </w:tc>
        <w:tc>
          <w:tcPr>
            <w:tcW w:w="10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一级指标</w:t>
            </w:r>
          </w:p>
        </w:tc>
        <w:tc>
          <w:tcPr>
            <w:tcW w:w="13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二级指标</w:t>
            </w:r>
          </w:p>
        </w:tc>
        <w:tc>
          <w:tcPr>
            <w:tcW w:w="16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三级指标</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指标值</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完成值</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分值</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得分</w:t>
            </w:r>
          </w:p>
        </w:tc>
        <w:tc>
          <w:tcPr>
            <w:tcW w:w="11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偏差原因</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分析及</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改进措施</w:t>
            </w:r>
          </w:p>
        </w:tc>
      </w:tr>
      <w:tr>
        <w:tblPrEx>
          <w:tblCellMar>
            <w:top w:w="0" w:type="dxa"/>
            <w:left w:w="108" w:type="dxa"/>
            <w:bottom w:w="0" w:type="dxa"/>
            <w:right w:w="108" w:type="dxa"/>
          </w:tblCellMar>
        </w:tblPrEx>
        <w:trPr>
          <w:trHeight w:val="418"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restart"/>
            <w:tcBorders>
              <w:top w:val="nil"/>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产出指标</w:t>
            </w:r>
          </w:p>
          <w:p>
            <w:pPr>
              <w:widowControl/>
              <w:jc w:val="center"/>
              <w:rPr>
                <w:rFonts w:ascii="Times New Roman" w:hAnsi="Times New Roman" w:eastAsia="仿宋_GB2312" w:cs="Times New Roman"/>
                <w:color w:val="000000"/>
                <w:kern w:val="0"/>
                <w:szCs w:val="21"/>
              </w:rPr>
            </w:pP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(50分)</w:t>
            </w:r>
          </w:p>
        </w:tc>
        <w:tc>
          <w:tcPr>
            <w:tcW w:w="1342" w:type="dxa"/>
            <w:vMerge w:val="restart"/>
            <w:tcBorders>
              <w:top w:val="nil"/>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数量指标</w:t>
            </w:r>
          </w:p>
        </w:tc>
        <w:tc>
          <w:tcPr>
            <w:tcW w:w="160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置换安可办公电脑</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3台</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3台</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418"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top w:val="nil"/>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342" w:type="dxa"/>
            <w:vMerge w:val="continue"/>
            <w:tcBorders>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60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推进公益项目数量</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≥1个</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1个</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381"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vMerge w:val="restart"/>
            <w:tcBorders>
              <w:top w:val="single" w:color="auto" w:sz="4" w:space="0"/>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质量指标</w:t>
            </w:r>
          </w:p>
        </w:tc>
        <w:tc>
          <w:tcPr>
            <w:tcW w:w="1600" w:type="dxa"/>
            <w:tcBorders>
              <w:top w:val="single" w:color="auto" w:sz="4" w:space="0"/>
              <w:left w:val="nil"/>
              <w:bottom w:val="single" w:color="auto" w:sz="4" w:space="0"/>
              <w:right w:val="single" w:color="auto" w:sz="4" w:space="0"/>
            </w:tcBorders>
            <w:shd w:val="clear" w:color="auto" w:fill="auto"/>
            <w:vAlign w:val="center"/>
          </w:tcPr>
          <w:p>
            <w:r>
              <w:rPr>
                <w:rFonts w:hint="eastAsia"/>
              </w:rPr>
              <w:t>捐赠资金合规使用率</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381"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vMerge w:val="continue"/>
            <w:tcBorders>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项目验收合格率</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r>
              <w:rPr>
                <w:rFonts w:ascii="Times New Roman" w:hAnsi="Times New Roman" w:eastAsia="仿宋_GB2312" w:cs="Times New Roman"/>
                <w:color w:val="000000"/>
                <w:kern w:val="0"/>
                <w:szCs w:val="21"/>
              </w:rPr>
              <w:t>%</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r>
              <w:rPr>
                <w:rFonts w:ascii="Times New Roman" w:hAnsi="Times New Roman" w:eastAsia="仿宋_GB2312" w:cs="Times New Roman"/>
                <w:color w:val="000000"/>
                <w:kern w:val="0"/>
                <w:szCs w:val="21"/>
              </w:rPr>
              <w:t>%</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385"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vMerge w:val="restart"/>
            <w:tcBorders>
              <w:top w:val="single" w:color="auto" w:sz="4" w:space="0"/>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时效指标</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项目完成的进度</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≤2年</w:t>
            </w: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100%</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385"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vMerge w:val="continue"/>
            <w:tcBorders>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电脑配置时间</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≤1年</w:t>
            </w:r>
          </w:p>
          <w:p>
            <w:pPr>
              <w:widowControl/>
              <w:spacing w:line="240" w:lineRule="exact"/>
              <w:jc w:val="center"/>
              <w:rPr>
                <w:rFonts w:ascii="Times New Roman" w:hAnsi="Times New Roman" w:eastAsia="仿宋_GB2312" w:cs="Times New Roman"/>
                <w:color w:val="000000"/>
                <w:kern w:val="0"/>
                <w:szCs w:val="21"/>
              </w:rPr>
            </w:pP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404"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restart"/>
            <w:tcBorders>
              <w:top w:val="single" w:color="auto" w:sz="4" w:space="0"/>
              <w:left w:val="nil"/>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效益指标</w:t>
            </w:r>
          </w:p>
          <w:p>
            <w:pPr>
              <w:widowControl/>
              <w:jc w:val="left"/>
              <w:rPr>
                <w:rFonts w:ascii="Times New Roman" w:hAnsi="Times New Roman" w:eastAsia="仿宋_GB2312" w:cs="Times New Roman"/>
                <w:color w:val="000000"/>
                <w:kern w:val="0"/>
                <w:szCs w:val="21"/>
              </w:rPr>
            </w:pP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（30分）</w:t>
            </w: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3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经济效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接受管理社会资金和物资捐赠额</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≥200万元</w:t>
            </w:r>
          </w:p>
          <w:p>
            <w:pPr>
              <w:widowControl/>
              <w:jc w:val="center"/>
              <w:rPr>
                <w:rFonts w:ascii="Times New Roman" w:hAnsi="Times New Roman" w:eastAsia="仿宋_GB2312" w:cs="Times New Roman"/>
                <w:color w:val="000000"/>
                <w:kern w:val="0"/>
                <w:szCs w:val="21"/>
              </w:rPr>
            </w:pP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100%</w:t>
            </w:r>
          </w:p>
          <w:p>
            <w:pPr>
              <w:widowControl/>
              <w:jc w:val="center"/>
              <w:rPr>
                <w:rFonts w:ascii="Times New Roman" w:hAnsi="Times New Roman" w:eastAsia="仿宋_GB2312" w:cs="Times New Roman"/>
                <w:color w:val="000000"/>
                <w:kern w:val="0"/>
                <w:szCs w:val="21"/>
              </w:rPr>
            </w:pP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513"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tcBorders>
              <w:top w:val="single" w:color="auto" w:sz="4" w:space="0"/>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社会效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消费帮扶受益群体</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513"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tcBorders>
              <w:top w:val="single" w:color="auto" w:sz="4" w:space="0"/>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可持续影响指标</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设备使用年限</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≥8年</w:t>
            </w: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717" w:hRule="atLeast"/>
        </w:trPr>
        <w:tc>
          <w:tcPr>
            <w:tcW w:w="10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restart"/>
            <w:tcBorders>
              <w:top w:val="single" w:color="auto" w:sz="4" w:space="0"/>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满意度</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p>
            <w:pPr>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（10分）</w:t>
            </w:r>
          </w:p>
        </w:tc>
        <w:tc>
          <w:tcPr>
            <w:tcW w:w="1342" w:type="dxa"/>
            <w:vMerge w:val="restart"/>
            <w:tcBorders>
              <w:top w:val="single" w:color="auto" w:sz="4" w:space="0"/>
              <w:left w:val="nil"/>
              <w:right w:val="single" w:color="auto" w:sz="4" w:space="0"/>
            </w:tcBorders>
            <w:shd w:val="clear" w:color="auto" w:fill="auto"/>
            <w:vAlign w:val="center"/>
          </w:tcPr>
          <w:p>
            <w:pPr>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服务对象满意度指标</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社会公众对项目满意度</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≥98%</w:t>
            </w: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firstLine="105" w:firstLineChar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 xml:space="preserve"> 5</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717" w:hRule="atLeast"/>
        </w:trPr>
        <w:tc>
          <w:tcPr>
            <w:tcW w:w="10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342" w:type="dxa"/>
            <w:vMerge w:val="continue"/>
            <w:tcBorders>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办公满意度</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≥95%</w:t>
            </w: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firstLine="105" w:firstLineChars="50"/>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5</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c>
          <w:tcPr>
            <w:tcW w:w="7385"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总分</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94.92</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bl>
    <w:p>
      <w:pPr>
        <w:widowControl/>
        <w:jc w:val="left"/>
        <w:rPr>
          <w:rFonts w:ascii="Times New Roman" w:hAnsi="Times New Roman" w:eastAsia="仿宋_GB2312" w:cs="Times New Roman"/>
          <w:kern w:val="0"/>
          <w:sz w:val="22"/>
          <w:szCs w:val="24"/>
        </w:rPr>
      </w:pPr>
      <w:r>
        <w:rPr>
          <w:rFonts w:hint="eastAsia" w:ascii="仿宋_GB2312" w:eastAsia="仿宋_GB2312" w:cs="仿宋_GB2312" w:hAnsiTheme="minorEastAsia"/>
          <w:b/>
          <w:color w:val="000000"/>
          <w:sz w:val="32"/>
          <w:szCs w:val="32"/>
        </w:rPr>
        <w:t>附件3-2</w:t>
      </w:r>
    </w:p>
    <w:p>
      <w:pPr>
        <w:widowControl/>
        <w:spacing w:line="600" w:lineRule="exact"/>
        <w:ind w:firstLine="2700" w:firstLineChars="750"/>
        <w:jc w:val="left"/>
        <w:rPr>
          <w:rFonts w:ascii="Times New Roman" w:hAnsi="Times New Roman" w:eastAsia="方正小标宋_GBK" w:cs="Times New Roman"/>
          <w:color w:val="000000"/>
          <w:kern w:val="0"/>
          <w:sz w:val="36"/>
          <w:szCs w:val="36"/>
        </w:rPr>
      </w:pPr>
      <w:r>
        <w:rPr>
          <w:rFonts w:ascii="Times New Roman" w:hAnsi="Times New Roman" w:eastAsia="方正小标宋_GBK" w:cs="Times New Roman"/>
          <w:color w:val="000000"/>
          <w:kern w:val="0"/>
          <w:sz w:val="36"/>
          <w:szCs w:val="36"/>
        </w:rPr>
        <w:t>项目支出绩效自评表</w:t>
      </w:r>
    </w:p>
    <w:p>
      <w:pPr>
        <w:widowControl/>
        <w:ind w:firstLine="3630" w:firstLineChars="1650"/>
        <w:jc w:val="left"/>
        <w:rPr>
          <w:rFonts w:ascii="Times New Roman" w:hAnsi="Times New Roman" w:eastAsia="仿宋_GB2312" w:cs="Times New Roman"/>
          <w:kern w:val="0"/>
          <w:sz w:val="22"/>
          <w:szCs w:val="24"/>
        </w:rPr>
      </w:pPr>
      <w:r>
        <w:rPr>
          <w:rFonts w:hint="eastAsia" w:ascii="Times New Roman" w:hAnsi="Times New Roman" w:eastAsia="仿宋_GB2312" w:cs="Times New Roman"/>
          <w:kern w:val="0"/>
          <w:sz w:val="22"/>
          <w:szCs w:val="24"/>
        </w:rPr>
        <w:t>（2024年度）</w:t>
      </w:r>
    </w:p>
    <w:tbl>
      <w:tblPr>
        <w:tblStyle w:val="9"/>
        <w:tblpPr w:leftFromText="180" w:rightFromText="180" w:vertAnchor="text" w:horzAnchor="margin" w:tblpXSpec="center" w:tblpY="73"/>
        <w:tblW w:w="9996" w:type="dxa"/>
        <w:tblInd w:w="0" w:type="dxa"/>
        <w:tblLayout w:type="fixed"/>
        <w:tblCellMar>
          <w:top w:w="0" w:type="dxa"/>
          <w:left w:w="108" w:type="dxa"/>
          <w:bottom w:w="0" w:type="dxa"/>
          <w:right w:w="108" w:type="dxa"/>
        </w:tblCellMar>
      </w:tblPr>
      <w:tblGrid>
        <w:gridCol w:w="1084"/>
        <w:gridCol w:w="1076"/>
        <w:gridCol w:w="1342"/>
        <w:gridCol w:w="1600"/>
        <w:gridCol w:w="1200"/>
        <w:gridCol w:w="1083"/>
        <w:gridCol w:w="616"/>
        <w:gridCol w:w="855"/>
        <w:gridCol w:w="1140"/>
      </w:tblGrid>
      <w:tr>
        <w:tblPrEx>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6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项目支</w:t>
            </w:r>
          </w:p>
          <w:p>
            <w:pPr>
              <w:widowControl/>
              <w:spacing w:line="26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出名称</w:t>
            </w:r>
          </w:p>
        </w:tc>
        <w:tc>
          <w:tcPr>
            <w:tcW w:w="8912" w:type="dxa"/>
            <w:gridSpan w:val="8"/>
            <w:tcBorders>
              <w:top w:val="single" w:color="auto" w:sz="4" w:space="0"/>
              <w:left w:val="nil"/>
              <w:bottom w:val="single" w:color="auto" w:sz="4" w:space="0"/>
              <w:right w:val="single" w:color="auto" w:sz="4" w:space="0"/>
            </w:tcBorders>
            <w:shd w:val="clear" w:color="auto" w:fill="auto"/>
            <w:vAlign w:val="center"/>
          </w:tcPr>
          <w:p>
            <w:pPr>
              <w:widowControl/>
              <w:ind w:firstLine="3045" w:firstLineChars="1450"/>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其他事业类发展资金</w:t>
            </w:r>
          </w:p>
        </w:tc>
      </w:tr>
      <w:tr>
        <w:tblPrEx>
          <w:tblCellMar>
            <w:top w:w="0" w:type="dxa"/>
            <w:left w:w="108" w:type="dxa"/>
            <w:bottom w:w="0" w:type="dxa"/>
            <w:right w:w="108" w:type="dxa"/>
          </w:tblCellMar>
        </w:tblPrEx>
        <w:tc>
          <w:tcPr>
            <w:tcW w:w="108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主管部门</w:t>
            </w:r>
          </w:p>
        </w:tc>
        <w:tc>
          <w:tcPr>
            <w:tcW w:w="521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湖南省农业农村厅</w:t>
            </w:r>
          </w:p>
        </w:tc>
        <w:tc>
          <w:tcPr>
            <w:tcW w:w="1083"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实施单位</w:t>
            </w:r>
          </w:p>
        </w:tc>
        <w:tc>
          <w:tcPr>
            <w:tcW w:w="2611"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湖南省乡村发展基金会办公室</w:t>
            </w:r>
          </w:p>
        </w:tc>
      </w:tr>
      <w:tr>
        <w:tblPrEx>
          <w:tblCellMar>
            <w:top w:w="0" w:type="dxa"/>
            <w:left w:w="108" w:type="dxa"/>
            <w:bottom w:w="0" w:type="dxa"/>
            <w:right w:w="108" w:type="dxa"/>
          </w:tblCellMar>
        </w:tblPrEx>
        <w:tc>
          <w:tcPr>
            <w:tcW w:w="108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项目资金</w:t>
            </w:r>
            <w:r>
              <w:rPr>
                <w:rFonts w:ascii="Times New Roman" w:hAnsi="Times New Roman" w:eastAsia="仿宋_GB2312" w:cs="Times New Roman"/>
                <w:color w:val="000000"/>
                <w:kern w:val="0"/>
                <w:szCs w:val="21"/>
              </w:rPr>
              <w:br w:type="textWrapping"/>
            </w:r>
            <w:r>
              <w:rPr>
                <w:rFonts w:ascii="Times New Roman" w:hAnsi="Times New Roman" w:eastAsia="仿宋_GB2312" w:cs="Times New Roman"/>
                <w:color w:val="000000"/>
                <w:kern w:val="0"/>
                <w:szCs w:val="21"/>
              </w:rPr>
              <w:t>（万元）</w:t>
            </w: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年初</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预算数</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全年</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预算数</w:t>
            </w:r>
          </w:p>
        </w:tc>
        <w:tc>
          <w:tcPr>
            <w:tcW w:w="1083"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全年</w:t>
            </w:r>
          </w:p>
          <w:p>
            <w:pPr>
              <w:jc w:val="center"/>
              <w:rPr>
                <w:rFonts w:ascii="Times New Roman" w:hAnsi="Times New Roman" w:eastAsia="仿宋_GB2312" w:cs="Times New Roman"/>
                <w:szCs w:val="21"/>
              </w:rPr>
            </w:pPr>
            <w:r>
              <w:rPr>
                <w:rFonts w:ascii="Times New Roman" w:hAnsi="Times New Roman" w:eastAsia="仿宋_GB2312" w:cs="Times New Roman"/>
                <w:szCs w:val="21"/>
              </w:rPr>
              <w:t>执行数</w:t>
            </w:r>
          </w:p>
        </w:tc>
        <w:tc>
          <w:tcPr>
            <w:tcW w:w="616"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分值</w:t>
            </w:r>
          </w:p>
        </w:tc>
        <w:tc>
          <w:tcPr>
            <w:tcW w:w="855"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执行率</w:t>
            </w:r>
          </w:p>
        </w:tc>
        <w:tc>
          <w:tcPr>
            <w:tcW w:w="1140" w:type="dxa"/>
            <w:tcBorders>
              <w:top w:val="nil"/>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得分</w:t>
            </w:r>
          </w:p>
        </w:tc>
      </w:tr>
      <w:tr>
        <w:tblPrEx>
          <w:tblCellMar>
            <w:top w:w="0" w:type="dxa"/>
            <w:left w:w="108" w:type="dxa"/>
            <w:bottom w:w="0" w:type="dxa"/>
            <w:right w:w="108" w:type="dxa"/>
          </w:tblCellMar>
        </w:tblPrEx>
        <w:trPr>
          <w:trHeight w:val="348" w:hRule="atLeast"/>
        </w:trPr>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年度资金总额　</w:t>
            </w:r>
          </w:p>
        </w:tc>
        <w:tc>
          <w:tcPr>
            <w:tcW w:w="16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0</w:t>
            </w:r>
          </w:p>
        </w:tc>
        <w:tc>
          <w:tcPr>
            <w:tcW w:w="12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6.00</w:t>
            </w:r>
          </w:p>
        </w:tc>
        <w:tc>
          <w:tcPr>
            <w:tcW w:w="108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5.57</w:t>
            </w:r>
          </w:p>
        </w:tc>
        <w:tc>
          <w:tcPr>
            <w:tcW w:w="61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szCs w:val="21"/>
              </w:rPr>
              <w:t>92.83%</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9.28</w:t>
            </w:r>
          </w:p>
        </w:tc>
      </w:tr>
      <w:tr>
        <w:tblPrEx>
          <w:tblCellMar>
            <w:top w:w="0" w:type="dxa"/>
            <w:left w:w="108" w:type="dxa"/>
            <w:bottom w:w="0" w:type="dxa"/>
            <w:right w:w="108" w:type="dxa"/>
          </w:tblCellMar>
        </w:tblPrEx>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其中：当年财政拨款　</w:t>
            </w:r>
          </w:p>
        </w:tc>
        <w:tc>
          <w:tcPr>
            <w:tcW w:w="16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0</w:t>
            </w:r>
          </w:p>
        </w:tc>
        <w:tc>
          <w:tcPr>
            <w:tcW w:w="12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6.00</w:t>
            </w:r>
          </w:p>
        </w:tc>
        <w:tc>
          <w:tcPr>
            <w:tcW w:w="108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5.57</w:t>
            </w:r>
          </w:p>
        </w:tc>
        <w:tc>
          <w:tcPr>
            <w:tcW w:w="61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5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CellMar>
            <w:top w:w="0" w:type="dxa"/>
            <w:left w:w="108" w:type="dxa"/>
            <w:bottom w:w="0" w:type="dxa"/>
            <w:right w:w="108" w:type="dxa"/>
          </w:tblCellMar>
        </w:tblPrEx>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上年结转资金　</w:t>
            </w:r>
          </w:p>
        </w:tc>
        <w:tc>
          <w:tcPr>
            <w:tcW w:w="16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0</w:t>
            </w:r>
          </w:p>
        </w:tc>
        <w:tc>
          <w:tcPr>
            <w:tcW w:w="1200" w:type="dxa"/>
            <w:tcBorders>
              <w:top w:val="nil"/>
              <w:left w:val="nil"/>
              <w:bottom w:val="single" w:color="auto" w:sz="4" w:space="0"/>
              <w:right w:val="single" w:color="auto" w:sz="4" w:space="0"/>
            </w:tcBorders>
            <w:shd w:val="clear" w:color="auto" w:fill="auto"/>
            <w:vAlign w:val="center"/>
          </w:tcPr>
          <w:p>
            <w:pPr>
              <w:widowControl/>
              <w:ind w:firstLine="420" w:firstLineChars="20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0</w:t>
            </w:r>
          </w:p>
        </w:tc>
        <w:tc>
          <w:tcPr>
            <w:tcW w:w="1083" w:type="dxa"/>
            <w:tcBorders>
              <w:top w:val="nil"/>
              <w:left w:val="nil"/>
              <w:bottom w:val="single" w:color="auto" w:sz="4" w:space="0"/>
              <w:right w:val="single" w:color="auto" w:sz="4" w:space="0"/>
            </w:tcBorders>
            <w:shd w:val="clear" w:color="auto" w:fill="auto"/>
            <w:vAlign w:val="center"/>
          </w:tcPr>
          <w:p>
            <w:pPr>
              <w:widowControl/>
              <w:ind w:firstLine="210" w:firstLineChars="1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0</w:t>
            </w:r>
          </w:p>
        </w:tc>
        <w:tc>
          <w:tcPr>
            <w:tcW w:w="61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5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CellMar>
            <w:top w:w="0" w:type="dxa"/>
            <w:left w:w="108" w:type="dxa"/>
            <w:bottom w:w="0" w:type="dxa"/>
            <w:right w:w="108" w:type="dxa"/>
          </w:tblCellMar>
        </w:tblPrEx>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418" w:type="dxa"/>
            <w:gridSpan w:val="2"/>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其他资金</w:t>
            </w:r>
          </w:p>
        </w:tc>
        <w:tc>
          <w:tcPr>
            <w:tcW w:w="16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2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083"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61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855"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14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r>
      <w:tr>
        <w:tblPrEx>
          <w:tblCellMar>
            <w:top w:w="0" w:type="dxa"/>
            <w:left w:w="108" w:type="dxa"/>
            <w:bottom w:w="0" w:type="dxa"/>
            <w:right w:w="108" w:type="dxa"/>
          </w:tblCellMar>
        </w:tblPrEx>
        <w:tc>
          <w:tcPr>
            <w:tcW w:w="108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年度总体目标</w:t>
            </w:r>
          </w:p>
        </w:tc>
        <w:tc>
          <w:tcPr>
            <w:tcW w:w="5218"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预期目标</w:t>
            </w:r>
          </w:p>
        </w:tc>
        <w:tc>
          <w:tcPr>
            <w:tcW w:w="369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实际完成情况　</w:t>
            </w:r>
          </w:p>
        </w:tc>
      </w:tr>
      <w:tr>
        <w:tblPrEx>
          <w:tblCellMar>
            <w:top w:w="0" w:type="dxa"/>
            <w:left w:w="108" w:type="dxa"/>
            <w:bottom w:w="0" w:type="dxa"/>
            <w:right w:w="108" w:type="dxa"/>
          </w:tblCellMar>
        </w:tblPrEx>
        <w:tc>
          <w:tcPr>
            <w:tcW w:w="108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5218"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szCs w:val="21"/>
              </w:rPr>
              <w:t>在省农业农村厅的指导下，由省乡村发展基金会办公室实施具体管理，保证基金会正常机构运转。</w:t>
            </w:r>
            <w:r>
              <w:rPr>
                <w:rFonts w:ascii="Times New Roman" w:hAnsi="Times New Roman" w:eastAsia="仿宋_GB2312" w:cs="Times New Roman"/>
                <w:color w:val="000000"/>
                <w:kern w:val="0"/>
                <w:szCs w:val="21"/>
              </w:rPr>
              <w:t>　　</w:t>
            </w:r>
          </w:p>
        </w:tc>
        <w:tc>
          <w:tcPr>
            <w:tcW w:w="3694"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各项工作有序开展，机构稳定运行。</w:t>
            </w:r>
          </w:p>
        </w:tc>
      </w:tr>
      <w:tr>
        <w:tblPrEx>
          <w:tblCellMar>
            <w:top w:w="0" w:type="dxa"/>
            <w:left w:w="108" w:type="dxa"/>
            <w:bottom w:w="0" w:type="dxa"/>
            <w:right w:w="108" w:type="dxa"/>
          </w:tblCellMar>
        </w:tblPrEx>
        <w:tc>
          <w:tcPr>
            <w:tcW w:w="1084" w:type="dxa"/>
            <w:vMerge w:val="restart"/>
            <w:tcBorders>
              <w:top w:val="nil"/>
              <w:left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绩</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标</w:t>
            </w:r>
          </w:p>
          <w:p>
            <w:pPr>
              <w:widowControl/>
              <w:jc w:val="center"/>
              <w:rPr>
                <w:rFonts w:ascii="Times New Roman" w:hAnsi="Times New Roman" w:eastAsia="仿宋_GB2312" w:cs="Times New Roman"/>
                <w:color w:val="000000"/>
                <w:kern w:val="0"/>
                <w:szCs w:val="21"/>
              </w:rPr>
            </w:pPr>
          </w:p>
        </w:tc>
        <w:tc>
          <w:tcPr>
            <w:tcW w:w="10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一级指标</w:t>
            </w:r>
          </w:p>
        </w:tc>
        <w:tc>
          <w:tcPr>
            <w:tcW w:w="134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二级指标</w:t>
            </w:r>
          </w:p>
        </w:tc>
        <w:tc>
          <w:tcPr>
            <w:tcW w:w="16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三级指标</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年度</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指标值</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实际</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完成值</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分值</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得分</w:t>
            </w:r>
          </w:p>
        </w:tc>
        <w:tc>
          <w:tcPr>
            <w:tcW w:w="11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偏差原因</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分析及</w:t>
            </w:r>
          </w:p>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改进措施</w:t>
            </w:r>
          </w:p>
        </w:tc>
      </w:tr>
      <w:tr>
        <w:tblPrEx>
          <w:tblCellMar>
            <w:top w:w="0" w:type="dxa"/>
            <w:left w:w="108" w:type="dxa"/>
            <w:bottom w:w="0" w:type="dxa"/>
            <w:right w:w="108" w:type="dxa"/>
          </w:tblCellMar>
        </w:tblPrEx>
        <w:trPr>
          <w:trHeight w:val="418"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restart"/>
            <w:tcBorders>
              <w:top w:val="nil"/>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产出指标</w:t>
            </w:r>
          </w:p>
          <w:p>
            <w:pPr>
              <w:widowControl/>
              <w:jc w:val="center"/>
              <w:rPr>
                <w:rFonts w:ascii="Times New Roman" w:hAnsi="Times New Roman" w:eastAsia="仿宋_GB2312" w:cs="Times New Roman"/>
                <w:color w:val="000000"/>
                <w:kern w:val="0"/>
                <w:szCs w:val="21"/>
              </w:rPr>
            </w:pP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(50分)</w:t>
            </w:r>
          </w:p>
        </w:tc>
        <w:tc>
          <w:tcPr>
            <w:tcW w:w="1342" w:type="dxa"/>
            <w:vMerge w:val="restart"/>
            <w:tcBorders>
              <w:top w:val="nil"/>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数量指标</w:t>
            </w:r>
          </w:p>
        </w:tc>
        <w:tc>
          <w:tcPr>
            <w:tcW w:w="160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置换安可办公电脑</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3台</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3台</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445"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vMerge w:val="continue"/>
            <w:tcBorders>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60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推进公益项目数量</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≥1个</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1个</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381"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tcBorders>
              <w:top w:val="nil"/>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质量指标</w:t>
            </w:r>
          </w:p>
        </w:tc>
        <w:tc>
          <w:tcPr>
            <w:tcW w:w="1600" w:type="dxa"/>
            <w:tcBorders>
              <w:top w:val="nil"/>
              <w:left w:val="nil"/>
              <w:bottom w:val="single" w:color="auto" w:sz="4" w:space="0"/>
              <w:right w:val="single" w:color="auto" w:sz="4" w:space="0"/>
            </w:tcBorders>
            <w:shd w:val="clear" w:color="auto" w:fill="auto"/>
            <w:vAlign w:val="center"/>
          </w:tcPr>
          <w:p>
            <w:r>
              <w:rPr>
                <w:rFonts w:hint="eastAsia"/>
              </w:rPr>
              <w:t>捐赠资金合规使用率</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381"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tcBorders>
              <w:top w:val="nil"/>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600" w:type="dxa"/>
            <w:tcBorders>
              <w:top w:val="nil"/>
              <w:left w:val="nil"/>
              <w:bottom w:val="single" w:color="auto" w:sz="4" w:space="0"/>
              <w:right w:val="single" w:color="auto" w:sz="4" w:space="0"/>
            </w:tcBorders>
            <w:shd w:val="clear" w:color="auto" w:fill="auto"/>
            <w:vAlign w:val="center"/>
          </w:tcPr>
          <w:p>
            <w:pPr>
              <w:widowControl/>
              <w:spacing w:line="240" w:lineRule="exact"/>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项目验收合格率</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r>
              <w:rPr>
                <w:rFonts w:ascii="Times New Roman" w:hAnsi="Times New Roman" w:eastAsia="仿宋_GB2312" w:cs="Times New Roman"/>
                <w:color w:val="000000"/>
                <w:kern w:val="0"/>
                <w:szCs w:val="21"/>
              </w:rPr>
              <w:t>%</w:t>
            </w:r>
          </w:p>
        </w:tc>
        <w:tc>
          <w:tcPr>
            <w:tcW w:w="1083"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r>
              <w:rPr>
                <w:rFonts w:ascii="Times New Roman" w:hAnsi="Times New Roman" w:eastAsia="仿宋_GB2312" w:cs="Times New Roman"/>
                <w:color w:val="000000"/>
                <w:kern w:val="0"/>
                <w:szCs w:val="21"/>
              </w:rPr>
              <w:t>%</w:t>
            </w:r>
          </w:p>
        </w:tc>
        <w:tc>
          <w:tcPr>
            <w:tcW w:w="616"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spacing w:line="240" w:lineRule="exact"/>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385"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vMerge w:val="restart"/>
            <w:tcBorders>
              <w:top w:val="single" w:color="auto" w:sz="4" w:space="0"/>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时效指标</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项目完成的进度</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≤2年</w:t>
            </w: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100%</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385"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vMerge w:val="continue"/>
            <w:tcBorders>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电脑配置时间</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≤1年</w:t>
            </w:r>
          </w:p>
          <w:p>
            <w:pPr>
              <w:widowControl/>
              <w:spacing w:line="240" w:lineRule="exact"/>
              <w:jc w:val="center"/>
              <w:rPr>
                <w:rFonts w:ascii="Times New Roman" w:hAnsi="Times New Roman" w:eastAsia="仿宋_GB2312" w:cs="Times New Roman"/>
                <w:color w:val="000000"/>
                <w:kern w:val="0"/>
                <w:szCs w:val="21"/>
              </w:rPr>
            </w:pP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5</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404"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restart"/>
            <w:tcBorders>
              <w:top w:val="single" w:color="auto" w:sz="4" w:space="0"/>
              <w:left w:val="nil"/>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效益指标</w:t>
            </w:r>
          </w:p>
          <w:p>
            <w:pPr>
              <w:widowControl/>
              <w:jc w:val="left"/>
              <w:rPr>
                <w:rFonts w:ascii="Times New Roman" w:hAnsi="Times New Roman" w:eastAsia="仿宋_GB2312" w:cs="Times New Roman"/>
                <w:color w:val="000000"/>
                <w:kern w:val="0"/>
                <w:szCs w:val="21"/>
              </w:rPr>
            </w:pP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（30分）</w:t>
            </w: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p>
        </w:tc>
        <w:tc>
          <w:tcPr>
            <w:tcW w:w="13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经济效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接受管理社会资金和物资捐赠额</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≥200万元</w:t>
            </w:r>
          </w:p>
          <w:p>
            <w:pPr>
              <w:widowControl/>
              <w:jc w:val="center"/>
              <w:rPr>
                <w:rFonts w:ascii="Times New Roman" w:hAnsi="Times New Roman" w:eastAsia="仿宋_GB2312" w:cs="Times New Roman"/>
                <w:color w:val="000000"/>
                <w:kern w:val="0"/>
                <w:szCs w:val="21"/>
              </w:rPr>
            </w:pP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100%</w:t>
            </w:r>
          </w:p>
          <w:p>
            <w:pPr>
              <w:widowControl/>
              <w:jc w:val="center"/>
              <w:rPr>
                <w:rFonts w:ascii="Times New Roman" w:hAnsi="Times New Roman" w:eastAsia="仿宋_GB2312" w:cs="Times New Roman"/>
                <w:color w:val="000000"/>
                <w:kern w:val="0"/>
                <w:szCs w:val="21"/>
              </w:rPr>
            </w:pP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513" w:hRule="atLeast"/>
        </w:trPr>
        <w:tc>
          <w:tcPr>
            <w:tcW w:w="1084" w:type="dxa"/>
            <w:vMerge w:val="continue"/>
            <w:tcBorders>
              <w:left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vMerge w:val="continue"/>
            <w:tcBorders>
              <w:left w:val="nil"/>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342" w:type="dxa"/>
            <w:tcBorders>
              <w:top w:val="single" w:color="auto" w:sz="4" w:space="0"/>
              <w:left w:val="nil"/>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社会效</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益指标</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消费帮扶受益群体</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95%</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c>
          <w:tcPr>
            <w:tcW w:w="1084"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c>
          <w:tcPr>
            <w:tcW w:w="1076" w:type="dxa"/>
            <w:vMerge w:val="continue"/>
            <w:tcBorders>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color w:val="000000"/>
                <w:kern w:val="0"/>
                <w:szCs w:val="21"/>
              </w:rPr>
            </w:pPr>
          </w:p>
        </w:tc>
        <w:tc>
          <w:tcPr>
            <w:tcW w:w="13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可持续影响指标</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设备使用年限</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≥8年</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w:t>
            </w:r>
          </w:p>
        </w:tc>
        <w:tc>
          <w:tcPr>
            <w:tcW w:w="6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w:t>
            </w:r>
            <w:r>
              <w:rPr>
                <w:rFonts w:hint="eastAsia" w:ascii="Times New Roman" w:hAnsi="Times New Roman" w:eastAsia="仿宋_GB2312" w:cs="Times New Roman"/>
                <w:color w:val="000000"/>
                <w:kern w:val="0"/>
                <w:szCs w:val="21"/>
              </w:rPr>
              <w:t>10</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rPr>
          <w:trHeight w:val="717" w:hRule="atLeast"/>
        </w:trPr>
        <w:tc>
          <w:tcPr>
            <w:tcW w:w="10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Times New Roman" w:hAnsi="Times New Roman" w:eastAsia="仿宋_GB2312" w:cs="Times New Roman"/>
                <w:color w:val="000000"/>
                <w:kern w:val="0"/>
                <w:szCs w:val="21"/>
              </w:rPr>
            </w:pPr>
          </w:p>
        </w:tc>
        <w:tc>
          <w:tcPr>
            <w:tcW w:w="10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满意度</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指标</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（10分）</w:t>
            </w:r>
          </w:p>
        </w:tc>
        <w:tc>
          <w:tcPr>
            <w:tcW w:w="13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服务对象满意度指标</w:t>
            </w:r>
          </w:p>
        </w:tc>
        <w:tc>
          <w:tcPr>
            <w:tcW w:w="16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群众满意度</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w:t>
            </w: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98%</w:t>
            </w:r>
          </w:p>
        </w:tc>
        <w:tc>
          <w:tcPr>
            <w:tcW w:w="6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10</w:t>
            </w: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Times New Roman" w:hAnsi="Times New Roman" w:eastAsia="仿宋_GB2312" w:cs="Times New Roman"/>
                <w:color w:val="000000"/>
                <w:kern w:val="0"/>
                <w:szCs w:val="21"/>
              </w:rPr>
            </w:pPr>
          </w:p>
        </w:tc>
      </w:tr>
      <w:tr>
        <w:tblPrEx>
          <w:tblCellMar>
            <w:top w:w="0" w:type="dxa"/>
            <w:left w:w="108" w:type="dxa"/>
            <w:bottom w:w="0" w:type="dxa"/>
            <w:right w:w="108" w:type="dxa"/>
          </w:tblCellMar>
        </w:tblPrEx>
        <w:tc>
          <w:tcPr>
            <w:tcW w:w="7385"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总分</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99.28</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000000"/>
                <w:kern w:val="0"/>
                <w:szCs w:val="21"/>
              </w:rPr>
            </w:pPr>
          </w:p>
        </w:tc>
      </w:tr>
    </w:tbl>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5"/>
              <wp:cNvGraphicFramePr>
                <a:graphicFrameLocks xmlns:a="http://schemas.openxmlformats.org/drawingml/2006/main" noChangeAspect="true"/>
              </wp:cNvGraphicFramePr>
              <a:graphic xmlns:a="http://schemas.openxmlformats.org/drawingml/2006/main">
                <a:graphicData uri="http://schemas.microsoft.com/office/word/2010/wordprocessingShape">
                  <wps:wsp>
                    <wps:cNvSpPr>
                      <a:spLocks noChangeAspect="true"/>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rtlCol="0" anchor="t" upright="false">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BuHWIJAwIAAO8DAAAOAAAAZHJz&#10;L2Uyb0RvYy54bWytU0GOEzEQvCPxB8t3MkkQKBplslrtKggpYiMtPMDx2BkLj9tqO5kJD4AfcOLC&#10;nXflHbSdTJZl94S4WO12u9xdVZ5f9a1le4XBgKv4ZDTmTDkJtXHbin/6uHw14yxE4WphwamKH1Tg&#10;V4uXL+adL9UUGrC1QkYgLpSdr3gToy+LIshGtSKMwCtHhxqwFZG2uC1qFB2ht7aYjsdviw6w9ghS&#10;hUDZ29MhX2R8rZWMd1oHFZmtOPUW84p53aS1WMxFuUXhGyPPbYh/6KIVxtGjF6hbEQXboXkC1RqJ&#10;EEDHkYS2AK2NVHkGmmYy/mua+0Z4lWchcoK/0BT+H6z8sF8jMzVp95ozJ1rS6Pj92/HHr+PPr+xN&#10;4qfzoaSye7/GNGHwK5CfA3Nw0wi3VdfBE8sVj7hTqbx4VJ824Xyz19gmBJqa9VmCw0UC1UcmKTmZ&#10;TWezMSkl6WzYJFRRDtc9hvhOQctSUHGk1zP1Yr8K8VQ6lKTXHCyNtZQXpXWPEoSZMrnhU4+p29hv&#10;eqpO4QbqA7GDcLJN8HJp6M2VCHEtkHxCfZL34x0t2kJXcThHnDWAX57Lp3qSj04568h3FXf0MTiz&#10;7x3Jmiw6BDgEmyFwu/YGyMgTzjDaHNIF4STBkQCc7TyabUP4WtiQnJPkut5FoiAz8zDUeWxyVeb2&#10;/AOSbf/c56qHf7r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BYAAABkcnMvUEsBAhQAFAAAAAgAh07iQLl1uVLQAAAABQEAAA8AAAAAAAAA&#10;AQAgAAAAOAAAAGRycy9kb3ducmV2LnhtbFBLAQIUABQAAAAIAIdO4kBuHWIJAwIAAO8DAAAOAAAA&#10;AAAAAAEAIAAAADUBAABkcnMvZTJvRG9jLnhtbFBLBQYAAAAABgAGAFkBAACqBQAAAAA=&#10;">
              <v:fill on="f" focussize="0,0"/>
              <v:stroke on="f"/>
              <v:imagedata o:title=""/>
              <o:lock v:ext="edit" aspectratio="t"/>
              <v:textbox inset="0mm,0mm,0mm,0mm" style="mso-fit-shape-to-text:t;">
                <w:txbxContent>
                  <w:p>
                    <w:pPr>
                      <w:pStyle w:val="6"/>
                    </w:pPr>
                    <w:r>
                      <w:fldChar w:fldCharType="begin"/>
                    </w:r>
                    <w:r>
                      <w:instrText xml:space="preserve"> PAGE  \* MERGEFORMAT </w:instrText>
                    </w:r>
                    <w:r>
                      <w:fldChar w:fldCharType="separate"/>
                    </w:r>
                    <w:r>
                      <w:t>20</w:t>
                    </w:r>
                    <w: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91DDA9"/>
    <w:multiLevelType w:val="singleLevel"/>
    <w:tmpl w:val="4591DDA9"/>
    <w:lvl w:ilvl="0" w:tentative="0">
      <w:start w:val="2"/>
      <w:numFmt w:val="chineseCounting"/>
      <w:suff w:val="nothing"/>
      <w:lvlText w:val="（%1）"/>
      <w:lvlJc w:val="left"/>
      <w:rPr>
        <w:rFonts w:hint="eastAsia"/>
      </w:rPr>
    </w:lvl>
  </w:abstractNum>
  <w:abstractNum w:abstractNumId="1">
    <w:nsid w:val="7BB76A13"/>
    <w:multiLevelType w:val="singleLevel"/>
    <w:tmpl w:val="7BB76A13"/>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NotTrackMoves/>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64FE9"/>
    <w:rsid w:val="03DF65F1"/>
    <w:rsid w:val="08524FFE"/>
    <w:rsid w:val="0C464543"/>
    <w:rsid w:val="0CB93743"/>
    <w:rsid w:val="0D471B91"/>
    <w:rsid w:val="0E3E1F17"/>
    <w:rsid w:val="10204E35"/>
    <w:rsid w:val="106F2A04"/>
    <w:rsid w:val="115F2FD4"/>
    <w:rsid w:val="13260311"/>
    <w:rsid w:val="14275833"/>
    <w:rsid w:val="147321EF"/>
    <w:rsid w:val="152C49F4"/>
    <w:rsid w:val="15D93730"/>
    <w:rsid w:val="16430759"/>
    <w:rsid w:val="171E3C6C"/>
    <w:rsid w:val="178220FB"/>
    <w:rsid w:val="1C2265AD"/>
    <w:rsid w:val="1D1A3B4F"/>
    <w:rsid w:val="1E240823"/>
    <w:rsid w:val="1E832108"/>
    <w:rsid w:val="1FC733AF"/>
    <w:rsid w:val="237F7640"/>
    <w:rsid w:val="2747073A"/>
    <w:rsid w:val="2855625F"/>
    <w:rsid w:val="29023E15"/>
    <w:rsid w:val="2B165246"/>
    <w:rsid w:val="2B271630"/>
    <w:rsid w:val="2B771E9B"/>
    <w:rsid w:val="2BC6070F"/>
    <w:rsid w:val="2DCB31D7"/>
    <w:rsid w:val="2E240E01"/>
    <w:rsid w:val="2E6F0714"/>
    <w:rsid w:val="2EF064BE"/>
    <w:rsid w:val="2FC12000"/>
    <w:rsid w:val="31327262"/>
    <w:rsid w:val="32CD5E4E"/>
    <w:rsid w:val="33686B43"/>
    <w:rsid w:val="33C9572C"/>
    <w:rsid w:val="33E04684"/>
    <w:rsid w:val="356D4F9D"/>
    <w:rsid w:val="35ED19A9"/>
    <w:rsid w:val="368457C2"/>
    <w:rsid w:val="382A1CAB"/>
    <w:rsid w:val="38BA31C2"/>
    <w:rsid w:val="38F21389"/>
    <w:rsid w:val="38F65019"/>
    <w:rsid w:val="3ACE1FD1"/>
    <w:rsid w:val="3ADC3D9A"/>
    <w:rsid w:val="3DA53AAB"/>
    <w:rsid w:val="3DA72863"/>
    <w:rsid w:val="3FA266D0"/>
    <w:rsid w:val="41D8505C"/>
    <w:rsid w:val="41F26284"/>
    <w:rsid w:val="420F08E9"/>
    <w:rsid w:val="423170EF"/>
    <w:rsid w:val="42860951"/>
    <w:rsid w:val="42DD015F"/>
    <w:rsid w:val="449B51F3"/>
    <w:rsid w:val="46167423"/>
    <w:rsid w:val="46757342"/>
    <w:rsid w:val="48364DD3"/>
    <w:rsid w:val="4A5D700D"/>
    <w:rsid w:val="4AA27F52"/>
    <w:rsid w:val="4D61337B"/>
    <w:rsid w:val="4DBF6B99"/>
    <w:rsid w:val="4EAE1632"/>
    <w:rsid w:val="4F5B7042"/>
    <w:rsid w:val="4F88614B"/>
    <w:rsid w:val="501C7D9B"/>
    <w:rsid w:val="50467DF8"/>
    <w:rsid w:val="55376EAB"/>
    <w:rsid w:val="55F81607"/>
    <w:rsid w:val="56603C0D"/>
    <w:rsid w:val="56D43325"/>
    <w:rsid w:val="577E21F0"/>
    <w:rsid w:val="583346B1"/>
    <w:rsid w:val="58A81959"/>
    <w:rsid w:val="5A570B12"/>
    <w:rsid w:val="5AF87B10"/>
    <w:rsid w:val="5B894531"/>
    <w:rsid w:val="5BF41405"/>
    <w:rsid w:val="5CF3279B"/>
    <w:rsid w:val="5DAA326C"/>
    <w:rsid w:val="60B802F1"/>
    <w:rsid w:val="634C7460"/>
    <w:rsid w:val="63B54A3F"/>
    <w:rsid w:val="6423385F"/>
    <w:rsid w:val="67BA6B80"/>
    <w:rsid w:val="68BB0445"/>
    <w:rsid w:val="6A635FA8"/>
    <w:rsid w:val="6B147717"/>
    <w:rsid w:val="6CE4549A"/>
    <w:rsid w:val="6E5C3921"/>
    <w:rsid w:val="6F3518C1"/>
    <w:rsid w:val="6F427251"/>
    <w:rsid w:val="6FA851FF"/>
    <w:rsid w:val="6FD57B29"/>
    <w:rsid w:val="6FDD5188"/>
    <w:rsid w:val="70130F5B"/>
    <w:rsid w:val="70706050"/>
    <w:rsid w:val="711368CE"/>
    <w:rsid w:val="72FA7940"/>
    <w:rsid w:val="73DE3FB3"/>
    <w:rsid w:val="75671015"/>
    <w:rsid w:val="75E25016"/>
    <w:rsid w:val="77282235"/>
    <w:rsid w:val="788A2AAC"/>
    <w:rsid w:val="795E67FE"/>
    <w:rsid w:val="7B0C1E5C"/>
    <w:rsid w:val="7BEE1F1B"/>
    <w:rsid w:val="7C06581A"/>
    <w:rsid w:val="7C1A344E"/>
    <w:rsid w:val="7DC600E3"/>
    <w:rsid w:val="7F972973"/>
    <w:rsid w:val="D7FF21B0"/>
    <w:rsid w:val="FFDFB9E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7"/>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pPr>
      <w:adjustRightInd w:val="0"/>
      <w:snapToGrid w:val="0"/>
      <w:spacing w:line="360" w:lineRule="auto"/>
      <w:jc w:val="left"/>
    </w:pPr>
    <w:rPr>
      <w:b/>
      <w:sz w:val="24"/>
      <w:szCs w:val="20"/>
    </w:rPr>
  </w:style>
  <w:style w:type="table" w:styleId="1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页眉 Char"/>
    <w:basedOn w:val="11"/>
    <w:link w:val="7"/>
    <w:qFormat/>
    <w:uiPriority w:val="99"/>
    <w:rPr>
      <w:sz w:val="18"/>
      <w:szCs w:val="18"/>
    </w:rPr>
  </w:style>
  <w:style w:type="character" w:customStyle="1" w:styleId="14">
    <w:name w:val="页脚 Char"/>
    <w:basedOn w:val="11"/>
    <w:link w:val="6"/>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5"/>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 w:type="paragraph" w:customStyle="1" w:styleId="21">
    <w:name w:val="BodyText"/>
    <w:basedOn w:val="1"/>
    <w:next w:val="22"/>
    <w:qFormat/>
    <w:uiPriority w:val="99"/>
    <w:pPr>
      <w:spacing w:after="120"/>
      <w:textAlignment w:val="baseline"/>
    </w:pPr>
  </w:style>
  <w:style w:type="paragraph" w:customStyle="1" w:styleId="22">
    <w:name w:val="TOC5"/>
    <w:basedOn w:val="1"/>
    <w:next w:val="1"/>
    <w:semiHidden/>
    <w:qFormat/>
    <w:uiPriority w:val="99"/>
    <w:pPr>
      <w:ind w:left="1680" w:leftChars="800"/>
      <w:textAlignment w:val="baseline"/>
    </w:pPr>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42</Pages>
  <Words>14680</Words>
  <Characters>17568</Characters>
  <Lines>69</Lines>
  <Paragraphs>19</Paragraphs>
  <TotalTime>20</TotalTime>
  <ScaleCrop>false</ScaleCrop>
  <LinksUpToDate>false</LinksUpToDate>
  <CharactersWithSpaces>18860</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2025-08-19T10:17:00Z</dcterms:created>
  <dc:creator>李航 null</dc:creator>
  <cp:lastModifiedBy>greatwall</cp:lastModifiedBy>
  <cp:lastPrinted>2024-08-09T18:20:00Z</cp:lastPrinted>
  <dcterms:modified xsi:type="dcterms:W3CDTF">2025-09-16T10:47:08Z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BB7B6AA21D207914D6FDA268992A22D6</vt:lpwstr>
  </property>
  <property fmtid="{D5CDD505-2E9C-101B-9397-08002B2CF9AE}" pid="4" name="KSOTemplateDocerSaveRecord">
    <vt:lpwstr>eyJoZGlkIjoiZTk1NGQ2Y2MzZDM0NDg0ZGZhNGUwYTllYzUxNTU5MTMiLCJ1c2VySWQiOiIxMjY1MDI2MzQ0In0=</vt:lpwstr>
  </property>
</Properties>
</file>