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ascii="Times New Roman" w:hAnsi="Times New Roman" w:cs="Times New Roman"/>
          <w:sz w:val="56"/>
          <w:szCs w:val="56"/>
        </w:rPr>
      </w:pPr>
    </w:p>
    <w:p>
      <w:pPr>
        <w:pStyle w:val="14"/>
        <w:jc w:val="center"/>
        <w:rPr>
          <w:rFonts w:ascii="Times New Roman" w:hAnsi="Times New Roman" w:cs="Times New Roman"/>
          <w:sz w:val="84"/>
          <w:szCs w:val="84"/>
        </w:rPr>
      </w:pPr>
    </w:p>
    <w:p>
      <w:pPr>
        <w:pStyle w:val="14"/>
        <w:jc w:val="center"/>
        <w:rPr>
          <w:rFonts w:ascii="Times New Roman" w:hAnsi="Times New Roman" w:cs="Times New Roman"/>
          <w:sz w:val="84"/>
          <w:szCs w:val="84"/>
        </w:rPr>
      </w:pPr>
    </w:p>
    <w:p>
      <w:pPr>
        <w:pStyle w:val="14"/>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4"/>
        <w:jc w:val="center"/>
        <w:rPr>
          <w:rFonts w:ascii="Times New Roman" w:hAnsi="Times New Roman" w:cs="Times New Roman"/>
          <w:sz w:val="56"/>
          <w:szCs w:val="56"/>
        </w:rPr>
      </w:pPr>
      <w:r>
        <w:rPr>
          <w:rFonts w:hint="eastAsia" w:ascii="Times New Roman" w:hAnsi="Times New Roman" w:eastAsia="方正小标宋简体" w:cs="Times New Roman"/>
          <w:sz w:val="72"/>
          <w:szCs w:val="72"/>
        </w:rPr>
        <w:t>湖南省农业农村厅机关后勤服务中心</w:t>
      </w:r>
      <w:r>
        <w:rPr>
          <w:rFonts w:ascii="Times New Roman" w:hAnsi="Times New Roman" w:eastAsia="方正小标宋简体" w:cs="Times New Roman"/>
          <w:sz w:val="72"/>
          <w:szCs w:val="72"/>
        </w:rPr>
        <w:t>部门决算</w:t>
      </w:r>
    </w:p>
    <w:p>
      <w:pPr>
        <w:pStyle w:val="14"/>
        <w:rPr>
          <w:rFonts w:ascii="Times New Roman" w:hAnsi="Times New Roman" w:cs="Times New Roman"/>
          <w:sz w:val="56"/>
          <w:szCs w:val="56"/>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jc w:val="center"/>
        <w:rPr>
          <w:rFonts w:ascii="Times New Roman" w:hAnsi="Times New Roman" w:cs="Times New Roman"/>
          <w:sz w:val="32"/>
          <w:szCs w:val="32"/>
        </w:rPr>
      </w:pPr>
    </w:p>
    <w:p>
      <w:pPr>
        <w:pStyle w:val="14"/>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4"/>
        <w:spacing w:line="600" w:lineRule="exact"/>
        <w:jc w:val="both"/>
        <w:rPr>
          <w:rFonts w:ascii="Times New Roman" w:hAnsi="Times New Roman" w:cs="Times New Roman"/>
          <w:b/>
          <w:sz w:val="36"/>
          <w:szCs w:val="28"/>
        </w:rPr>
      </w:pPr>
    </w:p>
    <w:p>
      <w:pPr>
        <w:pStyle w:val="14"/>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4"/>
        <w:spacing w:line="600" w:lineRule="exact"/>
        <w:jc w:val="center"/>
        <w:rPr>
          <w:rFonts w:ascii="Times New Roman" w:hAnsi="Times New Roman" w:cs="Times New Roman"/>
          <w:b/>
          <w:sz w:val="36"/>
          <w:szCs w:val="28"/>
        </w:rPr>
      </w:pPr>
    </w:p>
    <w:p>
      <w:pPr>
        <w:pStyle w:val="14"/>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w:t>
      </w:r>
      <w:r>
        <w:rPr>
          <w:rFonts w:hint="eastAsia" w:ascii="Times New Roman" w:hAnsi="Times New Roman" w:cs="Times New Roman"/>
          <w:bCs/>
          <w:sz w:val="32"/>
          <w:szCs w:val="32"/>
        </w:rPr>
        <w:t>湖南省农业农村厅机关后勤服务中心</w:t>
      </w:r>
      <w:r>
        <w:rPr>
          <w:rFonts w:ascii="Times New Roman" w:hAnsi="Times New Roman" w:cs="Times New Roman"/>
          <w:bCs/>
          <w:sz w:val="32"/>
          <w:szCs w:val="32"/>
        </w:rPr>
        <w:t>概况</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4"/>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4"/>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4"/>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4"/>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湖南省农业农村厅机关后勤服务中心</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5"/>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后勤中心是为厅机关服务并作为农业农村厅的一个窗口与外界各部门、机构进行工作衔接，主要负责为厅机关提供后勤保障服务，对厅机关交给后勤中心保管、使用的房屋、公用设施、专用设备等进行管理、维护、维修，保证机关大院的正常工作和生活秩序；按照厅党组的委托及授权，负责与当地各级政府部门进行工作衔接；后勤的工作职能决定其代表农业农村厅与省、市、区、社区等地方政府各职能部门进行工作联系，（计生办、治安联防、卫生防疫、园林绿化、节能节水、电力、税务、审计、国土局、消防、环保、文物局、防雷办、白蚁防治办、血防办、残联、街道办、爱卫会、文明办、居委会等等）并接受当地各级政府职能部门的管理、监督、检查。</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（一）内设机构设置。湖南省农业农村厅机关后勤服务中心内设机构包括：行政科、财务科、保卫科、人事老干科、动力科、机关车队、医务室、生活科等部门。</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（二）决算单位构成。湖南省农业农村厅机关后勤服务中心202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年部门决算汇总公开单位构成包括：湖南省农业农村厅机关后勤服务中心本级。</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4"/>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0"/>
        <w:tblW w:w="138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72"/>
        <w:gridCol w:w="659"/>
        <w:gridCol w:w="1247"/>
        <w:gridCol w:w="4722"/>
        <w:gridCol w:w="654"/>
        <w:gridCol w:w="14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9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8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934.96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47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both"/>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0"/>
        <w:tblW w:w="15250" w:type="dxa"/>
        <w:tblInd w:w="-3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6"/>
        <w:gridCol w:w="3603"/>
        <w:gridCol w:w="1648"/>
        <w:gridCol w:w="1521"/>
        <w:gridCol w:w="1444"/>
        <w:gridCol w:w="1522"/>
        <w:gridCol w:w="1556"/>
        <w:gridCol w:w="1649"/>
        <w:gridCol w:w="12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8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52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8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8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979.04</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979.04</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255.78</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255.78</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250.18</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250.18</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210.18</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210.18</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684.96</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684.96</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684.96</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684.96</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机关服务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684.96</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684.96</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4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r>
    </w:tbl>
    <w:p>
      <w:pPr>
        <w:spacing w:before="120"/>
        <w:jc w:val="both"/>
        <w:rPr>
          <w:rFonts w:ascii="Times New Roman" w:hAnsi="Times New Roman" w:eastAsia="黑体" w:cs="Times New Roman"/>
          <w:color w:val="000000"/>
          <w:kern w:val="0"/>
          <w:sz w:val="36"/>
          <w:szCs w:val="36"/>
          <w:lang w:bidi="ar"/>
        </w:rPr>
      </w:pPr>
      <w:r>
        <w:rPr>
          <w:rFonts w:ascii="Times New Roman" w:hAnsi="Times New Roman" w:eastAsia="仿宋_GB2312" w:cs="Times New Roman"/>
        </w:rPr>
        <w:t>注：本表反映部门本年度取得的各项收入情况。</w:t>
      </w: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r>
        <w:rPr>
          <w:rFonts w:hint="eastAsia" w:ascii="Times New Roman" w:hAnsi="Times New Roman" w:eastAsia="黑体" w:cs="Times New Roman"/>
          <w:bCs/>
          <w:kern w:val="0"/>
          <w:sz w:val="32"/>
          <w:szCs w:val="32"/>
          <w:lang w:val="en-US" w:eastAsia="zh-CN"/>
        </w:rPr>
        <w:t xml:space="preserve">                                          </w:t>
      </w: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0"/>
        <w:tblW w:w="14644" w:type="dxa"/>
        <w:tblInd w:w="-44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812"/>
        <w:gridCol w:w="3603"/>
        <w:gridCol w:w="1649"/>
        <w:gridCol w:w="1649"/>
        <w:gridCol w:w="1530"/>
        <w:gridCol w:w="1430"/>
        <w:gridCol w:w="1220"/>
        <w:gridCol w:w="1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1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1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7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23" w:hRule="atLeast"/>
        </w:trPr>
        <w:tc>
          <w:tcPr>
            <w:tcW w:w="541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934.96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721.93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213.03</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246.50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240.90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240.90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200.90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442.73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207.43</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442.73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207.43</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机关服务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442.73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207.43</w:t>
            </w: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0"/>
        <w:tblW w:w="15354" w:type="dxa"/>
        <w:tblInd w:w="-44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630"/>
        <w:gridCol w:w="523"/>
        <w:gridCol w:w="1540"/>
        <w:gridCol w:w="4074"/>
        <w:gridCol w:w="533"/>
        <w:gridCol w:w="948"/>
        <w:gridCol w:w="1548"/>
        <w:gridCol w:w="1241"/>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69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661"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0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3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0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ind w:left="-420" w:leftChars="-200" w:firstLine="418" w:firstLineChars="190"/>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246.50</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246.50</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934.96</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934.96</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44.08</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40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15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979.04</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10"/>
        <w:tblW w:w="135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256"/>
        <w:gridCol w:w="5100"/>
        <w:gridCol w:w="2060"/>
        <w:gridCol w:w="2060"/>
        <w:gridCol w:w="2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3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8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51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1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1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3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35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934.96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721.93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213.03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246.50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240.90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240.90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240.90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200.90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200.90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442.73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442.73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2130103</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机关服务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650.16</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442.73</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5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37.80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both"/>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0"/>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439.68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68.15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6.95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71.40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12.05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0.80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49.06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37.80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0.97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15.17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214.10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199.91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8.87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6.22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25.70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0"/>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0"/>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14.08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10.99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3.56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653.78</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68.15</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0"/>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7"/>
                <w:rFonts w:hint="default" w:ascii="Times New Roman" w:hAnsi="Times New Roman" w:eastAsia="仿宋_GB2312" w:cs="Times New Roman"/>
                <w:b/>
                <w:bCs/>
                <w:lang w:bidi="ar"/>
              </w:rPr>
              <w:t xml:space="preserve">   </w:t>
            </w:r>
            <w:r>
              <w:rPr>
                <w:rStyle w:val="18"/>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0"/>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19"/>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Cs w:val="21"/>
          <w:lang w:val="en-US" w:eastAsia="zh-CN"/>
        </w:rPr>
        <w:t>湖</w:t>
      </w:r>
      <w:r>
        <w:rPr>
          <w:rFonts w:hint="eastAsia" w:ascii="Times New Roman" w:hAnsi="Times New Roman" w:eastAsia="仿宋_GB2312" w:cs="Times New Roman"/>
          <w:color w:val="000000"/>
          <w:kern w:val="0"/>
          <w:szCs w:val="21"/>
        </w:rPr>
        <w:t>南省农业农村厅机关后勤服务中心</w:t>
      </w:r>
      <w:r>
        <w:rPr>
          <w:rFonts w:ascii="Times New Roman" w:hAnsi="Times New Roman" w:eastAsia="仿宋_GB2312" w:cs="Times New Roman"/>
          <w:color w:val="000000"/>
          <w:kern w:val="0"/>
          <w:szCs w:val="21"/>
        </w:rPr>
        <w:t xml:space="preserve"> </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0"/>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0.50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4"/>
        <w:rPr>
          <w:rFonts w:ascii="Times New Roman" w:hAnsi="Times New Roman" w:cs="Times New Roman"/>
          <w:sz w:val="72"/>
          <w:szCs w:val="72"/>
        </w:rPr>
      </w:pPr>
    </w:p>
    <w:p>
      <w:pPr>
        <w:pStyle w:val="14"/>
        <w:rPr>
          <w:rFonts w:ascii="Times New Roman" w:hAnsi="Times New Roman" w:cs="Times New Roman"/>
          <w:sz w:val="72"/>
          <w:szCs w:val="72"/>
        </w:rPr>
      </w:pPr>
    </w:p>
    <w:p>
      <w:pPr>
        <w:pStyle w:val="14"/>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eastAsia="方正小标宋_GBK"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4"/>
        <w:overflowPunct w:val="0"/>
        <w:autoSpaceDE/>
        <w:autoSpaceDN/>
        <w:spacing w:line="600" w:lineRule="exact"/>
        <w:ind w:firstLine="640" w:firstLineChars="200"/>
        <w:jc w:val="both"/>
        <w:rPr>
          <w:rFonts w:hint="eastAsia" w:ascii="Times New Roman" w:hAnsi="Times New Roman" w:eastAsia="仿宋_GB2312"/>
          <w:sz w:val="32"/>
          <w:szCs w:val="32"/>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979.04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244.02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19.96</w:t>
      </w:r>
      <w:r>
        <w:rPr>
          <w:rFonts w:ascii="Times New Roman" w:hAnsi="Times New Roman" w:eastAsia="仿宋_GB2312" w:cs="Times New Roman"/>
          <w:sz w:val="32"/>
          <w:szCs w:val="32"/>
        </w:rPr>
        <w:t>%，主要是因为</w:t>
      </w:r>
      <w:r>
        <w:rPr>
          <w:rFonts w:hint="eastAsia" w:ascii="Times New Roman" w:hAnsi="Times New Roman" w:eastAsia="仿宋_GB2312"/>
          <w:sz w:val="32"/>
          <w:szCs w:val="32"/>
          <w:lang w:val="en-US" w:eastAsia="zh-CN"/>
        </w:rPr>
        <w:t>人员减少，人员经费减少</w:t>
      </w:r>
      <w:r>
        <w:rPr>
          <w:rFonts w:hint="eastAsia" w:ascii="Times New Roman" w:hAnsi="Times New Roman" w:eastAsia="仿宋_GB2312"/>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979.04</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979.04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934.96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721.93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77.22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213.03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22.78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4"/>
        <w:overflowPunct w:val="0"/>
        <w:autoSpaceDE/>
        <w:autoSpaceDN/>
        <w:spacing w:line="600" w:lineRule="exact"/>
        <w:ind w:firstLine="640" w:firstLineChars="200"/>
        <w:jc w:val="both"/>
        <w:rPr>
          <w:rFonts w:hint="eastAsia" w:ascii="Times New Roman" w:hAnsi="Times New Roman" w:eastAsia="仿宋_GB2312"/>
          <w:sz w:val="32"/>
          <w:szCs w:val="32"/>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979.04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243.73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19.84</w:t>
      </w:r>
      <w:r>
        <w:rPr>
          <w:rFonts w:ascii="Times New Roman" w:hAnsi="Times New Roman" w:eastAsia="仿宋_GB2312" w:cs="Times New Roman"/>
          <w:sz w:val="32"/>
          <w:szCs w:val="32"/>
        </w:rPr>
        <w:t>%，主要是因为</w:t>
      </w:r>
      <w:r>
        <w:rPr>
          <w:rFonts w:hint="eastAsia" w:ascii="Times New Roman" w:hAnsi="Times New Roman" w:eastAsia="仿宋_GB2312"/>
          <w:sz w:val="32"/>
          <w:szCs w:val="32"/>
          <w:lang w:val="en-US" w:eastAsia="zh-CN"/>
        </w:rPr>
        <w:t>人员减少，人员经费减少</w:t>
      </w:r>
      <w:r>
        <w:rPr>
          <w:rFonts w:hint="eastAsia" w:ascii="Times New Roman" w:hAnsi="Times New Roman" w:eastAsia="仿宋_GB2312"/>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934.96</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6.04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0.65</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机关大院维修项目支出增加。</w:t>
      </w:r>
    </w:p>
    <w:p>
      <w:pPr>
        <w:pStyle w:val="1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4"/>
        <w:spacing w:line="600" w:lineRule="exact"/>
        <w:ind w:firstLine="640" w:firstLineChars="200"/>
        <w:rPr>
          <w:rFonts w:ascii="Times New Roman" w:hAnsi="Times New Roman" w:eastAsia="仿宋_GB2312"/>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934.96</w:t>
      </w:r>
      <w:r>
        <w:rPr>
          <w:rFonts w:ascii="Times New Roman" w:hAnsi="Times New Roman" w:eastAsia="仿宋_GB2312" w:cs="Times New Roman"/>
          <w:sz w:val="32"/>
          <w:szCs w:val="32"/>
        </w:rPr>
        <w:t>万元，主要用于以下方面：教育（类）支出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0.05</w:t>
      </w:r>
      <w:r>
        <w:rPr>
          <w:rFonts w:ascii="Times New Roman" w:hAnsi="Times New Roman" w:eastAsia="仿宋_GB2312" w:cs="Times New Roman"/>
          <w:sz w:val="32"/>
          <w:szCs w:val="32"/>
        </w:rPr>
        <w:t>%;</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246.50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26.36</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650.16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69.54</w:t>
      </w:r>
      <w:r>
        <w:rPr>
          <w:rFonts w:hint="eastAsia" w:ascii="Times New Roman" w:hAnsi="Times New Roman" w:eastAsia="仿宋_GB2312"/>
          <w:sz w:val="32"/>
          <w:szCs w:val="32"/>
        </w:rPr>
        <w:t>%。</w:t>
      </w:r>
    </w:p>
    <w:p>
      <w:pPr>
        <w:pStyle w:val="14"/>
        <w:overflowPunct w:val="0"/>
        <w:autoSpaceDE/>
        <w:autoSpaceDN/>
        <w:spacing w:line="600" w:lineRule="exact"/>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37.80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4.04</w:t>
      </w:r>
      <w:r>
        <w:rPr>
          <w:rFonts w:ascii="Times New Roman" w:hAnsi="Times New Roman" w:eastAsia="仿宋_GB2312" w:cs="Times New Roman"/>
          <w:sz w:val="32"/>
          <w:szCs w:val="32"/>
        </w:rPr>
        <w:t>%；</w:t>
      </w:r>
    </w:p>
    <w:p>
      <w:pPr>
        <w:pStyle w:val="14"/>
        <w:overflowPunct w:val="0"/>
        <w:autoSpaceDE/>
        <w:autoSpaceDN/>
        <w:spacing w:line="600" w:lineRule="exact"/>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973.44</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934.96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96.05</w:t>
      </w:r>
      <w:r>
        <w:rPr>
          <w:rFonts w:ascii="Times New Roman" w:hAnsi="Times New Roman" w:eastAsia="仿宋_GB2312" w:cs="Times New Roman"/>
          <w:sz w:val="32"/>
          <w:szCs w:val="32"/>
        </w:rPr>
        <w:t>%，其中：</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教育支出</w:t>
      </w:r>
      <w:r>
        <w:rPr>
          <w:rFonts w:hint="eastAsia" w:ascii="Times New Roman" w:hAnsi="Times New Roman" w:eastAsia="仿宋_GB2312"/>
          <w:sz w:val="32"/>
          <w:szCs w:val="32"/>
        </w:rPr>
        <w:t>（类）进修及培训（款）培训支出（项）。</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社会保障和就业支出（类）行政事业单位养老支出（款）事业单位离退休（项）。</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210.18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200.90</w:t>
      </w:r>
      <w:r>
        <w:rPr>
          <w:rFonts w:hint="eastAsia" w:ascii="Times New Roman" w:hAnsi="Times New Roman" w:eastAsia="仿宋_GB2312"/>
          <w:sz w:val="32"/>
          <w:szCs w:val="32"/>
        </w:rPr>
        <w:t>万元，完成年初预算的95.</w:t>
      </w:r>
      <w:r>
        <w:rPr>
          <w:rFonts w:hint="eastAsia" w:ascii="Times New Roman" w:hAnsi="Times New Roman" w:eastAsia="仿宋_GB2312"/>
          <w:sz w:val="32"/>
          <w:szCs w:val="32"/>
          <w:lang w:val="en-US" w:eastAsia="zh-CN"/>
        </w:rPr>
        <w:t>59</w:t>
      </w:r>
      <w:r>
        <w:rPr>
          <w:rFonts w:hint="eastAsia" w:ascii="Times New Roman" w:hAnsi="Times New Roman" w:eastAsia="仿宋_GB2312"/>
          <w:sz w:val="32"/>
          <w:szCs w:val="32"/>
        </w:rPr>
        <w:t>%，决算数小于年初预算数的主要原因是：机关事业单位基本养老保险缴费支出年底有结余。</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社会保障和就业支出（类）行政事业单位养老支出（款）机关事业单位基本养老保险缴费支出（项）。</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、社会保障和就业支出（类）抚恤（款）死亡抚恤（项）。</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hint="eastAsia" w:ascii="Times New Roman" w:hAnsi="Times New Roman" w:eastAsia="仿宋_GB2312"/>
          <w:sz w:val="32"/>
          <w:szCs w:val="32"/>
          <w:lang w:val="en-US" w:eastAsia="zh-CN"/>
        </w:rPr>
        <w:t>5.60</w:t>
      </w:r>
      <w:r>
        <w:rPr>
          <w:rFonts w:hint="eastAsia" w:ascii="Times New Roman" w:hAnsi="Times New Roman" w:eastAsia="仿宋_GB2312"/>
          <w:sz w:val="32"/>
          <w:szCs w:val="32"/>
        </w:rPr>
        <w:t>万元，决算数大于年初预算数的主要原因是：年中</w:t>
      </w:r>
      <w:r>
        <w:rPr>
          <w:rFonts w:hint="eastAsia" w:ascii="Times New Roman" w:hAnsi="Times New Roman" w:eastAsia="仿宋_GB2312"/>
          <w:sz w:val="32"/>
          <w:szCs w:val="32"/>
          <w:lang w:val="en-US" w:eastAsia="zh-CN"/>
        </w:rPr>
        <w:t>追加</w:t>
      </w:r>
      <w:r>
        <w:rPr>
          <w:rFonts w:hint="eastAsia" w:ascii="Times New Roman" w:hAnsi="Times New Roman" w:eastAsia="仿宋_GB2312"/>
          <w:sz w:val="32"/>
          <w:szCs w:val="32"/>
        </w:rPr>
        <w:t>死亡抚恤</w:t>
      </w:r>
      <w:r>
        <w:rPr>
          <w:rFonts w:hint="eastAsia" w:ascii="Times New Roman" w:hAnsi="Times New Roman" w:eastAsia="仿宋_GB2312"/>
          <w:sz w:val="32"/>
          <w:szCs w:val="32"/>
          <w:lang w:val="en-US" w:eastAsia="zh-CN"/>
        </w:rPr>
        <w:t>资金</w:t>
      </w:r>
      <w:r>
        <w:rPr>
          <w:rFonts w:hint="eastAsia" w:ascii="Times New Roman" w:hAnsi="Times New Roman" w:eastAsia="仿宋_GB2312"/>
          <w:sz w:val="32"/>
          <w:szCs w:val="32"/>
        </w:rPr>
        <w:t>。</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、农林水支出（类）农业农村（款）机关服务（项）。</w:t>
      </w:r>
    </w:p>
    <w:p>
      <w:pPr>
        <w:pStyle w:val="14"/>
        <w:overflowPunct w:val="0"/>
        <w:autoSpaceDE/>
        <w:autoSpaceDN/>
        <w:spacing w:line="600" w:lineRule="exact"/>
        <w:ind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684.96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650.16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94.92</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部分项目跨年实施</w:t>
      </w:r>
      <w:r>
        <w:rPr>
          <w:rFonts w:hint="eastAsia" w:ascii="Times New Roman" w:hAnsi="Times New Roman" w:eastAsia="仿宋_GB2312"/>
          <w:sz w:val="32"/>
          <w:szCs w:val="32"/>
        </w:rPr>
        <w:t>。</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住房保障支出（类）住房改革支出（款）住房公积金（项）。</w:t>
      </w:r>
    </w:p>
    <w:p>
      <w:pPr>
        <w:pStyle w:val="14"/>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37.80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37.80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721.93</w:t>
      </w:r>
      <w:r>
        <w:rPr>
          <w:rFonts w:ascii="Times New Roman" w:hAnsi="Times New Roman" w:eastAsia="仿宋_GB2312" w:cs="Times New Roman"/>
          <w:sz w:val="32"/>
          <w:szCs w:val="32"/>
        </w:rPr>
        <w:t>万元，其中：</w:t>
      </w:r>
    </w:p>
    <w:p>
      <w:pPr>
        <w:pStyle w:val="14"/>
        <w:overflowPunct w:val="0"/>
        <w:autoSpaceDE/>
        <w:autoSpaceDN/>
        <w:spacing w:line="60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653.78</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90.56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、绩效工资、机关事业单位基本养老保险缴费、职工基本医疗保险缴费、住房公积金、退休费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4"/>
        <w:overflowPunct w:val="0"/>
        <w:autoSpaceDE/>
        <w:autoSpaceDN/>
        <w:spacing w:line="600" w:lineRule="exact"/>
        <w:ind w:firstLine="643"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68.15</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9.44</w:t>
      </w:r>
      <w:r>
        <w:rPr>
          <w:rFonts w:ascii="Times New Roman" w:hAnsi="Times New Roman" w:eastAsia="仿宋_GB2312" w:cs="Times New Roman"/>
          <w:sz w:val="32"/>
          <w:szCs w:val="32"/>
        </w:rPr>
        <w:t>%，主要包括办公费、印刷费、</w:t>
      </w:r>
      <w:r>
        <w:rPr>
          <w:rFonts w:hint="eastAsia" w:ascii="Times New Roman" w:hAnsi="Times New Roman" w:eastAsia="仿宋_GB2312" w:cs="Times New Roman"/>
          <w:sz w:val="32"/>
          <w:szCs w:val="32"/>
          <w:lang w:val="en-US" w:eastAsia="zh-CN"/>
        </w:rPr>
        <w:t>劳务费、工会经费、劳务费、其他交通费、其他商品和服务支出等</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rPr>
        <w:t>本单位严格三公经费开支</w:t>
      </w:r>
      <w:r>
        <w:rPr>
          <w:rFonts w:ascii="Times New Roman" w:hAnsi="Times New Roman" w:eastAsia="仿宋_GB2312" w:cs="Times New Roman"/>
          <w:sz w:val="32"/>
          <w:szCs w:val="32"/>
        </w:rPr>
        <w:t>。</w:t>
      </w:r>
    </w:p>
    <w:p>
      <w:pPr>
        <w:pStyle w:val="14"/>
        <w:overflowPunct w:val="0"/>
        <w:autoSpaceDE/>
        <w:autoSpaceDN/>
        <w:spacing w:line="600" w:lineRule="exact"/>
        <w:ind w:firstLine="643"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4"/>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rPr>
        <w:t>本单位严格三公经费开支</w:t>
      </w:r>
      <w:r>
        <w:rPr>
          <w:rFonts w:hint="eastAsia" w:ascii="Times New Roman" w:hAnsi="Times New Roman" w:eastAsia="仿宋_GB2312"/>
          <w:sz w:val="32"/>
          <w:szCs w:val="32"/>
          <w:lang w:eastAsia="zh-CN"/>
        </w:rPr>
        <w:t>。</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本</w:t>
      </w:r>
      <w:r>
        <w:rPr>
          <w:rFonts w:ascii="Times New Roman" w:hAnsi="Times New Roman" w:eastAsia="仿宋_GB2312" w:cs="Times New Roman"/>
          <w:sz w:val="32"/>
          <w:szCs w:val="32"/>
        </w:rPr>
        <w:t>单位无政府性基金收支</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与</w:t>
      </w:r>
      <w:r>
        <w:rPr>
          <w:rFonts w:ascii="Times New Roman" w:hAnsi="Times New Roman" w:eastAsia="仿宋_GB2312" w:cs="Times New Roman"/>
          <w:sz w:val="32"/>
          <w:szCs w:val="32"/>
        </w:rPr>
        <w:t>年初预算数</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val="en-US" w:eastAsia="zh-CN"/>
        </w:rPr>
        <w:t>事业单位人员</w:t>
      </w:r>
      <w:r>
        <w:rPr>
          <w:rFonts w:ascii="Times New Roman" w:hAnsi="Times New Roman" w:eastAsia="仿宋_GB2312" w:cs="Times New Roman"/>
          <w:sz w:val="32"/>
          <w:szCs w:val="32"/>
        </w:rPr>
        <w:t>培训，人数</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事业单位人员培训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p>
    <w:p>
      <w:pPr>
        <w:pStyle w:val="14"/>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107.10</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10.05</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65.25</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31.81</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97.14</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90.70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94.29</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97.07</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84.72</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4"/>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4"/>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3"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213.30</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213.30</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22.82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pStyle w:val="5"/>
        <w:keepNext w:val="0"/>
        <w:keepLines w:val="0"/>
        <w:widowControl/>
        <w:shd w:val="clear" w:color="auto" w:fill="FFFFFF"/>
        <w:spacing w:line="360" w:lineRule="auto"/>
        <w:ind w:firstLine="643" w:firstLineChars="200"/>
        <w:rPr>
          <w:rFonts w:ascii="仿宋" w:hAnsi="仿宋" w:eastAsia="仿宋" w:cs="仿宋_GB2312"/>
          <w:sz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979.04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934.96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95.49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99.55</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仿宋" w:hAnsi="仿宋" w:eastAsia="仿宋"/>
          <w:b w:val="0"/>
          <w:bCs/>
          <w:sz w:val="32"/>
          <w:szCs w:val="32"/>
        </w:rPr>
        <w:t>着力强化办公用房管理。</w:t>
      </w:r>
      <w:r>
        <w:rPr>
          <w:rFonts w:hint="eastAsia" w:ascii="仿宋" w:hAnsi="仿宋" w:eastAsia="仿宋" w:cs="方正仿宋_GBK"/>
          <w:bCs/>
          <w:sz w:val="32"/>
          <w:szCs w:val="32"/>
        </w:rPr>
        <w:t>按照厅“三</w:t>
      </w:r>
      <w:r>
        <w:rPr>
          <w:rFonts w:hint="eastAsia" w:ascii="仿宋" w:hAnsi="仿宋" w:eastAsia="仿宋" w:cs="方正仿宋_GBK"/>
          <w:sz w:val="32"/>
          <w:szCs w:val="32"/>
        </w:rPr>
        <w:t>定”方案，做好原乡村振兴局机构合并后厅机关处室单位办公用房的重新分配调整工作。年内对厅机关两个办公区进行一次办公用房检查，重点做好河西机关二院办公用房清理整改，纠正多占办公用房或乱设服务用房等乱相。收回河西机关二院被新民路社区占用的原省工商局老干活动室，隔断该社区进入一楼的楼梯通道。重新统计我厅机关办公用房信息数据统计上报省机关事务管理局办公用房信息管理平台。</w:t>
      </w:r>
      <w:r>
        <w:rPr>
          <w:rFonts w:hint="eastAsia" w:ascii="仿宋" w:hAnsi="仿宋" w:eastAsia="仿宋"/>
          <w:sz w:val="32"/>
          <w:szCs w:val="32"/>
        </w:rPr>
        <w:t>指导厅直各单位规范办公用房管理，组织开展业务培训，建立办公用房信息管理平台子系统，实现全厅系统办公用房信息数据共享和统一管理。配合省机关事务局完成厅机关食堂、原机关接待室及原测试中心大楼权属统一登记后续办证、移交及信息变更录入工作。协助省机关事务管理局住房保障处做好我厅机关院内存量公房及公租房日常使用管理工作，及时上报有关信息数据</w:t>
      </w:r>
      <w:r>
        <w:rPr>
          <w:rFonts w:ascii="Times New Roman" w:hAnsi="Times New Roman" w:eastAsia="仿宋_GB2312" w:cs="Times New Roman"/>
          <w:sz w:val="32"/>
          <w:szCs w:val="32"/>
        </w:rPr>
        <w:t>；二是</w:t>
      </w:r>
      <w:r>
        <w:rPr>
          <w:rFonts w:hint="eastAsia" w:ascii="仿宋" w:hAnsi="仿宋" w:eastAsia="仿宋"/>
          <w:b w:val="0"/>
          <w:bCs/>
          <w:sz w:val="32"/>
          <w:szCs w:val="32"/>
        </w:rPr>
        <w:t xml:space="preserve">切实规范公车运行保障。 </w:t>
      </w:r>
      <w:r>
        <w:rPr>
          <w:rFonts w:hint="eastAsia" w:ascii="仿宋" w:hAnsi="仿宋" w:eastAsia="仿宋" w:cs="方正仿宋_GBK"/>
          <w:bCs/>
          <w:sz w:val="32"/>
          <w:szCs w:val="32"/>
        </w:rPr>
        <w:t>按</w:t>
      </w:r>
      <w:r>
        <w:rPr>
          <w:rFonts w:hint="eastAsia" w:ascii="仿宋" w:hAnsi="仿宋" w:eastAsia="仿宋" w:cs="方正仿宋_GBK"/>
          <w:sz w:val="32"/>
          <w:szCs w:val="32"/>
        </w:rPr>
        <w:t>全省公务用车规范化管理要求，切实做好厅机关公务用车运行保障工作。 4月份组织开展厅系统公务用车管理信息平台操作使用培训，熟练掌握和运用平台设置相关功能，规范我厅公务用车申报、审批及调度用车流程，明确各环节责任人，简化我厅当前派车模式，全面实行网上平台规范派车。根据车队驾驶员人数增加情况因陋就简重新布置车队办公室，改善车队现有办公条件，为驾驶员购置一批办公桌椅及配备办公电脑等。制定厅机关车队管理制度，强化日常安全行车意识，确保公务用车运行安全。完善机关车队福利待遇保障机制，比照全省厅局级机关单位车队做法相应提高驾驶员待遇，增加驾驶员节假日和双休日加班工资、住房公积金及加入厅机关工会等待遇保障</w:t>
      </w:r>
      <w:r>
        <w:rPr>
          <w:rFonts w:hint="eastAsia" w:ascii="仿宋" w:hAnsi="仿宋" w:eastAsia="仿宋" w:cs="方正仿宋_GBK"/>
          <w:sz w:val="32"/>
          <w:szCs w:val="32"/>
          <w:lang w:val="en-US" w:eastAsia="zh-CN"/>
        </w:rPr>
        <w:t>；三是</w:t>
      </w:r>
      <w:r>
        <w:rPr>
          <w:rFonts w:hint="eastAsia" w:ascii="仿宋" w:hAnsi="仿宋" w:eastAsia="仿宋"/>
          <w:b w:val="0"/>
          <w:bCs w:val="0"/>
          <w:sz w:val="32"/>
          <w:szCs w:val="32"/>
        </w:rPr>
        <w:t>及时做好基建与维修保障工作。</w:t>
      </w:r>
      <w:r>
        <w:rPr>
          <w:rFonts w:hint="eastAsia" w:ascii="仿宋" w:hAnsi="仿宋" w:eastAsia="仿宋"/>
          <w:sz w:val="32"/>
          <w:szCs w:val="32"/>
        </w:rPr>
        <w:t>有计划执行常规性维保项目，做好消防、监控、门禁、配电、中央空调、管网、电梯等相关设施设备的专业维保工作。做好绿化管理，及时处置垃圾、清淤通管。督促物业及时跟进机关日常维修。重新规划设计机关大院内家属区电梯建设完成后的停车位、消防地标，完善车辆停行的设施管理。做好一办公楼二楼党组会议室、一楼党组扩大会议室与小礼堂维修改建工作。完成六栋、门面、印刷库房等拆除改建项目。完善和归档各类维保资料合同</w:t>
      </w:r>
      <w:r>
        <w:rPr>
          <w:rFonts w:hint="eastAsia" w:ascii="仿宋" w:hAnsi="仿宋" w:eastAsia="仿宋"/>
          <w:sz w:val="32"/>
          <w:szCs w:val="32"/>
          <w:lang w:val="en-US" w:eastAsia="zh-CN"/>
        </w:rPr>
        <w:t>；四是</w:t>
      </w:r>
      <w:r>
        <w:rPr>
          <w:rFonts w:hint="eastAsia" w:ascii="仿宋" w:hAnsi="仿宋" w:eastAsia="仿宋"/>
          <w:b w:val="0"/>
          <w:bCs w:val="0"/>
          <w:sz w:val="32"/>
          <w:szCs w:val="32"/>
        </w:rPr>
        <w:t>积极提高职工食堂餐饮服务水平。</w:t>
      </w:r>
      <w:r>
        <w:rPr>
          <w:rFonts w:hint="eastAsia" w:ascii="仿宋" w:hAnsi="仿宋" w:eastAsia="仿宋"/>
          <w:sz w:val="32"/>
          <w:szCs w:val="32"/>
        </w:rPr>
        <w:t>购置更新职工食堂中央空调，并对一楼的就餐桌椅进行统一更换，改善用餐环境。定期检查电线线路及燃气管道、水管的使用情况，杜绝安全隐患的发生。根据干部职工的反馈意见，及时采购绿色环保、新鲜时令食材，保证口感与食品安全，同时多渠道引进特色农副产品进入食堂，丰富职工餐桌。</w:t>
      </w: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val="en-US" w:eastAsia="zh-CN"/>
        </w:rPr>
        <w:t>执行率不高。</w:t>
      </w:r>
      <w:r>
        <w:rPr>
          <w:rFonts w:ascii="Times New Roman" w:hAnsi="Times New Roman" w:eastAsia="仿宋_GB2312" w:cs="Times New Roman"/>
          <w:sz w:val="32"/>
          <w:szCs w:val="32"/>
        </w:rPr>
        <w:t>下一步改进措施：</w:t>
      </w:r>
      <w:r>
        <w:rPr>
          <w:rFonts w:hint="eastAsia" w:ascii="仿宋" w:hAnsi="仿宋" w:eastAsia="仿宋" w:cs="仿宋_GB2312"/>
          <w:sz w:val="32"/>
        </w:rPr>
        <w:t>提高</w:t>
      </w:r>
      <w:r>
        <w:rPr>
          <w:rFonts w:ascii="仿宋" w:hAnsi="仿宋" w:eastAsia="仿宋" w:cs="仿宋_GB2312"/>
          <w:sz w:val="32"/>
        </w:rPr>
        <w:t>预算编制水平，合理</w:t>
      </w:r>
      <w:r>
        <w:rPr>
          <w:rFonts w:hint="eastAsia" w:ascii="仿宋" w:hAnsi="仿宋" w:eastAsia="仿宋" w:cs="仿宋_GB2312"/>
          <w:sz w:val="32"/>
          <w:lang w:eastAsia="zh-CN"/>
        </w:rPr>
        <w:t>的</w:t>
      </w:r>
      <w:r>
        <w:rPr>
          <w:rFonts w:ascii="仿宋" w:hAnsi="仿宋" w:eastAsia="仿宋" w:cs="仿宋_GB2312"/>
          <w:sz w:val="32"/>
        </w:rPr>
        <w:t>、精准</w:t>
      </w:r>
      <w:r>
        <w:rPr>
          <w:rFonts w:hint="eastAsia" w:ascii="仿宋" w:hAnsi="仿宋" w:eastAsia="仿宋" w:cs="仿宋_GB2312"/>
          <w:sz w:val="32"/>
          <w:lang w:eastAsia="zh-CN"/>
        </w:rPr>
        <w:t>的</w:t>
      </w:r>
      <w:r>
        <w:rPr>
          <w:rFonts w:ascii="仿宋" w:hAnsi="仿宋" w:eastAsia="仿宋" w:cs="仿宋_GB2312"/>
          <w:sz w:val="32"/>
        </w:rPr>
        <w:t>、科学编制预算</w:t>
      </w:r>
      <w:r>
        <w:rPr>
          <w:rFonts w:hint="eastAsia" w:ascii="仿宋" w:hAnsi="仿宋" w:eastAsia="仿宋" w:cs="仿宋_GB2312"/>
          <w:sz w:val="32"/>
        </w:rPr>
        <w:t>；业务科室应按照年初预算具体分解情况进行合理支出。中心定期对预算执行缓慢的科室进行通报，并要求其出具书面说明、及时提出改进措施。</w:t>
      </w:r>
    </w:p>
    <w:p>
      <w:pPr>
        <w:widowControl/>
        <w:spacing w:line="600" w:lineRule="exact"/>
        <w:ind w:firstLine="645"/>
        <w:jc w:val="left"/>
        <w:rPr>
          <w:rFonts w:hint="eastAsia" w:eastAsia="仿宋_GB2312"/>
          <w:color w:val="auto"/>
          <w:sz w:val="32"/>
          <w:szCs w:val="32"/>
          <w:lang w:val="en-US" w:eastAsia="zh-CN"/>
        </w:rPr>
      </w:pPr>
      <w:r>
        <w:rPr>
          <w:rFonts w:ascii="Times New Roman" w:hAnsi="Times New Roman" w:eastAsia="楷体_GB2312" w:cs="Times New Roman"/>
          <w:b/>
          <w:bCs/>
          <w:color w:val="auto"/>
          <w:kern w:val="2"/>
          <w:sz w:val="32"/>
          <w:szCs w:val="32"/>
        </w:rPr>
        <w:t>（三）评价结果应用情况。</w:t>
      </w:r>
      <w:r>
        <w:rPr>
          <w:rFonts w:hint="eastAsia" w:eastAsia="仿宋_GB2312"/>
          <w:color w:val="auto"/>
          <w:sz w:val="32"/>
          <w:szCs w:val="32"/>
          <w:lang w:val="en-US" w:eastAsia="zh-CN"/>
        </w:rPr>
        <w:t>我中心将对评价中发现的问题，及时进行督促整改。各内设机构要加强预算管理意识，严格按照预算编制的相关制度和要求，结合年度收支计划，科学编制预算，遵循预算管理办法。</w:t>
      </w:r>
    </w:p>
    <w:p>
      <w:pPr>
        <w:pStyle w:val="14"/>
        <w:overflowPunct w:val="0"/>
        <w:autoSpaceDE/>
        <w:autoSpaceDN/>
        <w:spacing w:line="600" w:lineRule="exact"/>
        <w:ind w:firstLine="1440" w:firstLineChars="200"/>
        <w:jc w:val="both"/>
        <w:rPr>
          <w:rFonts w:ascii="Times New Roman" w:hAnsi="Times New Roman" w:eastAsia="仿宋_GB2312" w:cs="Times New Roman"/>
          <w:color w:val="auto"/>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both"/>
        <w:rPr>
          <w:rFonts w:ascii="Times New Roman" w:hAnsi="Times New Roman"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4"/>
        <w:keepNext w:val="0"/>
        <w:keepLines w:val="0"/>
        <w:pageBreakBefore w:val="0"/>
        <w:kinsoku/>
        <w:wordWrap/>
        <w:overflowPunct/>
        <w:topLinePunct w:val="0"/>
        <w:bidi w:val="0"/>
        <w:snapToGrid/>
        <w:spacing w:line="360" w:lineRule="auto"/>
        <w:ind w:firstLine="640" w:firstLineChars="200"/>
        <w:textAlignment w:val="auto"/>
        <w:rPr>
          <w:rFonts w:ascii="仿宋" w:hAnsi="仿宋" w:eastAsia="仿宋" w:cs="仿宋_GB2312"/>
          <w:bCs/>
          <w:color w:val="auto"/>
          <w:kern w:val="2"/>
          <w:sz w:val="32"/>
          <w:szCs w:val="32"/>
          <w:lang w:val="en-US" w:eastAsia="zh-CN" w:bidi="ar-SA"/>
        </w:rPr>
      </w:pPr>
      <w:r>
        <w:rPr>
          <w:rFonts w:hint="eastAsia" w:ascii="仿宋" w:hAnsi="仿宋" w:eastAsia="仿宋" w:cs="仿宋_GB2312"/>
          <w:bCs/>
          <w:color w:val="auto"/>
          <w:kern w:val="2"/>
          <w:sz w:val="32"/>
          <w:szCs w:val="32"/>
          <w:lang w:val="en-US" w:eastAsia="zh-CN" w:bidi="ar-SA"/>
        </w:rPr>
        <w:t>一、基</w:t>
      </w:r>
      <w:r>
        <w:rPr>
          <w:rFonts w:ascii="仿宋" w:hAnsi="仿宋" w:eastAsia="仿宋" w:cs="仿宋_GB2312"/>
          <w:bCs/>
          <w:color w:val="auto"/>
          <w:kern w:val="2"/>
          <w:sz w:val="32"/>
          <w:szCs w:val="32"/>
          <w:lang w:val="en-US" w:eastAsia="zh-CN" w:bidi="ar-SA"/>
        </w:rPr>
        <w:t>本支出：指为保障机构正常运转、完成日常工作任务而 发生的各项支出，包括人员支出和公用支出。</w:t>
      </w:r>
    </w:p>
    <w:p>
      <w:pPr>
        <w:pStyle w:val="14"/>
        <w:keepNext w:val="0"/>
        <w:keepLines w:val="0"/>
        <w:pageBreakBefore w:val="0"/>
        <w:kinsoku/>
        <w:wordWrap/>
        <w:overflowPunct/>
        <w:topLinePunct w:val="0"/>
        <w:bidi w:val="0"/>
        <w:snapToGrid/>
        <w:spacing w:line="360" w:lineRule="auto"/>
        <w:ind w:firstLine="480" w:firstLineChars="150"/>
        <w:textAlignment w:val="auto"/>
        <w:rPr>
          <w:rFonts w:ascii="仿宋" w:hAnsi="仿宋" w:eastAsia="仿宋" w:cs="仿宋_GB2312"/>
          <w:bCs/>
          <w:color w:val="auto"/>
          <w:kern w:val="2"/>
          <w:sz w:val="32"/>
          <w:szCs w:val="32"/>
          <w:lang w:val="en-US" w:eastAsia="zh-CN" w:bidi="ar-SA"/>
        </w:rPr>
      </w:pPr>
      <w:r>
        <w:rPr>
          <w:rFonts w:hint="eastAsia" w:ascii="仿宋" w:hAnsi="仿宋" w:eastAsia="仿宋" w:cs="仿宋_GB2312"/>
          <w:bCs/>
          <w:color w:val="auto"/>
          <w:kern w:val="2"/>
          <w:sz w:val="32"/>
          <w:szCs w:val="32"/>
          <w:lang w:val="en-US" w:eastAsia="zh-CN" w:bidi="ar-SA"/>
        </w:rPr>
        <w:t>二、</w:t>
      </w:r>
      <w:r>
        <w:rPr>
          <w:rFonts w:ascii="仿宋" w:hAnsi="仿宋" w:eastAsia="仿宋" w:cs="仿宋_GB2312"/>
          <w:bCs/>
          <w:color w:val="auto"/>
          <w:kern w:val="2"/>
          <w:sz w:val="32"/>
          <w:szCs w:val="32"/>
          <w:lang w:val="en-US" w:eastAsia="zh-CN" w:bidi="ar-SA"/>
        </w:rPr>
        <w:t xml:space="preserve"> 项目支出：指在基本支出以外为完成相关行政任务和事业 发展目标所发生的各项支出。 </w:t>
      </w:r>
    </w:p>
    <w:p>
      <w:pPr>
        <w:pStyle w:val="14"/>
        <w:keepNext w:val="0"/>
        <w:keepLines w:val="0"/>
        <w:pageBreakBefore w:val="0"/>
        <w:kinsoku/>
        <w:wordWrap/>
        <w:overflowPunct/>
        <w:topLinePunct w:val="0"/>
        <w:bidi w:val="0"/>
        <w:snapToGrid/>
        <w:spacing w:line="360" w:lineRule="auto"/>
        <w:ind w:firstLine="640" w:firstLineChars="200"/>
        <w:textAlignment w:val="auto"/>
        <w:rPr>
          <w:rFonts w:ascii="仿宋" w:hAnsi="仿宋" w:eastAsia="仿宋" w:cs="仿宋_GB2312"/>
          <w:bCs/>
          <w:color w:val="auto"/>
          <w:kern w:val="2"/>
          <w:sz w:val="32"/>
          <w:szCs w:val="32"/>
          <w:lang w:val="en-US" w:eastAsia="zh-CN" w:bidi="ar-SA"/>
        </w:rPr>
      </w:pPr>
      <w:r>
        <w:rPr>
          <w:rFonts w:hint="eastAsia" w:ascii="仿宋" w:hAnsi="仿宋" w:eastAsia="仿宋" w:cs="仿宋_GB2312"/>
          <w:bCs/>
          <w:color w:val="auto"/>
          <w:kern w:val="2"/>
          <w:sz w:val="32"/>
          <w:szCs w:val="32"/>
          <w:lang w:val="en-US" w:eastAsia="zh-CN" w:bidi="ar-SA"/>
        </w:rPr>
        <w:t>三、</w:t>
      </w:r>
      <w:bookmarkStart w:id="23" w:name="_GoBack"/>
      <w:bookmarkEnd w:id="23"/>
      <w:r>
        <w:rPr>
          <w:rFonts w:hint="eastAsia" w:ascii="仿宋" w:hAnsi="仿宋" w:eastAsia="仿宋" w:cs="仿宋_GB2312"/>
          <w:bCs/>
          <w:color w:val="auto"/>
          <w:kern w:val="2"/>
          <w:sz w:val="32"/>
          <w:szCs w:val="32"/>
          <w:lang w:val="en-US" w:eastAsia="zh-CN" w:bidi="ar-SA"/>
        </w:rPr>
        <w:t>“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keepNext w:val="0"/>
        <w:keepLines w:val="0"/>
        <w:pageBreakBefore w:val="0"/>
        <w:widowControl/>
        <w:kinsoku/>
        <w:wordWrap/>
        <w:overflowPunct/>
        <w:topLinePunct w:val="0"/>
        <w:bidi w:val="0"/>
        <w:snapToGrid/>
        <w:spacing w:line="360" w:lineRule="auto"/>
        <w:ind w:firstLine="640" w:firstLineChars="200"/>
        <w:jc w:val="left"/>
        <w:textAlignment w:val="auto"/>
        <w:rPr>
          <w:rFonts w:ascii="仿宋" w:hAnsi="仿宋" w:eastAsia="仿宋" w:cs="仿宋_GB2312"/>
          <w:bCs/>
          <w:color w:val="auto"/>
          <w:kern w:val="2"/>
          <w:sz w:val="32"/>
          <w:szCs w:val="32"/>
          <w:lang w:val="en-US" w:eastAsia="zh-CN" w:bidi="ar-SA"/>
        </w:rPr>
      </w:pPr>
      <w:r>
        <w:rPr>
          <w:rFonts w:hint="eastAsia" w:ascii="仿宋" w:hAnsi="仿宋" w:eastAsia="仿宋" w:cs="仿宋_GB2312"/>
          <w:bCs/>
          <w:color w:val="auto"/>
          <w:kern w:val="2"/>
          <w:sz w:val="32"/>
          <w:szCs w:val="32"/>
          <w:lang w:val="en-US" w:eastAsia="zh-CN" w:bidi="ar-SA"/>
        </w:rPr>
        <w:t>四、</w:t>
      </w:r>
      <w:r>
        <w:rPr>
          <w:rFonts w:ascii="仿宋" w:hAnsi="仿宋" w:eastAsia="仿宋" w:cs="仿宋_GB2312"/>
          <w:bCs/>
          <w:color w:val="auto"/>
          <w:kern w:val="2"/>
          <w:sz w:val="32"/>
          <w:szCs w:val="32"/>
          <w:lang w:val="en-US" w:eastAsia="zh-CN" w:bidi="ar-SA"/>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4"/>
        <w:keepNext w:val="0"/>
        <w:keepLines w:val="0"/>
        <w:pageBreakBefore w:val="0"/>
        <w:kinsoku/>
        <w:wordWrap/>
        <w:overflowPunct/>
        <w:topLinePunct w:val="0"/>
        <w:bidi w:val="0"/>
        <w:snapToGrid/>
        <w:spacing w:line="360" w:lineRule="auto"/>
        <w:jc w:val="center"/>
        <w:textAlignment w:val="auto"/>
        <w:rPr>
          <w:rFonts w:ascii="仿宋" w:hAnsi="仿宋" w:eastAsia="仿宋" w:cs="仿宋_GB2312"/>
          <w:bCs/>
          <w:color w:val="auto"/>
          <w:kern w:val="2"/>
          <w:sz w:val="32"/>
          <w:szCs w:val="32"/>
          <w:lang w:val="en-US" w:eastAsia="zh-CN" w:bidi="ar-SA"/>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pStyle w:val="14"/>
        <w:jc w:val="both"/>
        <w:rPr>
          <w:rFonts w:ascii="Times New Roman" w:hAnsi="Times New Roman" w:cs="Times New Roman"/>
          <w:sz w:val="72"/>
          <w:szCs w:val="72"/>
        </w:rPr>
      </w:pPr>
    </w:p>
    <w:p>
      <w:pPr>
        <w:pStyle w:val="14"/>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4"/>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仿宋_GB2312"/>
          <w:sz w:val="32"/>
          <w:szCs w:val="32"/>
        </w:rPr>
      </w:pPr>
    </w:p>
    <w:p>
      <w:pPr>
        <w:jc w:val="center"/>
        <w:rPr>
          <w:rFonts w:eastAsia="方正小标宋_GBK"/>
          <w:sz w:val="48"/>
          <w:szCs w:val="48"/>
        </w:rPr>
      </w:pPr>
      <w:r>
        <w:rPr>
          <w:rFonts w:eastAsia="仿宋_GB2312"/>
          <w:sz w:val="32"/>
          <w:szCs w:val="32"/>
        </w:rPr>
        <w:br w:type="page"/>
      </w: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湖南省</w:t>
      </w:r>
      <w:bookmarkStart w:id="3" w:name="OLE_LINK1"/>
      <w:r>
        <w:rPr>
          <w:rFonts w:hint="eastAsia" w:eastAsia="方正小标宋_GBK"/>
          <w:sz w:val="48"/>
          <w:szCs w:val="48"/>
          <w:lang w:val="en-US" w:eastAsia="zh-CN"/>
        </w:rPr>
        <w:t>农业农村厅机关后勤服务中心</w:t>
      </w:r>
      <w:bookmarkEnd w:id="3"/>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（一）部门（单位）基本情况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1.主要职能。</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省农业农村厅机关后勤服务中心成立于1996年，是全额拨款事业单位，级别正处级。后勤中心是为厅机关服务并作为农业农村厅的一个窗口与外界各部门、机构进行工作衔接，后勤中心下设</w:t>
      </w:r>
      <w:r>
        <w:rPr>
          <w:rFonts w:hint="eastAsia" w:ascii="仿宋" w:hAnsi="仿宋" w:eastAsia="仿宋"/>
          <w:sz w:val="32"/>
          <w:szCs w:val="32"/>
          <w:lang w:eastAsia="zh-CN"/>
        </w:rPr>
        <w:t>综合科</w:t>
      </w:r>
      <w:r>
        <w:rPr>
          <w:rFonts w:hint="eastAsia" w:ascii="仿宋" w:hAnsi="仿宋" w:eastAsia="仿宋"/>
          <w:sz w:val="32"/>
          <w:szCs w:val="32"/>
        </w:rPr>
        <w:t>、财务科、</w:t>
      </w:r>
      <w:r>
        <w:rPr>
          <w:rFonts w:hint="eastAsia" w:ascii="仿宋" w:hAnsi="仿宋" w:eastAsia="仿宋"/>
          <w:sz w:val="32"/>
          <w:szCs w:val="32"/>
          <w:lang w:eastAsia="zh-CN"/>
        </w:rPr>
        <w:t>总务科、</w:t>
      </w:r>
      <w:r>
        <w:rPr>
          <w:rFonts w:hint="eastAsia" w:ascii="仿宋" w:hAnsi="仿宋" w:eastAsia="仿宋"/>
          <w:sz w:val="32"/>
          <w:szCs w:val="32"/>
        </w:rPr>
        <w:t>机关车队、</w:t>
      </w:r>
      <w:r>
        <w:rPr>
          <w:rFonts w:hint="eastAsia" w:ascii="仿宋" w:hAnsi="仿宋" w:eastAsia="仿宋"/>
          <w:sz w:val="32"/>
          <w:szCs w:val="32"/>
          <w:lang w:eastAsia="zh-CN"/>
        </w:rPr>
        <w:t>人事老干科、</w:t>
      </w:r>
      <w:r>
        <w:rPr>
          <w:rFonts w:hint="eastAsia" w:ascii="仿宋" w:hAnsi="仿宋" w:eastAsia="仿宋"/>
          <w:sz w:val="32"/>
          <w:szCs w:val="32"/>
        </w:rPr>
        <w:t>医务室、机关食堂等部门</w:t>
      </w:r>
      <w:r>
        <w:rPr>
          <w:rFonts w:hint="eastAsia" w:ascii="仿宋" w:hAnsi="仿宋" w:eastAsia="仿宋"/>
          <w:sz w:val="32"/>
          <w:szCs w:val="32"/>
          <w:lang w:val="en-US" w:eastAsia="zh-CN"/>
        </w:rPr>
        <w:t>,</w:t>
      </w:r>
      <w:r>
        <w:rPr>
          <w:rFonts w:hint="eastAsia" w:ascii="仿宋" w:hAnsi="仿宋" w:eastAsia="仿宋"/>
          <w:sz w:val="32"/>
          <w:szCs w:val="32"/>
        </w:rPr>
        <w:t>负责机关后勤的各项具体工作。其主要负责对厅机关交给后勤中心保管、使用的房屋、公用设施、专用设备等进行管理、维护、维修，使用其为厅机关院内住户提供后勤保障服务，保证机关大院的正常工作和生活次序；按照厅党组的委托及授权，负责与当地各级政府部门进行工作衔接；后勤的工作职能决定其代表农业农村厅与省、市、区、社区等地方政府各职能部门进行工作联系，（治安联防、卫生防疫、园林绿化、节能节水、电力、税务、审计、国土局、消防、环保、文物局、防雷办、白蚁防治办、血防办、残联、街道办、爱卫会、文明办、居委会等等）并接受当地各级政府职能部门的管理、监督、检查。</w:t>
      </w:r>
    </w:p>
    <w:p>
      <w:pPr>
        <w:snapToGrid w:val="0"/>
        <w:spacing w:line="360" w:lineRule="auto"/>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2．人员情况，中心编制21人，现有</w:t>
      </w:r>
      <w:r>
        <w:rPr>
          <w:rFonts w:hint="eastAsia" w:ascii="仿宋" w:hAnsi="仿宋" w:eastAsia="仿宋"/>
          <w:sz w:val="32"/>
          <w:szCs w:val="32"/>
        </w:rPr>
        <w:t>在职人数</w:t>
      </w:r>
      <w:r>
        <w:rPr>
          <w:rFonts w:hint="eastAsia" w:ascii="仿宋" w:hAnsi="仿宋" w:eastAsia="仿宋"/>
          <w:sz w:val="32"/>
          <w:szCs w:val="32"/>
          <w:lang w:val="en-US" w:eastAsia="zh-CN"/>
        </w:rPr>
        <w:t>21</w:t>
      </w:r>
      <w:r>
        <w:rPr>
          <w:rFonts w:hint="eastAsia" w:ascii="仿宋" w:hAnsi="仿宋" w:eastAsia="仿宋"/>
          <w:sz w:val="32"/>
          <w:szCs w:val="32"/>
        </w:rPr>
        <w:t>人、退休人数5</w:t>
      </w:r>
      <w:r>
        <w:rPr>
          <w:rFonts w:hint="eastAsia" w:ascii="仿宋" w:hAnsi="仿宋" w:eastAsia="仿宋"/>
          <w:sz w:val="32"/>
          <w:szCs w:val="32"/>
          <w:lang w:val="en-US" w:eastAsia="zh-CN"/>
        </w:rPr>
        <w:t>5</w:t>
      </w:r>
      <w:r>
        <w:rPr>
          <w:rFonts w:hint="eastAsia" w:ascii="仿宋" w:hAnsi="仿宋" w:eastAsia="仿宋"/>
          <w:sz w:val="32"/>
          <w:szCs w:val="32"/>
        </w:rPr>
        <w:t>人</w:t>
      </w:r>
      <w:r>
        <w:rPr>
          <w:rFonts w:hint="eastAsia" w:ascii="仿宋" w:hAnsi="仿宋" w:eastAsia="仿宋" w:cs="Times New Roman"/>
          <w:sz w:val="32"/>
          <w:szCs w:val="32"/>
        </w:rPr>
        <w:t>。</w:t>
      </w:r>
    </w:p>
    <w:p>
      <w:pPr>
        <w:spacing w:line="600" w:lineRule="exact"/>
        <w:ind w:firstLine="643" w:firstLineChars="200"/>
        <w:rPr>
          <w:rFonts w:hint="eastAsia" w:ascii="仿宋" w:hAnsi="仿宋" w:eastAsia="仿宋"/>
          <w:color w:val="auto"/>
          <w:kern w:val="2"/>
          <w:sz w:val="32"/>
          <w:szCs w:val="32"/>
        </w:rPr>
      </w:pPr>
      <w:r>
        <w:rPr>
          <w:rFonts w:hint="eastAsia" w:eastAsia="楷体_GB2312"/>
          <w:b/>
          <w:sz w:val="32"/>
          <w:szCs w:val="32"/>
          <w:lang w:val="en-US" w:eastAsia="zh-CN"/>
        </w:rPr>
        <w:t xml:space="preserve">   </w:t>
      </w:r>
      <w:r>
        <w:rPr>
          <w:rFonts w:eastAsia="楷体_GB2312"/>
          <w:b/>
          <w:sz w:val="32"/>
          <w:szCs w:val="32"/>
        </w:rPr>
        <w:t>（二）部门（单位）年度整体支出绩效目标</w:t>
      </w:r>
      <w:r>
        <w:rPr>
          <w:rFonts w:hint="eastAsia" w:eastAsia="楷体_GB2312"/>
          <w:b/>
          <w:sz w:val="32"/>
          <w:szCs w:val="32"/>
          <w:lang w:eastAsia="zh-CN"/>
        </w:rPr>
        <w:t>：</w:t>
      </w:r>
      <w:r>
        <w:rPr>
          <w:rFonts w:hint="eastAsia" w:ascii="仿宋" w:hAnsi="仿宋" w:eastAsia="仿宋"/>
          <w:color w:val="auto"/>
          <w:kern w:val="2"/>
          <w:sz w:val="32"/>
          <w:szCs w:val="32"/>
        </w:rPr>
        <w:t>1、着力打造服务机关，严格规范公共事务管理，加强后勤维修保障，推进机关文明创建工作。2、打造平安机关，</w:t>
      </w:r>
      <w:r>
        <w:rPr>
          <w:rFonts w:hint="eastAsia" w:ascii="仿宋" w:hAnsi="仿宋" w:eastAsia="仿宋"/>
          <w:color w:val="auto"/>
          <w:kern w:val="2"/>
          <w:sz w:val="32"/>
          <w:szCs w:val="32"/>
          <w:lang w:eastAsia="zh-CN"/>
        </w:rPr>
        <w:t>安全生产</w:t>
      </w:r>
      <w:r>
        <w:rPr>
          <w:rFonts w:hint="eastAsia" w:ascii="仿宋" w:hAnsi="仿宋" w:eastAsia="仿宋"/>
          <w:color w:val="auto"/>
          <w:kern w:val="2"/>
          <w:sz w:val="32"/>
          <w:szCs w:val="32"/>
        </w:rPr>
        <w:t>工作，及时排查</w:t>
      </w:r>
      <w:r>
        <w:rPr>
          <w:rFonts w:hint="eastAsia" w:ascii="仿宋" w:hAnsi="仿宋" w:eastAsia="仿宋"/>
          <w:color w:val="auto"/>
          <w:kern w:val="2"/>
          <w:sz w:val="32"/>
          <w:szCs w:val="32"/>
          <w:lang w:eastAsia="zh-CN"/>
        </w:rPr>
        <w:t>消除</w:t>
      </w:r>
      <w:r>
        <w:rPr>
          <w:rFonts w:hint="eastAsia" w:ascii="仿宋" w:hAnsi="仿宋" w:eastAsia="仿宋"/>
          <w:color w:val="auto"/>
          <w:kern w:val="2"/>
          <w:sz w:val="32"/>
          <w:szCs w:val="32"/>
        </w:rPr>
        <w:t>影响安全稳定的因素。3、厉行节约降能耗；加强节能宣传引导。</w:t>
      </w:r>
    </w:p>
    <w:p>
      <w:pPr>
        <w:spacing w:line="600" w:lineRule="exact"/>
        <w:ind w:firstLine="643" w:firstLineChars="200"/>
        <w:rPr>
          <w:rFonts w:hint="eastAsia" w:ascii="仿宋" w:hAnsi="仿宋" w:eastAsia="仿宋"/>
          <w:b w:val="0"/>
          <w:color w:val="auto"/>
          <w:sz w:val="32"/>
          <w:szCs w:val="32"/>
          <w:lang w:eastAsia="zh-CN"/>
        </w:rPr>
      </w:pPr>
      <w:r>
        <w:rPr>
          <w:rFonts w:eastAsia="楷体_GB2312"/>
          <w:b/>
          <w:sz w:val="32"/>
          <w:szCs w:val="32"/>
        </w:rPr>
        <w:t>其他项目支出绩效目标</w:t>
      </w:r>
      <w:r>
        <w:rPr>
          <w:rFonts w:hint="eastAsia" w:ascii="仿宋" w:hAnsi="仿宋" w:eastAsia="仿宋"/>
          <w:b w:val="0"/>
          <w:color w:val="auto"/>
          <w:sz w:val="32"/>
          <w:szCs w:val="32"/>
          <w:lang w:eastAsia="zh-CN"/>
        </w:rPr>
        <w:t>：</w:t>
      </w:r>
      <w:r>
        <w:rPr>
          <w:rFonts w:hint="eastAsia" w:ascii="仿宋" w:hAnsi="仿宋" w:eastAsia="仿宋"/>
          <w:color w:val="auto"/>
          <w:kern w:val="2"/>
          <w:sz w:val="32"/>
          <w:szCs w:val="32"/>
          <w:lang w:val="en-US" w:eastAsia="zh-CN"/>
        </w:rPr>
        <w:t>做好后勤服务工作，保障厅机关两院正常运行。</w:t>
      </w:r>
    </w:p>
    <w:p>
      <w:pPr>
        <w:pStyle w:val="15"/>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360" w:lineRule="auto"/>
        <w:ind w:firstLine="640"/>
        <w:rPr>
          <w:rFonts w:ascii="仿宋" w:hAnsi="仿宋" w:eastAsia="仿宋" w:cs="仿宋_GB2312"/>
          <w:sz w:val="32"/>
          <w:szCs w:val="32"/>
        </w:rPr>
      </w:pPr>
      <w:bookmarkStart w:id="4" w:name="OLE_LINK26"/>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年度基本支出预算</w:t>
      </w:r>
      <w:r>
        <w:rPr>
          <w:rFonts w:hint="eastAsia" w:ascii="仿宋" w:hAnsi="仿宋" w:eastAsia="仿宋" w:cs="仿宋_GB2312"/>
          <w:sz w:val="32"/>
          <w:szCs w:val="32"/>
          <w:lang w:val="en-US" w:eastAsia="zh-CN"/>
        </w:rPr>
        <w:t>738.24</w:t>
      </w:r>
      <w:r>
        <w:rPr>
          <w:rFonts w:hint="eastAsia" w:ascii="仿宋" w:hAnsi="仿宋" w:eastAsia="仿宋" w:cs="仿宋_GB2312"/>
          <w:sz w:val="32"/>
          <w:szCs w:val="32"/>
        </w:rPr>
        <w:t>万元，基本支出决算数为</w:t>
      </w:r>
      <w:r>
        <w:rPr>
          <w:rFonts w:hint="eastAsia" w:ascii="仿宋" w:hAnsi="仿宋" w:eastAsia="仿宋" w:cs="仿宋_GB2312"/>
          <w:sz w:val="32"/>
          <w:szCs w:val="32"/>
          <w:lang w:val="en-US" w:eastAsia="zh-CN"/>
        </w:rPr>
        <w:t>721.93</w:t>
      </w:r>
      <w:r>
        <w:rPr>
          <w:rFonts w:hint="eastAsia" w:ascii="仿宋" w:hAnsi="仿宋" w:eastAsia="仿宋" w:cs="仿宋_GB2312"/>
          <w:sz w:val="32"/>
          <w:szCs w:val="32"/>
        </w:rPr>
        <w:t>万元。其中人员经费</w:t>
      </w:r>
      <w:r>
        <w:rPr>
          <w:rFonts w:hint="eastAsia" w:ascii="仿宋" w:hAnsi="仿宋" w:eastAsia="仿宋" w:cs="仿宋_GB2312"/>
          <w:sz w:val="32"/>
          <w:szCs w:val="32"/>
          <w:lang w:val="en-US" w:eastAsia="zh-CN"/>
        </w:rPr>
        <w:t>653.78</w:t>
      </w:r>
      <w:r>
        <w:rPr>
          <w:rFonts w:hint="eastAsia" w:ascii="仿宋" w:hAnsi="仿宋" w:eastAsia="仿宋" w:cs="仿宋_GB2312"/>
          <w:sz w:val="32"/>
          <w:szCs w:val="32"/>
        </w:rPr>
        <w:t>万元、日常公用经费</w:t>
      </w:r>
      <w:r>
        <w:rPr>
          <w:rFonts w:hint="eastAsia" w:ascii="仿宋" w:hAnsi="仿宋" w:eastAsia="仿宋" w:cs="仿宋_GB2312"/>
          <w:sz w:val="32"/>
          <w:szCs w:val="32"/>
          <w:lang w:val="en-US" w:eastAsia="zh-CN"/>
        </w:rPr>
        <w:t>68.15</w:t>
      </w:r>
      <w:r>
        <w:rPr>
          <w:rFonts w:hint="eastAsia" w:ascii="仿宋" w:hAnsi="仿宋" w:eastAsia="仿宋" w:cs="仿宋_GB2312"/>
          <w:sz w:val="32"/>
          <w:szCs w:val="32"/>
        </w:rPr>
        <w:t>万元。本年基本支出结余</w:t>
      </w:r>
      <w:r>
        <w:rPr>
          <w:rFonts w:hint="eastAsia" w:ascii="仿宋" w:hAnsi="仿宋" w:eastAsia="仿宋" w:cs="仿宋_GB2312"/>
          <w:sz w:val="32"/>
          <w:szCs w:val="32"/>
          <w:lang w:val="en-US" w:eastAsia="zh-CN"/>
        </w:rPr>
        <w:t>16.33</w:t>
      </w:r>
      <w:r>
        <w:rPr>
          <w:rFonts w:hint="eastAsia" w:ascii="仿宋" w:hAnsi="仿宋" w:eastAsia="仿宋" w:cs="仿宋_GB2312"/>
          <w:sz w:val="32"/>
          <w:szCs w:val="32"/>
        </w:rPr>
        <w:t>万元。</w:t>
      </w:r>
    </w:p>
    <w:bookmarkEnd w:id="4"/>
    <w:p>
      <w:pPr>
        <w:pStyle w:val="15"/>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360" w:lineRule="auto"/>
        <w:ind w:firstLine="640" w:firstLineChars="0"/>
        <w:rPr>
          <w:rFonts w:hint="eastAsia" w:ascii="仿宋" w:hAnsi="仿宋" w:eastAsia="仿宋" w:cs="仿宋_GB2312"/>
          <w:sz w:val="32"/>
          <w:szCs w:val="32"/>
          <w:lang w:val="en-US" w:eastAsia="zh-CN"/>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年度项目支出年初结余</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万元，全年项目支出预算数为</w:t>
      </w:r>
      <w:r>
        <w:rPr>
          <w:rFonts w:hint="eastAsia" w:ascii="仿宋" w:hAnsi="仿宋" w:eastAsia="仿宋" w:cs="仿宋_GB2312"/>
          <w:sz w:val="32"/>
          <w:szCs w:val="32"/>
          <w:lang w:val="en-US" w:eastAsia="zh-CN"/>
        </w:rPr>
        <w:t>240.80</w:t>
      </w:r>
      <w:r>
        <w:rPr>
          <w:rFonts w:hint="eastAsia" w:ascii="仿宋" w:hAnsi="仿宋" w:eastAsia="仿宋" w:cs="仿宋_GB2312"/>
          <w:sz w:val="32"/>
          <w:szCs w:val="32"/>
        </w:rPr>
        <w:t>万元。项目支出决算数为</w:t>
      </w:r>
      <w:r>
        <w:rPr>
          <w:rFonts w:hint="eastAsia" w:ascii="仿宋" w:hAnsi="仿宋" w:eastAsia="仿宋" w:cs="仿宋_GB2312"/>
          <w:sz w:val="32"/>
          <w:szCs w:val="32"/>
          <w:lang w:val="en-US" w:eastAsia="zh-CN"/>
        </w:rPr>
        <w:t>213.03</w:t>
      </w:r>
      <w:r>
        <w:rPr>
          <w:rFonts w:hint="eastAsia" w:ascii="仿宋" w:hAnsi="仿宋" w:eastAsia="仿宋" w:cs="仿宋_GB2312"/>
          <w:sz w:val="32"/>
          <w:szCs w:val="32"/>
        </w:rPr>
        <w:t>万元，年末结余</w:t>
      </w:r>
      <w:r>
        <w:rPr>
          <w:rFonts w:hint="eastAsia" w:ascii="仿宋" w:hAnsi="仿宋" w:eastAsia="仿宋" w:cs="仿宋_GB2312"/>
          <w:sz w:val="32"/>
          <w:szCs w:val="32"/>
          <w:lang w:val="en-US" w:eastAsia="zh-CN"/>
        </w:rPr>
        <w:t>27.77</w:t>
      </w:r>
      <w:r>
        <w:rPr>
          <w:rFonts w:hint="eastAsia" w:ascii="仿宋" w:hAnsi="仿宋" w:eastAsia="仿宋" w:cs="仿宋_GB2312"/>
          <w:sz w:val="32"/>
          <w:szCs w:val="32"/>
        </w:rPr>
        <w:t>万元。其中</w:t>
      </w:r>
      <w:r>
        <w:rPr>
          <w:rFonts w:hint="eastAsia" w:ascii="仿宋" w:hAnsi="仿宋" w:eastAsia="仿宋" w:cs="仿宋_GB2312"/>
          <w:sz w:val="32"/>
          <w:szCs w:val="32"/>
          <w:lang w:val="en-US" w:eastAsia="zh-CN"/>
        </w:rPr>
        <w:t>;</w:t>
      </w:r>
    </w:p>
    <w:p>
      <w:pPr>
        <w:spacing w:line="360" w:lineRule="auto"/>
        <w:ind w:firstLine="640" w:firstLineChars="0"/>
        <w:rPr>
          <w:rFonts w:hint="eastAsia" w:ascii="仿宋" w:hAnsi="仿宋" w:eastAsia="仿宋" w:cs="仿宋_GB2312"/>
          <w:sz w:val="32"/>
          <w:szCs w:val="32"/>
        </w:rPr>
      </w:pPr>
      <w:r>
        <w:rPr>
          <w:rFonts w:hint="eastAsia" w:ascii="仿宋" w:hAnsi="仿宋" w:eastAsia="仿宋" w:cs="仿宋_GB2312"/>
          <w:sz w:val="32"/>
          <w:szCs w:val="32"/>
          <w:lang w:val="en-US" w:eastAsia="zh-CN"/>
        </w:rPr>
        <w:t>1.2024</w:t>
      </w:r>
      <w:r>
        <w:rPr>
          <w:rFonts w:hint="eastAsia" w:ascii="仿宋" w:hAnsi="仿宋" w:eastAsia="仿宋" w:cs="仿宋_GB2312"/>
          <w:sz w:val="32"/>
          <w:szCs w:val="32"/>
        </w:rPr>
        <w:t>年度</w:t>
      </w:r>
      <w:r>
        <w:rPr>
          <w:rFonts w:hint="eastAsia" w:ascii="仿宋" w:hAnsi="仿宋" w:eastAsia="仿宋" w:cs="仿宋_GB2312"/>
          <w:sz w:val="32"/>
          <w:szCs w:val="32"/>
          <w:lang w:val="en-US" w:eastAsia="zh-CN"/>
        </w:rPr>
        <w:t>未安排</w:t>
      </w:r>
      <w:r>
        <w:rPr>
          <w:rFonts w:hint="eastAsia" w:ascii="仿宋" w:hAnsi="仿宋" w:eastAsia="仿宋" w:cs="仿宋_GB2312"/>
          <w:sz w:val="32"/>
          <w:szCs w:val="32"/>
        </w:rPr>
        <w:t>省级专项资金。</w:t>
      </w:r>
    </w:p>
    <w:p>
      <w:pPr>
        <w:spacing w:line="360" w:lineRule="auto"/>
        <w:ind w:firstLine="640" w:firstLineChars="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2.其他事业发展</w:t>
      </w:r>
      <w:r>
        <w:rPr>
          <w:rFonts w:hint="eastAsia" w:ascii="仿宋" w:hAnsi="仿宋" w:eastAsia="仿宋" w:cs="仿宋_GB2312"/>
          <w:sz w:val="32"/>
          <w:szCs w:val="32"/>
        </w:rPr>
        <w:t>项目支出情况。</w:t>
      </w:r>
      <w:r>
        <w:rPr>
          <w:rFonts w:hint="eastAsia" w:ascii="仿宋" w:hAnsi="仿宋" w:eastAsia="仿宋" w:cs="仿宋_GB2312"/>
          <w:sz w:val="32"/>
          <w:szCs w:val="32"/>
          <w:lang w:val="en-US" w:eastAsia="zh-CN"/>
        </w:rPr>
        <w:t>全年预算数240.80万元，支出213.0万元，主要用于2024年第一批抚恤金、丧葬费、社区+联防经费、办公用房维修、机关大院维修、厅机关食堂补助等方面。</w:t>
      </w:r>
    </w:p>
    <w:p>
      <w:pPr>
        <w:pStyle w:val="15"/>
        <w:numPr>
          <w:ilvl w:val="0"/>
          <w:numId w:val="1"/>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15"/>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5"/>
        <w:numPr>
          <w:ilvl w:val="0"/>
          <w:numId w:val="1"/>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5"/>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5"/>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spacing w:line="600" w:lineRule="exact"/>
        <w:ind w:firstLine="640" w:firstLineChars="2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无</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运行成本</w:t>
      </w:r>
    </w:p>
    <w:p>
      <w:pPr>
        <w:pStyle w:val="3"/>
      </w:pP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年度基本支出预算</w:t>
      </w:r>
      <w:r>
        <w:rPr>
          <w:rFonts w:hint="eastAsia" w:ascii="仿宋" w:hAnsi="仿宋" w:eastAsia="仿宋" w:cs="仿宋_GB2312"/>
          <w:sz w:val="32"/>
          <w:szCs w:val="32"/>
          <w:lang w:val="en-US" w:eastAsia="zh-CN"/>
        </w:rPr>
        <w:t>738.24</w:t>
      </w:r>
      <w:r>
        <w:rPr>
          <w:rFonts w:hint="eastAsia" w:ascii="仿宋" w:hAnsi="仿宋" w:eastAsia="仿宋" w:cs="仿宋_GB2312"/>
          <w:sz w:val="32"/>
          <w:szCs w:val="32"/>
        </w:rPr>
        <w:t>万元，基本支出决算数为</w:t>
      </w:r>
      <w:r>
        <w:rPr>
          <w:rFonts w:hint="eastAsia" w:ascii="仿宋" w:hAnsi="仿宋" w:eastAsia="仿宋" w:cs="仿宋_GB2312"/>
          <w:sz w:val="32"/>
          <w:szCs w:val="32"/>
          <w:lang w:val="en-US" w:eastAsia="zh-CN"/>
        </w:rPr>
        <w:t>721.93</w:t>
      </w:r>
      <w:r>
        <w:rPr>
          <w:rFonts w:hint="eastAsia" w:ascii="仿宋" w:hAnsi="仿宋" w:eastAsia="仿宋" w:cs="仿宋_GB2312"/>
          <w:sz w:val="32"/>
          <w:szCs w:val="32"/>
        </w:rPr>
        <w:t>万元。其中人员经费</w:t>
      </w:r>
      <w:r>
        <w:rPr>
          <w:rFonts w:hint="eastAsia" w:ascii="仿宋" w:hAnsi="仿宋" w:eastAsia="仿宋" w:cs="仿宋_GB2312"/>
          <w:sz w:val="32"/>
          <w:szCs w:val="32"/>
          <w:lang w:val="en-US" w:eastAsia="zh-CN"/>
        </w:rPr>
        <w:t>653.78</w:t>
      </w:r>
      <w:r>
        <w:rPr>
          <w:rFonts w:hint="eastAsia" w:ascii="仿宋" w:hAnsi="仿宋" w:eastAsia="仿宋" w:cs="仿宋_GB2312"/>
          <w:sz w:val="32"/>
          <w:szCs w:val="32"/>
        </w:rPr>
        <w:t>万元、日常公用经费</w:t>
      </w:r>
      <w:r>
        <w:rPr>
          <w:rFonts w:hint="eastAsia" w:ascii="仿宋" w:hAnsi="仿宋" w:eastAsia="仿宋" w:cs="仿宋_GB2312"/>
          <w:sz w:val="32"/>
          <w:szCs w:val="32"/>
          <w:lang w:val="en-US" w:eastAsia="zh-CN"/>
        </w:rPr>
        <w:t>68.15</w:t>
      </w:r>
      <w:r>
        <w:rPr>
          <w:rFonts w:hint="eastAsia" w:ascii="仿宋" w:hAnsi="仿宋" w:eastAsia="仿宋" w:cs="仿宋_GB2312"/>
          <w:sz w:val="32"/>
          <w:szCs w:val="32"/>
        </w:rPr>
        <w:t>万元。本年基本支出结余</w:t>
      </w:r>
      <w:r>
        <w:rPr>
          <w:rFonts w:hint="eastAsia" w:ascii="仿宋" w:hAnsi="仿宋" w:eastAsia="仿宋" w:cs="仿宋_GB2312"/>
          <w:sz w:val="32"/>
          <w:szCs w:val="32"/>
          <w:lang w:val="en-US" w:eastAsia="zh-CN"/>
        </w:rPr>
        <w:t>16.33</w:t>
      </w:r>
      <w:r>
        <w:rPr>
          <w:rFonts w:hint="eastAsia" w:ascii="仿宋" w:hAnsi="仿宋" w:eastAsia="仿宋" w:cs="仿宋_GB2312"/>
          <w:sz w:val="32"/>
          <w:szCs w:val="32"/>
        </w:rPr>
        <w:t>万元。</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管理效率</w:t>
      </w:r>
    </w:p>
    <w:p>
      <w:pPr>
        <w:spacing w:line="660" w:lineRule="exact"/>
        <w:ind w:firstLine="640"/>
        <w:rPr>
          <w:rFonts w:ascii="仿宋" w:hAnsi="仿宋" w:eastAsia="仿宋" w:cs="华文楷体"/>
          <w:bCs/>
          <w:sz w:val="32"/>
          <w:szCs w:val="32"/>
        </w:rPr>
      </w:pPr>
      <w:r>
        <w:rPr>
          <w:rFonts w:hint="eastAsia" w:ascii="仿宋" w:hAnsi="仿宋" w:eastAsia="仿宋" w:cs="华文楷体"/>
          <w:b w:val="0"/>
          <w:bCs w:val="0"/>
          <w:sz w:val="32"/>
          <w:szCs w:val="32"/>
        </w:rPr>
        <w:t>精心组织人事人才工作。</w:t>
      </w:r>
      <w:r>
        <w:rPr>
          <w:rFonts w:hint="eastAsia" w:ascii="仿宋" w:hAnsi="仿宋" w:eastAsia="仿宋" w:cs="华文楷体"/>
          <w:bCs/>
          <w:sz w:val="32"/>
          <w:szCs w:val="32"/>
        </w:rPr>
        <w:t>加强人事汇报协调工作</w:t>
      </w:r>
      <w:r>
        <w:rPr>
          <w:rFonts w:hint="eastAsia" w:ascii="仿宋" w:hAnsi="仿宋" w:eastAsia="仿宋"/>
          <w:bCs/>
          <w:sz w:val="32"/>
          <w:szCs w:val="32"/>
        </w:rPr>
        <w:t>，建强配齐后勤班子，年内争取</w:t>
      </w:r>
      <w:r>
        <w:rPr>
          <w:rFonts w:hint="eastAsia" w:ascii="仿宋" w:hAnsi="仿宋" w:eastAsia="仿宋"/>
          <w:sz w:val="32"/>
          <w:szCs w:val="32"/>
        </w:rPr>
        <w:t>推荐提拔2名副主任。按照当前事业单位改革发展要求以及省编办核定的领导职数、编制限额和职责职能</w:t>
      </w:r>
      <w:r>
        <w:rPr>
          <w:rFonts w:hint="eastAsia" w:ascii="仿宋" w:hAnsi="仿宋" w:eastAsia="仿宋" w:cs="华文楷体"/>
          <w:bCs/>
          <w:sz w:val="32"/>
          <w:szCs w:val="32"/>
        </w:rPr>
        <w:t>完成后勤</w:t>
      </w:r>
      <w:r>
        <w:rPr>
          <w:rFonts w:hint="eastAsia" w:ascii="仿宋" w:hAnsi="仿宋" w:eastAsia="仿宋"/>
          <w:bCs/>
          <w:sz w:val="32"/>
          <w:szCs w:val="32"/>
        </w:rPr>
        <w:t>岗位设置，</w:t>
      </w:r>
      <w:r>
        <w:rPr>
          <w:rFonts w:hint="eastAsia" w:ascii="仿宋" w:hAnsi="仿宋" w:eastAsia="仿宋"/>
          <w:sz w:val="32"/>
          <w:szCs w:val="32"/>
        </w:rPr>
        <w:t>解决职工后顾之忧。</w:t>
      </w:r>
      <w:r>
        <w:rPr>
          <w:rFonts w:hint="eastAsia" w:ascii="仿宋" w:hAnsi="仿宋" w:eastAsia="仿宋" w:cs="华文楷体"/>
          <w:bCs/>
          <w:sz w:val="32"/>
          <w:szCs w:val="32"/>
        </w:rPr>
        <w:t>加强化</w:t>
      </w:r>
      <w:r>
        <w:rPr>
          <w:rFonts w:hint="eastAsia" w:ascii="仿宋" w:hAnsi="仿宋" w:eastAsia="仿宋"/>
          <w:bCs/>
          <w:sz w:val="32"/>
          <w:szCs w:val="32"/>
        </w:rPr>
        <w:t>人才队伍建设，做好事业单位人才网上培训，促进后勤工作人员外出交流学习，</w:t>
      </w:r>
      <w:r>
        <w:rPr>
          <w:rFonts w:hint="eastAsia" w:ascii="仿宋" w:hAnsi="仿宋" w:eastAsia="仿宋" w:cs="宋体"/>
          <w:sz w:val="32"/>
          <w:szCs w:val="32"/>
        </w:rPr>
        <w:t>提升人员素质和工作能力。加强</w:t>
      </w:r>
      <w:r>
        <w:rPr>
          <w:rFonts w:hint="eastAsia" w:ascii="仿宋" w:hAnsi="仿宋" w:eastAsia="仿宋" w:cs="宋体"/>
          <w:bCs/>
          <w:sz w:val="32"/>
          <w:szCs w:val="32"/>
        </w:rPr>
        <w:t>人事考核管理与服务，为职工做好</w:t>
      </w:r>
      <w:r>
        <w:rPr>
          <w:rFonts w:hint="eastAsia" w:ascii="仿宋" w:hAnsi="仿宋" w:eastAsia="仿宋" w:cs="宋体"/>
          <w:sz w:val="32"/>
          <w:szCs w:val="32"/>
        </w:rPr>
        <w:t>年度考核测评、评先评优、晋级晋档和工资核算，办理退休档案审核、退休异动工作以及做好公休假的管理、统计工作。</w:t>
      </w:r>
    </w:p>
    <w:p>
      <w:pPr>
        <w:pStyle w:val="15"/>
        <w:spacing w:line="660" w:lineRule="exact"/>
        <w:ind w:firstLine="643"/>
        <w:rPr>
          <w:rFonts w:hint="eastAsia" w:ascii="仿宋" w:hAnsi="仿宋" w:eastAsia="仿宋" w:cs="宋体"/>
          <w:sz w:val="32"/>
          <w:szCs w:val="32"/>
        </w:rPr>
      </w:pPr>
      <w:r>
        <w:rPr>
          <w:rFonts w:hint="eastAsia" w:ascii="仿宋" w:hAnsi="仿宋" w:eastAsia="仿宋" w:cs="宋体"/>
          <w:b w:val="0"/>
          <w:bCs w:val="0"/>
          <w:sz w:val="32"/>
          <w:szCs w:val="32"/>
        </w:rPr>
        <w:t>贴心做实老干服务工作。</w:t>
      </w:r>
      <w:r>
        <w:rPr>
          <w:rFonts w:hint="eastAsia" w:ascii="仿宋" w:hAnsi="仿宋" w:eastAsia="仿宋" w:cs="宋体"/>
          <w:sz w:val="32"/>
          <w:szCs w:val="32"/>
        </w:rPr>
        <w:t>做好</w:t>
      </w:r>
      <w:r>
        <w:rPr>
          <w:rFonts w:ascii="仿宋" w:hAnsi="仿宋" w:eastAsia="仿宋" w:cs="Nimbus Roman No9 L"/>
          <w:sz w:val="32"/>
          <w:szCs w:val="32"/>
        </w:rPr>
        <w:t>2023</w:t>
      </w:r>
      <w:r>
        <w:rPr>
          <w:rFonts w:hint="eastAsia" w:ascii="仿宋" w:hAnsi="仿宋" w:eastAsia="仿宋" w:cs="宋体"/>
          <w:sz w:val="32"/>
          <w:szCs w:val="32"/>
        </w:rPr>
        <w:t>年度养老保险年度审核及数据测算、申报工作。每月按时完成后勤中心在职人员养老保险的核算及申报工作,做好退休人员养老金的数据核查及社保认证工作，保证退休人员的养老金、年金的及时发放。</w:t>
      </w:r>
      <w:r>
        <w:rPr>
          <w:rFonts w:hint="eastAsia" w:ascii="仿宋" w:hAnsi="仿宋" w:eastAsia="仿宋" w:cs="宋体"/>
          <w:bCs/>
          <w:sz w:val="32"/>
          <w:szCs w:val="32"/>
        </w:rPr>
        <w:t>为后勤退休人员</w:t>
      </w:r>
      <w:r>
        <w:rPr>
          <w:rFonts w:hint="eastAsia" w:ascii="仿宋" w:hAnsi="仿宋" w:eastAsia="仿宋" w:cs="宋体"/>
          <w:sz w:val="32"/>
          <w:szCs w:val="32"/>
        </w:rPr>
        <w:t>办好相关养老手续，</w:t>
      </w:r>
      <w:r>
        <w:rPr>
          <w:rFonts w:hint="eastAsia" w:ascii="仿宋" w:hAnsi="仿宋" w:eastAsia="仿宋" w:cs="宋体"/>
          <w:bCs/>
          <w:sz w:val="32"/>
          <w:szCs w:val="32"/>
        </w:rPr>
        <w:t>做好</w:t>
      </w:r>
      <w:r>
        <w:rPr>
          <w:rFonts w:hint="eastAsia" w:ascii="仿宋" w:hAnsi="仿宋" w:eastAsia="仿宋" w:cs="宋体"/>
          <w:sz w:val="32"/>
          <w:szCs w:val="32"/>
        </w:rPr>
        <w:t>退休人员退休人员生日慰问、节日慰问、住院慰问及节日物资的购置发放等服务工作。抓好老干支部建设，认真组织退休支部活动，定期组织退休党员开展政治学习、外出参观活动。</w:t>
      </w:r>
    </w:p>
    <w:p>
      <w:pPr>
        <w:pStyle w:val="15"/>
        <w:spacing w:line="660" w:lineRule="exact"/>
        <w:ind w:firstLine="643"/>
        <w:rPr>
          <w:rFonts w:hint="eastAsia" w:ascii="仿宋" w:hAnsi="仿宋" w:eastAsia="仿宋"/>
          <w:sz w:val="32"/>
          <w:szCs w:val="32"/>
        </w:rPr>
      </w:pPr>
      <w:r>
        <w:rPr>
          <w:rFonts w:hint="eastAsia" w:ascii="仿宋" w:hAnsi="仿宋" w:eastAsia="仿宋" w:cs="宋体"/>
          <w:b w:val="0"/>
          <w:bCs/>
          <w:sz w:val="32"/>
          <w:szCs w:val="32"/>
        </w:rPr>
        <w:t>进一步加强后勤</w:t>
      </w:r>
      <w:r>
        <w:rPr>
          <w:rFonts w:hint="eastAsia" w:ascii="仿宋" w:hAnsi="仿宋" w:eastAsia="仿宋" w:cs="华文楷体"/>
          <w:b w:val="0"/>
          <w:bCs/>
          <w:sz w:val="32"/>
          <w:szCs w:val="32"/>
        </w:rPr>
        <w:t>财务管理。</w:t>
      </w:r>
      <w:r>
        <w:rPr>
          <w:rFonts w:hint="eastAsia" w:ascii="仿宋" w:hAnsi="仿宋" w:eastAsia="仿宋" w:cs="仿宋"/>
          <w:bCs/>
          <w:color w:val="000000"/>
          <w:sz w:val="32"/>
          <w:szCs w:val="32"/>
        </w:rPr>
        <w:t>编制年度财务预算，做好年度预算执行，</w:t>
      </w:r>
      <w:r>
        <w:rPr>
          <w:rFonts w:hint="eastAsia" w:ascii="仿宋" w:hAnsi="仿宋" w:eastAsia="仿宋" w:cs="仿宋"/>
          <w:color w:val="000000"/>
          <w:sz w:val="32"/>
          <w:szCs w:val="32"/>
        </w:rPr>
        <w:t>把好支出关口，提高资金使用效益。</w:t>
      </w:r>
      <w:r>
        <w:rPr>
          <w:rFonts w:hint="eastAsia" w:ascii="仿宋" w:hAnsi="仿宋" w:eastAsia="仿宋" w:cs="仿宋"/>
          <w:bCs/>
          <w:color w:val="000000"/>
          <w:sz w:val="32"/>
          <w:szCs w:val="32"/>
        </w:rPr>
        <w:t>加强日常财务管理，</w:t>
      </w:r>
      <w:r>
        <w:rPr>
          <w:rFonts w:hint="eastAsia" w:ascii="仿宋" w:hAnsi="仿宋" w:eastAsia="仿宋" w:cs="仿宋"/>
          <w:color w:val="000000"/>
          <w:sz w:val="32"/>
          <w:szCs w:val="32"/>
        </w:rPr>
        <w:t>做好后勤中心和机关食堂费用审核及账务处理工作。严格按财经纪律要求审核各项费用报销。</w:t>
      </w:r>
      <w:r>
        <w:rPr>
          <w:rFonts w:hint="eastAsia" w:ascii="仿宋" w:hAnsi="仿宋" w:eastAsia="仿宋"/>
          <w:sz w:val="32"/>
          <w:szCs w:val="32"/>
        </w:rPr>
        <w:t>做好后勤中心在职、退休职工工资、车补、物业补贴、奖金等款项申请及发放。</w:t>
      </w:r>
      <w:r>
        <w:rPr>
          <w:rFonts w:hint="eastAsia" w:ascii="仿宋" w:hAnsi="仿宋" w:eastAsia="仿宋" w:cs="方正仿宋_GBK"/>
          <w:sz w:val="32"/>
          <w:szCs w:val="32"/>
        </w:rPr>
        <w:t>按时</w:t>
      </w:r>
      <w:r>
        <w:rPr>
          <w:rFonts w:hint="eastAsia" w:ascii="仿宋" w:hAnsi="仿宋" w:eastAsia="仿宋" w:cs="方正仿宋_GBK"/>
          <w:spacing w:val="8"/>
          <w:sz w:val="32"/>
          <w:szCs w:val="32"/>
          <w:shd w:val="clear" w:color="auto" w:fill="FFFFFF"/>
        </w:rPr>
        <w:t>申报、缴纳后勤个税、增值税及其它税种。</w:t>
      </w:r>
      <w:r>
        <w:rPr>
          <w:rFonts w:hint="eastAsia" w:ascii="仿宋" w:hAnsi="仿宋" w:eastAsia="仿宋"/>
          <w:sz w:val="32"/>
          <w:szCs w:val="32"/>
        </w:rPr>
        <w:t>规范厅机关食堂餐卡管理，加强对新旧系统过渡期的消费监管，按时按规发放工作人员餐费补贴。</w:t>
      </w:r>
      <w:r>
        <w:rPr>
          <w:rFonts w:hint="eastAsia" w:ascii="仿宋" w:hAnsi="仿宋" w:eastAsia="仿宋" w:cs="仿宋"/>
          <w:bCs/>
          <w:color w:val="000000"/>
          <w:sz w:val="32"/>
          <w:szCs w:val="32"/>
        </w:rPr>
        <w:t>规范厅机关大院日常维修工程项目资金管理，</w:t>
      </w:r>
      <w:r>
        <w:rPr>
          <w:rFonts w:hint="eastAsia" w:ascii="仿宋" w:hAnsi="仿宋" w:eastAsia="仿宋" w:cs="仿宋"/>
          <w:color w:val="000000"/>
          <w:sz w:val="32"/>
          <w:szCs w:val="32"/>
        </w:rPr>
        <w:t>严格执行政府采购工作流程。做好</w:t>
      </w:r>
      <w:r>
        <w:rPr>
          <w:rFonts w:hint="eastAsia" w:ascii="仿宋" w:hAnsi="仿宋" w:eastAsia="仿宋" w:cs="宋体"/>
          <w:bCs/>
          <w:sz w:val="32"/>
          <w:szCs w:val="32"/>
        </w:rPr>
        <w:t>劳务派遣人员</w:t>
      </w:r>
      <w:r>
        <w:rPr>
          <w:rFonts w:hint="eastAsia" w:ascii="仿宋" w:hAnsi="仿宋" w:eastAsia="仿宋" w:cs="宋体"/>
          <w:sz w:val="32"/>
          <w:szCs w:val="32"/>
        </w:rPr>
        <w:t>薪酬、福利的申报审核工作。</w:t>
      </w:r>
      <w:r>
        <w:rPr>
          <w:rFonts w:hint="eastAsia" w:ascii="仿宋" w:hAnsi="仿宋" w:eastAsia="仿宋" w:cs="仿宋"/>
          <w:bCs/>
          <w:color w:val="000000"/>
          <w:sz w:val="32"/>
          <w:szCs w:val="32"/>
        </w:rPr>
        <w:t>做好2024年度机关及后勤“新人”住房补贴年审工作，</w:t>
      </w:r>
      <w:r>
        <w:rPr>
          <w:rFonts w:hint="eastAsia" w:ascii="仿宋" w:hAnsi="仿宋" w:eastAsia="仿宋" w:cs="仿宋"/>
          <w:color w:val="000000"/>
          <w:sz w:val="32"/>
          <w:szCs w:val="32"/>
        </w:rPr>
        <w:t>配合人事处办理“老人”职务异动住房补贴。</w:t>
      </w:r>
      <w:r>
        <w:rPr>
          <w:rFonts w:hint="eastAsia" w:ascii="仿宋" w:hAnsi="仿宋" w:eastAsia="仿宋"/>
          <w:bCs/>
          <w:color w:val="000000"/>
          <w:sz w:val="32"/>
          <w:szCs w:val="32"/>
        </w:rPr>
        <w:t>办理厅机关及后勤中心在职及退休人员医保费。</w:t>
      </w:r>
      <w:r>
        <w:rPr>
          <w:rFonts w:hint="eastAsia" w:ascii="仿宋" w:hAnsi="仿宋" w:eastAsia="仿宋"/>
          <w:bCs/>
          <w:sz w:val="32"/>
          <w:szCs w:val="32"/>
        </w:rPr>
        <w:t>协助厅机关车队核算驾驶员出车岗位补贴及安全奖</w:t>
      </w:r>
      <w:r>
        <w:rPr>
          <w:rFonts w:hint="eastAsia" w:ascii="仿宋" w:hAnsi="仿宋" w:eastAsia="仿宋"/>
          <w:sz w:val="32"/>
          <w:szCs w:val="32"/>
        </w:rPr>
        <w:t>。</w:t>
      </w:r>
    </w:p>
    <w:p>
      <w:pPr>
        <w:spacing w:line="660" w:lineRule="exact"/>
        <w:ind w:firstLine="800" w:firstLineChars="250"/>
        <w:rPr>
          <w:rFonts w:hint="eastAsia" w:ascii="仿宋" w:hAnsi="仿宋" w:eastAsia="仿宋"/>
          <w:sz w:val="32"/>
          <w:szCs w:val="32"/>
        </w:rPr>
      </w:pPr>
      <w:r>
        <w:rPr>
          <w:rFonts w:hint="eastAsia" w:ascii="仿宋" w:hAnsi="仿宋" w:eastAsia="仿宋"/>
          <w:b w:val="0"/>
          <w:bCs w:val="0"/>
          <w:sz w:val="32"/>
          <w:szCs w:val="32"/>
        </w:rPr>
        <w:t>认真抓好厅机关固定资产管理。</w:t>
      </w:r>
      <w:r>
        <w:rPr>
          <w:rFonts w:hint="eastAsia" w:ascii="仿宋" w:hAnsi="仿宋" w:eastAsia="仿宋"/>
          <w:sz w:val="32"/>
          <w:szCs w:val="32"/>
        </w:rPr>
        <w:t>依据湘农办财[</w:t>
      </w:r>
      <w:r>
        <w:rPr>
          <w:rFonts w:ascii="仿宋" w:hAnsi="仿宋" w:eastAsia="仿宋"/>
          <w:sz w:val="32"/>
          <w:szCs w:val="32"/>
        </w:rPr>
        <w:t>2021]64</w:t>
      </w:r>
      <w:r>
        <w:rPr>
          <w:rFonts w:hint="eastAsia" w:ascii="仿宋" w:hAnsi="仿宋" w:eastAsia="仿宋"/>
          <w:sz w:val="32"/>
          <w:szCs w:val="32"/>
        </w:rPr>
        <w:t>号文件，加强与计划财务处的工作沟通，抓日常、抓制度、抓程序、抓规范，建好、用好“公物仓”，把握管理关键环节，及时做好机关固定资产盘点清盘、调拨使用与报损处置工作。</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3.</w:t>
      </w:r>
      <w:r>
        <w:rPr>
          <w:rFonts w:eastAsia="仿宋_GB2312"/>
          <w:color w:val="000000"/>
          <w:sz w:val="32"/>
          <w:szCs w:val="32"/>
        </w:rPr>
        <w:t>履职效能</w:t>
      </w:r>
    </w:p>
    <w:p>
      <w:pPr>
        <w:widowControl/>
        <w:shd w:val="clear" w:color="auto" w:fill="FFFFFF"/>
        <w:tabs>
          <w:tab w:val="left" w:pos="3240"/>
        </w:tabs>
        <w:spacing w:line="660" w:lineRule="exact"/>
        <w:ind w:firstLine="640" w:firstLineChars="200"/>
        <w:rPr>
          <w:rFonts w:ascii="仿宋" w:hAnsi="仿宋" w:eastAsia="仿宋"/>
          <w:b/>
          <w:sz w:val="32"/>
          <w:szCs w:val="32"/>
        </w:rPr>
      </w:pPr>
      <w:r>
        <w:rPr>
          <w:rFonts w:hint="eastAsia" w:ascii="仿宋" w:hAnsi="仿宋" w:eastAsia="仿宋"/>
          <w:b w:val="0"/>
          <w:bCs/>
          <w:sz w:val="32"/>
          <w:szCs w:val="32"/>
        </w:rPr>
        <w:t>着力强化办公用房管理。</w:t>
      </w:r>
      <w:r>
        <w:rPr>
          <w:rFonts w:hint="eastAsia" w:ascii="仿宋" w:hAnsi="仿宋" w:eastAsia="仿宋" w:cs="方正仿宋_GBK"/>
          <w:bCs/>
          <w:sz w:val="32"/>
          <w:szCs w:val="32"/>
        </w:rPr>
        <w:t>按照厅“三</w:t>
      </w:r>
      <w:r>
        <w:rPr>
          <w:rFonts w:hint="eastAsia" w:ascii="仿宋" w:hAnsi="仿宋" w:eastAsia="仿宋" w:cs="方正仿宋_GBK"/>
          <w:sz w:val="32"/>
          <w:szCs w:val="32"/>
        </w:rPr>
        <w:t>定”方案，做好原乡村振兴局机构合并后厅机关处室单位办公用房的重新分配调整工作。年内对厅机关两个办公区进行一次办公用房检查，重点做好河西机关二院办公用房清理整改，纠正多占办公用房或乱设服务用房等乱相。收回河西机关二院被新民路社区占用的原省工商局老干活动室，隔断该社区进入一楼的楼梯通道。重新统计我厅机关办公用房信息数据统计上报省机关事务管理局办公用房信息管理平台。</w:t>
      </w:r>
      <w:r>
        <w:rPr>
          <w:rFonts w:hint="eastAsia" w:ascii="仿宋" w:hAnsi="仿宋" w:eastAsia="仿宋"/>
          <w:sz w:val="32"/>
          <w:szCs w:val="32"/>
        </w:rPr>
        <w:t>指导厅直各单位规范办公用房管理，组织开展业务培训，建立办公用房信息管理平台子系统，实现全厅系统办公用房信息数据共享和统一管理。配合省机关事务局完成厅机关食堂、原机关接待室及原测试中心大楼权属统一登记后续办证、移交及信息变更录入工作。协助省机关事务管理局住房保障处做好我厅机关院内存量公房及公租房日常使用管理工作，及时上报有关信息数据。</w:t>
      </w:r>
    </w:p>
    <w:p>
      <w:pPr>
        <w:spacing w:line="660" w:lineRule="exact"/>
        <w:ind w:firstLine="640" w:firstLineChars="200"/>
        <w:jc w:val="left"/>
        <w:rPr>
          <w:rFonts w:hint="eastAsia" w:ascii="仿宋" w:hAnsi="仿宋" w:eastAsia="仿宋" w:cs="方正仿宋_GBK"/>
          <w:sz w:val="32"/>
          <w:szCs w:val="32"/>
        </w:rPr>
      </w:pPr>
      <w:r>
        <w:rPr>
          <w:rFonts w:hint="eastAsia" w:ascii="仿宋" w:hAnsi="仿宋" w:eastAsia="仿宋"/>
          <w:b w:val="0"/>
          <w:bCs/>
          <w:sz w:val="32"/>
          <w:szCs w:val="32"/>
        </w:rPr>
        <w:t xml:space="preserve">切实规范公车运行保障。 </w:t>
      </w:r>
      <w:r>
        <w:rPr>
          <w:rFonts w:hint="eastAsia" w:ascii="仿宋" w:hAnsi="仿宋" w:eastAsia="仿宋" w:cs="方正仿宋_GBK"/>
          <w:bCs/>
          <w:sz w:val="32"/>
          <w:szCs w:val="32"/>
        </w:rPr>
        <w:t>按</w:t>
      </w:r>
      <w:r>
        <w:rPr>
          <w:rFonts w:hint="eastAsia" w:ascii="仿宋" w:hAnsi="仿宋" w:eastAsia="仿宋" w:cs="方正仿宋_GBK"/>
          <w:sz w:val="32"/>
          <w:szCs w:val="32"/>
        </w:rPr>
        <w:t>全省公务用车规范化管理要求，切实做好厅机关公务用车运行保障工作。 4月份组织开展厅系统公务用车管理信息平台操作使用培训，熟练掌握和运用平台设置相关功能，规范我厅公务用车申报、审批及调度用车流程，明确各环节责任人，简化我厅当前派车模式，全面实行网上平台规范派车。根据车队驾驶员人数增加情况因陋就简重新布置车队办公室，改善车队现有办公条件，为驾驶员购置一批办公桌椅及配备办公电脑等。制定厅机关车队管理制度，强化日常安全行车意识，确保公务用车运行安全。完善机关车队福利待遇保障机制，比照全省厅局级机关单位车队做法相应提高驾驶员待遇，增加驾驶员节假日和双休日加班工资、住房公积金及加入厅机关工会等待遇保障。</w:t>
      </w:r>
    </w:p>
    <w:p>
      <w:pPr>
        <w:spacing w:line="660" w:lineRule="exact"/>
        <w:ind w:firstLine="640" w:firstLineChars="200"/>
        <w:rPr>
          <w:rFonts w:hint="eastAsia" w:ascii="仿宋" w:hAnsi="仿宋" w:eastAsia="仿宋"/>
          <w:sz w:val="32"/>
          <w:szCs w:val="32"/>
        </w:rPr>
      </w:pPr>
      <w:r>
        <w:rPr>
          <w:rFonts w:hint="eastAsia" w:ascii="仿宋" w:hAnsi="仿宋" w:eastAsia="仿宋"/>
          <w:b w:val="0"/>
          <w:bCs w:val="0"/>
          <w:sz w:val="32"/>
          <w:szCs w:val="32"/>
        </w:rPr>
        <w:t>及时做好基建与维修保障工作。</w:t>
      </w:r>
      <w:r>
        <w:rPr>
          <w:rFonts w:hint="eastAsia" w:ascii="仿宋" w:hAnsi="仿宋" w:eastAsia="仿宋"/>
          <w:sz w:val="32"/>
          <w:szCs w:val="32"/>
        </w:rPr>
        <w:t>有计划执行常规性维保项目，做好消防、监控、门禁、配电、中央空调、管网、电梯等相关设施设备的专业维保工作。做好绿化管理，及时处置垃圾、清淤通管。督促物业及时跟进机关日常维修。重新规划设计机关大院内家属区电梯建设完成后的停车位、消防地标，完善车辆停行的设施管理。做好一办公楼二楼党组会议室、一楼党组扩大会议室与小礼堂维修改建工作。完成六栋、门面、印刷库房等拆除改建项目。完善和归档各类维保资料合同。</w:t>
      </w:r>
    </w:p>
    <w:p>
      <w:pPr>
        <w:spacing w:line="660" w:lineRule="exact"/>
        <w:ind w:firstLine="640" w:firstLineChars="200"/>
        <w:rPr>
          <w:rFonts w:hint="eastAsia" w:ascii="仿宋" w:hAnsi="仿宋" w:eastAsia="仿宋"/>
          <w:sz w:val="32"/>
          <w:szCs w:val="32"/>
        </w:rPr>
      </w:pPr>
      <w:r>
        <w:rPr>
          <w:rFonts w:hint="eastAsia" w:ascii="仿宋" w:hAnsi="仿宋" w:eastAsia="仿宋"/>
          <w:b w:val="0"/>
          <w:bCs w:val="0"/>
          <w:sz w:val="32"/>
          <w:szCs w:val="32"/>
        </w:rPr>
        <w:t>积极提高职工食堂餐饮服务水平。</w:t>
      </w:r>
      <w:r>
        <w:rPr>
          <w:rFonts w:hint="eastAsia" w:ascii="仿宋" w:hAnsi="仿宋" w:eastAsia="仿宋"/>
          <w:sz w:val="32"/>
          <w:szCs w:val="32"/>
        </w:rPr>
        <w:t>购置更新职工食堂中央空调，并对一楼的就餐桌椅进行统一更换，改善用餐环境。定期检查电线线路及燃气管道、水管的使用情况，杜绝安全隐患的发生。根据干部职工的反馈意见，及时采购绿色环保、新鲜时令食材，保证口感与食品安全，同时多渠道引进特色农副产品进入食堂，丰富职工餐桌。</w:t>
      </w:r>
    </w:p>
    <w:p>
      <w:pPr>
        <w:numPr>
          <w:ilvl w:val="0"/>
          <w:numId w:val="0"/>
        </w:num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eastAsia="仿宋_GB2312"/>
          <w:color w:val="000000"/>
          <w:sz w:val="32"/>
          <w:szCs w:val="32"/>
        </w:rPr>
        <w:t>社会效应</w:t>
      </w:r>
    </w:p>
    <w:p>
      <w:pPr>
        <w:spacing w:line="660" w:lineRule="exact"/>
        <w:ind w:firstLine="640" w:firstLineChars="200"/>
        <w:rPr>
          <w:rFonts w:hint="eastAsia" w:ascii="仿宋" w:hAnsi="仿宋" w:eastAsia="仿宋"/>
          <w:sz w:val="32"/>
          <w:szCs w:val="32"/>
        </w:rPr>
      </w:pPr>
      <w:r>
        <w:rPr>
          <w:rFonts w:hint="eastAsia" w:ascii="仿宋" w:hAnsi="仿宋" w:eastAsia="仿宋"/>
          <w:b w:val="0"/>
          <w:bCs w:val="0"/>
          <w:sz w:val="32"/>
          <w:szCs w:val="32"/>
          <w:lang w:eastAsia="zh-CN"/>
        </w:rPr>
        <w:t>切实做</w:t>
      </w:r>
      <w:r>
        <w:rPr>
          <w:rFonts w:hint="eastAsia" w:ascii="仿宋" w:hAnsi="仿宋" w:eastAsia="仿宋"/>
          <w:b w:val="0"/>
          <w:bCs w:val="0"/>
          <w:sz w:val="32"/>
          <w:szCs w:val="32"/>
        </w:rPr>
        <w:t>好机关大院</w:t>
      </w:r>
      <w:r>
        <w:rPr>
          <w:rFonts w:hint="eastAsia" w:ascii="仿宋" w:hAnsi="仿宋" w:eastAsia="仿宋"/>
          <w:b w:val="0"/>
          <w:bCs w:val="0"/>
          <w:sz w:val="32"/>
          <w:szCs w:val="32"/>
          <w:lang w:eastAsia="zh-CN"/>
        </w:rPr>
        <w:t>安全生产工作</w:t>
      </w:r>
      <w:r>
        <w:rPr>
          <w:rFonts w:hint="eastAsia" w:ascii="仿宋" w:hAnsi="仿宋" w:eastAsia="仿宋"/>
          <w:b w:val="0"/>
          <w:bCs w:val="0"/>
          <w:sz w:val="32"/>
          <w:szCs w:val="32"/>
        </w:rPr>
        <w:t>。</w:t>
      </w:r>
      <w:r>
        <w:rPr>
          <w:rFonts w:hint="eastAsia" w:ascii="仿宋" w:hAnsi="仿宋" w:eastAsia="仿宋"/>
          <w:sz w:val="32"/>
          <w:szCs w:val="32"/>
        </w:rPr>
        <w:t>按“一岗双责”制度压实后勤各级人员的安全责任，完善安防设施，健全安全管理制度，制定突发事件应急预案，常态化开展安全宣传，及时处置机关院内的矛盾与纠纷，加强对物业安防工作落实情况的检查、督促、整改与处置，积极保持与属地职能部门的平安共建，及时收集、整理与归档安全工作资料。</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eastAsia="仿宋_GB2312"/>
          <w:color w:val="000000"/>
          <w:sz w:val="32"/>
          <w:szCs w:val="32"/>
        </w:rPr>
        <w:t>可持续发展能力</w:t>
      </w:r>
    </w:p>
    <w:p>
      <w:pPr>
        <w:spacing w:line="660" w:lineRule="exact"/>
        <w:ind w:firstLine="640" w:firstLineChars="200"/>
        <w:rPr>
          <w:rFonts w:hint="eastAsia" w:ascii="仿宋" w:hAnsi="仿宋" w:eastAsia="仿宋"/>
          <w:sz w:val="32"/>
          <w:szCs w:val="32"/>
        </w:rPr>
      </w:pPr>
      <w:bookmarkStart w:id="5" w:name="OLE_LINK19"/>
      <w:r>
        <w:rPr>
          <w:rFonts w:hint="eastAsia" w:ascii="仿宋" w:hAnsi="仿宋" w:eastAsia="仿宋"/>
          <w:b w:val="0"/>
          <w:bCs w:val="0"/>
          <w:sz w:val="32"/>
          <w:szCs w:val="32"/>
        </w:rPr>
        <w:t>持续推动节约型机关建设</w:t>
      </w:r>
      <w:bookmarkEnd w:id="5"/>
      <w:r>
        <w:rPr>
          <w:rFonts w:hint="eastAsia" w:ascii="仿宋" w:hAnsi="仿宋" w:eastAsia="仿宋"/>
          <w:b w:val="0"/>
          <w:bCs w:val="0"/>
          <w:sz w:val="32"/>
          <w:szCs w:val="32"/>
        </w:rPr>
        <w:t>。</w:t>
      </w:r>
      <w:r>
        <w:rPr>
          <w:rFonts w:hint="eastAsia" w:ascii="仿宋" w:hAnsi="仿宋" w:eastAsia="仿宋"/>
          <w:sz w:val="32"/>
          <w:szCs w:val="32"/>
        </w:rPr>
        <w:t>严格对标省机关事务管理局的相关工作要求，加强厅机关东西两院水、电、气、垃圾分类、限塑降塑消耗数据的统计与分析，按节能降耗、绿色低碳的工作要求实行目标调控与管理，组织开展厅系统节能节水、垃圾分类工作，做好厅统单位创建工作与节能资金申报项目，及时完成能源资源消耗数据的统计与报送。</w:t>
      </w:r>
    </w:p>
    <w:p>
      <w:pPr>
        <w:spacing w:line="6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6.</w:t>
      </w:r>
      <w:r>
        <w:rPr>
          <w:rFonts w:hint="eastAsia" w:ascii="仿宋" w:hAnsi="仿宋" w:eastAsia="仿宋"/>
          <w:color w:val="auto"/>
          <w:sz w:val="32"/>
          <w:szCs w:val="32"/>
        </w:rPr>
        <w:t>服务对象满意度</w:t>
      </w:r>
    </w:p>
    <w:p>
      <w:pPr>
        <w:spacing w:line="660" w:lineRule="exact"/>
        <w:ind w:firstLine="643"/>
        <w:rPr>
          <w:rFonts w:hint="eastAsia" w:ascii="仿宋" w:hAnsi="仿宋" w:eastAsia="仿宋" w:cs="Times New Roman"/>
          <w:sz w:val="32"/>
          <w:szCs w:val="32"/>
        </w:rPr>
      </w:pPr>
      <w:r>
        <w:rPr>
          <w:rFonts w:hint="eastAsia" w:ascii="仿宋" w:hAnsi="仿宋" w:eastAsia="仿宋" w:cs="Times New Roman"/>
          <w:sz w:val="32"/>
          <w:szCs w:val="32"/>
        </w:rPr>
        <w:t>社会公众或服务对象的满意程度96%</w:t>
      </w:r>
    </w:p>
    <w:p>
      <w:pPr>
        <w:pStyle w:val="15"/>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存在的问题及原因分析</w:t>
      </w:r>
    </w:p>
    <w:p>
      <w:pPr>
        <w:pStyle w:val="15"/>
        <w:numPr>
          <w:ilvl w:val="0"/>
          <w:numId w:val="0"/>
        </w:numPr>
        <w:spacing w:line="600" w:lineRule="exact"/>
        <w:ind w:firstLine="640" w:firstLineChars="200"/>
        <w:rPr>
          <w:rFonts w:hint="default" w:ascii="Times New Roman" w:hAnsi="Times New Roman" w:eastAsia="仿宋"/>
          <w:sz w:val="32"/>
          <w:szCs w:val="32"/>
          <w:lang w:val="en-US" w:eastAsia="zh-CN"/>
        </w:rPr>
      </w:pPr>
      <w:r>
        <w:rPr>
          <w:rFonts w:hint="eastAsia" w:ascii="仿宋" w:hAnsi="仿宋" w:eastAsia="仿宋" w:cs="仿宋_GB2312"/>
          <w:sz w:val="32"/>
          <w:szCs w:val="32"/>
        </w:rPr>
        <w:t>全年预算执行率</w:t>
      </w:r>
      <w:r>
        <w:rPr>
          <w:rFonts w:hint="eastAsia" w:ascii="仿宋" w:hAnsi="仿宋" w:eastAsia="仿宋" w:cs="仿宋_GB2312"/>
          <w:sz w:val="32"/>
          <w:szCs w:val="32"/>
          <w:lang w:val="en-US" w:eastAsia="zh-CN"/>
        </w:rPr>
        <w:t>95.49</w:t>
      </w:r>
      <w:r>
        <w:rPr>
          <w:rFonts w:hint="eastAsia" w:ascii="仿宋" w:hAnsi="仿宋" w:eastAsia="仿宋" w:cs="仿宋_GB2312"/>
          <w:sz w:val="32"/>
          <w:szCs w:val="32"/>
        </w:rPr>
        <w:t>%，预算执行率偏低的原因是</w:t>
      </w:r>
      <w:r>
        <w:rPr>
          <w:rFonts w:hint="eastAsia" w:ascii="仿宋" w:hAnsi="仿宋" w:eastAsia="仿宋" w:cs="仿宋_GB2312"/>
          <w:sz w:val="32"/>
          <w:szCs w:val="32"/>
          <w:lang w:val="en-US" w:eastAsia="zh-CN"/>
        </w:rPr>
        <w:t>部分项目跨年实施。</w:t>
      </w:r>
    </w:p>
    <w:p>
      <w:pPr>
        <w:spacing w:line="600" w:lineRule="exact"/>
        <w:ind w:firstLine="640" w:firstLineChars="200"/>
        <w:rPr>
          <w:rFonts w:eastAsia="黑体"/>
          <w:sz w:val="32"/>
          <w:szCs w:val="32"/>
        </w:rPr>
      </w:pPr>
      <w:r>
        <w:rPr>
          <w:rFonts w:eastAsia="黑体"/>
          <w:sz w:val="32"/>
          <w:szCs w:val="32"/>
        </w:rPr>
        <w:t>八、下一步改进措施</w:t>
      </w:r>
    </w:p>
    <w:p>
      <w:pPr>
        <w:pStyle w:val="5"/>
        <w:keepNext w:val="0"/>
        <w:keepLines w:val="0"/>
        <w:widowControl/>
        <w:shd w:val="clear" w:color="auto" w:fill="FFFFFF"/>
        <w:spacing w:line="360" w:lineRule="auto"/>
        <w:ind w:firstLine="640" w:firstLineChars="200"/>
        <w:rPr>
          <w:rFonts w:ascii="仿宋" w:hAnsi="仿宋" w:eastAsia="仿宋" w:cs="仿宋_GB2312"/>
          <w:sz w:val="32"/>
        </w:rPr>
      </w:pPr>
      <w:r>
        <w:rPr>
          <w:rFonts w:hint="eastAsia" w:ascii="仿宋" w:hAnsi="仿宋" w:eastAsia="仿宋" w:cs="仿宋_GB2312"/>
          <w:sz w:val="32"/>
        </w:rPr>
        <w:t>提高</w:t>
      </w:r>
      <w:r>
        <w:rPr>
          <w:rFonts w:ascii="仿宋" w:hAnsi="仿宋" w:eastAsia="仿宋" w:cs="仿宋_GB2312"/>
          <w:sz w:val="32"/>
        </w:rPr>
        <w:t>预算编制水平，合理</w:t>
      </w:r>
      <w:r>
        <w:rPr>
          <w:rFonts w:hint="eastAsia" w:ascii="仿宋" w:hAnsi="仿宋" w:eastAsia="仿宋" w:cs="仿宋_GB2312"/>
          <w:sz w:val="32"/>
          <w:lang w:eastAsia="zh-CN"/>
        </w:rPr>
        <w:t>的</w:t>
      </w:r>
      <w:r>
        <w:rPr>
          <w:rFonts w:ascii="仿宋" w:hAnsi="仿宋" w:eastAsia="仿宋" w:cs="仿宋_GB2312"/>
          <w:sz w:val="32"/>
        </w:rPr>
        <w:t>、精准</w:t>
      </w:r>
      <w:r>
        <w:rPr>
          <w:rFonts w:hint="eastAsia" w:ascii="仿宋" w:hAnsi="仿宋" w:eastAsia="仿宋" w:cs="仿宋_GB2312"/>
          <w:sz w:val="32"/>
          <w:lang w:eastAsia="zh-CN"/>
        </w:rPr>
        <w:t>的</w:t>
      </w:r>
      <w:r>
        <w:rPr>
          <w:rFonts w:ascii="仿宋" w:hAnsi="仿宋" w:eastAsia="仿宋" w:cs="仿宋_GB2312"/>
          <w:sz w:val="32"/>
        </w:rPr>
        <w:t>、科学编制预算</w:t>
      </w:r>
      <w:r>
        <w:rPr>
          <w:rFonts w:hint="eastAsia" w:ascii="仿宋" w:hAnsi="仿宋" w:eastAsia="仿宋" w:cs="仿宋_GB2312"/>
          <w:sz w:val="32"/>
        </w:rPr>
        <w:t>；业务科室应按照年初预算具体分解情况进行合理支出。中心定期对预算执行缓慢的科室进行通报，并要求其出具书面说明、及时提出改进措施。</w:t>
      </w:r>
    </w:p>
    <w:p>
      <w:pPr>
        <w:spacing w:line="600" w:lineRule="exact"/>
        <w:ind w:firstLine="640" w:firstLineChars="200"/>
        <w:rPr>
          <w:rFonts w:eastAsia="黑体"/>
          <w:sz w:val="32"/>
          <w:szCs w:val="32"/>
        </w:rPr>
      </w:pPr>
      <w:r>
        <w:rPr>
          <w:rFonts w:eastAsia="黑体"/>
          <w:sz w:val="32"/>
          <w:szCs w:val="32"/>
        </w:rPr>
        <w:t>九、绩效自评结果拟应用和公开情况</w:t>
      </w:r>
    </w:p>
    <w:p>
      <w:pPr>
        <w:widowControl/>
        <w:spacing w:line="600" w:lineRule="exact"/>
        <w:ind w:firstLine="645"/>
        <w:jc w:val="left"/>
        <w:rPr>
          <w:rFonts w:hint="eastAsia" w:eastAsia="仿宋_GB2312"/>
          <w:color w:val="auto"/>
          <w:sz w:val="32"/>
          <w:szCs w:val="32"/>
          <w:lang w:val="en-US" w:eastAsia="zh-CN"/>
        </w:rPr>
      </w:pPr>
      <w:r>
        <w:rPr>
          <w:rFonts w:hint="eastAsia" w:eastAsia="仿宋_GB2312"/>
          <w:color w:val="auto"/>
          <w:sz w:val="32"/>
          <w:szCs w:val="32"/>
          <w:lang w:val="en-US" w:eastAsia="zh-CN"/>
        </w:rPr>
        <w:t>（一）反馈整改。我中心将对评价中发现的问题，及时进行督促整改。各内设机构要加强预算管理意识，严格按照预算编制的相关制度和要求，结合年度收支计划，科学编制预算，遵循预算管理办法。</w:t>
      </w:r>
    </w:p>
    <w:p>
      <w:pPr>
        <w:widowControl/>
        <w:spacing w:line="600" w:lineRule="exact"/>
        <w:ind w:firstLine="645"/>
        <w:jc w:val="left"/>
        <w:rPr>
          <w:rFonts w:ascii="Times New Roman" w:hAnsi="Times New Roman" w:eastAsia="黑体" w:cs="Times New Roman"/>
          <w:color w:val="auto"/>
          <w:sz w:val="32"/>
          <w:szCs w:val="32"/>
        </w:rPr>
      </w:pPr>
      <w:r>
        <w:rPr>
          <w:rFonts w:hint="eastAsia" w:eastAsia="仿宋_GB2312"/>
          <w:color w:val="auto"/>
          <w:sz w:val="32"/>
          <w:szCs w:val="32"/>
          <w:lang w:val="en-US" w:eastAsia="zh-CN"/>
        </w:rPr>
        <w:t>（二）公开结果。除涉密信息外，我中心将按要求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bookmarkStart w:id="6" w:name="OLE_LINK8"/>
      <w:r>
        <w:rPr>
          <w:rFonts w:hint="default" w:ascii="Times New Roman" w:hAnsi="Times New Roman" w:eastAsia="仿宋_GB2312" w:cs="Times New Roman"/>
          <w:color w:val="auto"/>
          <w:sz w:val="32"/>
          <w:szCs w:val="32"/>
          <w:lang w:val="en-US" w:eastAsia="zh-CN"/>
        </w:rPr>
        <w:t>附件：1.部门整体支出绩效评价基础数据表</w:t>
      </w:r>
    </w:p>
    <w:p>
      <w:pPr>
        <w:widowControl/>
        <w:spacing w:line="600" w:lineRule="exact"/>
        <w:ind w:firstLine="1622" w:firstLineChars="507"/>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2.部门整体支出绩效自评表</w:t>
      </w:r>
    </w:p>
    <w:p>
      <w:pPr>
        <w:widowControl/>
        <w:spacing w:line="600" w:lineRule="exact"/>
        <w:ind w:firstLine="645"/>
        <w:jc w:val="left"/>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3.项目支出绩效自评表</w:t>
      </w:r>
      <w:r>
        <w:rPr>
          <w:rFonts w:hint="eastAsia" w:ascii="Times New Roman" w:hAnsi="Times New Roman" w:eastAsia="仿宋_GB2312" w:cs="Times New Roman"/>
          <w:color w:val="auto"/>
          <w:sz w:val="32"/>
          <w:szCs w:val="32"/>
          <w:lang w:val="en-US" w:eastAsia="zh-CN"/>
        </w:rPr>
        <w:t>（其他事业发展类）</w:t>
      </w:r>
    </w:p>
    <w:bookmarkEnd w:id="6"/>
    <w:p>
      <w:pPr>
        <w:widowControl/>
        <w:spacing w:line="600" w:lineRule="exact"/>
        <w:ind w:firstLine="645"/>
        <w:jc w:val="left"/>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w:t>
      </w:r>
    </w:p>
    <w:p>
      <w:pPr>
        <w:widowControl/>
        <w:jc w:val="left"/>
        <w:rPr>
          <w:rFonts w:eastAsia="黑体"/>
          <w:sz w:val="32"/>
          <w:szCs w:val="32"/>
        </w:rPr>
      </w:pPr>
    </w:p>
    <w:p>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1</w:t>
      </w:r>
    </w:p>
    <w:p>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tbl>
      <w:tblPr>
        <w:tblStyle w:val="10"/>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21</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21</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23</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bookmarkStart w:id="7" w:name="OLE_LINK14"/>
            <w:r>
              <w:rPr>
                <w:rFonts w:hint="eastAsia" w:eastAsia="仿宋_GB2312"/>
                <w:kern w:val="0"/>
                <w:szCs w:val="21"/>
                <w:lang w:val="en-US" w:eastAsia="zh-CN"/>
              </w:rPr>
              <w:t>0</w:t>
            </w:r>
            <w:r>
              <w:rPr>
                <w:rFonts w:eastAsia="仿宋_GB2312"/>
                <w:kern w:val="0"/>
                <w:szCs w:val="21"/>
              </w:rPr>
              <w:t>　</w:t>
            </w:r>
            <w:bookmarkEnd w:id="7"/>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0.50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lang w:val="en-US" w:eastAsia="zh-CN"/>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cs="Times New Roman"/>
                <w:sz w:val="20"/>
                <w:szCs w:val="20"/>
                <w:highlight w:val="none"/>
                <w:lang w:val="en-US" w:eastAsia="zh-CN"/>
              </w:rPr>
              <w:t>0</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spacing w:line="360" w:lineRule="exact"/>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spacing w:line="360" w:lineRule="exact"/>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cs="Times New Roman"/>
                <w:sz w:val="20"/>
                <w:szCs w:val="20"/>
                <w:highlight w:val="none"/>
                <w:lang w:val="en-US" w:eastAsia="zh-CN"/>
              </w:rPr>
              <w:t>0</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cs="Times New Roman"/>
                <w:sz w:val="20"/>
                <w:szCs w:val="20"/>
                <w:highlight w:val="none"/>
                <w:lang w:val="en-US" w:eastAsia="zh-CN"/>
              </w:rPr>
              <w:t>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0.50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bookmarkStart w:id="8" w:name="OLE_LINK13" w:colFirst="2" w:colLast="3"/>
            <w:r>
              <w:rPr>
                <w:rFonts w:eastAsia="仿宋_GB2312"/>
                <w:kern w:val="0"/>
                <w:szCs w:val="21"/>
              </w:rPr>
              <w:t>项目支出：</w:t>
            </w:r>
          </w:p>
        </w:tc>
        <w:tc>
          <w:tcPr>
            <w:tcW w:w="2038" w:type="dxa"/>
            <w:gridSpan w:val="2"/>
            <w:noWrap w:val="0"/>
            <w:vAlign w:val="center"/>
          </w:tcPr>
          <w:p>
            <w:pPr>
              <w:widowControl/>
              <w:spacing w:line="360" w:lineRule="exact"/>
              <w:jc w:val="center"/>
              <w:rPr>
                <w:rFonts w:hint="eastAsia" w:eastAsia="仿宋_GB2312"/>
                <w:kern w:val="0"/>
                <w:szCs w:val="21"/>
                <w:lang w:val="en-US" w:eastAsia="zh-CN"/>
              </w:rPr>
            </w:pPr>
            <w:r>
              <w:rPr>
                <w:rFonts w:hint="eastAsia" w:ascii="Times New Roman" w:hAnsi="Times New Roman" w:eastAsia="仿宋_GB2312" w:cs="Times New Roman"/>
                <w:sz w:val="20"/>
                <w:szCs w:val="20"/>
                <w:lang w:val="en-US" w:eastAsia="zh-CN"/>
              </w:rPr>
              <w:t>6</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240.80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213.03</w:t>
            </w:r>
            <w:r>
              <w:rPr>
                <w:rFonts w:eastAsia="仿宋_GB2312"/>
                <w:kern w:val="0"/>
                <w:szCs w:val="21"/>
              </w:rPr>
              <w:t>　</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cs="Times New Roman"/>
                <w:sz w:val="20"/>
                <w:szCs w:val="20"/>
                <w:highlight w:val="none"/>
                <w:lang w:val="en-US" w:eastAsia="zh-CN"/>
              </w:rPr>
              <w:t>6</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spacing w:line="360" w:lineRule="exact"/>
              <w:jc w:val="center"/>
              <w:rPr>
                <w:rFonts w:eastAsia="仿宋_GB2312"/>
                <w:kern w:val="0"/>
                <w:szCs w:val="21"/>
              </w:rPr>
            </w:pPr>
            <w:r>
              <w:rPr>
                <w:rFonts w:hint="default" w:ascii="Times New Roman" w:hAnsi="Times New Roman" w:eastAsia="仿宋_GB2312" w:cs="Times New Roman"/>
                <w:sz w:val="20"/>
                <w:szCs w:val="20"/>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3、省级专项资金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spacing w:line="360" w:lineRule="exact"/>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rPr>
            </w:pPr>
            <w:r>
              <w:rPr>
                <w:rFonts w:eastAsia="仿宋_GB2312"/>
                <w:kern w:val="0"/>
                <w:szCs w:val="21"/>
              </w:rPr>
              <w:t>4、其他事业类发展资金</w:t>
            </w:r>
          </w:p>
        </w:tc>
        <w:tc>
          <w:tcPr>
            <w:tcW w:w="2038" w:type="dxa"/>
            <w:gridSpan w:val="2"/>
            <w:noWrap w:val="0"/>
            <w:vAlign w:val="center"/>
          </w:tcPr>
          <w:p>
            <w:pPr>
              <w:widowControl/>
              <w:spacing w:line="360" w:lineRule="exact"/>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240.80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213.03</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spacing w:line="360" w:lineRule="exact"/>
              <w:jc w:val="center"/>
              <w:rPr>
                <w:rFonts w:eastAsia="仿宋_GB2312"/>
                <w:kern w:val="0"/>
                <w:szCs w:val="21"/>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71.25</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72.00</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68.15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spacing w:line="360" w:lineRule="exact"/>
              <w:jc w:val="center"/>
              <w:rPr>
                <w:rFonts w:eastAsia="仿宋_GB2312"/>
                <w:color w:val="FF0000"/>
                <w:kern w:val="0"/>
                <w:szCs w:val="21"/>
              </w:rPr>
            </w:pPr>
            <w:r>
              <w:rPr>
                <w:rFonts w:hint="eastAsia" w:ascii="Times New Roman" w:hAnsi="Times New Roman" w:eastAsia="仿宋_GB2312" w:cs="Times New Roman"/>
                <w:color w:val="auto"/>
                <w:sz w:val="20"/>
                <w:szCs w:val="20"/>
                <w:highlight w:val="none"/>
                <w:lang w:val="en-US" w:eastAsia="zh-CN"/>
              </w:rPr>
              <w:t>6.67</w:t>
            </w:r>
            <w:r>
              <w:rPr>
                <w:rFonts w:hint="default" w:ascii="Times New Roman" w:hAnsi="Times New Roman" w:eastAsia="仿宋_GB2312" w:cs="Times New Roman"/>
                <w:color w:val="auto"/>
                <w:sz w:val="20"/>
                <w:szCs w:val="20"/>
                <w:highlight w:val="none"/>
              </w:rPr>
              <w:t>　</w:t>
            </w:r>
          </w:p>
        </w:tc>
        <w:tc>
          <w:tcPr>
            <w:tcW w:w="2240"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7.00</w:t>
            </w:r>
            <w:r>
              <w:rPr>
                <w:rFonts w:eastAsia="仿宋_GB2312"/>
                <w:color w:val="auto"/>
                <w:kern w:val="0"/>
                <w:szCs w:val="21"/>
              </w:rPr>
              <w:t>　</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6.95</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spacing w:line="360" w:lineRule="exact"/>
              <w:jc w:val="center"/>
              <w:rPr>
                <w:rFonts w:eastAsia="仿宋_GB2312"/>
                <w:color w:val="FF0000"/>
                <w:kern w:val="0"/>
                <w:szCs w:val="21"/>
              </w:rPr>
            </w:pPr>
            <w:r>
              <w:rPr>
                <w:rFonts w:hint="eastAsia" w:ascii="Times New Roman" w:hAnsi="Times New Roman" w:eastAsia="仿宋_GB2312" w:cs="Times New Roman"/>
                <w:color w:val="auto"/>
                <w:sz w:val="20"/>
                <w:szCs w:val="20"/>
                <w:highlight w:val="none"/>
                <w:lang w:val="en-US" w:eastAsia="zh-CN"/>
              </w:rPr>
              <w:t>0.62</w:t>
            </w:r>
            <w:r>
              <w:rPr>
                <w:rFonts w:hint="default" w:ascii="Times New Roman" w:hAnsi="Times New Roman" w:eastAsia="仿宋_GB2312" w:cs="Times New Roman"/>
                <w:color w:val="auto"/>
                <w:sz w:val="20"/>
                <w:szCs w:val="20"/>
                <w:highlight w:val="none"/>
              </w:rPr>
              <w:t>　</w:t>
            </w:r>
          </w:p>
        </w:tc>
        <w:tc>
          <w:tcPr>
            <w:tcW w:w="2240"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2.60</w:t>
            </w:r>
            <w:r>
              <w:rPr>
                <w:rFonts w:eastAsia="仿宋_GB2312"/>
                <w:color w:val="auto"/>
                <w:kern w:val="0"/>
                <w:szCs w:val="21"/>
              </w:rPr>
              <w:t>　</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0.00</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spacing w:line="360" w:lineRule="exact"/>
              <w:jc w:val="center"/>
              <w:rPr>
                <w:rFonts w:eastAsia="仿宋_GB2312"/>
                <w:color w:val="FF0000"/>
                <w:kern w:val="0"/>
                <w:szCs w:val="21"/>
              </w:rPr>
            </w:pPr>
            <w:r>
              <w:rPr>
                <w:rFonts w:hint="eastAsia" w:ascii="Times New Roman" w:hAnsi="Times New Roman" w:eastAsia="仿宋_GB2312" w:cs="Times New Roman"/>
                <w:color w:val="auto"/>
                <w:sz w:val="20"/>
                <w:szCs w:val="20"/>
                <w:highlight w:val="none"/>
                <w:lang w:val="en-US" w:eastAsia="zh-CN"/>
              </w:rPr>
              <w:t>0.41</w:t>
            </w:r>
            <w:r>
              <w:rPr>
                <w:rFonts w:hint="default" w:ascii="Times New Roman" w:hAnsi="Times New Roman" w:eastAsia="仿宋_GB2312" w:cs="Times New Roman"/>
                <w:color w:val="auto"/>
                <w:sz w:val="20"/>
                <w:szCs w:val="20"/>
                <w:highlight w:val="none"/>
              </w:rPr>
              <w:t>　</w:t>
            </w:r>
          </w:p>
        </w:tc>
        <w:tc>
          <w:tcPr>
            <w:tcW w:w="2240" w:type="dxa"/>
            <w:gridSpan w:val="2"/>
            <w:noWrap w:val="0"/>
            <w:vAlign w:val="center"/>
          </w:tcPr>
          <w:p>
            <w:pPr>
              <w:widowControl/>
              <w:jc w:val="center"/>
              <w:rPr>
                <w:rFonts w:hint="default" w:eastAsia="仿宋_GB2312"/>
                <w:color w:val="auto"/>
                <w:kern w:val="0"/>
                <w:szCs w:val="21"/>
                <w:lang w:val="en-US" w:eastAsia="zh-CN"/>
              </w:rPr>
            </w:pPr>
            <w:r>
              <w:rPr>
                <w:rFonts w:eastAsia="仿宋_GB2312"/>
                <w:color w:val="auto"/>
                <w:kern w:val="0"/>
                <w:szCs w:val="21"/>
              </w:rPr>
              <w:t>　</w:t>
            </w:r>
            <w:r>
              <w:rPr>
                <w:rFonts w:hint="eastAsia" w:eastAsia="仿宋_GB2312"/>
                <w:color w:val="auto"/>
                <w:kern w:val="0"/>
                <w:szCs w:val="21"/>
                <w:lang w:val="en-US" w:eastAsia="zh-CN"/>
              </w:rPr>
              <w:t>0.50</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0.50</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107.10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lang w:val="en-US" w:eastAsia="zh-CN"/>
              </w:rPr>
              <w:t>24</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rFonts w:hint="eastAsia" w:eastAsia="黑体"/>
          <w:sz w:val="32"/>
          <w:szCs w:val="32"/>
          <w:lang w:val="en-US" w:eastAsia="zh-CN"/>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lang w:val="en-US" w:eastAsia="zh-CN"/>
        </w:rPr>
        <w:t>2</w:t>
      </w:r>
    </w:p>
    <w:p>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0"/>
        <w:tblW w:w="105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476"/>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519" w:type="dxa"/>
            <w:gridSpan w:val="9"/>
            <w:noWrap w:val="0"/>
            <w:vAlign w:val="center"/>
          </w:tcPr>
          <w:p>
            <w:pPr>
              <w:widowControl/>
              <w:jc w:val="center"/>
              <w:rPr>
                <w:rFonts w:eastAsia="仿宋_GB2312"/>
                <w:color w:val="000000"/>
                <w:kern w:val="0"/>
                <w:szCs w:val="21"/>
              </w:rPr>
            </w:pPr>
            <w:r>
              <w:rPr>
                <w:rFonts w:hint="default" w:eastAsia="仿宋_GB2312"/>
                <w:sz w:val="21"/>
                <w:szCs w:val="21"/>
                <w:lang w:val="en-US" w:eastAsia="zh-CN"/>
              </w:rPr>
              <w:t>农业农村厅机关后勤服务中心</w:t>
            </w:r>
            <w:r>
              <w:rPr>
                <w:rFonts w:eastAsia="仿宋_GB2312"/>
                <w:color w:val="auto"/>
                <w:kern w:val="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2"/>
            <w:noWrap w:val="0"/>
            <w:vAlign w:val="center"/>
          </w:tcPr>
          <w:p>
            <w:pPr>
              <w:jc w:val="center"/>
              <w:rPr>
                <w:rFonts w:eastAsia="仿宋_GB2312"/>
                <w:szCs w:val="21"/>
              </w:rPr>
            </w:pPr>
          </w:p>
        </w:tc>
        <w:tc>
          <w:tcPr>
            <w:tcW w:w="111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571" w:type="dxa"/>
            <w:gridSpan w:val="2"/>
            <w:noWrap w:val="0"/>
            <w:vAlign w:val="center"/>
          </w:tcPr>
          <w:p>
            <w:pPr>
              <w:jc w:val="center"/>
              <w:rPr>
                <w:rFonts w:eastAsia="仿宋_GB2312"/>
                <w:szCs w:val="21"/>
              </w:rPr>
            </w:pPr>
            <w:r>
              <w:rPr>
                <w:rFonts w:eastAsia="仿宋_GB2312"/>
                <w:szCs w:val="21"/>
              </w:rPr>
              <w:t>全年预算数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9" w:type="dxa"/>
            <w:noWrap w:val="0"/>
            <w:vAlign w:val="center"/>
          </w:tcPr>
          <w:p>
            <w:pPr>
              <w:jc w:val="center"/>
              <w:rPr>
                <w:rFonts w:eastAsia="仿宋_GB2312"/>
                <w:szCs w:val="21"/>
              </w:rPr>
            </w:pPr>
            <w:r>
              <w:rPr>
                <w:rFonts w:eastAsia="仿宋_GB2312"/>
                <w:szCs w:val="21"/>
              </w:rPr>
              <w:t>分值</w:t>
            </w:r>
          </w:p>
        </w:tc>
        <w:tc>
          <w:tcPr>
            <w:tcW w:w="898" w:type="dxa"/>
            <w:noWrap w:val="0"/>
            <w:vAlign w:val="center"/>
          </w:tcPr>
          <w:p>
            <w:pPr>
              <w:jc w:val="center"/>
              <w:rPr>
                <w:rFonts w:eastAsia="仿宋_GB2312"/>
                <w:szCs w:val="21"/>
              </w:rPr>
            </w:pPr>
            <w:r>
              <w:rPr>
                <w:rFonts w:eastAsia="仿宋_GB2312"/>
                <w:szCs w:val="21"/>
              </w:rPr>
              <w:t>执行率</w:t>
            </w:r>
          </w:p>
        </w:tc>
        <w:tc>
          <w:tcPr>
            <w:tcW w:w="1446"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2647"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4" w:type="dxa"/>
            <w:noWrap w:val="0"/>
            <w:vAlign w:val="center"/>
          </w:tcPr>
          <w:p>
            <w:pPr>
              <w:jc w:val="center"/>
              <w:rPr>
                <w:rFonts w:hint="default" w:eastAsia="仿宋_GB2312"/>
                <w:szCs w:val="21"/>
                <w:lang w:val="en-US" w:eastAsia="zh-CN"/>
              </w:rPr>
            </w:pPr>
            <w:r>
              <w:rPr>
                <w:rFonts w:hint="eastAsia" w:eastAsia="仿宋_GB2312"/>
                <w:szCs w:val="21"/>
                <w:lang w:val="en-US" w:eastAsia="zh-CN"/>
              </w:rPr>
              <w:t>973.44</w:t>
            </w:r>
          </w:p>
        </w:tc>
        <w:tc>
          <w:tcPr>
            <w:tcW w:w="1571" w:type="dxa"/>
            <w:gridSpan w:val="2"/>
            <w:noWrap w:val="0"/>
            <w:vAlign w:val="center"/>
          </w:tcPr>
          <w:p>
            <w:pPr>
              <w:jc w:val="center"/>
              <w:rPr>
                <w:rFonts w:hint="default" w:eastAsia="仿宋_GB2312"/>
                <w:szCs w:val="21"/>
                <w:lang w:val="en-US" w:eastAsia="zh-CN"/>
              </w:rPr>
            </w:pPr>
            <w:r>
              <w:rPr>
                <w:rFonts w:hint="eastAsia" w:eastAsia="仿宋_GB2312"/>
                <w:szCs w:val="21"/>
                <w:lang w:val="en-US" w:eastAsia="zh-CN"/>
              </w:rPr>
              <w:t>979.04</w:t>
            </w:r>
          </w:p>
        </w:tc>
        <w:tc>
          <w:tcPr>
            <w:tcW w:w="1134" w:type="dxa"/>
            <w:noWrap w:val="0"/>
            <w:vAlign w:val="center"/>
          </w:tcPr>
          <w:p>
            <w:pPr>
              <w:jc w:val="center"/>
              <w:rPr>
                <w:rFonts w:hint="default" w:eastAsia="仿宋_GB2312"/>
                <w:szCs w:val="21"/>
                <w:lang w:val="en-US" w:eastAsia="zh-CN"/>
              </w:rPr>
            </w:pPr>
            <w:r>
              <w:rPr>
                <w:rFonts w:hint="eastAsia" w:eastAsia="仿宋_GB2312"/>
                <w:szCs w:val="21"/>
                <w:lang w:val="en-US" w:eastAsia="zh-CN"/>
              </w:rPr>
              <w:t>934.96</w:t>
            </w:r>
          </w:p>
        </w:tc>
        <w:tc>
          <w:tcPr>
            <w:tcW w:w="709" w:type="dxa"/>
            <w:noWrap w:val="0"/>
            <w:vAlign w:val="center"/>
          </w:tcPr>
          <w:p>
            <w:pPr>
              <w:jc w:val="center"/>
              <w:rPr>
                <w:rFonts w:eastAsia="仿宋_GB2312"/>
                <w:szCs w:val="21"/>
              </w:rPr>
            </w:pPr>
            <w:r>
              <w:rPr>
                <w:rFonts w:eastAsia="仿宋_GB2312"/>
                <w:szCs w:val="21"/>
              </w:rPr>
              <w:t>10</w:t>
            </w:r>
          </w:p>
        </w:tc>
        <w:tc>
          <w:tcPr>
            <w:tcW w:w="898" w:type="dxa"/>
            <w:noWrap w:val="0"/>
            <w:vAlign w:val="center"/>
          </w:tcPr>
          <w:p>
            <w:pPr>
              <w:jc w:val="center"/>
              <w:rPr>
                <w:rFonts w:hint="default" w:eastAsia="仿宋_GB2312"/>
                <w:szCs w:val="21"/>
                <w:lang w:val="en-US" w:eastAsia="zh-CN"/>
              </w:rPr>
            </w:pPr>
            <w:r>
              <w:rPr>
                <w:rFonts w:hint="eastAsia" w:eastAsia="仿宋_GB2312"/>
                <w:szCs w:val="21"/>
                <w:lang w:val="en-US" w:eastAsia="zh-CN"/>
              </w:rPr>
              <w:t>95.49%</w:t>
            </w:r>
          </w:p>
        </w:tc>
        <w:tc>
          <w:tcPr>
            <w:tcW w:w="1446" w:type="dxa"/>
            <w:noWrap w:val="0"/>
            <w:vAlign w:val="center"/>
          </w:tcPr>
          <w:p>
            <w:pPr>
              <w:jc w:val="center"/>
              <w:rPr>
                <w:rFonts w:hint="default" w:eastAsia="仿宋_GB2312"/>
                <w:szCs w:val="21"/>
                <w:lang w:val="en-US" w:eastAsia="zh-CN"/>
              </w:rPr>
            </w:pPr>
            <w:r>
              <w:rPr>
                <w:rFonts w:hint="eastAsia" w:eastAsia="仿宋_GB2312"/>
                <w:szCs w:val="21"/>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32"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32"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979.04</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721.93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32"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213.03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32"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32" w:type="dxa"/>
            <w:gridSpan w:val="5"/>
            <w:noWrap w:val="0"/>
            <w:vAlign w:val="center"/>
          </w:tcPr>
          <w:p>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332"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000000"/>
                <w:kern w:val="0"/>
                <w:szCs w:val="21"/>
              </w:rPr>
            </w:pPr>
          </w:p>
        </w:tc>
        <w:tc>
          <w:tcPr>
            <w:tcW w:w="5332" w:type="dxa"/>
            <w:gridSpan w:val="5"/>
            <w:noWrap w:val="0"/>
            <w:vAlign w:val="center"/>
          </w:tcPr>
          <w:p>
            <w:pPr>
              <w:widowControl/>
              <w:jc w:val="center"/>
              <w:rPr>
                <w:rFonts w:eastAsia="仿宋_GB2312"/>
                <w:color w:val="000000"/>
                <w:kern w:val="0"/>
                <w:szCs w:val="21"/>
              </w:rPr>
            </w:pPr>
            <w:bookmarkStart w:id="9" w:name="OLE_LINK3"/>
            <w:bookmarkStart w:id="10" w:name="OLE_LINK12"/>
            <w:bookmarkStart w:id="11" w:name="OLE_LINK7"/>
            <w:bookmarkStart w:id="12" w:name="OLE_LINK28"/>
            <w:r>
              <w:rPr>
                <w:rFonts w:hint="eastAsia" w:eastAsia="仿宋_GB2312"/>
                <w:color w:val="000000"/>
                <w:kern w:val="0"/>
                <w:szCs w:val="21"/>
              </w:rPr>
              <w:t>1、着力打造服务机关，严格规范公共事务管理，加强后勤维修保障，推进机关文明创建工作。2、打造平安机关，做好常态化新冠疫情防控工作，及时排查影响安全稳定的因素。3、厉行节约降能耗；加强节能宣传引导。</w:t>
            </w:r>
            <w:bookmarkEnd w:id="9"/>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r>
              <w:rPr>
                <w:rFonts w:hint="eastAsia" w:eastAsia="仿宋_GB2312"/>
                <w:color w:val="000000"/>
                <w:kern w:val="0"/>
                <w:szCs w:val="21"/>
              </w:rPr>
              <w:tab/>
            </w:r>
            <w:bookmarkEnd w:id="10"/>
            <w:bookmarkEnd w:id="11"/>
            <w:r>
              <w:rPr>
                <w:rFonts w:eastAsia="仿宋_GB2312"/>
                <w:color w:val="000000"/>
                <w:kern w:val="0"/>
                <w:szCs w:val="21"/>
              </w:rPr>
              <w:t>　　</w:t>
            </w:r>
            <w:bookmarkEnd w:id="12"/>
          </w:p>
        </w:tc>
        <w:tc>
          <w:tcPr>
            <w:tcW w:w="4187" w:type="dxa"/>
            <w:gridSpan w:val="4"/>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rPr>
              <w:t>1、着力打造服务机关，严格规范公共事务管理，加强后勤维修保障，推进机关文明创建工作。2、打造平安机关，做好常态化新冠疫情防控工作，及时排查影响安全稳定的因素。3、厉行节约降能耗；加强节能宣传引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76"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46"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完成全系统办公用房检查与抽查</w:t>
            </w:r>
          </w:p>
        </w:tc>
        <w:tc>
          <w:tcPr>
            <w:tcW w:w="1476" w:type="dxa"/>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val="en-US" w:eastAsia="zh-CN"/>
              </w:rPr>
              <w:t>2次</w:t>
            </w:r>
          </w:p>
        </w:tc>
        <w:tc>
          <w:tcPr>
            <w:tcW w:w="1134" w:type="dxa"/>
            <w:noWrap w:val="0"/>
            <w:vAlign w:val="center"/>
          </w:tcPr>
          <w:p>
            <w:pPr>
              <w:widowControl/>
              <w:jc w:val="left"/>
              <w:rPr>
                <w:rFonts w:eastAsia="仿宋_GB2312"/>
                <w:color w:val="000000"/>
                <w:kern w:val="0"/>
                <w:szCs w:val="21"/>
              </w:rPr>
            </w:pPr>
            <w:r>
              <w:rPr>
                <w:rFonts w:hint="eastAsia" w:ascii="仿宋_GB2312" w:hAnsi="仿宋_GB2312" w:eastAsia="仿宋_GB2312" w:cs="仿宋_GB2312"/>
                <w:color w:val="000000"/>
                <w:kern w:val="0"/>
                <w:szCs w:val="21"/>
                <w:lang w:val="en-US" w:eastAsia="zh-CN"/>
              </w:rPr>
              <w:t>2次</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bookmarkStart w:id="13" w:name="OLE_LINK4" w:colFirst="4" w:colLast="4"/>
            <w:bookmarkStart w:id="14" w:name="OLE_LINK6" w:colFirst="3" w:colLast="5"/>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做好电力、动力保障，对空调等设备设施进行精心维修保养</w:t>
            </w:r>
          </w:p>
        </w:tc>
        <w:tc>
          <w:tcPr>
            <w:tcW w:w="147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i w:val="0"/>
                <w:color w:val="000000"/>
                <w:kern w:val="0"/>
                <w:sz w:val="21"/>
                <w:szCs w:val="21"/>
                <w:u w:val="none"/>
                <w:lang w:val="en-US" w:eastAsia="zh-CN" w:bidi="ar"/>
              </w:rPr>
              <w:t>100%保证设备正常运行</w:t>
            </w:r>
          </w:p>
        </w:tc>
        <w:tc>
          <w:tcPr>
            <w:tcW w:w="1134" w:type="dxa"/>
            <w:noWrap w:val="0"/>
            <w:vAlign w:val="center"/>
          </w:tcPr>
          <w:p>
            <w:pPr>
              <w:keepNext w:val="0"/>
              <w:keepLines w:val="0"/>
              <w:widowControl/>
              <w:suppressLineNumbers w:val="0"/>
              <w:jc w:val="left"/>
              <w:textAlignment w:val="center"/>
              <w:rPr>
                <w:rFonts w:hint="default" w:eastAsia="仿宋_GB2312"/>
                <w:color w:val="000000"/>
                <w:kern w:val="0"/>
                <w:szCs w:val="21"/>
                <w:lang w:val="en-US" w:eastAsia="zh-CN"/>
              </w:rPr>
            </w:pPr>
            <w:r>
              <w:rPr>
                <w:rFonts w:hint="eastAsia" w:ascii="仿宋_GB2312" w:hAnsi="仿宋_GB2312" w:eastAsia="仿宋_GB2312" w:cs="仿宋_GB2312"/>
                <w:i w:val="0"/>
                <w:color w:val="000000"/>
                <w:kern w:val="0"/>
                <w:sz w:val="21"/>
                <w:szCs w:val="21"/>
                <w:u w:val="none"/>
                <w:lang w:val="en-US" w:eastAsia="zh-CN" w:bidi="ar"/>
              </w:rPr>
              <w:t>100%保证设备正常运行</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3"/>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 w:val="21"/>
                <w:szCs w:val="21"/>
              </w:rPr>
              <w:t>办公用房突出问题专项整治</w:t>
            </w:r>
          </w:p>
        </w:tc>
        <w:tc>
          <w:tcPr>
            <w:tcW w:w="1476" w:type="dxa"/>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val="en-US" w:eastAsia="zh-CN"/>
              </w:rPr>
              <w:t>11月份</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按规定时间在11月份完成</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bookmarkStart w:id="15" w:name="OLE_LINK22" w:colFirst="3" w:colLast="5"/>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lang w:val="en-US" w:eastAsia="zh-CN"/>
              </w:rPr>
              <w:t>运行成本</w:t>
            </w:r>
          </w:p>
        </w:tc>
        <w:tc>
          <w:tcPr>
            <w:tcW w:w="147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i w:val="0"/>
                <w:color w:val="000000"/>
                <w:kern w:val="0"/>
                <w:sz w:val="21"/>
                <w:szCs w:val="21"/>
                <w:u w:val="none"/>
                <w:lang w:val="en-US" w:eastAsia="zh-CN" w:bidi="ar"/>
              </w:rPr>
              <w:t>控制预算批复范围内</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完成</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积极倡议购买扶贫物资</w:t>
            </w:r>
          </w:p>
        </w:tc>
        <w:tc>
          <w:tcPr>
            <w:tcW w:w="147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100%完成任务</w:t>
            </w:r>
          </w:p>
        </w:tc>
        <w:tc>
          <w:tcPr>
            <w:tcW w:w="1134" w:type="dxa"/>
            <w:noWrap w:val="0"/>
            <w:vAlign w:val="center"/>
          </w:tcPr>
          <w:p>
            <w:pPr>
              <w:widowControl/>
              <w:jc w:val="left"/>
              <w:rPr>
                <w:rFonts w:eastAsia="仿宋_GB2312"/>
                <w:color w:val="000000"/>
                <w:kern w:val="0"/>
                <w:szCs w:val="21"/>
              </w:rPr>
            </w:pPr>
            <w:bookmarkStart w:id="16" w:name="OLE_LINK5"/>
            <w:r>
              <w:rPr>
                <w:rFonts w:hint="eastAsia" w:eastAsia="仿宋_GB2312"/>
                <w:color w:val="000000"/>
                <w:kern w:val="0"/>
                <w:szCs w:val="21"/>
                <w:lang w:val="en-US" w:eastAsia="zh-CN"/>
              </w:rPr>
              <w:t>完成</w:t>
            </w:r>
            <w:bookmarkEnd w:id="16"/>
          </w:p>
        </w:tc>
        <w:tc>
          <w:tcPr>
            <w:tcW w:w="709" w:type="dxa"/>
            <w:noWrap w:val="0"/>
            <w:vAlign w:val="center"/>
          </w:tcPr>
          <w:p>
            <w:pPr>
              <w:pStyle w:val="3"/>
              <w:ind w:firstLine="0" w:firstLineChars="0"/>
              <w:jc w:val="center"/>
              <w:rPr>
                <w:rFonts w:hint="default"/>
                <w:lang w:val="en-US" w:eastAsia="zh-CN"/>
              </w:rPr>
            </w:pPr>
            <w:r>
              <w:rPr>
                <w:rFonts w:hint="eastAsia"/>
                <w:lang w:val="en-US" w:eastAsia="zh-CN"/>
              </w:rPr>
              <w:t>10</w:t>
            </w:r>
          </w:p>
        </w:tc>
        <w:tc>
          <w:tcPr>
            <w:tcW w:w="898" w:type="dxa"/>
            <w:noWrap w:val="0"/>
            <w:vAlign w:val="center"/>
          </w:tcPr>
          <w:p/>
          <w:p>
            <w:pPr>
              <w:pStyle w:val="3"/>
              <w:ind w:firstLine="0" w:firstLineChars="0"/>
              <w:jc w:val="center"/>
              <w:rPr>
                <w:rFonts w:eastAsia="仿宋_GB2312"/>
                <w:color w:val="000000"/>
                <w:kern w:val="0"/>
                <w:szCs w:val="21"/>
              </w:rPr>
            </w:pPr>
            <w:r>
              <w:rPr>
                <w:rFonts w:hint="eastAsia"/>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395" w:type="dxa"/>
            <w:vMerge w:val="continue"/>
            <w:noWrap w:val="0"/>
            <w:vAlign w:val="center"/>
          </w:tcPr>
          <w:p>
            <w:pPr>
              <w:widowControl/>
              <w:jc w:val="left"/>
              <w:rPr>
                <w:rFonts w:eastAsia="仿宋_GB2312"/>
                <w:color w:val="000000"/>
                <w:kern w:val="0"/>
                <w:szCs w:val="21"/>
              </w:rPr>
            </w:pPr>
          </w:p>
        </w:tc>
        <w:tc>
          <w:tcPr>
            <w:tcW w:w="1252" w:type="dxa"/>
            <w:noWrap w:val="0"/>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1"/>
                <w:szCs w:val="21"/>
                <w:u w:val="none"/>
                <w:lang w:val="en-US" w:eastAsia="zh-CN" w:bidi="ar"/>
              </w:rPr>
            </w:pPr>
            <w:r>
              <w:rPr>
                <w:rFonts w:hint="default" w:ascii="Times New Roman" w:hAnsi="Times New Roman" w:eastAsia="仿宋_GB2312" w:cs="Times New Roman"/>
                <w:i w:val="0"/>
                <w:color w:val="000000"/>
                <w:kern w:val="0"/>
                <w:sz w:val="21"/>
                <w:szCs w:val="21"/>
                <w:u w:val="none"/>
                <w:lang w:val="en-US" w:eastAsia="zh-CN" w:bidi="ar"/>
              </w:rPr>
              <w:t>社会效</w:t>
            </w:r>
          </w:p>
          <w:p>
            <w:pPr>
              <w:keepNext w:val="0"/>
              <w:keepLines w:val="0"/>
              <w:widowControl/>
              <w:suppressLineNumbers w:val="0"/>
              <w:jc w:val="center"/>
              <w:textAlignment w:val="center"/>
              <w:rPr>
                <w:rFonts w:eastAsia="仿宋_GB2312"/>
                <w:color w:val="000000"/>
                <w:kern w:val="0"/>
                <w:szCs w:val="21"/>
              </w:rPr>
            </w:pPr>
            <w:r>
              <w:rPr>
                <w:rFonts w:hint="default" w:ascii="Times New Roman" w:hAnsi="Times New Roman" w:eastAsia="仿宋_GB2312" w:cs="Times New Roman"/>
                <w:i w:val="0"/>
                <w:color w:val="000000"/>
                <w:kern w:val="0"/>
                <w:sz w:val="21"/>
                <w:szCs w:val="21"/>
                <w:u w:val="none"/>
                <w:lang w:val="en-US" w:eastAsia="zh-CN" w:bidi="ar"/>
              </w:rPr>
              <w:t>益指标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做好机关治安维稳工作，做好上访人员疏导与秩序维护</w:t>
            </w:r>
          </w:p>
        </w:tc>
        <w:tc>
          <w:tcPr>
            <w:tcW w:w="147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100%完成任务</w:t>
            </w:r>
          </w:p>
        </w:tc>
        <w:tc>
          <w:tcPr>
            <w:tcW w:w="1134"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完成</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395" w:type="dxa"/>
            <w:vMerge w:val="continue"/>
            <w:noWrap w:val="0"/>
            <w:vAlign w:val="center"/>
          </w:tcPr>
          <w:p>
            <w:pPr>
              <w:widowControl/>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09" w:type="dxa"/>
            <w:gridSpan w:val="2"/>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推动全厅系统开展节约型机关创建</w:t>
            </w:r>
          </w:p>
        </w:tc>
        <w:tc>
          <w:tcPr>
            <w:tcW w:w="1476"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推动</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完成</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bookmarkStart w:id="17" w:name="OLE_LINK23" w:colFirst="3" w:colLast="5"/>
          </w:p>
        </w:tc>
        <w:tc>
          <w:tcPr>
            <w:tcW w:w="1395"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2"/>
            <w:noWrap w:val="0"/>
            <w:vAlign w:val="center"/>
          </w:tcPr>
          <w:p>
            <w:pPr>
              <w:widowControl/>
              <w:spacing w:line="240" w:lineRule="exact"/>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sz w:val="21"/>
                <w:szCs w:val="21"/>
              </w:rPr>
              <w:t>社会公众或服务对象的满意程度</w:t>
            </w:r>
          </w:p>
        </w:tc>
        <w:tc>
          <w:tcPr>
            <w:tcW w:w="1476" w:type="dxa"/>
            <w:noWrap w:val="0"/>
            <w:vAlign w:val="center"/>
          </w:tcPr>
          <w:p>
            <w:pPr>
              <w:widowControl/>
              <w:spacing w:line="240" w:lineRule="exact"/>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sz w:val="21"/>
                <w:szCs w:val="21"/>
                <w:lang w:val="en-US" w:eastAsia="zh-CN"/>
              </w:rPr>
              <w:t>95%以上</w:t>
            </w:r>
          </w:p>
        </w:tc>
        <w:tc>
          <w:tcPr>
            <w:tcW w:w="1134"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96%</w:t>
            </w:r>
          </w:p>
        </w:tc>
        <w:tc>
          <w:tcPr>
            <w:tcW w:w="709" w:type="dxa"/>
            <w:noWrap w:val="0"/>
            <w:vAlign w:val="center"/>
          </w:tcPr>
          <w:p>
            <w:pPr>
              <w:widowControl/>
              <w:spacing w:line="240" w:lineRule="exact"/>
              <w:jc w:val="center"/>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10</w:t>
            </w:r>
          </w:p>
        </w:tc>
        <w:tc>
          <w:tcPr>
            <w:tcW w:w="898" w:type="dxa"/>
            <w:noWrap w:val="0"/>
            <w:vAlign w:val="center"/>
          </w:tcPr>
          <w:p>
            <w:pPr>
              <w:widowControl/>
              <w:spacing w:line="240" w:lineRule="exact"/>
              <w:jc w:val="center"/>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46"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9"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98"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99.55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spacing w:after="120" w:afterLines="50"/>
        <w:jc w:val="center"/>
        <w:rPr>
          <w:rFonts w:hint="default" w:ascii="Times New Roman" w:hAnsi="Times New Roman" w:eastAsia="方正小标宋_GBK" w:cs="Times New Roman"/>
          <w:color w:val="000000"/>
          <w:sz w:val="36"/>
          <w:szCs w:val="36"/>
        </w:rPr>
      </w:pPr>
    </w:p>
    <w:p>
      <w:pPr>
        <w:widowControl/>
        <w:spacing w:after="120" w:afterLines="50"/>
        <w:jc w:val="center"/>
        <w:rPr>
          <w:rFonts w:hint="default" w:ascii="Times New Roman" w:hAnsi="Times New Roman" w:eastAsia="方正小标宋_GBK" w:cs="Times New Roman"/>
          <w:color w:val="000000"/>
          <w:sz w:val="36"/>
          <w:szCs w:val="36"/>
        </w:rPr>
      </w:pPr>
    </w:p>
    <w:p>
      <w:pPr>
        <w:widowControl/>
        <w:jc w:val="left"/>
        <w:rPr>
          <w:rFonts w:eastAsia="黑体"/>
          <w:sz w:val="32"/>
          <w:szCs w:val="32"/>
        </w:rPr>
      </w:pPr>
    </w:p>
    <w:p>
      <w:pPr>
        <w:widowControl/>
        <w:jc w:val="left"/>
        <w:rPr>
          <w:rFonts w:hint="eastAsia" w:eastAsia="黑体"/>
          <w:sz w:val="32"/>
          <w:szCs w:val="32"/>
          <w:lang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2</w:t>
      </w:r>
    </w:p>
    <w:p>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0"/>
        <w:tblW w:w="106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561"/>
        <w:gridCol w:w="1457"/>
        <w:gridCol w:w="1310"/>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9607" w:type="dxa"/>
            <w:gridSpan w:val="8"/>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其他事业发展资金</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178"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bookmarkStart w:id="18" w:name="OLE_LINK2"/>
            <w:r>
              <w:rPr>
                <w:rFonts w:hint="eastAsia" w:eastAsia="仿宋_GB2312"/>
                <w:color w:val="000000"/>
                <w:kern w:val="0"/>
                <w:szCs w:val="21"/>
                <w:lang w:val="en-US" w:eastAsia="zh-CN"/>
              </w:rPr>
              <w:t>湖南省农业农村厅</w:t>
            </w:r>
            <w:bookmarkEnd w:id="18"/>
          </w:p>
        </w:tc>
        <w:tc>
          <w:tcPr>
            <w:tcW w:w="1310"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湖南省农业农村厅机关后勤服务中心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561"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457"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310"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bookmarkStart w:id="19" w:name="OLE_LINK25" w:colFirst="2" w:colLast="4"/>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561"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235.20</w:t>
            </w:r>
          </w:p>
        </w:tc>
        <w:tc>
          <w:tcPr>
            <w:tcW w:w="1457"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240.80</w:t>
            </w:r>
          </w:p>
        </w:tc>
        <w:tc>
          <w:tcPr>
            <w:tcW w:w="1310"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213.03</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88.47%</w:t>
            </w:r>
          </w:p>
        </w:tc>
        <w:tc>
          <w:tcPr>
            <w:tcW w:w="141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8.84</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561"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235.20</w:t>
            </w:r>
          </w:p>
        </w:tc>
        <w:tc>
          <w:tcPr>
            <w:tcW w:w="1457"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240.80</w:t>
            </w:r>
          </w:p>
        </w:tc>
        <w:tc>
          <w:tcPr>
            <w:tcW w:w="1310"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213.03</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561"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57"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10"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561"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57"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10"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17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429"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5178" w:type="dxa"/>
            <w:gridSpan w:val="4"/>
            <w:noWrap w:val="0"/>
            <w:vAlign w:val="center"/>
          </w:tcPr>
          <w:p>
            <w:pPr>
              <w:widowControl/>
              <w:jc w:val="center"/>
              <w:rPr>
                <w:rFonts w:eastAsia="仿宋_GB2312"/>
                <w:color w:val="000000"/>
                <w:kern w:val="0"/>
                <w:szCs w:val="21"/>
              </w:rPr>
            </w:pPr>
            <w:bookmarkStart w:id="20" w:name="OLE_LINK27"/>
            <w:r>
              <w:rPr>
                <w:rFonts w:hint="eastAsia" w:eastAsia="仿宋_GB2312"/>
                <w:color w:val="000000"/>
                <w:kern w:val="0"/>
                <w:szCs w:val="21"/>
                <w:lang w:val="en-US" w:eastAsia="zh-CN"/>
              </w:rPr>
              <w:t>做好后勤服务工作，保障厅机关两院正常运行。</w:t>
            </w:r>
            <w:bookmarkEnd w:id="20"/>
            <w:r>
              <w:rPr>
                <w:rFonts w:eastAsia="仿宋_GB2312"/>
                <w:color w:val="000000"/>
                <w:kern w:val="0"/>
                <w:szCs w:val="21"/>
              </w:rPr>
              <w:t>　　</w:t>
            </w:r>
          </w:p>
        </w:tc>
        <w:tc>
          <w:tcPr>
            <w:tcW w:w="4429" w:type="dxa"/>
            <w:gridSpan w:val="4"/>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做好后勤服务工作，保障厅机关两院正常运行。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561"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57"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310"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561"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两院基建维修改造</w:t>
            </w:r>
          </w:p>
        </w:tc>
        <w:tc>
          <w:tcPr>
            <w:tcW w:w="1457"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20项</w:t>
            </w:r>
          </w:p>
        </w:tc>
        <w:tc>
          <w:tcPr>
            <w:tcW w:w="1310"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20多项</w:t>
            </w:r>
          </w:p>
        </w:tc>
        <w:tc>
          <w:tcPr>
            <w:tcW w:w="828" w:type="dxa"/>
            <w:noWrap w:val="0"/>
            <w:vAlign w:val="center"/>
          </w:tcPr>
          <w:p>
            <w:pPr>
              <w:widowControl/>
              <w:jc w:val="left"/>
              <w:rPr>
                <w:rFonts w:hint="default"/>
                <w:lang w:val="en-US" w:eastAsia="zh-CN"/>
              </w:rPr>
            </w:pPr>
            <w:r>
              <w:t>　</w:t>
            </w:r>
            <w:r>
              <w:rPr>
                <w:rFonts w:hint="eastAsia"/>
                <w:lang w:val="en-US" w:eastAsia="zh-CN"/>
              </w:rPr>
              <w:t>9</w:t>
            </w:r>
          </w:p>
        </w:tc>
        <w:tc>
          <w:tcPr>
            <w:tcW w:w="873" w:type="dxa"/>
            <w:noWrap w:val="0"/>
            <w:vAlign w:val="center"/>
          </w:tcPr>
          <w:p>
            <w:pPr>
              <w:widowControl/>
              <w:jc w:val="left"/>
              <w:rPr>
                <w:rFonts w:eastAsia="仿宋_GB2312"/>
                <w:color w:val="000000"/>
                <w:kern w:val="0"/>
                <w:szCs w:val="21"/>
              </w:rPr>
            </w:pPr>
            <w:r>
              <w:t>　</w:t>
            </w:r>
            <w:r>
              <w:rPr>
                <w:rFonts w:hint="eastAsia"/>
                <w:lang w:val="en-US" w:eastAsia="zh-CN"/>
              </w:rPr>
              <w:t>9</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561"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日常小维修</w:t>
            </w:r>
          </w:p>
        </w:tc>
        <w:tc>
          <w:tcPr>
            <w:tcW w:w="1457"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100次</w:t>
            </w:r>
          </w:p>
        </w:tc>
        <w:tc>
          <w:tcPr>
            <w:tcW w:w="1310"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120次</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561" w:type="dxa"/>
            <w:noWrap w:val="0"/>
            <w:vAlign w:val="center"/>
          </w:tcPr>
          <w:p>
            <w:pPr>
              <w:widowControl/>
              <w:jc w:val="left"/>
              <w:rPr>
                <w:rFonts w:eastAsia="仿宋_GB2312"/>
                <w:color w:val="000000"/>
                <w:kern w:val="0"/>
                <w:szCs w:val="21"/>
              </w:rPr>
            </w:pPr>
            <w:r>
              <w:rPr>
                <w:rFonts w:hint="eastAsia" w:ascii="仿宋" w:hAnsi="仿宋" w:eastAsia="仿宋"/>
                <w:sz w:val="21"/>
                <w:szCs w:val="21"/>
              </w:rPr>
              <w:t>做好一办公楼二楼党组会议室、一楼党组扩大会议室与小礼堂维修改建工作</w:t>
            </w:r>
          </w:p>
        </w:tc>
        <w:tc>
          <w:tcPr>
            <w:tcW w:w="1457"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完成</w:t>
            </w:r>
          </w:p>
        </w:tc>
        <w:tc>
          <w:tcPr>
            <w:tcW w:w="1310"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完成</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561" w:type="dxa"/>
            <w:noWrap w:val="0"/>
            <w:vAlign w:val="center"/>
          </w:tcPr>
          <w:p>
            <w:pPr>
              <w:widowControl/>
              <w:jc w:val="left"/>
              <w:rPr>
                <w:rFonts w:eastAsia="仿宋_GB2312"/>
                <w:color w:val="000000"/>
                <w:kern w:val="0"/>
                <w:szCs w:val="21"/>
              </w:rPr>
            </w:pPr>
            <w:r>
              <w:rPr>
                <w:rFonts w:hint="default" w:ascii="Times New Roman" w:hAnsi="Times New Roman" w:eastAsia="仿宋_GB2312" w:cs="Times New Roman"/>
                <w:b w:val="0"/>
                <w:color w:val="000000"/>
                <w:kern w:val="0"/>
                <w:sz w:val="21"/>
                <w:szCs w:val="21"/>
              </w:rPr>
              <w:t>餐饮投诉</w:t>
            </w:r>
          </w:p>
        </w:tc>
        <w:tc>
          <w:tcPr>
            <w:tcW w:w="1457" w:type="dxa"/>
            <w:noWrap w:val="0"/>
            <w:vAlign w:val="center"/>
          </w:tcPr>
          <w:p>
            <w:pPr>
              <w:widowControl/>
              <w:jc w:val="left"/>
              <w:rPr>
                <w:rFonts w:eastAsia="仿宋_GB2312"/>
                <w:color w:val="000000"/>
                <w:kern w:val="0"/>
                <w:szCs w:val="21"/>
              </w:rPr>
            </w:pPr>
            <w:bookmarkStart w:id="21" w:name="OLE_LINK21"/>
            <w:r>
              <w:rPr>
                <w:rFonts w:hint="eastAsia" w:eastAsia="仿宋_GB2312"/>
                <w:color w:val="000000"/>
                <w:kern w:val="0"/>
                <w:szCs w:val="21"/>
                <w:lang w:val="en-US" w:eastAsia="zh-CN"/>
              </w:rPr>
              <w:t>零投诉</w:t>
            </w:r>
            <w:bookmarkEnd w:id="21"/>
          </w:p>
        </w:tc>
        <w:tc>
          <w:tcPr>
            <w:tcW w:w="1310"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零投诉</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561"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维修响应时间</w:t>
            </w:r>
          </w:p>
        </w:tc>
        <w:tc>
          <w:tcPr>
            <w:tcW w:w="1457" w:type="dxa"/>
            <w:noWrap w:val="0"/>
            <w:vAlign w:val="center"/>
          </w:tcPr>
          <w:p>
            <w:pPr>
              <w:widowControl/>
              <w:jc w:val="left"/>
              <w:rPr>
                <w:rFonts w:hint="default" w:eastAsia="仿宋_GB2312"/>
                <w:color w:val="000000"/>
                <w:kern w:val="0"/>
                <w:szCs w:val="21"/>
                <w:lang w:val="en-US" w:eastAsia="zh-CN"/>
              </w:rPr>
            </w:pPr>
            <w:bookmarkStart w:id="22" w:name="OLE_LINK24"/>
            <w:r>
              <w:rPr>
                <w:rFonts w:hint="eastAsia" w:eastAsia="仿宋_GB2312"/>
                <w:color w:val="000000"/>
                <w:kern w:val="0"/>
                <w:szCs w:val="21"/>
                <w:lang w:val="en-US" w:eastAsia="zh-CN"/>
              </w:rPr>
              <w:t>24小时内</w:t>
            </w:r>
            <w:bookmarkEnd w:id="22"/>
          </w:p>
        </w:tc>
        <w:tc>
          <w:tcPr>
            <w:tcW w:w="1310"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24小时内</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561"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小礼堂改造完成时间</w:t>
            </w:r>
          </w:p>
        </w:tc>
        <w:tc>
          <w:tcPr>
            <w:tcW w:w="1457"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2024年9月前</w:t>
            </w:r>
          </w:p>
        </w:tc>
        <w:tc>
          <w:tcPr>
            <w:tcW w:w="1310"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8月底完工</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561"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办公用房维修成本</w:t>
            </w:r>
          </w:p>
        </w:tc>
        <w:tc>
          <w:tcPr>
            <w:tcW w:w="1457"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83.25万元</w:t>
            </w:r>
          </w:p>
        </w:tc>
        <w:tc>
          <w:tcPr>
            <w:tcW w:w="1310"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75.20万元</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561" w:type="dxa"/>
            <w:noWrap w:val="0"/>
            <w:vAlign w:val="center"/>
          </w:tcPr>
          <w:p>
            <w:pPr>
              <w:widowControl/>
              <w:jc w:val="left"/>
              <w:rPr>
                <w:rFonts w:eastAsia="仿宋_GB2312"/>
                <w:color w:val="000000"/>
                <w:kern w:val="0"/>
                <w:szCs w:val="21"/>
              </w:rPr>
            </w:pPr>
            <w:r>
              <w:rPr>
                <w:rFonts w:hint="eastAsia" w:eastAsia="仿宋_GB2312"/>
                <w:color w:val="000000"/>
                <w:kern w:val="0"/>
                <w:szCs w:val="21"/>
              </w:rPr>
              <w:t>机关大院维修</w:t>
            </w:r>
            <w:r>
              <w:rPr>
                <w:rFonts w:hint="eastAsia" w:eastAsia="仿宋_GB2312"/>
                <w:color w:val="000000"/>
                <w:kern w:val="0"/>
                <w:szCs w:val="21"/>
                <w:lang w:val="en-US" w:eastAsia="zh-CN"/>
              </w:rPr>
              <w:t xml:space="preserve">成本 </w:t>
            </w:r>
          </w:p>
        </w:tc>
        <w:tc>
          <w:tcPr>
            <w:tcW w:w="1457"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43.95万元</w:t>
            </w:r>
          </w:p>
        </w:tc>
        <w:tc>
          <w:tcPr>
            <w:tcW w:w="1310"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43.40万元</w:t>
            </w:r>
          </w:p>
        </w:tc>
        <w:tc>
          <w:tcPr>
            <w:tcW w:w="828"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561" w:type="dxa"/>
            <w:noWrap w:val="0"/>
            <w:vAlign w:val="center"/>
          </w:tcPr>
          <w:p>
            <w:pPr>
              <w:widowControl/>
              <w:jc w:val="left"/>
              <w:rPr>
                <w:rFonts w:eastAsia="仿宋_GB2312"/>
                <w:color w:val="000000"/>
                <w:kern w:val="0"/>
                <w:szCs w:val="21"/>
              </w:rPr>
            </w:pPr>
            <w:r>
              <w:rPr>
                <w:rFonts w:hint="default" w:ascii="Times New Roman" w:hAnsi="Times New Roman" w:eastAsia="仿宋_GB2312" w:cs="Times New Roman"/>
                <w:color w:val="000000"/>
                <w:sz w:val="20"/>
                <w:szCs w:val="20"/>
              </w:rPr>
              <w:t>解决我厅机关开大会无会议室的问题</w:t>
            </w:r>
          </w:p>
        </w:tc>
        <w:tc>
          <w:tcPr>
            <w:tcW w:w="1457"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拟</w:t>
            </w:r>
            <w:r>
              <w:rPr>
                <w:rFonts w:hint="eastAsia" w:eastAsia="仿宋_GB2312"/>
                <w:color w:val="000000"/>
                <w:kern w:val="0"/>
                <w:szCs w:val="21"/>
              </w:rPr>
              <w:t>将小礼堂改造为容纳200多人的多功能大会议室</w:t>
            </w:r>
          </w:p>
        </w:tc>
        <w:tc>
          <w:tcPr>
            <w:tcW w:w="1310"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561" w:type="dxa"/>
            <w:noWrap w:val="0"/>
            <w:vAlign w:val="center"/>
          </w:tcPr>
          <w:p>
            <w:pPr>
              <w:widowControl/>
              <w:jc w:val="left"/>
              <w:rPr>
                <w:rFonts w:eastAsia="仿宋_GB2312"/>
                <w:color w:val="000000"/>
                <w:kern w:val="0"/>
                <w:szCs w:val="21"/>
              </w:rPr>
            </w:pPr>
            <w:r>
              <w:rPr>
                <w:rFonts w:hint="default" w:ascii="Times New Roman" w:hAnsi="Times New Roman" w:eastAsia="仿宋_GB2312" w:cs="Times New Roman"/>
                <w:color w:val="000000"/>
                <w:sz w:val="20"/>
                <w:szCs w:val="20"/>
              </w:rPr>
              <w:t>解决三办公楼无公共会议室问题</w:t>
            </w:r>
          </w:p>
        </w:tc>
        <w:tc>
          <w:tcPr>
            <w:tcW w:w="1457"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拟</w:t>
            </w:r>
            <w:r>
              <w:rPr>
                <w:rFonts w:hint="eastAsia" w:eastAsia="仿宋_GB2312"/>
                <w:color w:val="000000"/>
                <w:kern w:val="0"/>
                <w:szCs w:val="21"/>
              </w:rPr>
              <w:t>将三办公楼301大办公室提质改造为会议室，解决了三办公楼无公共会议室问题</w:t>
            </w:r>
          </w:p>
        </w:tc>
        <w:tc>
          <w:tcPr>
            <w:tcW w:w="1310"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完成</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561" w:type="dxa"/>
            <w:noWrap w:val="0"/>
            <w:vAlign w:val="center"/>
          </w:tcPr>
          <w:p>
            <w:pPr>
              <w:widowControl/>
              <w:spacing w:line="240" w:lineRule="exact"/>
              <w:jc w:val="left"/>
              <w:rPr>
                <w:rFonts w:eastAsia="仿宋_GB2312"/>
                <w:color w:val="000000"/>
                <w:kern w:val="0"/>
                <w:szCs w:val="21"/>
              </w:rPr>
            </w:pPr>
            <w:r>
              <w:rPr>
                <w:rFonts w:hint="default" w:ascii="Times New Roman" w:hAnsi="Times New Roman" w:eastAsia="仿宋_GB2312" w:cs="Times New Roman"/>
                <w:color w:val="000000"/>
                <w:sz w:val="20"/>
                <w:szCs w:val="20"/>
              </w:rPr>
              <w:t>社会公众或服务对象的满意程度</w:t>
            </w:r>
          </w:p>
        </w:tc>
        <w:tc>
          <w:tcPr>
            <w:tcW w:w="1457"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90%以上</w:t>
            </w:r>
          </w:p>
        </w:tc>
        <w:tc>
          <w:tcPr>
            <w:tcW w:w="1310"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96%</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68"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98.84</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line="560" w:lineRule="exact"/>
        <w:jc w:val="center"/>
        <w:rPr>
          <w:rFonts w:eastAsia="黑体"/>
          <w:sz w:val="32"/>
          <w:szCs w:val="32"/>
        </w:rPr>
        <w:sectPr>
          <w:headerReference r:id="rId7" w:type="first"/>
          <w:footerReference r:id="rId9" w:type="first"/>
          <w:headerReference r:id="rId6" w:type="default"/>
          <w:footerReference r:id="rId8" w:type="default"/>
          <w:pgSz w:w="11905" w:h="16837"/>
          <w:pgMar w:top="1418" w:right="1588" w:bottom="1418" w:left="1588" w:header="720" w:footer="1701" w:gutter="0"/>
          <w:pgNumType w:fmt="decimal" w:start="1"/>
          <w:cols w:space="720" w:num="1"/>
          <w:docGrid w:linePitch="636" w:charSpace="20838"/>
        </w:sectPr>
      </w:pPr>
    </w:p>
    <w:p>
      <w:pPr>
        <w:pStyle w:val="14"/>
        <w:spacing w:line="600" w:lineRule="exact"/>
        <w:ind w:firstLine="640" w:firstLineChars="200"/>
        <w:rPr>
          <w:rFonts w:ascii="Times New Roman" w:hAnsi="Times New Roman" w:eastAsia="仿宋_GB2312" w:cs="Times New Roman"/>
          <w:sz w:val="32"/>
          <w:szCs w:val="32"/>
        </w:rPr>
      </w:pPr>
    </w:p>
    <w:p>
      <w:pPr>
        <w:pStyle w:val="14"/>
        <w:jc w:val="center"/>
        <w:rPr>
          <w:rFonts w:ascii="Times New Roman" w:hAnsi="Times New Roman" w:cs="Times New Roman"/>
          <w:sz w:val="72"/>
          <w:szCs w:val="72"/>
        </w:rPr>
      </w:pPr>
    </w:p>
    <w:p>
      <w:pPr>
        <w:pStyle w:val="14"/>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Nimbus Roman No9 L">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Arial Unicode MS">
    <w:panose1 w:val="020B0604020202020204"/>
    <w:charset w:val="86"/>
    <w:family w:val="auto"/>
    <w:pitch w:val="default"/>
    <w:sig w:usb0="FFFFFFFF" w:usb1="E9FFFFFF" w:usb2="0000003F" w:usb3="00000000" w:csb0="601F00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rPr>
        <w:color w:val="000000"/>
        <w:highlight w:val="black"/>
      </w:rPr>
    </w:pPr>
    <w:r>
      <w:rPr>
        <w:color w:val="000000"/>
        <w:sz w:val="18"/>
        <w:highlight w:val="black"/>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xGInwbcBAABVAwAADgAAAAAAAAABACAAAAAiAQAAZHJzL2Uyb0RvYy54bWxQSwUGAAAAAAYA&#10;BgBZAQAASwUAAAAA&#10;">
              <v:fill on="f" focussize="0,0"/>
              <v:stroke on="f" weight="1.2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fill on="f" focussize="0,0"/>
              <v:stroke on="f" weight="1.2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abstractNum w:abstractNumId="1">
    <w:nsid w:val="CF95B217"/>
    <w:multiLevelType w:val="singleLevel"/>
    <w:tmpl w:val="CF95B217"/>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100B01A6"/>
    <w:rsid w:val="131276A0"/>
    <w:rsid w:val="17A23F70"/>
    <w:rsid w:val="18B60D65"/>
    <w:rsid w:val="1BF568DB"/>
    <w:rsid w:val="1D97DEFF"/>
    <w:rsid w:val="1DFF72E5"/>
    <w:rsid w:val="1E9E0258"/>
    <w:rsid w:val="1EFC6F07"/>
    <w:rsid w:val="218E2046"/>
    <w:rsid w:val="277231B0"/>
    <w:rsid w:val="2FDF85B8"/>
    <w:rsid w:val="2FFFEE04"/>
    <w:rsid w:val="34DF85B0"/>
    <w:rsid w:val="394D3603"/>
    <w:rsid w:val="3B8F36BC"/>
    <w:rsid w:val="40D220A2"/>
    <w:rsid w:val="491FF225"/>
    <w:rsid w:val="4FFD214C"/>
    <w:rsid w:val="5131059D"/>
    <w:rsid w:val="54CB2A6E"/>
    <w:rsid w:val="5777D4F5"/>
    <w:rsid w:val="59DD8326"/>
    <w:rsid w:val="5CCD3038"/>
    <w:rsid w:val="5DEF592A"/>
    <w:rsid w:val="5E490482"/>
    <w:rsid w:val="5FC6BB1E"/>
    <w:rsid w:val="5FF720F1"/>
    <w:rsid w:val="64F61EE6"/>
    <w:rsid w:val="67FF5C0B"/>
    <w:rsid w:val="6EFC0924"/>
    <w:rsid w:val="6FB74722"/>
    <w:rsid w:val="6FEF8B7E"/>
    <w:rsid w:val="71A6591B"/>
    <w:rsid w:val="737D59BA"/>
    <w:rsid w:val="75BF414F"/>
    <w:rsid w:val="76457DDF"/>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3"/>
    <w:basedOn w:val="1"/>
    <w:next w:val="1"/>
    <w:qFormat/>
    <w:uiPriority w:val="0"/>
    <w:pPr>
      <w:keepNext/>
      <w:keepLines/>
      <w:outlineLvl w:val="2"/>
    </w:pPr>
    <w:rPr>
      <w:rFonts w:eastAsia="黑体"/>
      <w:bCs/>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6">
    <w:name w:val="Normal Indent"/>
    <w:basedOn w:val="1"/>
    <w:qFormat/>
    <w:uiPriority w:val="0"/>
    <w:pPr>
      <w:ind w:firstLine="420" w:firstLineChars="200"/>
    </w:pPr>
  </w:style>
  <w:style w:type="paragraph" w:styleId="7">
    <w:name w:val="Balloon Text"/>
    <w:basedOn w:val="1"/>
    <w:link w:val="16"/>
    <w:semiHidden/>
    <w:unhideWhenUsed/>
    <w:qFormat/>
    <w:uiPriority w:val="99"/>
    <w:rPr>
      <w:sz w:val="18"/>
      <w:szCs w:val="18"/>
    </w:rPr>
  </w:style>
  <w:style w:type="paragraph" w:styleId="8">
    <w:name w:val="footer"/>
    <w:basedOn w:val="1"/>
    <w:link w:val="13"/>
    <w:unhideWhenUsed/>
    <w:qFormat/>
    <w:uiPriority w:val="99"/>
    <w:pPr>
      <w:tabs>
        <w:tab w:val="center" w:pos="4153"/>
        <w:tab w:val="right" w:pos="8306"/>
      </w:tabs>
      <w:snapToGrid w:val="0"/>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7"/>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11</TotalTime>
  <ScaleCrop>false</ScaleCrop>
  <LinksUpToDate>false</LinksUpToDate>
  <CharactersWithSpaces>9786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2025-08-18T10:17:00Z</dcterms:created>
  <dc:creator>李航 null</dc:creator>
  <cp:lastModifiedBy>lenovo</cp:lastModifiedBy>
  <cp:lastPrinted>2024-08-08T18:20:00Z</cp:lastPrinted>
  <dcterms:modified xsi:type="dcterms:W3CDTF">2025-09-13T03:25:10Z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