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jc w:val="both"/>
        <w:rPr>
          <w:sz w:val="56"/>
          <w:szCs w:val="56"/>
        </w:rPr>
      </w:pPr>
    </w:p>
    <w:p>
      <w:pPr>
        <w:pStyle w:val="15"/>
        <w:jc w:val="both"/>
        <w:rPr>
          <w:sz w:val="56"/>
          <w:szCs w:val="56"/>
        </w:rPr>
      </w:pPr>
    </w:p>
    <w:p>
      <w:pPr>
        <w:pStyle w:val="15"/>
        <w:jc w:val="center"/>
        <w:rPr>
          <w:sz w:val="56"/>
          <w:szCs w:val="56"/>
        </w:rPr>
      </w:pPr>
    </w:p>
    <w:p>
      <w:pPr>
        <w:pStyle w:val="15"/>
        <w:jc w:val="both"/>
        <w:rPr>
          <w:sz w:val="84"/>
          <w:szCs w:val="84"/>
        </w:rPr>
      </w:pPr>
    </w:p>
    <w:p>
      <w:pPr>
        <w:pStyle w:val="15"/>
        <w:jc w:val="center"/>
        <w:rPr>
          <w:rFonts w:hint="eastAsia" w:ascii="Times New Roman" w:hAnsi="Times New Roman" w:eastAsia="方正小标宋简体" w:cs="Times New Roman"/>
          <w:kern w:val="0"/>
          <w:sz w:val="72"/>
          <w:szCs w:val="72"/>
        </w:rPr>
      </w:pPr>
      <w:r>
        <w:rPr>
          <w:rFonts w:hint="eastAsia" w:ascii="Times New Roman" w:hAnsi="Times New Roman" w:eastAsia="方正小标宋简体" w:cs="Times New Roman"/>
          <w:kern w:val="0"/>
          <w:sz w:val="72"/>
          <w:szCs w:val="72"/>
        </w:rPr>
        <w:t>202</w:t>
      </w:r>
      <w:r>
        <w:rPr>
          <w:rFonts w:hint="eastAsia" w:ascii="Times New Roman" w:hAnsi="Times New Roman" w:eastAsia="方正小标宋简体" w:cs="Times New Roman"/>
          <w:kern w:val="0"/>
          <w:sz w:val="72"/>
          <w:szCs w:val="72"/>
          <w:lang w:val="en-US" w:eastAsia="zh-CN"/>
        </w:rPr>
        <w:t>4</w:t>
      </w:r>
      <w:r>
        <w:rPr>
          <w:rFonts w:hint="eastAsia" w:ascii="Times New Roman" w:hAnsi="Times New Roman" w:eastAsia="方正小标宋简体" w:cs="Times New Roman"/>
          <w:kern w:val="0"/>
          <w:sz w:val="72"/>
          <w:szCs w:val="72"/>
        </w:rPr>
        <w:t>年度</w:t>
      </w:r>
    </w:p>
    <w:p>
      <w:pPr>
        <w:pStyle w:val="15"/>
        <w:jc w:val="center"/>
        <w:rPr>
          <w:rFonts w:hint="default" w:ascii="Times New Roman" w:hAnsi="Times New Roman" w:eastAsia="方正小标宋简体" w:cs="Times New Roman"/>
          <w:kern w:val="0"/>
          <w:sz w:val="72"/>
          <w:szCs w:val="72"/>
          <w:lang w:val="en-US" w:eastAsia="zh-CN"/>
        </w:rPr>
      </w:pPr>
      <w:r>
        <w:rPr>
          <w:rFonts w:hint="eastAsia" w:ascii="Times New Roman" w:hAnsi="Times New Roman" w:eastAsia="方正小标宋简体" w:cs="Times New Roman"/>
          <w:kern w:val="0"/>
          <w:sz w:val="72"/>
          <w:szCs w:val="72"/>
          <w:lang w:val="en-US" w:eastAsia="zh-CN"/>
        </w:rPr>
        <w:t>湖南省农作物种子南繁中心</w:t>
      </w:r>
    </w:p>
    <w:p>
      <w:pPr>
        <w:pStyle w:val="15"/>
        <w:jc w:val="center"/>
        <w:rPr>
          <w:rFonts w:hint="eastAsia" w:ascii="Times New Roman" w:hAnsi="Times New Roman" w:eastAsia="方正小标宋简体" w:cs="Times New Roman"/>
          <w:kern w:val="0"/>
          <w:sz w:val="72"/>
          <w:szCs w:val="72"/>
        </w:rPr>
      </w:pPr>
      <w:r>
        <w:rPr>
          <w:rFonts w:hint="eastAsia" w:ascii="Times New Roman" w:hAnsi="Times New Roman" w:eastAsia="方正小标宋简体" w:cs="Times New Roman"/>
          <w:kern w:val="0"/>
          <w:sz w:val="72"/>
          <w:szCs w:val="72"/>
        </w:rPr>
        <w:t>单位决算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600" w:lineRule="exact"/>
        <w:jc w:val="center"/>
        <w:rPr>
          <w:rFonts w:hint="eastAsia" w:ascii="Times New Roman" w:hAnsi="Times New Roman" w:cs="Times New Roman"/>
          <w:bCs/>
          <w:kern w:val="0"/>
          <w:sz w:val="36"/>
          <w:szCs w:val="28"/>
        </w:rPr>
      </w:pPr>
      <w:r>
        <w:rPr>
          <w:rFonts w:hint="eastAsia" w:ascii="Times New Roman" w:hAnsi="Times New Roman" w:cs="Times New Roman"/>
          <w:bCs/>
          <w:kern w:val="0"/>
          <w:sz w:val="36"/>
          <w:szCs w:val="28"/>
        </w:rPr>
        <w:t>目</w:t>
      </w:r>
      <w:r>
        <w:rPr>
          <w:rFonts w:hint="eastAsia" w:ascii="Times New Roman" w:hAnsi="Times New Roman" w:cs="Times New Roman"/>
          <w:bCs/>
          <w:kern w:val="0"/>
          <w:sz w:val="36"/>
          <w:szCs w:val="28"/>
          <w:lang w:val="en-US" w:eastAsia="zh-CN"/>
        </w:rPr>
        <w:t xml:space="preserve">  </w:t>
      </w:r>
      <w:r>
        <w:rPr>
          <w:rFonts w:hint="eastAsia" w:ascii="Times New Roman" w:hAnsi="Times New Roman" w:cs="Times New Roman"/>
          <w:bCs/>
          <w:kern w:val="0"/>
          <w:sz w:val="36"/>
          <w:szCs w:val="28"/>
        </w:rPr>
        <w:t>录</w:t>
      </w:r>
    </w:p>
    <w:p>
      <w:pPr>
        <w:pStyle w:val="15"/>
        <w:spacing w:line="600" w:lineRule="exact"/>
        <w:jc w:val="center"/>
        <w:rPr>
          <w:rFonts w:hint="eastAsia" w:ascii="Times New Roman" w:hAnsi="Times New Roman" w:cs="Times New Roman"/>
          <w:bCs/>
          <w:kern w:val="0"/>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湖南省农作物种子南繁中心</w:t>
      </w:r>
      <w:r>
        <w:rPr>
          <w:rFonts w:ascii="Times New Roman" w:hAnsi="Times New Roman" w:cs="Times New Roman"/>
          <w:bCs/>
          <w:sz w:val="32"/>
          <w:szCs w:val="32"/>
        </w:rPr>
        <w:t>单位概况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sz w:val="84"/>
          <w:szCs w:val="84"/>
        </w:rPr>
      </w:pPr>
    </w:p>
    <w:p>
      <w:pPr>
        <w:pStyle w:val="15"/>
        <w:jc w:val="center"/>
        <w:rPr>
          <w:sz w:val="84"/>
          <w:szCs w:val="84"/>
        </w:rPr>
      </w:pPr>
    </w:p>
    <w:p>
      <w:pPr>
        <w:rPr>
          <w:rFonts w:ascii="Times New Roman" w:hAnsi="Times New Roman" w:eastAsia="方正小标宋_GBK" w:cs="Times New Roman"/>
          <w:sz w:val="72"/>
          <w:szCs w:val="72"/>
        </w:rPr>
      </w:pPr>
    </w:p>
    <w:p>
      <w:pPr>
        <w:pStyle w:val="15"/>
        <w:spacing w:line="360" w:lineRule="auto"/>
        <w:jc w:val="center"/>
        <w:rPr>
          <w:rFonts w:hint="eastAsia" w:ascii="Times New Roman" w:hAnsi="Times New Roman" w:eastAsia="方正小标宋_GBK" w:cs="Times New Roman"/>
          <w:kern w:val="0"/>
          <w:sz w:val="52"/>
          <w:szCs w:val="52"/>
        </w:rPr>
      </w:pPr>
      <w:r>
        <w:rPr>
          <w:rFonts w:hint="eastAsia" w:ascii="Times New Roman" w:hAnsi="Times New Roman" w:eastAsia="方正小标宋_GBK" w:cs="Times New Roman"/>
          <w:kern w:val="0"/>
          <w:sz w:val="52"/>
          <w:szCs w:val="52"/>
        </w:rPr>
        <w:t xml:space="preserve">第一部分 </w:t>
      </w:r>
    </w:p>
    <w:p>
      <w:pPr>
        <w:pStyle w:val="15"/>
        <w:spacing w:line="360" w:lineRule="auto"/>
        <w:jc w:val="center"/>
        <w:rPr>
          <w:rFonts w:hint="eastAsia" w:ascii="Times New Roman" w:hAnsi="Times New Roman" w:eastAsia="方正小标宋_GBK" w:cs="Times New Roman"/>
          <w:kern w:val="0"/>
          <w:sz w:val="52"/>
          <w:szCs w:val="52"/>
          <w:lang w:val="en-US" w:eastAsia="zh-CN"/>
        </w:rPr>
      </w:pPr>
      <w:r>
        <w:rPr>
          <w:rFonts w:hint="eastAsia" w:ascii="Times New Roman" w:hAnsi="Times New Roman" w:eastAsia="方正小标宋_GBK" w:cs="Times New Roman"/>
          <w:kern w:val="0"/>
          <w:sz w:val="52"/>
          <w:szCs w:val="52"/>
        </w:rPr>
        <w:t>湖南省农作物种子南繁</w:t>
      </w:r>
      <w:r>
        <w:rPr>
          <w:rFonts w:hint="eastAsia" w:ascii="Times New Roman" w:hAnsi="Times New Roman" w:eastAsia="方正小标宋_GBK" w:cs="Times New Roman"/>
          <w:kern w:val="0"/>
          <w:sz w:val="52"/>
          <w:szCs w:val="52"/>
          <w:lang w:val="en-US" w:eastAsia="zh-CN"/>
        </w:rPr>
        <w:t>中心</w:t>
      </w:r>
    </w:p>
    <w:p>
      <w:pPr>
        <w:pStyle w:val="15"/>
        <w:spacing w:line="360" w:lineRule="auto"/>
        <w:jc w:val="center"/>
        <w:rPr>
          <w:rFonts w:hint="eastAsia" w:ascii="Times New Roman" w:hAnsi="Times New Roman" w:eastAsia="方正小标宋_GBK" w:cs="Times New Roman"/>
          <w:kern w:val="0"/>
          <w:sz w:val="52"/>
          <w:szCs w:val="52"/>
        </w:rPr>
      </w:pPr>
      <w:r>
        <w:rPr>
          <w:rFonts w:hint="eastAsia" w:ascii="Times New Roman" w:hAnsi="Times New Roman" w:eastAsia="方正小标宋_GBK" w:cs="Times New Roman"/>
          <w:kern w:val="0"/>
          <w:sz w:val="52"/>
          <w:szCs w:val="52"/>
        </w:rPr>
        <w:t>单位概况</w:t>
      </w:r>
    </w:p>
    <w:p>
      <w:pPr>
        <w:rPr>
          <w:rFonts w:hint="eastAsia" w:asciiTheme="minorEastAsia" w:hAnsiTheme="minorEastAsia" w:eastAsiaTheme="minorEastAsia" w:cstheme="minorEastAsia"/>
          <w:sz w:val="24"/>
          <w:szCs w:val="24"/>
        </w:rPr>
      </w:pPr>
    </w:p>
    <w:p>
      <w:pPr>
        <w:pStyle w:val="16"/>
        <w:numPr>
          <w:ilvl w:val="0"/>
          <w:numId w:val="1"/>
        </w:numPr>
        <w:ind w:firstLineChars="0"/>
        <w:jc w:val="left"/>
        <w:outlineLvl w:val="1"/>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主要职能：农作物种子繁殖，促进农业发展。主要农作物种子海南种植鉴定的田间管理工作、南繁各单位的技术服务和协调工作。</w:t>
      </w:r>
    </w:p>
    <w:p>
      <w:pPr>
        <w:widowControl/>
        <w:spacing w:line="600" w:lineRule="exact"/>
        <w:outlineLvl w:val="1"/>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（一）内设机构设置。湖南省农作物种子南繁</w:t>
      </w:r>
      <w:r>
        <w:rPr>
          <w:rFonts w:hint="eastAsia" w:ascii="Times New Roman" w:hAnsi="Times New Roman" w:eastAsia="仿宋_GB2312" w:cs="仿宋_GB2312"/>
          <w:bCs/>
          <w:kern w:val="0"/>
          <w:sz w:val="32"/>
          <w:szCs w:val="32"/>
          <w:lang w:val="en-US" w:eastAsia="zh-CN"/>
        </w:rPr>
        <w:t>中心</w:t>
      </w:r>
      <w:r>
        <w:rPr>
          <w:rFonts w:hint="eastAsia" w:ascii="Times New Roman" w:hAnsi="Times New Roman" w:eastAsia="仿宋_GB2312" w:cs="仿宋_GB2312"/>
          <w:bCs/>
          <w:kern w:val="0"/>
          <w:sz w:val="32"/>
          <w:szCs w:val="32"/>
        </w:rPr>
        <w:t>内设机构包括：综合财务科和三亚基地科。</w:t>
      </w:r>
    </w:p>
    <w:p>
      <w:pPr>
        <w:widowControl/>
        <w:spacing w:line="600" w:lineRule="exact"/>
        <w:rPr>
          <w:rFonts w:hint="eastAsia" w:ascii="Times New Roman" w:hAnsi="Times New Roman" w:eastAsia="方正小标宋_GBK" w:cs="Times New Roman"/>
          <w:kern w:val="0"/>
          <w:sz w:val="52"/>
          <w:szCs w:val="52"/>
        </w:rPr>
      </w:pPr>
      <w:r>
        <w:rPr>
          <w:rFonts w:hint="eastAsia" w:ascii="Times New Roman" w:hAnsi="Times New Roman" w:eastAsia="仿宋_GB2312" w:cs="仿宋_GB2312"/>
          <w:bCs/>
          <w:kern w:val="0"/>
          <w:sz w:val="32"/>
          <w:szCs w:val="32"/>
        </w:rPr>
        <w:t>（二）决算单位构成。湖南省农作物种子南繁</w:t>
      </w:r>
      <w:r>
        <w:rPr>
          <w:rFonts w:hint="eastAsia" w:ascii="Times New Roman" w:hAnsi="Times New Roman" w:eastAsia="仿宋_GB2312" w:cs="仿宋_GB2312"/>
          <w:bCs/>
          <w:kern w:val="0"/>
          <w:sz w:val="32"/>
          <w:szCs w:val="32"/>
          <w:lang w:val="en-US" w:eastAsia="zh-CN"/>
        </w:rPr>
        <w:t>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年部门决算汇总公开单位构成包括：湖南省农作物种子南繁</w:t>
      </w:r>
      <w:r>
        <w:rPr>
          <w:rFonts w:hint="eastAsia" w:ascii="Times New Roman" w:hAnsi="Times New Roman" w:eastAsia="仿宋_GB2312" w:cs="仿宋_GB2312"/>
          <w:bCs/>
          <w:kern w:val="0"/>
          <w:sz w:val="32"/>
          <w:szCs w:val="32"/>
          <w:lang w:val="en-US" w:eastAsia="zh-CN"/>
        </w:rPr>
        <w:t>中心</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pStyle w:val="15"/>
        <w:jc w:val="center"/>
        <w:rPr>
          <w:rFonts w:hint="eastAsia" w:ascii="Times New Roman" w:hAnsi="Times New Roman" w:eastAsia="方正小标宋_GBK" w:cs="Times New Roman"/>
          <w:kern w:val="0"/>
          <w:sz w:val="52"/>
          <w:szCs w:val="52"/>
        </w:rPr>
      </w:pPr>
    </w:p>
    <w:p>
      <w:pPr>
        <w:pStyle w:val="15"/>
        <w:jc w:val="center"/>
        <w:rPr>
          <w:rFonts w:hint="eastAsia" w:ascii="Times New Roman" w:hAnsi="Times New Roman" w:eastAsia="方正小标宋_GBK" w:cs="Times New Roman"/>
          <w:kern w:val="0"/>
          <w:sz w:val="52"/>
          <w:szCs w:val="52"/>
        </w:rPr>
      </w:pPr>
    </w:p>
    <w:p>
      <w:pPr>
        <w:pStyle w:val="15"/>
        <w:jc w:val="center"/>
        <w:rPr>
          <w:rFonts w:hint="eastAsia" w:ascii="Times New Roman" w:hAnsi="Times New Roman" w:eastAsia="方正小标宋_GBK" w:cs="Times New Roman"/>
          <w:kern w:val="0"/>
          <w:sz w:val="52"/>
          <w:szCs w:val="52"/>
        </w:rPr>
      </w:pPr>
    </w:p>
    <w:p>
      <w:pPr>
        <w:pStyle w:val="15"/>
        <w:jc w:val="center"/>
        <w:rPr>
          <w:rFonts w:hint="eastAsia" w:ascii="Times New Roman" w:hAnsi="Times New Roman" w:eastAsia="方正小标宋_GBK" w:cs="Times New Roman"/>
          <w:kern w:val="0"/>
          <w:sz w:val="52"/>
          <w:szCs w:val="52"/>
        </w:rPr>
      </w:pPr>
    </w:p>
    <w:p>
      <w:pPr>
        <w:pStyle w:val="15"/>
        <w:jc w:val="center"/>
        <w:rPr>
          <w:rFonts w:hint="eastAsia" w:ascii="Times New Roman" w:hAnsi="Times New Roman" w:eastAsia="方正小标宋_GBK" w:cs="Times New Roman"/>
          <w:kern w:val="0"/>
          <w:sz w:val="52"/>
          <w:szCs w:val="52"/>
        </w:rPr>
      </w:pPr>
    </w:p>
    <w:p>
      <w:pPr>
        <w:pStyle w:val="15"/>
        <w:jc w:val="center"/>
        <w:rPr>
          <w:rFonts w:hint="eastAsia" w:ascii="Times New Roman" w:hAnsi="Times New Roman" w:eastAsia="方正小标宋_GBK" w:cs="Times New Roman"/>
          <w:kern w:val="0"/>
          <w:sz w:val="52"/>
          <w:szCs w:val="5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sectPr>
          <w:pgSz w:w="11906" w:h="16838"/>
          <w:pgMar w:top="1417" w:right="1587" w:bottom="1417" w:left="1587" w:header="851" w:footer="992" w:gutter="0"/>
          <w:cols w:space="425" w:num="1"/>
          <w:docGrid w:type="lines" w:linePitch="312" w:charSpace="0"/>
        </w:sectPr>
      </w:pPr>
    </w:p>
    <w:p>
      <w:pPr>
        <w:widowControl/>
        <w:numPr>
          <w:ilvl w:val="0"/>
          <w:numId w:val="2"/>
        </w:numPr>
        <w:spacing w:after="156" w:afterLines="50"/>
        <w:jc w:val="center"/>
        <w:textAlignment w:val="center"/>
        <w:rPr>
          <w:rFonts w:hint="eastAsia" w:ascii="Times New Roman" w:hAnsi="Times New Roman" w:eastAsia="方正小标宋_GBK" w:cs="Times New Roman"/>
          <w:kern w:val="0"/>
          <w:sz w:val="52"/>
          <w:szCs w:val="52"/>
        </w:rPr>
      </w:pPr>
      <w:r>
        <w:rPr>
          <w:rFonts w:hint="eastAsia" w:ascii="Times New Roman" w:hAnsi="Times New Roman" w:eastAsia="方正小标宋_GBK" w:cs="Times New Roman"/>
          <w:kern w:val="0"/>
          <w:sz w:val="52"/>
          <w:szCs w:val="52"/>
          <w:lang w:val="en-US" w:eastAsia="zh-CN"/>
        </w:rPr>
        <w:t xml:space="preserve">   </w:t>
      </w:r>
      <w:r>
        <w:rPr>
          <w:rFonts w:hint="eastAsia" w:ascii="Times New Roman" w:hAnsi="Times New Roman" w:eastAsia="方正小标宋_GBK" w:cs="Times New Roman"/>
          <w:kern w:val="0"/>
          <w:sz w:val="52"/>
          <w:szCs w:val="52"/>
        </w:rPr>
        <w:t>部门决算表</w:t>
      </w:r>
    </w:p>
    <w:p>
      <w:pPr>
        <w:widowControl/>
        <w:numPr>
          <w:ilvl w:val="0"/>
          <w:numId w:val="0"/>
        </w:numPr>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公开01表</w:t>
      </w:r>
    </w:p>
    <w:p>
      <w:pPr>
        <w:widowControl/>
        <w:tabs>
          <w:tab w:val="left" w:pos="4442"/>
          <w:tab w:val="left" w:pos="5045"/>
          <w:tab w:val="left" w:pos="6444"/>
          <w:tab w:val="left" w:pos="11477"/>
          <w:tab w:val="left" w:pos="13102"/>
        </w:tabs>
        <w:jc w:val="right"/>
        <w:textAlignment w:val="center"/>
        <w:rPr>
          <w:sz w:val="72"/>
          <w:szCs w:val="72"/>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湖南省农作物种子南繁中心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单位：万元</w:t>
      </w:r>
    </w:p>
    <w:tbl>
      <w:tblPr>
        <w:tblStyle w:val="9"/>
        <w:tblW w:w="14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655"/>
        <w:gridCol w:w="748"/>
        <w:gridCol w:w="1373"/>
        <w:gridCol w:w="5277"/>
        <w:gridCol w:w="680"/>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776" w:type="dxa"/>
            <w:gridSpan w:val="3"/>
            <w:tcBorders>
              <w:tl2br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收入</w:t>
            </w:r>
          </w:p>
        </w:tc>
        <w:tc>
          <w:tcPr>
            <w:tcW w:w="7438" w:type="dxa"/>
            <w:gridSpan w:val="3"/>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465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项    目</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行次</w:t>
            </w:r>
          </w:p>
        </w:tc>
        <w:tc>
          <w:tcPr>
            <w:tcW w:w="1373"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决算数</w:t>
            </w:r>
          </w:p>
        </w:tc>
        <w:tc>
          <w:tcPr>
            <w:tcW w:w="527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项    目</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行次</w:t>
            </w:r>
          </w:p>
        </w:tc>
        <w:tc>
          <w:tcPr>
            <w:tcW w:w="1481"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465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栏    次</w:t>
            </w:r>
          </w:p>
        </w:tc>
        <w:tc>
          <w:tcPr>
            <w:tcW w:w="748" w:type="dxa"/>
            <w:shd w:val="clear" w:color="auto" w:fill="FFFFFF"/>
            <w:vAlign w:val="center"/>
          </w:tcPr>
          <w:p>
            <w:pPr>
              <w:jc w:val="center"/>
              <w:rPr>
                <w:rFonts w:hint="default" w:ascii="Times New Roman" w:hAnsi="Times New Roman" w:eastAsia="仿宋_GB2312" w:cs="Times New Roman"/>
                <w:b w:val="0"/>
                <w:i w:val="0"/>
                <w:color w:val="auto"/>
                <w:sz w:val="22"/>
                <w:szCs w:val="22"/>
                <w:u w:val="none"/>
              </w:rPr>
            </w:pPr>
          </w:p>
        </w:tc>
        <w:tc>
          <w:tcPr>
            <w:tcW w:w="1373"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1</w:t>
            </w:r>
          </w:p>
        </w:tc>
        <w:tc>
          <w:tcPr>
            <w:tcW w:w="527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栏    次</w:t>
            </w:r>
          </w:p>
        </w:tc>
        <w:tc>
          <w:tcPr>
            <w:tcW w:w="680" w:type="dxa"/>
            <w:shd w:val="clear" w:color="auto" w:fill="FFFFFF"/>
            <w:vAlign w:val="center"/>
          </w:tcPr>
          <w:p>
            <w:pPr>
              <w:jc w:val="center"/>
              <w:rPr>
                <w:rFonts w:hint="default" w:ascii="Times New Roman" w:hAnsi="Times New Roman" w:eastAsia="仿宋_GB2312" w:cs="Times New Roman"/>
                <w:b w:val="0"/>
                <w:i w:val="0"/>
                <w:color w:val="auto"/>
                <w:sz w:val="22"/>
                <w:szCs w:val="22"/>
                <w:u w:val="none"/>
              </w:rPr>
            </w:pPr>
          </w:p>
        </w:tc>
        <w:tc>
          <w:tcPr>
            <w:tcW w:w="1481"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一、一般公共预算财政拨款收入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1</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color w:val="auto"/>
                <w:sz w:val="22"/>
                <w:szCs w:val="22"/>
                <w:lang w:val="en-US" w:eastAsia="zh-CN"/>
              </w:rPr>
            </w:pPr>
            <w:r>
              <w:rPr>
                <w:rFonts w:hint="default" w:ascii="Times New Roman" w:hAnsi="Times New Roman" w:eastAsia="仿宋_GB2312" w:cs="Times New Roman"/>
                <w:b w:val="0"/>
                <w:i w:val="0"/>
                <w:iCs w:val="0"/>
                <w:color w:val="auto"/>
                <w:kern w:val="0"/>
                <w:sz w:val="22"/>
                <w:szCs w:val="22"/>
                <w:u w:val="none"/>
                <w:lang w:val="en-US" w:eastAsia="zh-CN" w:bidi="ar"/>
              </w:rPr>
              <w:t>237.35</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一、一般公共服务支出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31</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二、政府性基金预算财政拨款收入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二、外交支出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32</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三、国有资本经营预算财政拨款收入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三、国防支出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33</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四、上级补助收入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4</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四、公共安全支出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34</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五、事业收入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5</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五、教育支出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35</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六、经营收入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6</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六、科学技术支出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36</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七、附属单位上缴收入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7</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七、文化旅游体育与传媒支出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37</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八、其他收入</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8</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102.98</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八、社会保障和就业支出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38</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9</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九、卫生健康支出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39</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10</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十、节能环保支出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40</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11</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十一、城乡社区支出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41</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12</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十二、农林水支出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42</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379.28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13</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十三、交通运输支出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43</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14</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十四、资源勘探工业信息等支出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44</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15</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十五、商业服务业等支出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45</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16</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十六、金融支出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46</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17</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十七、援助其他地区支出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47</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18</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十八、自然资源海洋气象等支出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48</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19</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十九、住房保障支出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49</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20</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二十、粮油物资储备支出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50</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21</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二十一、国有资本经营预算支出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51</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22</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二十二、灾害防治及应急管理支出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52</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23</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二十三、其他支出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53</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24</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二十四、债务还本支出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54</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25</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二十五、债务付息支出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kern w:val="0"/>
                <w:sz w:val="22"/>
                <w:szCs w:val="22"/>
                <w:u w:val="none"/>
                <w:lang w:val="en-US" w:eastAsia="zh-CN" w:bidi="ar"/>
              </w:rPr>
            </w:pPr>
            <w:r>
              <w:rPr>
                <w:rFonts w:hint="default" w:ascii="Times New Roman" w:hAnsi="Times New Roman" w:eastAsia="仿宋_GB2312" w:cs="Times New Roman"/>
                <w:b w:val="0"/>
                <w:i w:val="0"/>
                <w:iCs w:val="0"/>
                <w:color w:val="auto"/>
                <w:kern w:val="0"/>
                <w:sz w:val="22"/>
                <w:szCs w:val="22"/>
                <w:u w:val="none"/>
                <w:lang w:val="en-US" w:eastAsia="zh-CN" w:bidi="ar"/>
              </w:rPr>
              <w:t>55</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26</w:t>
            </w:r>
          </w:p>
        </w:tc>
        <w:tc>
          <w:tcPr>
            <w:tcW w:w="1373" w:type="dxa"/>
            <w:shd w:val="clear" w:color="auto" w:fill="FFFFFF"/>
            <w:vAlign w:val="center"/>
          </w:tcPr>
          <w:p>
            <w:pPr>
              <w:jc w:val="right"/>
              <w:rPr>
                <w:rFonts w:hint="default" w:ascii="Times New Roman" w:hAnsi="Times New Roman" w:eastAsia="仿宋_GB2312" w:cs="Times New Roman"/>
                <w:b w:val="0"/>
                <w:i w:val="0"/>
                <w:color w:val="auto"/>
                <w:sz w:val="22"/>
                <w:szCs w:val="22"/>
                <w:u w:val="none"/>
              </w:rPr>
            </w:pP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二十六、抗疫特别国债安排的支出</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56</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本年收入合计</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27</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bCs/>
                <w:i w:val="0"/>
                <w:iCs w:val="0"/>
                <w:color w:val="auto"/>
                <w:kern w:val="0"/>
                <w:sz w:val="22"/>
                <w:szCs w:val="22"/>
                <w:u w:val="none"/>
                <w:lang w:val="en-US" w:eastAsia="zh-CN" w:bidi="ar"/>
              </w:rPr>
              <w:t>340.33</w:t>
            </w:r>
          </w:p>
        </w:tc>
        <w:tc>
          <w:tcPr>
            <w:tcW w:w="527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本年支出合计</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57</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bCs/>
                <w:i w:val="0"/>
                <w:color w:val="auto"/>
                <w:sz w:val="22"/>
                <w:szCs w:val="22"/>
                <w:u w:val="none"/>
              </w:rPr>
            </w:pPr>
            <w:r>
              <w:rPr>
                <w:rFonts w:hint="default" w:ascii="Times New Roman" w:hAnsi="Times New Roman" w:eastAsia="仿宋_GB2312" w:cs="Times New Roman"/>
                <w:b w:val="0"/>
                <w:bCs/>
                <w:i w:val="0"/>
                <w:iCs w:val="0"/>
                <w:color w:val="auto"/>
                <w:kern w:val="0"/>
                <w:sz w:val="22"/>
                <w:szCs w:val="22"/>
                <w:u w:val="none"/>
                <w:lang w:val="en-US" w:eastAsia="zh-CN" w:bidi="ar"/>
              </w:rPr>
              <w:t>411.11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 xml:space="preserve">    使用非财政拨款结余（含专用结余）</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28</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278.27</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 xml:space="preserve">                结余分配</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58</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 xml:space="preserve">         年初结转和结余</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29</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0.00</w:t>
            </w:r>
          </w:p>
        </w:tc>
        <w:tc>
          <w:tcPr>
            <w:tcW w:w="5277"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color w:val="auto"/>
                <w:kern w:val="0"/>
                <w:sz w:val="22"/>
                <w:szCs w:val="22"/>
                <w:u w:val="none"/>
                <w:lang w:val="en-US" w:eastAsia="zh-CN" w:bidi="ar"/>
              </w:rPr>
              <w:t xml:space="preserve">                年末结转和结余</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59</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bCs/>
                <w:i w:val="0"/>
                <w:color w:val="auto"/>
                <w:sz w:val="22"/>
                <w:szCs w:val="22"/>
                <w:u w:val="none"/>
              </w:rPr>
            </w:pPr>
            <w:r>
              <w:rPr>
                <w:rFonts w:hint="default" w:ascii="Times New Roman" w:hAnsi="Times New Roman" w:eastAsia="仿宋_GB2312" w:cs="Times New Roman"/>
                <w:b w:val="0"/>
                <w:bCs/>
                <w:i w:val="0"/>
                <w:iCs w:val="0"/>
                <w:color w:val="auto"/>
                <w:kern w:val="0"/>
                <w:sz w:val="22"/>
                <w:szCs w:val="22"/>
                <w:u w:val="none"/>
                <w:lang w:val="en-US" w:eastAsia="zh-CN" w:bidi="ar"/>
              </w:rPr>
              <w:t>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5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总计</w:t>
            </w:r>
          </w:p>
        </w:tc>
        <w:tc>
          <w:tcPr>
            <w:tcW w:w="748"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30</w:t>
            </w:r>
          </w:p>
        </w:tc>
        <w:tc>
          <w:tcPr>
            <w:tcW w:w="1373"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i w:val="0"/>
                <w:iCs w:val="0"/>
                <w:color w:val="auto"/>
                <w:kern w:val="2"/>
                <w:sz w:val="22"/>
                <w:szCs w:val="22"/>
                <w:u w:val="none"/>
                <w:lang w:val="en-US" w:eastAsia="zh-CN" w:bidi="ar-SA"/>
              </w:rPr>
            </w:pPr>
            <w:r>
              <w:rPr>
                <w:rFonts w:hint="default" w:ascii="Times New Roman" w:hAnsi="Times New Roman" w:eastAsia="仿宋_GB2312" w:cs="Times New Roman"/>
                <w:b w:val="0"/>
                <w:bCs/>
                <w:i w:val="0"/>
                <w:iCs w:val="0"/>
                <w:color w:val="auto"/>
                <w:kern w:val="0"/>
                <w:sz w:val="22"/>
                <w:szCs w:val="22"/>
                <w:u w:val="none"/>
                <w:lang w:val="en-US" w:eastAsia="zh-CN" w:bidi="ar"/>
              </w:rPr>
              <w:t>618.60</w:t>
            </w:r>
          </w:p>
        </w:tc>
        <w:tc>
          <w:tcPr>
            <w:tcW w:w="527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bCs/>
                <w:i w:val="0"/>
                <w:color w:val="auto"/>
                <w:kern w:val="0"/>
                <w:sz w:val="22"/>
                <w:szCs w:val="22"/>
                <w:u w:val="none"/>
                <w:lang w:val="en-US" w:eastAsia="zh-CN" w:bidi="ar"/>
              </w:rPr>
              <w:t>总计</w:t>
            </w:r>
          </w:p>
        </w:tc>
        <w:tc>
          <w:tcPr>
            <w:tcW w:w="680"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i w:val="0"/>
                <w:color w:val="auto"/>
                <w:sz w:val="22"/>
                <w:szCs w:val="22"/>
                <w:u w:val="none"/>
              </w:rPr>
            </w:pPr>
            <w:r>
              <w:rPr>
                <w:rFonts w:hint="default" w:ascii="Times New Roman" w:hAnsi="Times New Roman" w:eastAsia="仿宋_GB2312" w:cs="Times New Roman"/>
                <w:b w:val="0"/>
                <w:i w:val="0"/>
                <w:iCs w:val="0"/>
                <w:color w:val="auto"/>
                <w:kern w:val="0"/>
                <w:sz w:val="22"/>
                <w:szCs w:val="22"/>
                <w:u w:val="none"/>
                <w:lang w:val="en-US" w:eastAsia="zh-CN" w:bidi="ar"/>
              </w:rPr>
              <w:t>60</w:t>
            </w:r>
          </w:p>
        </w:tc>
        <w:tc>
          <w:tcPr>
            <w:tcW w:w="1481" w:type="dxa"/>
            <w:shd w:val="clear" w:color="auto" w:fill="FFFFFF"/>
            <w:vAlign w:val="center"/>
          </w:tcPr>
          <w:p>
            <w:pPr>
              <w:keepNext w:val="0"/>
              <w:keepLines w:val="0"/>
              <w:widowControl/>
              <w:suppressLineNumbers w:val="0"/>
              <w:jc w:val="right"/>
              <w:textAlignment w:val="center"/>
              <w:rPr>
                <w:rFonts w:hint="default" w:ascii="Times New Roman" w:hAnsi="Times New Roman" w:eastAsia="仿宋_GB2312" w:cs="Times New Roman"/>
                <w:b w:val="0"/>
                <w:bCs/>
                <w:i w:val="0"/>
                <w:iCs w:val="0"/>
                <w:color w:val="auto"/>
                <w:kern w:val="2"/>
                <w:sz w:val="22"/>
                <w:szCs w:val="22"/>
                <w:u w:val="none"/>
                <w:lang w:val="en-US" w:eastAsia="zh-CN" w:bidi="ar-SA"/>
              </w:rPr>
            </w:pPr>
            <w:r>
              <w:rPr>
                <w:rFonts w:hint="default" w:ascii="Times New Roman" w:hAnsi="Times New Roman" w:eastAsia="仿宋_GB2312" w:cs="Times New Roman"/>
                <w:b w:val="0"/>
                <w:bCs/>
                <w:i w:val="0"/>
                <w:iCs w:val="0"/>
                <w:color w:val="auto"/>
                <w:kern w:val="0"/>
                <w:sz w:val="22"/>
                <w:szCs w:val="22"/>
                <w:u w:val="none"/>
                <w:lang w:val="en-US" w:eastAsia="zh-CN" w:bidi="ar"/>
              </w:rPr>
              <w:t>618.60</w:t>
            </w:r>
          </w:p>
        </w:tc>
      </w:tr>
    </w:tbl>
    <w:p>
      <w:pPr>
        <w:widowControl/>
        <w:jc w:val="left"/>
        <w:textAlignment w:val="center"/>
        <w:rPr>
          <w:rFonts w:ascii="Times New Roman" w:hAnsi="Times New Roman" w:eastAsia="宋体" w:cs="Times New Roman"/>
          <w:color w:val="000000"/>
          <w:kern w:val="0"/>
          <w:sz w:val="24"/>
          <w:szCs w:val="24"/>
        </w:rPr>
      </w:pPr>
    </w:p>
    <w:p>
      <w:pPr>
        <w:widowControl/>
        <w:ind w:firstLine="480" w:firstLineChars="20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注：1.本表反映部门本年度的总收支和年末结转结余情况。</w:t>
      </w:r>
      <w:r>
        <w:rPr>
          <w:rFonts w:ascii="Times New Roman" w:hAnsi="Times New Roman" w:eastAsia="仿宋_GB2312" w:cs="Times New Roman"/>
          <w:color w:val="000000"/>
          <w:kern w:val="0"/>
          <w:sz w:val="24"/>
          <w:szCs w:val="24"/>
        </w:rPr>
        <w:br w:type="textWrapping"/>
      </w:r>
      <w:r>
        <w:rPr>
          <w:rFonts w:ascii="Times New Roman" w:hAnsi="Times New Roman" w:eastAsia="仿宋_GB2312" w:cs="Times New Roman"/>
          <w:color w:val="000000"/>
          <w:kern w:val="0"/>
          <w:sz w:val="24"/>
          <w:szCs w:val="24"/>
        </w:rPr>
        <w:t xml:space="preserve">  </w:t>
      </w:r>
      <w:r>
        <w:rPr>
          <w:rFonts w:hint="eastAsia" w:ascii="Times New Roman" w:hAnsi="Times New Roman" w:eastAsia="仿宋_GB2312" w:cs="Times New Roman"/>
          <w:color w:val="000000"/>
          <w:kern w:val="0"/>
          <w:sz w:val="24"/>
          <w:szCs w:val="24"/>
          <w:lang w:val="en-US" w:eastAsia="zh-CN"/>
        </w:rPr>
        <w:t xml:space="preserve">    </w:t>
      </w:r>
      <w:r>
        <w:rPr>
          <w:rFonts w:ascii="Times New Roman" w:hAnsi="Times New Roman" w:eastAsia="仿宋_GB2312" w:cs="Times New Roman"/>
          <w:color w:val="000000"/>
          <w:kern w:val="0"/>
          <w:sz w:val="24"/>
          <w:szCs w:val="24"/>
        </w:rPr>
        <w:t xml:space="preserve">  2.本套报表金额单位转换时可能存在尾数误差。</w:t>
      </w:r>
    </w:p>
    <w:p>
      <w:pPr>
        <w:widowControl/>
        <w:jc w:val="both"/>
        <w:rPr>
          <w:sz w:val="72"/>
          <w:szCs w:val="72"/>
        </w:rPr>
      </w:pPr>
    </w:p>
    <w:p>
      <w:pPr>
        <w:widowControl/>
        <w:jc w:val="both"/>
        <w:rPr>
          <w:sz w:val="72"/>
          <w:szCs w:val="72"/>
        </w:rPr>
      </w:pPr>
    </w:p>
    <w:p>
      <w:pPr>
        <w:widowControl/>
        <w:jc w:val="both"/>
        <w:rPr>
          <w:sz w:val="72"/>
          <w:szCs w:val="72"/>
        </w:rPr>
      </w:pPr>
    </w:p>
    <w:p>
      <w:pPr>
        <w:widowControl/>
        <w:spacing w:line="400" w:lineRule="exact"/>
        <w:jc w:val="center"/>
        <w:textAlignment w:val="center"/>
        <w:rPr>
          <w:rFonts w:ascii="Times New Roman" w:hAnsi="Times New Roman" w:eastAsia="黑体"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both"/>
        <w:rPr>
          <w:sz w:val="72"/>
          <w:szCs w:val="72"/>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hint="eastAsia" w:ascii="Times New Roman" w:hAnsi="Times New Roman" w:eastAsia="仿宋_GB2312" w:cs="Times New Roman"/>
          <w:sz w:val="24"/>
          <w:szCs w:val="24"/>
          <w:lang w:val="en-US" w:eastAsia="zh-CN"/>
        </w:rPr>
        <w:t xml:space="preserve">                </w:t>
      </w:r>
      <w:r>
        <w:rPr>
          <w:rFonts w:ascii="Times New Roman" w:hAnsi="Times New Roman" w:eastAsia="仿宋_GB2312" w:cs="Times New Roman"/>
          <w:color w:val="000000"/>
          <w:sz w:val="20"/>
          <w:szCs w:val="20"/>
        </w:rPr>
        <w:t>单位：万元</w:t>
      </w:r>
    </w:p>
    <w:tbl>
      <w:tblPr>
        <w:tblStyle w:val="9"/>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019"/>
        <w:gridCol w:w="1695"/>
        <w:gridCol w:w="1635"/>
        <w:gridCol w:w="1485"/>
        <w:gridCol w:w="1530"/>
        <w:gridCol w:w="1290"/>
        <w:gridCol w:w="1200"/>
        <w:gridCol w:w="1951"/>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blHeader/>
        </w:trPr>
        <w:tc>
          <w:tcPr>
            <w:tcW w:w="3714" w:type="dxa"/>
            <w:gridSpan w:val="2"/>
            <w:shd w:val="clear" w:color="auto" w:fill="auto"/>
            <w:noWrap/>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项    目</w:t>
            </w:r>
          </w:p>
        </w:tc>
        <w:tc>
          <w:tcPr>
            <w:tcW w:w="1635"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本年收入合计</w:t>
            </w:r>
          </w:p>
        </w:tc>
        <w:tc>
          <w:tcPr>
            <w:tcW w:w="1485"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财政拨款收入</w:t>
            </w:r>
          </w:p>
        </w:tc>
        <w:tc>
          <w:tcPr>
            <w:tcW w:w="1530"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上级补助收入</w:t>
            </w:r>
          </w:p>
        </w:tc>
        <w:tc>
          <w:tcPr>
            <w:tcW w:w="1290"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事业收入</w:t>
            </w:r>
          </w:p>
        </w:tc>
        <w:tc>
          <w:tcPr>
            <w:tcW w:w="1200"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经营收入</w:t>
            </w:r>
          </w:p>
        </w:tc>
        <w:tc>
          <w:tcPr>
            <w:tcW w:w="1951"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附属单位上缴收入</w:t>
            </w:r>
          </w:p>
        </w:tc>
        <w:tc>
          <w:tcPr>
            <w:tcW w:w="1415"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其他收入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2019" w:type="dxa"/>
            <w:vMerge w:val="restart"/>
            <w:shd w:val="clear" w:color="auto" w:fill="auto"/>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功能分类科目编码</w:t>
            </w:r>
          </w:p>
        </w:tc>
        <w:tc>
          <w:tcPr>
            <w:tcW w:w="1695" w:type="dxa"/>
            <w:vMerge w:val="restart"/>
            <w:shd w:val="clear" w:color="auto" w:fill="auto"/>
            <w:noWrap/>
            <w:vAlign w:val="center"/>
          </w:tcPr>
          <w:p>
            <w:pPr>
              <w:jc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sz w:val="21"/>
                <w:szCs w:val="21"/>
              </w:rPr>
              <w:t>科目名称</w:t>
            </w:r>
          </w:p>
        </w:tc>
        <w:tc>
          <w:tcPr>
            <w:tcW w:w="1635"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485"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530"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290"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200"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951"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c>
          <w:tcPr>
            <w:tcW w:w="1415" w:type="dxa"/>
            <w:vMerge w:val="continue"/>
            <w:shd w:val="clear" w:color="auto" w:fill="auto"/>
            <w:vAlign w:val="center"/>
          </w:tcPr>
          <w:p>
            <w:pPr>
              <w:rPr>
                <w:rFonts w:hint="default" w:ascii="Times New Roman" w:hAnsi="Times New Roman" w:eastAsia="仿宋_GB2312" w:cs="Times New Roman"/>
                <w:b/>
                <w:bCs/>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19"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695" w:type="dxa"/>
            <w:vMerge w:val="continue"/>
            <w:shd w:val="clear" w:color="auto" w:fill="auto"/>
            <w:noWrap/>
            <w:vAlign w:val="center"/>
          </w:tcPr>
          <w:p>
            <w:pPr>
              <w:jc w:val="center"/>
              <w:rPr>
                <w:rFonts w:hint="default" w:ascii="Times New Roman" w:hAnsi="Times New Roman" w:eastAsia="仿宋_GB2312" w:cs="Times New Roman"/>
                <w:i w:val="0"/>
                <w:iCs w:val="0"/>
                <w:color w:val="000000"/>
                <w:sz w:val="21"/>
                <w:szCs w:val="21"/>
                <w:u w:val="none"/>
              </w:rPr>
            </w:pPr>
          </w:p>
        </w:tc>
        <w:tc>
          <w:tcPr>
            <w:tcW w:w="163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48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53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29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20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951"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41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19"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695" w:type="dxa"/>
            <w:vMerge w:val="continue"/>
            <w:shd w:val="clear" w:color="auto" w:fill="auto"/>
            <w:noWrap/>
            <w:vAlign w:val="center"/>
          </w:tcPr>
          <w:p>
            <w:pPr>
              <w:jc w:val="center"/>
              <w:rPr>
                <w:rFonts w:hint="default" w:ascii="Times New Roman" w:hAnsi="Times New Roman" w:eastAsia="仿宋_GB2312" w:cs="Times New Roman"/>
                <w:i w:val="0"/>
                <w:iCs w:val="0"/>
                <w:color w:val="000000"/>
                <w:sz w:val="21"/>
                <w:szCs w:val="21"/>
                <w:u w:val="none"/>
              </w:rPr>
            </w:pPr>
          </w:p>
        </w:tc>
        <w:tc>
          <w:tcPr>
            <w:tcW w:w="163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48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53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29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200"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951"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415" w:type="dxa"/>
            <w:vMerge w:val="continue"/>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3714" w:type="dxa"/>
            <w:gridSpan w:val="2"/>
            <w:shd w:val="clear" w:color="auto" w:fill="auto"/>
            <w:noWrap/>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栏次</w:t>
            </w:r>
          </w:p>
        </w:tc>
        <w:tc>
          <w:tcPr>
            <w:tcW w:w="1635"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1</w:t>
            </w:r>
          </w:p>
        </w:tc>
        <w:tc>
          <w:tcPr>
            <w:tcW w:w="1485"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2</w:t>
            </w:r>
          </w:p>
        </w:tc>
        <w:tc>
          <w:tcPr>
            <w:tcW w:w="1530"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3</w:t>
            </w:r>
          </w:p>
        </w:tc>
        <w:tc>
          <w:tcPr>
            <w:tcW w:w="1290"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4</w:t>
            </w:r>
          </w:p>
        </w:tc>
        <w:tc>
          <w:tcPr>
            <w:tcW w:w="1200"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5</w:t>
            </w:r>
          </w:p>
        </w:tc>
        <w:tc>
          <w:tcPr>
            <w:tcW w:w="1951"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6</w:t>
            </w:r>
          </w:p>
        </w:tc>
        <w:tc>
          <w:tcPr>
            <w:tcW w:w="1415" w:type="dxa"/>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3714" w:type="dxa"/>
            <w:gridSpan w:val="2"/>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合计</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340.33</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237.35</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205</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教育支出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20508</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进修及培训</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2050803</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培训支出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0.12</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208</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社会保障和就业支出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25.49</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25.49</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20805</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行政事业单位养老支出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25.49</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25.49</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2080502</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事业单位离退休</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12.37</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12.37</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2080505</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机关事业单位基本养老保险缴费支出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13.12</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13.12</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213</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农林水支出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304.90</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201.91</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102.98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21301</w:t>
            </w:r>
          </w:p>
        </w:tc>
        <w:tc>
          <w:tcPr>
            <w:tcW w:w="1695"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u w:val="none"/>
                <w:lang w:val="en-US" w:eastAsia="zh-CN" w:bidi="ar"/>
              </w:rPr>
            </w:pPr>
            <w:r>
              <w:rPr>
                <w:rFonts w:hint="eastAsia" w:ascii="Times New Roman" w:hAnsi="Times New Roman" w:eastAsia="仿宋_GB2312" w:cs="Times New Roman"/>
                <w:i w:val="0"/>
                <w:iCs w:val="0"/>
                <w:color w:val="000000"/>
                <w:kern w:val="0"/>
                <w:sz w:val="21"/>
                <w:szCs w:val="21"/>
                <w:u w:val="none"/>
                <w:lang w:val="en-US" w:eastAsia="zh-CN" w:bidi="ar"/>
              </w:rPr>
              <w:t>农业农村</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304.90</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201.91</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102.98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2130104</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事业运行</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78.07</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78.07</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2130122</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农业生产发展</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226.83</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123.84</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102.98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221</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highlight w:val="none"/>
                <w:u w:val="none"/>
                <w:lang w:val="en-US" w:eastAsia="zh-CN" w:bidi="ar"/>
              </w:rPr>
            </w:pPr>
            <w:r>
              <w:rPr>
                <w:rFonts w:hint="eastAsia" w:ascii="Times New Roman" w:hAnsi="Times New Roman" w:eastAsia="仿宋_GB2312" w:cs="Times New Roman"/>
                <w:i w:val="0"/>
                <w:iCs w:val="0"/>
                <w:color w:val="000000"/>
                <w:kern w:val="0"/>
                <w:sz w:val="21"/>
                <w:szCs w:val="21"/>
                <w:highlight w:val="none"/>
                <w:u w:val="none"/>
                <w:lang w:val="en-US" w:eastAsia="zh-CN" w:bidi="ar"/>
              </w:rPr>
              <w:t>住房保障支出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kern w:val="0"/>
                <w:sz w:val="21"/>
                <w:szCs w:val="21"/>
                <w:highlight w:val="none"/>
                <w:u w:val="none"/>
                <w:lang w:val="en-US" w:eastAsia="zh-CN" w:bidi="ar"/>
              </w:rPr>
            </w:pPr>
            <w:r>
              <w:rPr>
                <w:rFonts w:hint="default" w:ascii="Times New Roman" w:hAnsi="Times New Roman" w:eastAsia="仿宋_GB2312" w:cs="Times New Roman"/>
                <w:i w:val="0"/>
                <w:iCs w:val="0"/>
                <w:color w:val="auto"/>
                <w:kern w:val="0"/>
                <w:sz w:val="21"/>
                <w:szCs w:val="21"/>
                <w:highlight w:val="none"/>
                <w:u w:val="none"/>
                <w:lang w:val="en-US" w:eastAsia="zh-CN" w:bidi="ar"/>
              </w:rPr>
              <w:t>22102</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1"/>
                <w:szCs w:val="21"/>
                <w:highlight w:val="none"/>
                <w:u w:val="none"/>
                <w:lang w:val="en-US" w:eastAsia="zh-CN" w:bidi="ar"/>
              </w:rPr>
            </w:pPr>
            <w:r>
              <w:rPr>
                <w:rFonts w:hint="eastAsia" w:ascii="Times New Roman" w:hAnsi="Times New Roman" w:eastAsia="仿宋_GB2312" w:cs="Times New Roman"/>
                <w:i w:val="0"/>
                <w:iCs w:val="0"/>
                <w:color w:val="000000"/>
                <w:kern w:val="0"/>
                <w:sz w:val="21"/>
                <w:szCs w:val="21"/>
                <w:highlight w:val="none"/>
                <w:u w:val="none"/>
                <w:lang w:val="en-US" w:eastAsia="zh-CN" w:bidi="ar"/>
              </w:rPr>
              <w:t>住房改革支出</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019"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auto"/>
                <w:sz w:val="21"/>
                <w:szCs w:val="21"/>
                <w:highlight w:val="none"/>
                <w:u w:val="none"/>
              </w:rPr>
            </w:pPr>
            <w:r>
              <w:rPr>
                <w:rFonts w:hint="default" w:ascii="Times New Roman" w:hAnsi="Times New Roman" w:eastAsia="仿宋_GB2312" w:cs="Times New Roman"/>
                <w:i w:val="0"/>
                <w:iCs w:val="0"/>
                <w:color w:val="auto"/>
                <w:kern w:val="0"/>
                <w:sz w:val="21"/>
                <w:szCs w:val="21"/>
                <w:highlight w:val="none"/>
                <w:u w:val="none"/>
                <w:lang w:val="en-US" w:eastAsia="zh-CN" w:bidi="ar"/>
              </w:rPr>
              <w:t>2210201</w:t>
            </w:r>
          </w:p>
        </w:tc>
        <w:tc>
          <w:tcPr>
            <w:tcW w:w="1695" w:type="dxa"/>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住房公积金</w:t>
            </w:r>
          </w:p>
        </w:tc>
        <w:tc>
          <w:tcPr>
            <w:tcW w:w="163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48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9.83</w:t>
            </w:r>
          </w:p>
        </w:tc>
        <w:tc>
          <w:tcPr>
            <w:tcW w:w="153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9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00"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951"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415" w:type="dxa"/>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1"/>
                <w:szCs w:val="21"/>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both"/>
        <w:rPr>
          <w:sz w:val="72"/>
          <w:szCs w:val="72"/>
        </w:rPr>
      </w:pPr>
    </w:p>
    <w:p>
      <w:pPr>
        <w:widowControl/>
        <w:spacing w:after="156" w:afterLines="50"/>
        <w:jc w:val="both"/>
        <w:textAlignment w:val="center"/>
        <w:rPr>
          <w:rFonts w:ascii="Times New Roman" w:hAnsi="Times New Roman" w:eastAsia="黑体" w:cs="Times New Roman"/>
          <w:color w:val="000000"/>
          <w:kern w:val="0"/>
          <w:sz w:val="32"/>
          <w:szCs w:val="32"/>
        </w:rPr>
      </w:pPr>
    </w:p>
    <w:p>
      <w:pPr>
        <w:pStyle w:val="4"/>
        <w:rPr>
          <w:rFonts w:ascii="Times New Roman" w:hAnsi="Times New Roman" w:eastAsia="黑体" w:cs="Times New Roman"/>
          <w:color w:val="000000"/>
          <w:kern w:val="0"/>
          <w:sz w:val="32"/>
          <w:szCs w:val="32"/>
        </w:rPr>
      </w:pPr>
    </w:p>
    <w:p>
      <w:pPr>
        <w:rPr>
          <w:rFonts w:ascii="Times New Roman" w:hAnsi="Times New Roman" w:eastAsia="黑体" w:cs="Times New Roman"/>
          <w:color w:val="000000"/>
          <w:kern w:val="0"/>
          <w:sz w:val="32"/>
          <w:szCs w:val="32"/>
        </w:rPr>
      </w:pPr>
    </w:p>
    <w:p>
      <w:pPr>
        <w:pStyle w:val="4"/>
        <w:rPr>
          <w:rFonts w:ascii="Times New Roman" w:hAnsi="Times New Roman" w:eastAsia="黑体" w:cs="Times New Roman"/>
          <w:color w:val="000000"/>
          <w:kern w:val="0"/>
          <w:sz w:val="32"/>
          <w:szCs w:val="32"/>
        </w:rPr>
      </w:pPr>
    </w:p>
    <w:p>
      <w:pPr>
        <w:rPr>
          <w:rFonts w:ascii="Times New Roman" w:hAnsi="Times New Roman" w:eastAsia="黑体" w:cs="Times New Roman"/>
          <w:color w:val="000000"/>
          <w:kern w:val="0"/>
          <w:sz w:val="32"/>
          <w:szCs w:val="32"/>
        </w:rPr>
      </w:pPr>
    </w:p>
    <w:p>
      <w:pPr>
        <w:pStyle w:val="4"/>
        <w:rPr>
          <w:rFonts w:ascii="Times New Roman" w:hAnsi="Times New Roman" w:eastAsia="黑体" w:cs="Times New Roman"/>
          <w:color w:val="000000"/>
          <w:kern w:val="0"/>
          <w:sz w:val="32"/>
          <w:szCs w:val="32"/>
        </w:rPr>
      </w:pPr>
    </w:p>
    <w:p/>
    <w:p>
      <w:pPr>
        <w:widowControl/>
        <w:spacing w:after="156" w:afterLines="50"/>
        <w:jc w:val="both"/>
        <w:textAlignment w:val="center"/>
        <w:rPr>
          <w:rFonts w:ascii="Times New Roman" w:hAnsi="Times New Roman" w:eastAsia="黑体"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sz w:val="72"/>
          <w:szCs w:val="72"/>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9"/>
        <w:tblW w:w="142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89"/>
        <w:gridCol w:w="1950"/>
        <w:gridCol w:w="1740"/>
        <w:gridCol w:w="1440"/>
        <w:gridCol w:w="1245"/>
        <w:gridCol w:w="1770"/>
        <w:gridCol w:w="1275"/>
        <w:gridCol w:w="2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blHeader/>
        </w:trPr>
        <w:tc>
          <w:tcPr>
            <w:tcW w:w="42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项目</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本年支出合计</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基本支出</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项目支出</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上缴上级支出</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经营支出</w:t>
            </w:r>
          </w:p>
        </w:tc>
        <w:tc>
          <w:tcPr>
            <w:tcW w:w="25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blHeader/>
        </w:trPr>
        <w:tc>
          <w:tcPr>
            <w:tcW w:w="2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功能分类科目编码</w:t>
            </w:r>
          </w:p>
        </w:tc>
        <w:tc>
          <w:tcPr>
            <w:tcW w:w="19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科目名称</w:t>
            </w: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5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9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5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9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5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42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栏次</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5</w:t>
            </w:r>
          </w:p>
        </w:tc>
        <w:tc>
          <w:tcPr>
            <w:tcW w:w="2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42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合计</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411.11</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109.01</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302.10</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教育支出</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20508</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进修及培训</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2050803</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培训支出</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社会保障和就业支出</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行政事业单位养老支出</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2080502</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事业单位离退休</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10.86</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10.86</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2080505</w:t>
            </w:r>
          </w:p>
        </w:tc>
        <w:tc>
          <w:tcPr>
            <w:tcW w:w="19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机关事业单位基本养老保险缴费支出</w:t>
            </w:r>
          </w:p>
        </w:tc>
        <w:tc>
          <w:tcPr>
            <w:tcW w:w="1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11.03</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11.03</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w:t>
            </w:r>
          </w:p>
        </w:tc>
        <w:tc>
          <w:tcPr>
            <w:tcW w:w="195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农林水支出</w:t>
            </w:r>
          </w:p>
        </w:tc>
        <w:tc>
          <w:tcPr>
            <w:tcW w:w="17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379.28</w:t>
            </w:r>
          </w:p>
        </w:tc>
        <w:tc>
          <w:tcPr>
            <w:tcW w:w="14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77.18</w:t>
            </w:r>
          </w:p>
        </w:tc>
        <w:tc>
          <w:tcPr>
            <w:tcW w:w="12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eastAsia" w:ascii="Times New Roman" w:hAnsi="Times New Roman" w:eastAsia="仿宋_GB2312" w:cs="Times New Roman"/>
                <w:b w:val="0"/>
                <w:bCs w:val="0"/>
                <w:i w:val="0"/>
                <w:iCs w:val="0"/>
                <w:color w:val="000000"/>
                <w:kern w:val="0"/>
                <w:sz w:val="21"/>
                <w:szCs w:val="21"/>
                <w:u w:val="none"/>
                <w:lang w:val="en-US" w:eastAsia="zh-CN" w:bidi="ar"/>
              </w:rPr>
              <w:t>302.10</w:t>
            </w:r>
          </w:p>
        </w:tc>
        <w:tc>
          <w:tcPr>
            <w:tcW w:w="17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w:t>
            </w:r>
          </w:p>
        </w:tc>
        <w:tc>
          <w:tcPr>
            <w:tcW w:w="195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农业农村</w:t>
            </w:r>
          </w:p>
        </w:tc>
        <w:tc>
          <w:tcPr>
            <w:tcW w:w="17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379.28</w:t>
            </w:r>
          </w:p>
        </w:tc>
        <w:tc>
          <w:tcPr>
            <w:tcW w:w="14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77.18</w:t>
            </w:r>
          </w:p>
        </w:tc>
        <w:tc>
          <w:tcPr>
            <w:tcW w:w="12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eastAsia" w:ascii="Times New Roman" w:hAnsi="Times New Roman" w:eastAsia="仿宋_GB2312" w:cs="Times New Roman"/>
                <w:b w:val="0"/>
                <w:bCs w:val="0"/>
                <w:i w:val="0"/>
                <w:iCs w:val="0"/>
                <w:color w:val="000000"/>
                <w:kern w:val="0"/>
                <w:sz w:val="21"/>
                <w:szCs w:val="21"/>
                <w:u w:val="none"/>
                <w:lang w:val="en-US" w:eastAsia="zh-CN" w:bidi="ar"/>
              </w:rPr>
              <w:t>302.10</w:t>
            </w:r>
          </w:p>
        </w:tc>
        <w:tc>
          <w:tcPr>
            <w:tcW w:w="17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2130104</w:t>
            </w:r>
          </w:p>
        </w:tc>
        <w:tc>
          <w:tcPr>
            <w:tcW w:w="195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事业运行</w:t>
            </w:r>
          </w:p>
        </w:tc>
        <w:tc>
          <w:tcPr>
            <w:tcW w:w="17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77.18</w:t>
            </w:r>
          </w:p>
        </w:tc>
        <w:tc>
          <w:tcPr>
            <w:tcW w:w="14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77.18</w:t>
            </w:r>
          </w:p>
        </w:tc>
        <w:tc>
          <w:tcPr>
            <w:tcW w:w="12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9"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2130122</w:t>
            </w:r>
          </w:p>
        </w:tc>
        <w:tc>
          <w:tcPr>
            <w:tcW w:w="195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农业生产发展</w:t>
            </w:r>
          </w:p>
        </w:tc>
        <w:tc>
          <w:tcPr>
            <w:tcW w:w="17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302.10</w:t>
            </w:r>
          </w:p>
        </w:tc>
        <w:tc>
          <w:tcPr>
            <w:tcW w:w="14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lang w:val="en-US"/>
              </w:rPr>
            </w:pPr>
            <w:r>
              <w:rPr>
                <w:rFonts w:hint="eastAsia" w:ascii="Times New Roman" w:hAnsi="Times New Roman" w:eastAsia="仿宋_GB2312" w:cs="Times New Roman"/>
                <w:b w:val="0"/>
                <w:bCs w:val="0"/>
                <w:i w:val="0"/>
                <w:iCs w:val="0"/>
                <w:color w:val="000000"/>
                <w:kern w:val="0"/>
                <w:sz w:val="21"/>
                <w:szCs w:val="21"/>
                <w:u w:val="none"/>
                <w:lang w:val="en-US" w:eastAsia="zh-CN" w:bidi="ar"/>
              </w:rPr>
              <w:t>302.10</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w:t>
            </w:r>
          </w:p>
        </w:tc>
        <w:tc>
          <w:tcPr>
            <w:tcW w:w="1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住房保障支出</w:t>
            </w:r>
          </w:p>
        </w:tc>
        <w:tc>
          <w:tcPr>
            <w:tcW w:w="17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4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2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22102</w:t>
            </w:r>
          </w:p>
        </w:tc>
        <w:tc>
          <w:tcPr>
            <w:tcW w:w="1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住房改革支出</w:t>
            </w:r>
          </w:p>
        </w:tc>
        <w:tc>
          <w:tcPr>
            <w:tcW w:w="17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4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2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0"/>
                <w:sz w:val="21"/>
                <w:szCs w:val="21"/>
                <w:u w:val="none"/>
                <w:lang w:val="en-US" w:eastAsia="zh-CN" w:bidi="ar"/>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289"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2210201</w:t>
            </w:r>
          </w:p>
        </w:tc>
        <w:tc>
          <w:tcPr>
            <w:tcW w:w="195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住房公积金</w:t>
            </w:r>
          </w:p>
        </w:tc>
        <w:tc>
          <w:tcPr>
            <w:tcW w:w="17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4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12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27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2504"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jc w:val="both"/>
        <w:rPr>
          <w:sz w:val="72"/>
          <w:szCs w:val="72"/>
        </w:rPr>
      </w:pPr>
    </w:p>
    <w:p>
      <w:pPr>
        <w:pStyle w:val="4"/>
        <w:rPr>
          <w:sz w:val="72"/>
          <w:szCs w:val="72"/>
        </w:rPr>
      </w:pPr>
    </w:p>
    <w:p>
      <w:pPr>
        <w:rPr>
          <w:sz w:val="72"/>
          <w:szCs w:val="72"/>
        </w:rPr>
      </w:pPr>
    </w:p>
    <w:p>
      <w:pPr>
        <w:pStyle w:val="4"/>
      </w:pPr>
    </w:p>
    <w:p>
      <w:pPr>
        <w:rPr>
          <w:sz w:val="72"/>
          <w:szCs w:val="72"/>
        </w:rPr>
      </w:pPr>
    </w:p>
    <w:p>
      <w:pPr>
        <w:pStyle w:val="4"/>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jc w:val="center"/>
        <w:rPr>
          <w:sz w:val="72"/>
          <w:szCs w:val="72"/>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9"/>
        <w:tblW w:w="145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49"/>
        <w:gridCol w:w="495"/>
        <w:gridCol w:w="825"/>
        <w:gridCol w:w="3450"/>
        <w:gridCol w:w="510"/>
        <w:gridCol w:w="885"/>
        <w:gridCol w:w="1680"/>
        <w:gridCol w:w="1665"/>
        <w:gridCol w:w="18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blHeader/>
        </w:trPr>
        <w:tc>
          <w:tcPr>
            <w:tcW w:w="456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_GB2312" w:cs="Times New Roman"/>
                <w:b/>
                <w:bCs/>
                <w:kern w:val="0"/>
                <w:sz w:val="24"/>
                <w:szCs w:val="24"/>
              </w:rPr>
              <w:t>收入</w:t>
            </w:r>
          </w:p>
        </w:tc>
        <w:tc>
          <w:tcPr>
            <w:tcW w:w="1002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仿宋_GB2312" w:cs="Times New Roman"/>
                <w:b/>
                <w:bCs/>
                <w:kern w:val="0"/>
                <w:sz w:val="24"/>
                <w:szCs w:val="24"/>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32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项    目</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0"/>
                <w:szCs w:val="20"/>
              </w:rPr>
              <w:t>行次</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kern w:val="0"/>
                <w:sz w:val="24"/>
                <w:szCs w:val="24"/>
              </w:rPr>
              <w:t>金额</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项    目</w:t>
            </w:r>
          </w:p>
        </w:tc>
        <w:tc>
          <w:tcPr>
            <w:tcW w:w="5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kern w:val="0"/>
                <w:sz w:val="20"/>
                <w:szCs w:val="20"/>
              </w:rPr>
              <w:t>行次</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kern w:val="0"/>
                <w:sz w:val="24"/>
                <w:szCs w:val="24"/>
              </w:rPr>
              <w:t>合计</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一般公共预算财政拨款</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政府性基金预算财政拨款</w:t>
            </w:r>
          </w:p>
        </w:tc>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kern w:val="0"/>
                <w:sz w:val="24"/>
                <w:szCs w:val="24"/>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blHeader/>
        </w:trPr>
        <w:tc>
          <w:tcPr>
            <w:tcW w:w="32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栏    次</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　</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1</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栏    次</w:t>
            </w:r>
          </w:p>
        </w:tc>
        <w:tc>
          <w:tcPr>
            <w:tcW w:w="5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　</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kern w:val="0"/>
                <w:sz w:val="24"/>
                <w:szCs w:val="24"/>
              </w:rPr>
              <w:t>2</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3</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4</w:t>
            </w:r>
          </w:p>
        </w:tc>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kern w:val="0"/>
                <w:sz w:val="24"/>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一、一般公共预算财政拨款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237.35</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一、一般公共服务支出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33</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二、政府性基金预算财政拨款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二、外交支出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34</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三、国有资本经营预算财政拨款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三、国防支出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35</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四、公共安全支出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36</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五、教育支出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37</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0.12</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0.12</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六、科学技术支出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38</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7</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七、文化旅游体育与传媒支出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39</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8</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八、社会保障和就业支出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40</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21.89</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21.89</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9</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九、卫生健康支出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41</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十、节能环保支出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42</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十一、城乡社区支出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43</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12</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十二、农林水支出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44</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192.36</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192.36</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13</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十三、交通运输支出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45</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14</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十四、资源勘探工业信息等支出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46</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15</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十五、商业服务业等支出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47</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16</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十六、金融支出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48</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17</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十七、援助其他地区支出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49</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18</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十八、自然资源海洋气象等支出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50</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19</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十九、住房保障支出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51</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9.83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9.83</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二十、粮油物资储备支出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52</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二十一、国有资本经营预算支出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53</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22</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二十二、灾害防治及应急管理支出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54</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二十三、其他支出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55</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b/>
                <w:bCs/>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24</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二十四、债务还本支出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56</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25</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二十五、债务付息支出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57</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26</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i w:val="0"/>
                <w:iCs w:val="0"/>
                <w:color w:val="000000"/>
                <w:sz w:val="22"/>
                <w:szCs w:val="22"/>
                <w:u w:val="none"/>
              </w:rPr>
            </w:pP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二十六、抗疫特别国债安排的支出</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58</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本年收入合计</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27</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237.35</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本年支出合计</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59</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224.20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224.20</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年初财政拨款结转和结余</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28</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年末财政拨款结转和结余</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60</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13.15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13.15</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 xml:space="preserve">  一般公共预算财政拨款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29</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61</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 xml:space="preserve">  政府性基金预算财政拨款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30</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62</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 xml:space="preserve">  国有资本经营预算财政拨款</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31</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2"/>
                <w:szCs w:val="22"/>
                <w:u w:val="none"/>
              </w:rPr>
            </w:pP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63</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324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总计</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32</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237.35</w:t>
            </w:r>
          </w:p>
        </w:tc>
        <w:tc>
          <w:tcPr>
            <w:tcW w:w="3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总计</w:t>
            </w: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64</w:t>
            </w:r>
          </w:p>
        </w:tc>
        <w:tc>
          <w:tcPr>
            <w:tcW w:w="8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237.35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237.35</w:t>
            </w:r>
          </w:p>
        </w:tc>
        <w:tc>
          <w:tcPr>
            <w:tcW w:w="16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c>
          <w:tcPr>
            <w:tcW w:w="183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val="0"/>
                <w:bCs w:val="0"/>
                <w:i w:val="0"/>
                <w:iCs w:val="0"/>
                <w:color w:val="000000"/>
                <w:kern w:val="0"/>
                <w:sz w:val="21"/>
                <w:szCs w:val="21"/>
                <w:u w:val="none"/>
                <w:lang w:val="en-US" w:eastAsia="zh-CN" w:bidi="ar"/>
              </w:rPr>
              <w:t>0.00</w:t>
            </w:r>
          </w:p>
        </w:tc>
      </w:tr>
    </w:tbl>
    <w:p>
      <w:pPr>
        <w:widowControl/>
        <w:jc w:val="left"/>
        <w:rPr>
          <w:sz w:val="72"/>
          <w:szCs w:val="72"/>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hint="default" w:ascii="Times New Roman" w:hAnsi="Times New Roman" w:eastAsia="黑体" w:cs="Times New Roman"/>
          <w:color w:val="000000"/>
          <w:kern w:val="0"/>
          <w:sz w:val="36"/>
          <w:szCs w:val="36"/>
          <w:lang w:val="en-US" w:eastAsia="zh-CN"/>
        </w:rPr>
      </w:pPr>
      <w:r>
        <w:rPr>
          <w:rFonts w:ascii="Times New Roman" w:hAnsi="Times New Roman" w:eastAsia="黑体" w:cs="Times New Roman"/>
          <w:color w:val="000000"/>
          <w:kern w:val="0"/>
          <w:sz w:val="36"/>
          <w:szCs w:val="36"/>
        </w:rPr>
        <w:t>一般公共预算财政拨款支出决算表</w:t>
      </w:r>
      <w:r>
        <w:rPr>
          <w:rFonts w:hint="eastAsia" w:ascii="Times New Roman" w:hAnsi="Times New Roman" w:eastAsia="黑体" w:cs="Times New Roman"/>
          <w:color w:val="000000"/>
          <w:kern w:val="0"/>
          <w:sz w:val="36"/>
          <w:szCs w:val="36"/>
          <w:lang w:val="en-US" w:eastAsia="zh-CN"/>
        </w:rPr>
        <w:t xml:space="preserve">  </w:t>
      </w:r>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sz w:val="72"/>
          <w:szCs w:val="72"/>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9"/>
        <w:tblW w:w="142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41"/>
        <w:gridCol w:w="4187"/>
        <w:gridCol w:w="2601"/>
        <w:gridCol w:w="2738"/>
        <w:gridCol w:w="2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blHeader/>
        </w:trPr>
        <w:tc>
          <w:tcPr>
            <w:tcW w:w="6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项目</w:t>
            </w:r>
          </w:p>
        </w:tc>
        <w:tc>
          <w:tcPr>
            <w:tcW w:w="80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blHeader/>
        </w:trPr>
        <w:tc>
          <w:tcPr>
            <w:tcW w:w="1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ascii="Times New Roman" w:hAnsi="Times New Roman" w:eastAsia="仿宋_GB2312" w:cs="Times New Roman"/>
                <w:b/>
                <w:kern w:val="0"/>
                <w:szCs w:val="21"/>
              </w:rPr>
              <w:t>功能分类科目编码</w:t>
            </w:r>
          </w:p>
        </w:tc>
        <w:tc>
          <w:tcPr>
            <w:tcW w:w="418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科目名称</w:t>
            </w:r>
          </w:p>
        </w:tc>
        <w:tc>
          <w:tcPr>
            <w:tcW w:w="26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小计</w:t>
            </w:r>
          </w:p>
        </w:tc>
        <w:tc>
          <w:tcPr>
            <w:tcW w:w="27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基本支出</w:t>
            </w:r>
          </w:p>
        </w:tc>
        <w:tc>
          <w:tcPr>
            <w:tcW w:w="27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418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6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7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7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418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6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7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c>
          <w:tcPr>
            <w:tcW w:w="27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栏次</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2</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合计</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224.20</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109.01</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教育支出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20508</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进修及培训</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2050803</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培训支出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0.12</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社会保障和就业支出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行政事业单位养老支出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21.89</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2080502</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事业单位离退休</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10.86</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10.86</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2080505</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机关事业单位基本养老保险缴费支出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11.03</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11.03</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农林水支出</w:t>
            </w:r>
          </w:p>
        </w:tc>
        <w:tc>
          <w:tcPr>
            <w:tcW w:w="260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192.36</w:t>
            </w:r>
          </w:p>
        </w:tc>
        <w:tc>
          <w:tcPr>
            <w:tcW w:w="2738"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77.18</w:t>
            </w:r>
          </w:p>
        </w:tc>
        <w:tc>
          <w:tcPr>
            <w:tcW w:w="2743"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default" w:ascii="Times New Roman" w:hAnsi="Times New Roman" w:eastAsia="仿宋_GB2312" w:cs="Times New Roman"/>
                <w:b w:val="0"/>
                <w:bCs w:val="0"/>
                <w:i w:val="0"/>
                <w:iCs w:val="0"/>
                <w:color w:val="000000"/>
                <w:kern w:val="2"/>
                <w:sz w:val="24"/>
                <w:szCs w:val="24"/>
                <w:u w:val="none"/>
                <w:lang w:val="en-US" w:eastAsia="zh-CN" w:bidi="ar-SA"/>
              </w:rPr>
            </w:pPr>
            <w:r>
              <w:rPr>
                <w:rFonts w:hint="eastAsia" w:ascii="Times New Roman" w:hAnsi="Times New Roman" w:eastAsia="仿宋_GB2312" w:cs="Times New Roman"/>
                <w:b w:val="0"/>
                <w:bCs w:val="0"/>
                <w:i w:val="0"/>
                <w:iCs w:val="0"/>
                <w:color w:val="000000"/>
                <w:kern w:val="0"/>
                <w:sz w:val="21"/>
                <w:szCs w:val="21"/>
                <w:u w:val="none"/>
                <w:lang w:val="en-US" w:eastAsia="zh-CN" w:bidi="ar"/>
              </w:rPr>
              <w:t>115.18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w:t>
            </w:r>
          </w:p>
        </w:tc>
        <w:tc>
          <w:tcPr>
            <w:tcW w:w="418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农业农村</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192.36</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eastAsia" w:ascii="Times New Roman" w:hAnsi="Times New Roman" w:eastAsia="仿宋_GB2312" w:cs="Times New Roman"/>
                <w:b w:val="0"/>
                <w:bCs w:val="0"/>
                <w:i w:val="0"/>
                <w:iCs w:val="0"/>
                <w:color w:val="000000"/>
                <w:kern w:val="0"/>
                <w:sz w:val="24"/>
                <w:szCs w:val="24"/>
                <w:u w:val="none"/>
                <w:lang w:val="en-US" w:eastAsia="zh-CN" w:bidi="ar"/>
              </w:rPr>
              <w:t>77.18</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kern w:val="0"/>
                <w:sz w:val="22"/>
                <w:szCs w:val="22"/>
                <w:u w:val="none"/>
                <w:lang w:val="en-US" w:eastAsia="zh-CN" w:bidi="ar"/>
              </w:rPr>
            </w:pPr>
            <w:r>
              <w:rPr>
                <w:rFonts w:hint="eastAsia" w:ascii="Times New Roman" w:hAnsi="Times New Roman" w:eastAsia="仿宋_GB2312" w:cs="Times New Roman"/>
                <w:b w:val="0"/>
                <w:bCs w:val="0"/>
                <w:i w:val="0"/>
                <w:iCs w:val="0"/>
                <w:color w:val="000000"/>
                <w:kern w:val="0"/>
                <w:sz w:val="21"/>
                <w:szCs w:val="21"/>
                <w:u w:val="none"/>
                <w:lang w:val="en-US" w:eastAsia="zh-CN" w:bidi="ar"/>
              </w:rPr>
              <w:t>115.18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2130104</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事业运行</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77.18</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77.18</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2130122</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农业生产发展</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115.18</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115.18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住房保障支出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22102</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eastAsia" w:ascii="Times New Roman" w:hAnsi="Times New Roman" w:eastAsia="仿宋_GB2312" w:cs="Times New Roman"/>
                <w:b w:val="0"/>
                <w:bCs w:val="0"/>
                <w:i w:val="0"/>
                <w:iCs w:val="0"/>
                <w:color w:val="000000"/>
                <w:kern w:val="0"/>
                <w:sz w:val="24"/>
                <w:szCs w:val="24"/>
                <w:highlight w:val="none"/>
                <w:u w:val="none"/>
                <w:lang w:val="en-US" w:eastAsia="zh-CN" w:bidi="ar"/>
              </w:rPr>
              <w:t>住房改革支出</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9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2210201</w:t>
            </w:r>
          </w:p>
        </w:tc>
        <w:tc>
          <w:tcPr>
            <w:tcW w:w="41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住房公积金</w:t>
            </w:r>
          </w:p>
        </w:tc>
        <w:tc>
          <w:tcPr>
            <w:tcW w:w="26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sz w:val="24"/>
                <w:szCs w:val="24"/>
                <w:u w:val="none"/>
              </w:rPr>
            </w:pPr>
            <w:r>
              <w:rPr>
                <w:rFonts w:hint="default" w:ascii="Times New Roman" w:hAnsi="Times New Roman" w:eastAsia="仿宋_GB2312" w:cs="Times New Roman"/>
                <w:b w:val="0"/>
                <w:bCs w:val="0"/>
                <w:i w:val="0"/>
                <w:iCs w:val="0"/>
                <w:color w:val="000000"/>
                <w:kern w:val="0"/>
                <w:sz w:val="24"/>
                <w:szCs w:val="24"/>
                <w:u w:val="none"/>
                <w:lang w:val="en-US" w:eastAsia="zh-CN" w:bidi="ar"/>
              </w:rPr>
              <w:t>9.83</w:t>
            </w:r>
          </w:p>
        </w:tc>
        <w:tc>
          <w:tcPr>
            <w:tcW w:w="27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color w:val="000000"/>
                <w:kern w:val="0"/>
                <w:sz w:val="24"/>
                <w:szCs w:val="24"/>
                <w:u w:val="none"/>
                <w:lang w:val="en-US" w:eastAsia="zh-CN" w:bidi="ar"/>
              </w:rPr>
            </w:pPr>
            <w:r>
              <w:rPr>
                <w:rFonts w:hint="default" w:ascii="Times New Roman" w:hAnsi="Times New Roman" w:eastAsia="仿宋_GB2312" w:cs="Times New Roman"/>
                <w:b w:val="0"/>
                <w:bCs w:val="0"/>
                <w:i w:val="0"/>
                <w:iCs w:val="0"/>
                <w:color w:val="000000"/>
                <w:kern w:val="0"/>
                <w:sz w:val="24"/>
                <w:szCs w:val="24"/>
                <w:u w:val="none"/>
                <w:lang w:val="en-US" w:eastAsia="zh-CN" w:bidi="ar"/>
              </w:rPr>
              <w:t>0.00</w:t>
            </w:r>
          </w:p>
        </w:tc>
      </w:tr>
    </w:tbl>
    <w:p>
      <w:pPr>
        <w:widowControl/>
        <w:spacing w:before="12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注：本表反映部门本年度一般公共预算财政拨款支出情况。</w:t>
      </w:r>
    </w:p>
    <w:p>
      <w:pPr>
        <w:widowControl/>
        <w:jc w:val="both"/>
        <w:rPr>
          <w:sz w:val="72"/>
          <w:szCs w:val="72"/>
        </w:rPr>
      </w:pPr>
    </w:p>
    <w:p>
      <w:pPr>
        <w:pStyle w:val="4"/>
        <w:rPr>
          <w:sz w:val="72"/>
          <w:szCs w:val="72"/>
        </w:rPr>
      </w:pPr>
    </w:p>
    <w:p>
      <w:pPr>
        <w:rPr>
          <w:sz w:val="72"/>
          <w:szCs w:val="72"/>
        </w:rPr>
      </w:pPr>
    </w:p>
    <w:p>
      <w:pPr>
        <w:pStyle w:val="4"/>
        <w:rPr>
          <w:sz w:val="72"/>
          <w:szCs w:val="72"/>
        </w:rPr>
      </w:pPr>
    </w:p>
    <w:p>
      <w:pPr>
        <w:rPr>
          <w:sz w:val="72"/>
          <w:szCs w:val="72"/>
        </w:rPr>
      </w:pPr>
    </w:p>
    <w:p>
      <w:pPr>
        <w:pStyle w:val="4"/>
      </w:pPr>
    </w:p>
    <w:p>
      <w:pPr>
        <w:widowControl/>
        <w:jc w:val="both"/>
        <w:rPr>
          <w:sz w:val="72"/>
          <w:szCs w:val="72"/>
        </w:rPr>
      </w:pPr>
    </w:p>
    <w:p>
      <w:pPr>
        <w:widowControl/>
        <w:spacing w:after="120"/>
        <w:jc w:val="center"/>
        <w:textAlignment w:val="center"/>
        <w:rPr>
          <w:rFonts w:ascii="Times New Roman" w:hAnsi="Times New Roman" w:eastAsia="黑体" w:cs="Times New Roman"/>
          <w:color w:val="000000"/>
          <w:kern w:val="0"/>
          <w:sz w:val="36"/>
          <w:szCs w:val="36"/>
        </w:rPr>
      </w:pPr>
      <w:bookmarkStart w:id="0" w:name="RANGE!A1:I34"/>
      <w:r>
        <w:rPr>
          <w:rFonts w:ascii="Times New Roman" w:hAnsi="Times New Roman" w:eastAsia="黑体" w:cs="Times New Roman"/>
          <w:color w:val="000000"/>
          <w:kern w:val="0"/>
          <w:sz w:val="36"/>
          <w:szCs w:val="36"/>
        </w:rPr>
        <w:t>一般公共预算财政拨款基本支出决算明细表</w:t>
      </w:r>
      <w:bookmarkEnd w:id="0"/>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kern w:val="0"/>
          <w:szCs w:val="21"/>
        </w:rPr>
        <w:t xml:space="preserve">                                                                                              公开06表</w:t>
      </w:r>
    </w:p>
    <w:p>
      <w:pPr>
        <w:widowControl/>
        <w:spacing w:line="240" w:lineRule="exact"/>
        <w:jc w:val="right"/>
        <w:rPr>
          <w:sz w:val="72"/>
          <w:szCs w:val="72"/>
        </w:rPr>
      </w:pPr>
      <w:r>
        <w:rPr>
          <w:rFonts w:ascii="Times New Roman" w:hAnsi="Times New Roman" w:eastAsia="仿宋_GB2312" w:cs="Times New Roman"/>
          <w:color w:val="000000"/>
          <w:kern w:val="0"/>
          <w:szCs w:val="21"/>
        </w:rPr>
        <w:t>单位：万元</w:t>
      </w:r>
    </w:p>
    <w:tbl>
      <w:tblPr>
        <w:tblStyle w:val="9"/>
        <w:tblW w:w="142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4"/>
        <w:gridCol w:w="3255"/>
        <w:gridCol w:w="870"/>
        <w:gridCol w:w="1065"/>
        <w:gridCol w:w="2340"/>
        <w:gridCol w:w="900"/>
        <w:gridCol w:w="1065"/>
        <w:gridCol w:w="2820"/>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blHeader/>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b/>
                <w:bCs/>
                <w:color w:val="000000"/>
                <w:kern w:val="0"/>
                <w:sz w:val="20"/>
                <w:szCs w:val="20"/>
              </w:rPr>
              <w:t>经济分类科目编码</w:t>
            </w:r>
          </w:p>
        </w:tc>
        <w:tc>
          <w:tcPr>
            <w:tcW w:w="32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科目名称</w:t>
            </w:r>
          </w:p>
        </w:tc>
        <w:tc>
          <w:tcPr>
            <w:tcW w:w="8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决算数</w:t>
            </w:r>
          </w:p>
        </w:tc>
        <w:tc>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color w:val="000000"/>
                <w:kern w:val="0"/>
                <w:sz w:val="20"/>
                <w:szCs w:val="20"/>
              </w:rPr>
              <w:t>经济分类科目编码</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科目名称</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决算数</w:t>
            </w:r>
          </w:p>
        </w:tc>
        <w:tc>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color w:val="000000"/>
                <w:kern w:val="0"/>
                <w:sz w:val="20"/>
                <w:szCs w:val="20"/>
              </w:rPr>
              <w:t>经济分类科目编码</w:t>
            </w:r>
          </w:p>
        </w:tc>
        <w:tc>
          <w:tcPr>
            <w:tcW w:w="2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科目名称</w:t>
            </w:r>
          </w:p>
        </w:tc>
        <w:tc>
          <w:tcPr>
            <w:tcW w:w="8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32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8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9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2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c>
          <w:tcPr>
            <w:tcW w:w="8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工资福利支出</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80.92</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商品和服务支出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14.21</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307</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债务利息及费用支出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30101</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基本工资</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21.75</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30201</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办公费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0.06</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30701</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国内债务付息</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30102</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津贴补贴</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5.26</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30202</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印刷费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30702</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国外债务付息</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30103</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奖金</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30203</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咨询费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资本性支出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30106</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伙食补助费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1.80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30204</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手续费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31001</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房屋建筑物购建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30107</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绩效工资</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16.98</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30205</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水费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31002</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办公设备购置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30108</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00" w:firstLineChars="100"/>
              <w:jc w:val="both"/>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0"/>
                <w:szCs w:val="20"/>
                <w:u w:val="none"/>
                <w:lang w:val="en-US" w:eastAsia="zh-CN" w:bidi="ar"/>
              </w:rPr>
              <w:t>机关事业单位基本养老保险缴费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10.58</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30206</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电费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0.53</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31003</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专用设备购置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30109</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职业年金缴费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30207</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邮电费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0.17</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31005</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基础设施建设</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30110</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职工基本医疗保险缴费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4.78</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30208</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取暖费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31006</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大型修缮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30111</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公务员医疗补助缴费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30209</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物业管理费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31007</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信息网络及软件购置更新</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30112</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其他社会保障缴费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1.97</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30211</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差旅费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31008</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物资储备</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30113</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住房公积金</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17.81</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30212</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因公出国（境）费用</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31009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土地补偿</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30114</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医疗费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30213</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维修（护）费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31010</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安置补助</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30199</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其他工资福利支出</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30214</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租赁费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0.30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31011</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地上附着物和青苗补偿</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对个人和家庭的补助</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13.88</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30215</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会议费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31012</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拆迁补偿</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30301</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离休费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30216</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培训费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0.12</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31013</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公务用车购置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30302</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退休费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30217</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公务接待费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0.11</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31019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其他交通工具购置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30303</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退职（役）费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30218</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专用材料费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31021</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文物和陈列品购置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30304</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抚恤金</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30224</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被装购置费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31022</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无形资产购置</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30305</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生活补助</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9.20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30225</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专用燃料费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31099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其他资本性支出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30306</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救济费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30226</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劳务费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0.80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30307</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医疗费补助</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30227</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委托业务费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39907</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国家赔偿费用支出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30308</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助学金</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30228</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工会经费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2.78</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39908</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对民间非营利组织和群众性自治组织补贴</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30309</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奖励金</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3.17</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30229</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福利费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1.65</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39909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经常性赠与</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30310</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个人农业生产补贴</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30231</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公务用车运行维护费</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39910</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资本性赠与</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30311</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代缴社会保险费</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30239</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其他交通费用</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4.81</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39999</w:t>
            </w: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 xml:space="preserve">  其他支出</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30399</w:t>
            </w: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其他对个人和家庭的补助</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1.51</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30240</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税金及附加费用</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107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325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1"/>
                <w:szCs w:val="21"/>
                <w:u w:val="none"/>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30299</w:t>
            </w:r>
          </w:p>
        </w:tc>
        <w:tc>
          <w:tcPr>
            <w:tcW w:w="23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ind w:firstLine="210" w:firstLineChars="10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其他商品和服务支出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0.87</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282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default" w:ascii="Times New Roman" w:hAnsi="Times New Roman" w:eastAsia="仿宋_GB2312" w:cs="Times New Roman"/>
                <w:i w:val="0"/>
                <w:iCs w:val="0"/>
                <w:color w:val="000000"/>
                <w:sz w:val="21"/>
                <w:szCs w:val="21"/>
                <w:u w:val="none"/>
              </w:rPr>
            </w:pP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default" w:ascii="Times New Roman" w:hAnsi="Times New Roman" w:eastAsia="仿宋_GB2312"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人员经费合计</w:t>
            </w:r>
          </w:p>
        </w:tc>
        <w:tc>
          <w:tcPr>
            <w:tcW w:w="8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94.80</w:t>
            </w:r>
          </w:p>
        </w:tc>
        <w:tc>
          <w:tcPr>
            <w:tcW w:w="819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公用经费合计</w:t>
            </w:r>
          </w:p>
        </w:tc>
        <w:tc>
          <w:tcPr>
            <w:tcW w:w="8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14.21</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jc w:val="both"/>
        <w:rPr>
          <w:sz w:val="72"/>
          <w:szCs w:val="72"/>
        </w:rPr>
      </w:pPr>
    </w:p>
    <w:p>
      <w:pPr>
        <w:widowControl/>
        <w:jc w:val="both"/>
        <w:rPr>
          <w:sz w:val="72"/>
          <w:szCs w:val="72"/>
        </w:rPr>
      </w:pPr>
    </w:p>
    <w:p>
      <w:pPr>
        <w:widowControl/>
        <w:jc w:val="both"/>
        <w:rPr>
          <w:sz w:val="72"/>
          <w:szCs w:val="72"/>
        </w:rPr>
      </w:pPr>
    </w:p>
    <w:p>
      <w:pPr>
        <w:widowControl/>
        <w:jc w:val="both"/>
        <w:rPr>
          <w:sz w:val="72"/>
          <w:szCs w:val="72"/>
        </w:rPr>
      </w:pPr>
    </w:p>
    <w:p>
      <w:pPr>
        <w:widowControl/>
        <w:jc w:val="both"/>
        <w:rPr>
          <w:sz w:val="72"/>
          <w:szCs w:val="72"/>
        </w:rPr>
      </w:pPr>
    </w:p>
    <w:p>
      <w:pPr>
        <w:widowControl/>
        <w:jc w:val="both"/>
        <w:rPr>
          <w:sz w:val="72"/>
          <w:szCs w:val="72"/>
        </w:rPr>
      </w:pPr>
    </w:p>
    <w:p>
      <w:pPr>
        <w:widowControl/>
        <w:jc w:val="both"/>
        <w:rPr>
          <w:sz w:val="72"/>
          <w:szCs w:val="72"/>
        </w:rPr>
      </w:pPr>
    </w:p>
    <w:p>
      <w:pPr>
        <w:widowControl/>
        <w:spacing w:line="400" w:lineRule="exact"/>
        <w:jc w:val="center"/>
        <w:textAlignment w:val="center"/>
        <w:rPr>
          <w:rFonts w:ascii="Times New Roman" w:hAnsi="Times New Roman" w:eastAsia="仿宋_GB2312"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9"/>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Style w:val="18"/>
                <w:rFonts w:hint="default" w:ascii="Times New Roman" w:hAnsi="Times New Roman" w:eastAsia="仿宋_GB2312" w:cs="Times New Roman"/>
                <w:b/>
                <w:bCs/>
              </w:rPr>
              <w:t xml:space="preserve">   </w:t>
            </w:r>
            <w:r>
              <w:rPr>
                <w:rStyle w:val="19"/>
                <w:rFonts w:hint="default" w:ascii="Times New Roman" w:hAnsi="Times New Roman" w:eastAsia="仿宋_GB2312" w:cs="Times New Roman"/>
                <w:b/>
                <w:bCs/>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rPr>
      </w:pPr>
    </w:p>
    <w:p>
      <w:pPr>
        <w:widowControl/>
        <w:jc w:val="left"/>
        <w:textAlignment w:val="center"/>
        <w:rPr>
          <w:rFonts w:ascii="Times New Roman" w:hAnsi="Times New Roman" w:eastAsia="仿宋_GB2312" w:cs="Times New Roman"/>
          <w:color w:val="000000"/>
          <w:kern w:val="0"/>
          <w:sz w:val="24"/>
          <w:szCs w:val="24"/>
          <w:highlight w:val="yellow"/>
        </w:rPr>
      </w:pPr>
      <w:r>
        <w:rPr>
          <w:rFonts w:ascii="Times New Roman" w:hAnsi="Times New Roman" w:eastAsia="仿宋_GB2312" w:cs="Times New Roman"/>
          <w:b/>
          <w:bCs/>
          <w:kern w:val="0"/>
          <w:sz w:val="24"/>
          <w:szCs w:val="24"/>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9"/>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Fonts w:ascii="Times New Roman" w:hAnsi="Times New Roman" w:eastAsia="仿宋_GB2312" w:cs="Times New Roman"/>
                <w:b/>
                <w:bCs/>
                <w:color w:val="000000"/>
                <w:kern w:val="0"/>
                <w:sz w:val="22"/>
              </w:rPr>
              <w:t xml:space="preserve">   </w:t>
            </w:r>
            <w:r>
              <w:rPr>
                <w:rStyle w:val="20"/>
                <w:rFonts w:hint="default" w:ascii="Times New Roman" w:hAnsi="Times New Roman" w:eastAsia="仿宋_GB2312" w:cs="Times New Roman"/>
                <w:b/>
                <w:bCs/>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rPr>
      </w:pPr>
    </w:p>
    <w:p>
      <w:pPr>
        <w:widowControl/>
        <w:jc w:val="left"/>
        <w:textAlignment w:val="center"/>
        <w:rPr>
          <w:rFonts w:ascii="Times New Roman" w:hAnsi="Times New Roman" w:eastAsia="楷体_GB2312" w:cs="Times New Roman"/>
          <w:color w:val="000000"/>
          <w:kern w:val="0"/>
          <w:sz w:val="24"/>
          <w:szCs w:val="24"/>
          <w:highlight w:val="yellow"/>
        </w:rPr>
      </w:pPr>
      <w:r>
        <w:rPr>
          <w:rFonts w:ascii="Times New Roman" w:hAnsi="Times New Roman" w:eastAsia="楷体_GB2312" w:cs="Times New Roman"/>
          <w:b/>
          <w:bCs/>
          <w:kern w:val="0"/>
          <w:sz w:val="24"/>
          <w:szCs w:val="24"/>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8"/>
        <w:spacing w:line="400" w:lineRule="exact"/>
        <w:rPr>
          <w:rFonts w:ascii="Times New Roman" w:hAnsi="Times New Roman" w:eastAsia="华文中宋"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湖南省农作物种子南繁中心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rPr>
        <w:t>单位：万元</w:t>
      </w:r>
    </w:p>
    <w:tbl>
      <w:tblPr>
        <w:tblStyle w:val="9"/>
        <w:tblW w:w="14544" w:type="dxa"/>
        <w:jc w:val="center"/>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决算数</w:t>
            </w:r>
          </w:p>
        </w:tc>
      </w:tr>
      <w:tr>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公务接待费</w:t>
            </w:r>
          </w:p>
        </w:tc>
      </w:tr>
      <w:tr>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rPr>
              <w:t>公务用车</w:t>
            </w:r>
            <w:r>
              <w:rPr>
                <w:rFonts w:ascii="Times New Roman" w:hAnsi="Times New Roman" w:eastAsia="仿宋_GB2312" w:cs="Times New Roman"/>
                <w:b/>
                <w:bCs/>
                <w:color w:val="000000"/>
                <w:kern w:val="0"/>
                <w:sz w:val="22"/>
              </w:rPr>
              <w:br w:type="textWrapping"/>
            </w:r>
            <w:r>
              <w:rPr>
                <w:rFonts w:ascii="Times New Roman" w:hAnsi="Times New Roman" w:eastAsia="仿宋_GB2312" w:cs="Times New Roman"/>
                <w:b/>
                <w:bCs/>
                <w:color w:val="000000"/>
                <w:kern w:val="0"/>
                <w:sz w:val="22"/>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rPr>
              <w:t>12</w:t>
            </w:r>
          </w:p>
        </w:tc>
      </w:tr>
      <w:tr>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0.40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0.11</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r>
              <w:rPr>
                <w:rFonts w:hint="default" w:ascii="Times New Roman" w:hAnsi="Times New Roman" w:eastAsia="仿宋_GB2312" w:cs="Times New Roman"/>
                <w:i w:val="0"/>
                <w:iCs w:val="0"/>
                <w:color w:val="000000"/>
                <w:kern w:val="0"/>
                <w:sz w:val="22"/>
                <w:szCs w:val="22"/>
                <w:u w:val="none"/>
                <w:lang w:val="en-US" w:eastAsia="zh-CN" w:bidi="ar"/>
              </w:rPr>
              <w:t>0.00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0.11</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pPr>
        <w:widowControl/>
        <w:jc w:val="both"/>
        <w:rPr>
          <w:sz w:val="72"/>
          <w:szCs w:val="72"/>
        </w:rPr>
        <w:sectPr>
          <w:pgSz w:w="16838" w:h="11906" w:orient="landscape"/>
          <w:pgMar w:top="1134" w:right="1417" w:bottom="1134" w:left="1417" w:header="851" w:footer="992" w:gutter="0"/>
          <w:cols w:space="425" w:num="1"/>
          <w:docGrid w:type="lines" w:linePitch="312" w:charSpace="0"/>
        </w:sectPr>
      </w:pPr>
    </w:p>
    <w:p>
      <w:pPr>
        <w:pStyle w:val="15"/>
        <w:rPr>
          <w:sz w:val="72"/>
          <w:szCs w:val="72"/>
        </w:rPr>
      </w:pPr>
    </w:p>
    <w:p>
      <w:pPr>
        <w:pStyle w:val="15"/>
        <w:rPr>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outlineLvl w:val="0"/>
        <w:rPr>
          <w:rFonts w:hint="eastAsia" w:ascii="方正小标宋_GBK" w:hAnsi="方正小标宋_GBK" w:eastAsia="方正小标宋_GBK" w:cs="方正小标宋_GBK"/>
          <w:sz w:val="52"/>
          <w:szCs w:val="52"/>
        </w:rPr>
      </w:pPr>
      <w:r>
        <w:rPr>
          <w:rFonts w:hint="eastAsia" w:ascii="方正小标宋_GBK" w:hAnsi="方正小标宋_GBK" w:eastAsia="方正小标宋_GBK" w:cs="方正小标宋_GBK"/>
          <w:sz w:val="52"/>
          <w:szCs w:val="52"/>
        </w:rPr>
        <w:t>第三部分</w:t>
      </w:r>
    </w:p>
    <w:p>
      <w:pPr>
        <w:pStyle w:val="15"/>
        <w:jc w:val="center"/>
        <w:rPr>
          <w:rFonts w:hint="eastAsia" w:ascii="方正小标宋_GBK" w:hAnsi="方正小标宋_GBK" w:eastAsia="方正小标宋_GBK" w:cs="方正小标宋_GBK"/>
          <w:sz w:val="52"/>
          <w:szCs w:val="52"/>
        </w:rPr>
      </w:pPr>
      <w:r>
        <w:rPr>
          <w:rFonts w:hint="eastAsia" w:ascii="Times New Roman" w:hAnsi="Times New Roman" w:eastAsia="方正小标宋_GBK" w:cs="Times New Roman"/>
          <w:kern w:val="0"/>
          <w:sz w:val="52"/>
          <w:szCs w:val="52"/>
        </w:rPr>
        <w:t>202</w:t>
      </w:r>
      <w:r>
        <w:rPr>
          <w:rFonts w:hint="eastAsia" w:ascii="Times New Roman" w:hAnsi="Times New Roman" w:eastAsia="方正小标宋_GBK" w:cs="Times New Roman"/>
          <w:kern w:val="0"/>
          <w:sz w:val="52"/>
          <w:szCs w:val="52"/>
          <w:lang w:val="en-US" w:eastAsia="zh-CN"/>
        </w:rPr>
        <w:t>4</w:t>
      </w:r>
      <w:r>
        <w:rPr>
          <w:rFonts w:hint="eastAsia" w:ascii="方正小标宋_GBK" w:hAnsi="方正小标宋_GBK" w:eastAsia="方正小标宋_GBK" w:cs="方正小标宋_GBK"/>
          <w:sz w:val="52"/>
          <w:szCs w:val="52"/>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kern w:val="0"/>
          <w:sz w:val="32"/>
          <w:szCs w:val="32"/>
          <w:highlight w:val="yellow"/>
          <w:lang w:val="en-US" w:eastAsia="zh-CN"/>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年度收、支总计</w:t>
      </w:r>
      <w:r>
        <w:rPr>
          <w:rFonts w:hint="eastAsia" w:ascii="Times New Roman" w:hAnsi="Times New Roman" w:eastAsia="仿宋_GB2312" w:cs="Times New Roman"/>
          <w:kern w:val="0"/>
          <w:sz w:val="32"/>
          <w:szCs w:val="32"/>
          <w:lang w:val="en-US" w:eastAsia="zh-CN"/>
        </w:rPr>
        <w:t>618.60</w:t>
      </w:r>
      <w:r>
        <w:rPr>
          <w:rFonts w:hint="eastAsia" w:ascii="Times New Roman" w:hAnsi="Times New Roman" w:eastAsia="仿宋_GB2312" w:cs="Times New Roman"/>
          <w:kern w:val="0"/>
          <w:sz w:val="32"/>
          <w:szCs w:val="32"/>
        </w:rPr>
        <w:t>万元。与上年相比，减少</w:t>
      </w:r>
      <w:r>
        <w:rPr>
          <w:rFonts w:hint="eastAsia" w:ascii="Times New Roman" w:hAnsi="Times New Roman" w:eastAsia="仿宋_GB2312" w:cs="Times New Roman"/>
          <w:kern w:val="0"/>
          <w:sz w:val="32"/>
          <w:szCs w:val="32"/>
          <w:lang w:val="en-US" w:eastAsia="zh-CN"/>
        </w:rPr>
        <w:t>152.32</w:t>
      </w:r>
      <w:r>
        <w:rPr>
          <w:rFonts w:hint="eastAsia"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val="en-US" w:eastAsia="zh-CN"/>
        </w:rPr>
        <w:t>降低19.76</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highlight w:val="none"/>
        </w:rPr>
        <w:t>主要是因为</w:t>
      </w:r>
      <w:r>
        <w:rPr>
          <w:rFonts w:hint="eastAsia" w:ascii="Times New Roman" w:hAnsi="Times New Roman" w:eastAsia="仿宋_GB2312"/>
          <w:sz w:val="32"/>
          <w:szCs w:val="32"/>
          <w:highlight w:val="none"/>
          <w:lang w:val="en-US" w:eastAsia="zh-CN"/>
        </w:rPr>
        <w:t>南繁基地建设项目资金减少</w:t>
      </w:r>
      <w:r>
        <w:rPr>
          <w:rFonts w:hint="eastAsia" w:ascii="Times New Roman" w:hAnsi="Times New Roman" w:eastAsia="仿宋_GB2312" w:cs="Times New Roman"/>
          <w:kern w:val="0"/>
          <w:sz w:val="32"/>
          <w:szCs w:val="32"/>
          <w:highlight w:val="none"/>
          <w:lang w:val="en-US" w:eastAsia="zh-CN"/>
        </w:rPr>
        <w:t>。</w:t>
      </w:r>
    </w:p>
    <w:p>
      <w:pPr>
        <w:pStyle w:val="15"/>
        <w:overflowPunct w:val="0"/>
        <w:autoSpaceDE/>
        <w:autoSpaceDN/>
        <w:spacing w:line="600" w:lineRule="exact"/>
        <w:ind w:firstLine="640" w:firstLineChars="200"/>
        <w:jc w:val="both"/>
        <w:rPr>
          <w:rFonts w:hint="eastAsia" w:ascii="Times New Roman" w:hAnsi="Times New Roman" w:cs="Times New Roman"/>
          <w:bCs/>
          <w:kern w:val="0"/>
          <w:sz w:val="32"/>
          <w:szCs w:val="32"/>
        </w:rPr>
      </w:pPr>
      <w:r>
        <w:rPr>
          <w:rFonts w:hint="eastAsia" w:ascii="Times New Roman" w:hAnsi="Times New Roman" w:cs="Times New Roman"/>
          <w:bCs/>
          <w:kern w:val="0"/>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年度收入合计</w:t>
      </w:r>
      <w:r>
        <w:rPr>
          <w:rFonts w:hint="eastAsia" w:ascii="Times New Roman" w:hAnsi="Times New Roman" w:eastAsia="仿宋_GB2312" w:cs="Times New Roman"/>
          <w:kern w:val="0"/>
          <w:sz w:val="32"/>
          <w:szCs w:val="32"/>
          <w:lang w:val="en-US" w:eastAsia="zh-CN"/>
        </w:rPr>
        <w:t>340.33</w:t>
      </w:r>
      <w:r>
        <w:rPr>
          <w:rFonts w:hint="eastAsia" w:ascii="Times New Roman" w:hAnsi="Times New Roman" w:eastAsia="仿宋_GB2312" w:cs="Times New Roman"/>
          <w:kern w:val="0"/>
          <w:sz w:val="32"/>
          <w:szCs w:val="32"/>
        </w:rPr>
        <w:t>万元，其中：财政拨款收入</w:t>
      </w:r>
      <w:r>
        <w:rPr>
          <w:rFonts w:hint="eastAsia" w:ascii="Times New Roman" w:hAnsi="Times New Roman" w:eastAsia="仿宋_GB2312" w:cs="Times New Roman"/>
          <w:kern w:val="0"/>
          <w:sz w:val="32"/>
          <w:szCs w:val="32"/>
          <w:lang w:val="en-US" w:eastAsia="zh-CN"/>
        </w:rPr>
        <w:t>237.35</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69.74</w:t>
      </w:r>
      <w:r>
        <w:rPr>
          <w:rFonts w:hint="eastAsia" w:ascii="Times New Roman" w:hAnsi="Times New Roman" w:eastAsia="仿宋_GB2312" w:cs="Times New Roman"/>
          <w:kern w:val="0"/>
          <w:sz w:val="32"/>
          <w:szCs w:val="32"/>
        </w:rPr>
        <w:t>%；上级补助收入</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%；事业收入</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%；经营收入</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%；附属单位上缴收入</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%；其他收入</w:t>
      </w:r>
      <w:r>
        <w:rPr>
          <w:rFonts w:hint="eastAsia" w:ascii="Times New Roman" w:hAnsi="Times New Roman" w:eastAsia="仿宋_GB2312" w:cs="Times New Roman"/>
          <w:kern w:val="0"/>
          <w:sz w:val="32"/>
          <w:szCs w:val="32"/>
          <w:lang w:val="en-US" w:eastAsia="zh-CN"/>
        </w:rPr>
        <w:t>102.98</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30.26</w:t>
      </w:r>
      <w:r>
        <w:rPr>
          <w:rFonts w:hint="eastAsia" w:ascii="Times New Roman" w:hAnsi="Times New Roman" w:eastAsia="仿宋_GB2312" w:cs="Times New Roman"/>
          <w:kern w:val="0"/>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年度支出合计</w:t>
      </w:r>
      <w:r>
        <w:rPr>
          <w:rFonts w:hint="eastAsia" w:ascii="Times New Roman" w:hAnsi="Times New Roman" w:eastAsia="仿宋_GB2312" w:cs="Times New Roman"/>
          <w:kern w:val="0"/>
          <w:sz w:val="32"/>
          <w:szCs w:val="32"/>
          <w:lang w:val="en-US" w:eastAsia="zh-CN"/>
        </w:rPr>
        <w:t>411.11</w:t>
      </w:r>
      <w:r>
        <w:rPr>
          <w:rFonts w:hint="eastAsia" w:ascii="Times New Roman" w:hAnsi="Times New Roman" w:eastAsia="仿宋_GB2312" w:cs="Times New Roman"/>
          <w:kern w:val="0"/>
          <w:sz w:val="32"/>
          <w:szCs w:val="32"/>
        </w:rPr>
        <w:t>万元，其中：基本支出</w:t>
      </w:r>
      <w:r>
        <w:rPr>
          <w:rFonts w:hint="eastAsia" w:ascii="Times New Roman" w:hAnsi="Times New Roman" w:eastAsia="仿宋_GB2312" w:cs="Times New Roman"/>
          <w:kern w:val="0"/>
          <w:sz w:val="32"/>
          <w:szCs w:val="32"/>
          <w:lang w:val="en-US" w:eastAsia="zh-CN"/>
        </w:rPr>
        <w:t>109.01</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26.52</w:t>
      </w:r>
      <w:r>
        <w:rPr>
          <w:rFonts w:hint="eastAsia" w:ascii="Times New Roman" w:hAnsi="Times New Roman" w:eastAsia="仿宋_GB2312" w:cs="Times New Roman"/>
          <w:kern w:val="0"/>
          <w:sz w:val="32"/>
          <w:szCs w:val="32"/>
        </w:rPr>
        <w:t>%；项目支出</w:t>
      </w:r>
      <w:r>
        <w:rPr>
          <w:rFonts w:hint="eastAsia" w:ascii="Times New Roman" w:hAnsi="Times New Roman" w:eastAsia="仿宋_GB2312" w:cs="Times New Roman"/>
          <w:kern w:val="0"/>
          <w:sz w:val="32"/>
          <w:szCs w:val="32"/>
          <w:lang w:val="en-US" w:eastAsia="zh-CN"/>
        </w:rPr>
        <w:t>302.10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73.48</w:t>
      </w:r>
      <w:r>
        <w:rPr>
          <w:rFonts w:hint="eastAsia" w:ascii="Times New Roman" w:hAnsi="Times New Roman" w:eastAsia="仿宋_GB2312" w:cs="Times New Roman"/>
          <w:kern w:val="0"/>
          <w:sz w:val="32"/>
          <w:szCs w:val="32"/>
        </w:rPr>
        <w:t>%；上缴上级支出</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%；经营支出</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%；对附属单位补助支出</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万元，占</w:t>
      </w:r>
      <w:r>
        <w:rPr>
          <w:rFonts w:hint="eastAsia" w:ascii="Times New Roman" w:hAnsi="Times New Roman" w:eastAsia="仿宋_GB2312" w:cs="Times New Roman"/>
          <w:kern w:val="0"/>
          <w:sz w:val="32"/>
          <w:szCs w:val="32"/>
          <w:lang w:val="en-US" w:eastAsia="zh-CN"/>
        </w:rPr>
        <w:t>0</w:t>
      </w:r>
      <w:r>
        <w:rPr>
          <w:rFonts w:hint="eastAsia" w:ascii="Times New Roman" w:hAnsi="Times New Roman" w:eastAsia="仿宋_GB2312" w:cs="Times New Roman"/>
          <w:kern w:val="0"/>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highlight w:val="yellow"/>
          <w:lang w:val="en-US"/>
        </w:rPr>
      </w:pPr>
      <w:r>
        <w:rPr>
          <w:rFonts w:hint="eastAsia" w:ascii="Times New Roman" w:hAnsi="Times New Roman" w:eastAsia="仿宋_GB2312"/>
          <w:sz w:val="32"/>
          <w:szCs w:val="32"/>
        </w:rPr>
        <w:t xml:space="preserve">    </w:t>
      </w: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年度财政拨款收、支总计</w:t>
      </w:r>
      <w:r>
        <w:rPr>
          <w:rFonts w:hint="eastAsia" w:ascii="Times New Roman" w:hAnsi="Times New Roman" w:eastAsia="仿宋_GB2312" w:cs="Times New Roman"/>
          <w:kern w:val="0"/>
          <w:sz w:val="32"/>
          <w:szCs w:val="32"/>
          <w:lang w:val="en-US" w:eastAsia="zh-CN"/>
        </w:rPr>
        <w:t>237.35</w:t>
      </w:r>
      <w:r>
        <w:rPr>
          <w:rFonts w:hint="eastAsia" w:ascii="Times New Roman" w:hAnsi="Times New Roman" w:eastAsia="仿宋_GB2312" w:cs="Times New Roman"/>
          <w:kern w:val="0"/>
          <w:sz w:val="32"/>
          <w:szCs w:val="32"/>
        </w:rPr>
        <w:t>万元，与上年相比，减少</w:t>
      </w:r>
      <w:r>
        <w:rPr>
          <w:rFonts w:hint="eastAsia" w:ascii="Times New Roman" w:hAnsi="Times New Roman" w:eastAsia="仿宋_GB2312" w:cs="Times New Roman"/>
          <w:kern w:val="0"/>
          <w:sz w:val="32"/>
          <w:szCs w:val="32"/>
          <w:lang w:val="en-US" w:eastAsia="zh-CN"/>
        </w:rPr>
        <w:t>19.89</w:t>
      </w:r>
      <w:r>
        <w:rPr>
          <w:rFonts w:hint="eastAsia"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降低</w:t>
      </w:r>
      <w:r>
        <w:rPr>
          <w:rFonts w:hint="eastAsia" w:ascii="Times New Roman" w:hAnsi="Times New Roman" w:eastAsia="仿宋_GB2312" w:cs="Times New Roman"/>
          <w:kern w:val="0"/>
          <w:sz w:val="32"/>
          <w:szCs w:val="32"/>
          <w:lang w:val="en-US" w:eastAsia="zh-CN"/>
        </w:rPr>
        <w:t>7.73</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highlight w:val="none"/>
        </w:rPr>
        <w:t>主要是因为</w:t>
      </w:r>
      <w:r>
        <w:rPr>
          <w:rFonts w:hint="eastAsia" w:ascii="Times New Roman" w:hAnsi="Times New Roman" w:eastAsia="仿宋_GB2312"/>
          <w:sz w:val="32"/>
          <w:szCs w:val="32"/>
          <w:highlight w:val="none"/>
          <w:lang w:val="en-US" w:eastAsia="zh-CN"/>
        </w:rPr>
        <w:t>南繁基地建设项目资金减少</w:t>
      </w:r>
      <w:r>
        <w:rPr>
          <w:rFonts w:hint="eastAsia" w:ascii="Times New Roman" w:hAnsi="Times New Roman" w:eastAsia="仿宋_GB2312" w:cs="Times New Roman"/>
          <w:kern w:val="0"/>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ordWrap/>
        <w:overflowPunct w:val="0"/>
        <w:topLinePunct w:val="0"/>
        <w:autoSpaceDE/>
        <w:autoSpaceDN/>
        <w:bidi w:val="0"/>
        <w:spacing w:line="600" w:lineRule="exact"/>
        <w:ind w:firstLine="640" w:firstLineChars="200"/>
        <w:jc w:val="both"/>
        <w:rPr>
          <w:rFonts w:hint="eastAsia" w:ascii="Times New Roman" w:hAnsi="Times New Roman" w:eastAsia="楷体_GB2312" w:cs="Times New Roman"/>
          <w:b/>
          <w:kern w:val="0"/>
          <w:sz w:val="32"/>
          <w:szCs w:val="32"/>
        </w:rPr>
      </w:pPr>
      <w:r>
        <w:rPr>
          <w:rFonts w:hint="eastAsia" w:ascii="Times New Roman" w:hAnsi="Times New Roman" w:eastAsia="楷体_GB2312" w:cs="Times New Roman"/>
          <w:b/>
          <w:kern w:val="0"/>
          <w:sz w:val="32"/>
          <w:szCs w:val="32"/>
        </w:rPr>
        <w:t>（一）一般公共预算财政拨款支出决算总体情况</w:t>
      </w:r>
    </w:p>
    <w:p>
      <w:pPr>
        <w:pStyle w:val="15"/>
        <w:overflowPunct w:val="0"/>
        <w:autoSpaceDE/>
        <w:autoSpaceDN/>
        <w:spacing w:line="600" w:lineRule="exact"/>
        <w:ind w:firstLine="640" w:firstLineChars="200"/>
        <w:jc w:val="both"/>
        <w:rPr>
          <w:rFonts w:hint="default" w:ascii="Times New Roman" w:hAnsi="Times New Roman" w:eastAsia="仿宋_GB2312" w:cs="Times New Roman"/>
          <w:kern w:val="0"/>
          <w:sz w:val="32"/>
          <w:szCs w:val="32"/>
          <w:highlight w:val="yellow"/>
          <w:lang w:val="en-US"/>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年度财政拨款支出</w:t>
      </w:r>
      <w:r>
        <w:rPr>
          <w:rFonts w:hint="eastAsia" w:ascii="Times New Roman" w:hAnsi="Times New Roman" w:eastAsia="仿宋_GB2312" w:cs="Times New Roman"/>
          <w:kern w:val="0"/>
          <w:sz w:val="32"/>
          <w:szCs w:val="32"/>
          <w:lang w:val="en-US" w:eastAsia="zh-CN"/>
        </w:rPr>
        <w:t>224.20</w:t>
      </w:r>
      <w:r>
        <w:rPr>
          <w:rFonts w:hint="eastAsia" w:ascii="Times New Roman" w:hAnsi="Times New Roman" w:eastAsia="仿宋_GB2312" w:cs="Times New Roman"/>
          <w:kern w:val="0"/>
          <w:sz w:val="32"/>
          <w:szCs w:val="32"/>
        </w:rPr>
        <w:t>万元，占本年支出合计的</w:t>
      </w:r>
      <w:r>
        <w:rPr>
          <w:rFonts w:hint="eastAsia" w:ascii="Times New Roman" w:hAnsi="Times New Roman" w:eastAsia="仿宋_GB2312" w:cs="Times New Roman"/>
          <w:kern w:val="0"/>
          <w:sz w:val="32"/>
          <w:szCs w:val="32"/>
          <w:lang w:val="en-US" w:eastAsia="zh-CN"/>
        </w:rPr>
        <w:t>54.54</w:t>
      </w:r>
      <w:r>
        <w:rPr>
          <w:rFonts w:hint="eastAsia" w:ascii="Times New Roman" w:hAnsi="Times New Roman" w:eastAsia="仿宋_GB2312" w:cs="Times New Roman"/>
          <w:kern w:val="0"/>
          <w:sz w:val="32"/>
          <w:szCs w:val="32"/>
        </w:rPr>
        <w:t>%，与上年相比，财政拨款支出减少</w:t>
      </w:r>
      <w:r>
        <w:rPr>
          <w:rFonts w:hint="eastAsia" w:ascii="Times New Roman" w:hAnsi="Times New Roman" w:eastAsia="仿宋_GB2312" w:cs="Times New Roman"/>
          <w:kern w:val="0"/>
          <w:sz w:val="32"/>
          <w:szCs w:val="32"/>
          <w:lang w:val="en-US" w:eastAsia="zh-CN"/>
        </w:rPr>
        <w:t>17.30</w:t>
      </w:r>
      <w:r>
        <w:rPr>
          <w:rFonts w:hint="eastAsia" w:ascii="Times New Roman" w:hAnsi="Times New Roman" w:eastAsia="仿宋_GB2312" w:cs="Times New Roman"/>
          <w:kern w:val="0"/>
          <w:sz w:val="32"/>
          <w:szCs w:val="32"/>
        </w:rPr>
        <w:t>万元，</w:t>
      </w:r>
      <w:r>
        <w:rPr>
          <w:rFonts w:ascii="Times New Roman" w:hAnsi="Times New Roman" w:eastAsia="仿宋_GB2312" w:cs="Times New Roman"/>
          <w:kern w:val="0"/>
          <w:sz w:val="32"/>
          <w:szCs w:val="32"/>
        </w:rPr>
        <w:t>降低</w:t>
      </w:r>
      <w:r>
        <w:rPr>
          <w:rFonts w:hint="eastAsia" w:ascii="Times New Roman" w:hAnsi="Times New Roman" w:eastAsia="仿宋_GB2312" w:cs="Times New Roman"/>
          <w:kern w:val="0"/>
          <w:sz w:val="32"/>
          <w:szCs w:val="32"/>
          <w:lang w:val="en-US" w:eastAsia="zh-CN"/>
        </w:rPr>
        <w:t>7.16</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highlight w:val="none"/>
        </w:rPr>
        <w:t>主要是因为</w:t>
      </w:r>
      <w:r>
        <w:rPr>
          <w:rFonts w:hint="eastAsia" w:ascii="Times New Roman" w:hAnsi="Times New Roman" w:eastAsia="仿宋_GB2312"/>
          <w:sz w:val="32"/>
          <w:szCs w:val="32"/>
          <w:highlight w:val="none"/>
          <w:lang w:val="en-US" w:eastAsia="zh-CN"/>
        </w:rPr>
        <w:t>南繁基地建设项目资金减少</w:t>
      </w:r>
      <w:r>
        <w:rPr>
          <w:rFonts w:hint="eastAsia" w:ascii="Times New Roman" w:hAnsi="Times New Roman" w:eastAsia="仿宋_GB2312" w:cs="Times New Roman"/>
          <w:kern w:val="0"/>
          <w:sz w:val="32"/>
          <w:szCs w:val="32"/>
          <w:highlight w:val="none"/>
          <w:lang w:val="en-US" w:eastAsia="zh-CN"/>
        </w:rPr>
        <w:t>。</w:t>
      </w:r>
    </w:p>
    <w:p>
      <w:pPr>
        <w:pStyle w:val="15"/>
        <w:keepNext w:val="0"/>
        <w:keepLines w:val="0"/>
        <w:pageBreakBefore w:val="0"/>
        <w:wordWrap/>
        <w:overflowPunct w:val="0"/>
        <w:topLinePunct w:val="0"/>
        <w:autoSpaceDE/>
        <w:autoSpaceDN/>
        <w:bidi w:val="0"/>
        <w:spacing w:line="600" w:lineRule="exact"/>
        <w:ind w:firstLine="640" w:firstLineChars="200"/>
        <w:jc w:val="both"/>
        <w:rPr>
          <w:rFonts w:hint="eastAsia" w:ascii="Times New Roman" w:hAnsi="Times New Roman" w:eastAsia="楷体_GB2312" w:cs="Times New Roman"/>
          <w:b/>
          <w:kern w:val="0"/>
          <w:sz w:val="32"/>
          <w:szCs w:val="32"/>
        </w:rPr>
      </w:pPr>
      <w:r>
        <w:rPr>
          <w:rFonts w:hint="eastAsia" w:ascii="Times New Roman" w:hAnsi="Times New Roman" w:eastAsia="楷体_GB2312" w:cs="Times New Roman"/>
          <w:b/>
          <w:kern w:val="0"/>
          <w:sz w:val="32"/>
          <w:szCs w:val="32"/>
        </w:rPr>
        <w:t>（二）一般公共预算财政拨款支出决算结构情况</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年度财政拨款支出</w:t>
      </w:r>
      <w:r>
        <w:rPr>
          <w:rFonts w:hint="eastAsia" w:ascii="Times New Roman" w:hAnsi="Times New Roman" w:eastAsia="仿宋_GB2312" w:cs="Times New Roman"/>
          <w:kern w:val="0"/>
          <w:sz w:val="32"/>
          <w:szCs w:val="32"/>
          <w:lang w:val="en-US" w:eastAsia="zh-CN"/>
        </w:rPr>
        <w:t>224.20</w:t>
      </w:r>
      <w:r>
        <w:rPr>
          <w:rFonts w:hint="eastAsia" w:ascii="Times New Roman" w:hAnsi="Times New Roman" w:eastAsia="仿宋_GB2312" w:cs="Times New Roman"/>
          <w:kern w:val="0"/>
          <w:sz w:val="32"/>
          <w:szCs w:val="32"/>
        </w:rPr>
        <w:t>万元，主要用于以下方面：教育（类）支出</w:t>
      </w:r>
      <w:r>
        <w:rPr>
          <w:rFonts w:hint="eastAsia" w:ascii="Times New Roman" w:hAnsi="Times New Roman" w:eastAsia="仿宋_GB2312" w:cs="Times New Roman"/>
          <w:kern w:val="0"/>
          <w:sz w:val="32"/>
          <w:szCs w:val="32"/>
          <w:lang w:val="en-US" w:eastAsia="zh-CN"/>
        </w:rPr>
        <w:t>0.12万元，占0.05%</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社会保障和就业（类）支出</w:t>
      </w:r>
      <w:r>
        <w:rPr>
          <w:rFonts w:hint="eastAsia" w:ascii="Times New Roman" w:hAnsi="Times New Roman" w:eastAsia="仿宋_GB2312" w:cs="Times New Roman"/>
          <w:kern w:val="0"/>
          <w:sz w:val="32"/>
          <w:szCs w:val="32"/>
          <w:lang w:val="en-US" w:eastAsia="zh-CN"/>
        </w:rPr>
        <w:t>21.89万元，占9.76%；农林水</w:t>
      </w:r>
      <w:r>
        <w:rPr>
          <w:rFonts w:hint="eastAsia" w:ascii="Times New Roman" w:hAnsi="Times New Roman" w:eastAsia="仿宋_GB2312" w:cs="Times New Roman"/>
          <w:kern w:val="0"/>
          <w:sz w:val="32"/>
          <w:szCs w:val="32"/>
        </w:rPr>
        <w:t>（类）</w:t>
      </w:r>
      <w:r>
        <w:rPr>
          <w:rFonts w:hint="eastAsia" w:ascii="Times New Roman" w:hAnsi="Times New Roman" w:eastAsia="仿宋_GB2312" w:cs="Times New Roman"/>
          <w:kern w:val="0"/>
          <w:sz w:val="32"/>
          <w:szCs w:val="32"/>
          <w:lang w:val="en-US" w:eastAsia="zh-CN"/>
        </w:rPr>
        <w:t>支出192.36万元，占85.80%；住房保障</w:t>
      </w:r>
      <w:r>
        <w:rPr>
          <w:rFonts w:hint="eastAsia" w:ascii="Times New Roman" w:hAnsi="Times New Roman" w:eastAsia="仿宋_GB2312" w:cs="Times New Roman"/>
          <w:kern w:val="0"/>
          <w:sz w:val="32"/>
          <w:szCs w:val="32"/>
        </w:rPr>
        <w:t>（类）</w:t>
      </w:r>
      <w:r>
        <w:rPr>
          <w:rFonts w:hint="eastAsia" w:ascii="Times New Roman" w:hAnsi="Times New Roman" w:eastAsia="仿宋_GB2312" w:cs="Times New Roman"/>
          <w:kern w:val="0"/>
          <w:sz w:val="32"/>
          <w:szCs w:val="32"/>
          <w:lang w:val="en-US" w:eastAsia="zh-CN"/>
        </w:rPr>
        <w:t>支出9.83万元，占4.38%。</w:t>
      </w:r>
    </w:p>
    <w:p>
      <w:pPr>
        <w:pStyle w:val="15"/>
        <w:keepNext w:val="0"/>
        <w:keepLines w:val="0"/>
        <w:pageBreakBefore w:val="0"/>
        <w:wordWrap/>
        <w:overflowPunct w:val="0"/>
        <w:topLinePunct w:val="0"/>
        <w:autoSpaceDE/>
        <w:autoSpaceDN/>
        <w:bidi w:val="0"/>
        <w:spacing w:line="600" w:lineRule="exact"/>
        <w:ind w:firstLine="640" w:firstLineChars="200"/>
        <w:jc w:val="both"/>
        <w:rPr>
          <w:rFonts w:hint="eastAsia" w:ascii="Times New Roman" w:hAnsi="Times New Roman" w:eastAsia="楷体_GB2312" w:cs="Times New Roman"/>
          <w:b/>
          <w:kern w:val="0"/>
          <w:sz w:val="32"/>
          <w:szCs w:val="32"/>
        </w:rPr>
      </w:pPr>
      <w:r>
        <w:rPr>
          <w:rFonts w:hint="eastAsia" w:ascii="Times New Roman" w:hAnsi="Times New Roman" w:eastAsia="楷体_GB2312" w:cs="Times New Roman"/>
          <w:b/>
          <w:kern w:val="0"/>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年度财政拨款支出年初预算数为</w:t>
      </w:r>
      <w:r>
        <w:rPr>
          <w:rFonts w:hint="eastAsia" w:ascii="Times New Roman" w:hAnsi="Times New Roman" w:eastAsia="仿宋_GB2312" w:cs="Times New Roman"/>
          <w:kern w:val="0"/>
          <w:sz w:val="32"/>
          <w:szCs w:val="32"/>
          <w:lang w:val="en-US" w:eastAsia="zh-CN"/>
        </w:rPr>
        <w:t>229.35</w:t>
      </w:r>
      <w:r>
        <w:rPr>
          <w:rFonts w:hint="eastAsia" w:ascii="Times New Roman" w:hAnsi="Times New Roman" w:eastAsia="仿宋_GB2312" w:cs="Times New Roman"/>
          <w:kern w:val="0"/>
          <w:sz w:val="32"/>
          <w:szCs w:val="32"/>
        </w:rPr>
        <w:t>万元，支出决算数为</w:t>
      </w:r>
      <w:r>
        <w:rPr>
          <w:rFonts w:hint="eastAsia" w:ascii="Times New Roman" w:hAnsi="Times New Roman" w:eastAsia="仿宋_GB2312" w:cs="Times New Roman"/>
          <w:kern w:val="0"/>
          <w:sz w:val="32"/>
          <w:szCs w:val="32"/>
          <w:lang w:val="en-US" w:eastAsia="zh-CN"/>
        </w:rPr>
        <w:t>224.20</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97.75</w:t>
      </w:r>
      <w:r>
        <w:rPr>
          <w:rFonts w:hint="eastAsia" w:ascii="Times New Roman" w:hAnsi="Times New Roman" w:eastAsia="仿宋_GB2312" w:cs="Times New Roman"/>
          <w:kern w:val="0"/>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1、教育支出（类）进修及培训</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款）</w:t>
      </w:r>
      <w:r>
        <w:rPr>
          <w:rFonts w:hint="eastAsia" w:ascii="Times New Roman" w:hAnsi="Times New Roman" w:eastAsia="仿宋_GB2312" w:cs="Times New Roman"/>
          <w:kern w:val="0"/>
          <w:sz w:val="32"/>
          <w:szCs w:val="32"/>
        </w:rPr>
        <w:t xml:space="preserve">培训支出 </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项）</w:t>
      </w:r>
      <w:r>
        <w:rPr>
          <w:rFonts w:hint="eastAsia" w:ascii="Times New Roman" w:hAnsi="Times New Roman" w:eastAsia="仿宋_GB2312" w:cs="Times New Roman"/>
          <w:kern w:val="0"/>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年初预算为</w:t>
      </w:r>
      <w:r>
        <w:rPr>
          <w:rFonts w:hint="eastAsia" w:ascii="Times New Roman" w:hAnsi="Times New Roman" w:eastAsia="仿宋_GB2312" w:cs="Times New Roman"/>
          <w:kern w:val="0"/>
          <w:sz w:val="32"/>
          <w:szCs w:val="32"/>
          <w:lang w:val="en-US" w:eastAsia="zh-CN"/>
        </w:rPr>
        <w:t>0.12</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0.12</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100</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lang w:val="en-US" w:eastAsia="zh-CN"/>
        </w:rPr>
        <w:t>社会保障和就业支出（类）行政事业单位养老支出（款）</w:t>
      </w:r>
      <w:r>
        <w:rPr>
          <w:rFonts w:hint="eastAsia" w:ascii="Times New Roman" w:hAnsi="Times New Roman" w:eastAsia="仿宋_GB2312" w:cs="Times New Roman"/>
          <w:kern w:val="0"/>
          <w:sz w:val="32"/>
          <w:szCs w:val="32"/>
        </w:rPr>
        <w:t>事业单位离退休</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项）</w:t>
      </w:r>
      <w:r>
        <w:rPr>
          <w:rFonts w:hint="eastAsia" w:ascii="Times New Roman" w:hAnsi="Times New Roman" w:eastAsia="仿宋_GB2312" w:cs="Times New Roman"/>
          <w:kern w:val="0"/>
          <w:sz w:val="32"/>
          <w:szCs w:val="32"/>
        </w:rPr>
        <w:t>。</w:t>
      </w:r>
    </w:p>
    <w:p>
      <w:pPr>
        <w:pStyle w:val="15"/>
        <w:overflowPunct w:val="0"/>
        <w:autoSpaceDE/>
        <w:autoSpaceDN/>
        <w:spacing w:line="600" w:lineRule="exact"/>
        <w:ind w:firstLine="640" w:firstLineChars="200"/>
        <w:jc w:val="both"/>
        <w:rPr>
          <w:rFonts w:hint="default" w:ascii="Times New Roman" w:hAnsi="Times New Roman" w:eastAsia="仿宋_GB2312" w:cs="Times New Roman"/>
          <w:kern w:val="0"/>
          <w:sz w:val="32"/>
          <w:szCs w:val="32"/>
          <w:highlight w:val="yellow"/>
          <w:lang w:val="en-US" w:eastAsia="zh-CN"/>
        </w:rPr>
      </w:pPr>
      <w:r>
        <w:rPr>
          <w:rFonts w:hint="eastAsia" w:ascii="Times New Roman" w:hAnsi="Times New Roman" w:eastAsia="仿宋_GB2312" w:cs="Times New Roman"/>
          <w:kern w:val="0"/>
          <w:sz w:val="32"/>
          <w:szCs w:val="32"/>
        </w:rPr>
        <w:t>年</w:t>
      </w:r>
      <w:r>
        <w:rPr>
          <w:rFonts w:hint="eastAsia" w:ascii="Times New Roman" w:hAnsi="Times New Roman" w:eastAsia="仿宋_GB2312" w:cs="Times New Roman"/>
          <w:kern w:val="0"/>
          <w:sz w:val="32"/>
          <w:szCs w:val="32"/>
          <w:highlight w:val="none"/>
        </w:rPr>
        <w:t>初预算为</w:t>
      </w:r>
      <w:r>
        <w:rPr>
          <w:rFonts w:hint="eastAsia" w:ascii="Times New Roman" w:hAnsi="Times New Roman" w:eastAsia="仿宋_GB2312" w:cs="Times New Roman"/>
          <w:kern w:val="0"/>
          <w:sz w:val="32"/>
          <w:szCs w:val="32"/>
          <w:highlight w:val="none"/>
          <w:lang w:val="en-US" w:eastAsia="zh-CN"/>
        </w:rPr>
        <w:t>12.37</w:t>
      </w:r>
      <w:r>
        <w:rPr>
          <w:rFonts w:hint="eastAsia" w:ascii="Times New Roman" w:hAnsi="Times New Roman" w:eastAsia="仿宋_GB2312" w:cs="Times New Roman"/>
          <w:kern w:val="0"/>
          <w:sz w:val="32"/>
          <w:szCs w:val="32"/>
          <w:highlight w:val="none"/>
        </w:rPr>
        <w:t>万元，支出决算为</w:t>
      </w:r>
      <w:r>
        <w:rPr>
          <w:rFonts w:hint="eastAsia" w:ascii="Times New Roman" w:hAnsi="Times New Roman" w:eastAsia="仿宋_GB2312" w:cs="Times New Roman"/>
          <w:kern w:val="0"/>
          <w:sz w:val="32"/>
          <w:szCs w:val="32"/>
          <w:highlight w:val="none"/>
          <w:lang w:val="en-US" w:eastAsia="zh-CN"/>
        </w:rPr>
        <w:t>10.86</w:t>
      </w:r>
      <w:r>
        <w:rPr>
          <w:rFonts w:hint="eastAsia" w:ascii="Times New Roman" w:hAnsi="Times New Roman" w:eastAsia="仿宋_GB2312" w:cs="Times New Roman"/>
          <w:kern w:val="0"/>
          <w:sz w:val="32"/>
          <w:szCs w:val="32"/>
          <w:highlight w:val="none"/>
        </w:rPr>
        <w:t>万元，完成年初预算的</w:t>
      </w:r>
      <w:r>
        <w:rPr>
          <w:rFonts w:hint="eastAsia" w:ascii="Times New Roman" w:hAnsi="Times New Roman" w:eastAsia="仿宋_GB2312" w:cs="Times New Roman"/>
          <w:kern w:val="0"/>
          <w:sz w:val="32"/>
          <w:szCs w:val="32"/>
          <w:highlight w:val="none"/>
          <w:lang w:val="en-US" w:eastAsia="zh-CN"/>
        </w:rPr>
        <w:t>87.79</w:t>
      </w:r>
      <w:r>
        <w:rPr>
          <w:rFonts w:hint="eastAsia" w:ascii="Times New Roman" w:hAnsi="Times New Roman" w:eastAsia="仿宋_GB2312" w:cs="Times New Roman"/>
          <w:kern w:val="0"/>
          <w:sz w:val="32"/>
          <w:szCs w:val="32"/>
          <w:highlight w:val="none"/>
        </w:rPr>
        <w:t>%，决算数小于年初预算数的主要原因是：</w:t>
      </w:r>
      <w:r>
        <w:rPr>
          <w:rFonts w:hint="eastAsia" w:ascii="Times New Roman" w:hAnsi="Times New Roman" w:eastAsia="仿宋_GB2312" w:cs="Times New Roman"/>
          <w:kern w:val="0"/>
          <w:sz w:val="32"/>
          <w:szCs w:val="32"/>
          <w:highlight w:val="none"/>
          <w:lang w:val="en-US" w:eastAsia="zh-CN"/>
        </w:rPr>
        <w:t>职工遗属的生活补助因手续等问题，延迟支付。</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3、社会保障和就业支出（类）行政事业单位养老支出（款）机关事业单位基本养老保险缴费支出（项）。</w:t>
      </w:r>
    </w:p>
    <w:p>
      <w:pPr>
        <w:pStyle w:val="15"/>
        <w:overflowPunct w:val="0"/>
        <w:autoSpaceDE/>
        <w:autoSpaceDN/>
        <w:spacing w:line="600" w:lineRule="exact"/>
        <w:ind w:firstLine="640" w:firstLineChars="200"/>
        <w:jc w:val="both"/>
        <w:rPr>
          <w:rFonts w:hint="default" w:ascii="Times New Roman" w:hAnsi="Times New Roman" w:eastAsia="仿宋_GB2312" w:cs="Times New Roman"/>
          <w:kern w:val="0"/>
          <w:sz w:val="32"/>
          <w:szCs w:val="32"/>
          <w:highlight w:val="yellow"/>
          <w:lang w:val="en-US" w:eastAsia="zh-CN"/>
        </w:rPr>
      </w:pPr>
      <w:r>
        <w:rPr>
          <w:rFonts w:hint="eastAsia" w:ascii="Times New Roman" w:hAnsi="Times New Roman" w:eastAsia="仿宋_GB2312" w:cs="Times New Roman"/>
          <w:kern w:val="0"/>
          <w:sz w:val="32"/>
          <w:szCs w:val="32"/>
        </w:rPr>
        <w:t>年初预算为</w:t>
      </w:r>
      <w:r>
        <w:rPr>
          <w:rFonts w:hint="eastAsia" w:ascii="Times New Roman" w:hAnsi="Times New Roman" w:eastAsia="仿宋_GB2312" w:cs="Times New Roman"/>
          <w:kern w:val="0"/>
          <w:sz w:val="32"/>
          <w:szCs w:val="32"/>
          <w:lang w:val="en-US" w:eastAsia="zh-CN"/>
        </w:rPr>
        <w:t>13.12</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11.03</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84.07</w:t>
      </w:r>
      <w:r>
        <w:rPr>
          <w:rFonts w:hint="eastAsia" w:ascii="Times New Roman" w:hAnsi="Times New Roman" w:eastAsia="仿宋_GB2312" w:cs="Times New Roman"/>
          <w:kern w:val="0"/>
          <w:sz w:val="32"/>
          <w:szCs w:val="32"/>
        </w:rPr>
        <w:t>%，决算数</w:t>
      </w:r>
      <w:r>
        <w:rPr>
          <w:rFonts w:hint="eastAsia" w:ascii="Times New Roman" w:hAnsi="Times New Roman" w:eastAsia="仿宋_GB2312" w:cs="Times New Roman"/>
          <w:kern w:val="0"/>
          <w:sz w:val="32"/>
          <w:szCs w:val="32"/>
          <w:lang w:val="en-US" w:eastAsia="zh-CN"/>
        </w:rPr>
        <w:t>小</w:t>
      </w:r>
      <w:r>
        <w:rPr>
          <w:rFonts w:hint="eastAsia" w:ascii="Times New Roman" w:hAnsi="Times New Roman" w:eastAsia="仿宋_GB2312" w:cs="Times New Roman"/>
          <w:kern w:val="0"/>
          <w:sz w:val="32"/>
          <w:szCs w:val="32"/>
        </w:rPr>
        <w:t>于年初预算数的主要原因是：</w:t>
      </w:r>
      <w:r>
        <w:rPr>
          <w:rFonts w:hint="eastAsia" w:ascii="Times New Roman" w:hAnsi="Times New Roman" w:eastAsia="仿宋_GB2312" w:cs="Times New Roman"/>
          <w:kern w:val="0"/>
          <w:sz w:val="32"/>
          <w:szCs w:val="32"/>
          <w:highlight w:val="none"/>
        </w:rPr>
        <w:t>因我</w:t>
      </w:r>
      <w:r>
        <w:rPr>
          <w:rFonts w:hint="eastAsia" w:ascii="Times New Roman" w:hAnsi="Times New Roman" w:eastAsia="仿宋_GB2312" w:cs="Times New Roman"/>
          <w:kern w:val="0"/>
          <w:sz w:val="32"/>
          <w:szCs w:val="32"/>
          <w:highlight w:val="none"/>
          <w:lang w:val="en-US" w:eastAsia="zh-CN"/>
        </w:rPr>
        <w:t>单位</w:t>
      </w:r>
      <w:r>
        <w:rPr>
          <w:rFonts w:hint="eastAsia" w:ascii="Times New Roman" w:hAnsi="Times New Roman" w:eastAsia="仿宋_GB2312" w:cs="Times New Roman"/>
          <w:kern w:val="0"/>
          <w:sz w:val="32"/>
          <w:szCs w:val="32"/>
          <w:highlight w:val="none"/>
        </w:rPr>
        <w:t>人员调动，</w:t>
      </w:r>
      <w:r>
        <w:rPr>
          <w:rFonts w:hint="eastAsia" w:ascii="Times New Roman" w:hAnsi="Times New Roman" w:eastAsia="仿宋_GB2312" w:cs="Times New Roman"/>
          <w:kern w:val="0"/>
          <w:sz w:val="32"/>
          <w:szCs w:val="32"/>
          <w:highlight w:val="none"/>
          <w:lang w:val="en-US" w:eastAsia="zh-CN"/>
        </w:rPr>
        <w:t>调入人员级别低于调出人员级别，工资性支出减少。</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农林水支出</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类）</w:t>
      </w:r>
      <w:r>
        <w:rPr>
          <w:rFonts w:hint="eastAsia" w:ascii="Times New Roman" w:hAnsi="Times New Roman" w:eastAsia="仿宋_GB2312" w:cs="Times New Roman"/>
          <w:kern w:val="0"/>
          <w:sz w:val="32"/>
          <w:szCs w:val="32"/>
        </w:rPr>
        <w:t>农业农村</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款）</w:t>
      </w:r>
      <w:r>
        <w:rPr>
          <w:rFonts w:hint="eastAsia" w:ascii="Times New Roman" w:hAnsi="Times New Roman" w:eastAsia="仿宋_GB2312" w:cs="Times New Roman"/>
          <w:kern w:val="0"/>
          <w:sz w:val="32"/>
          <w:szCs w:val="32"/>
        </w:rPr>
        <w:t>事业运行</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项）</w:t>
      </w:r>
      <w:r>
        <w:rPr>
          <w:rFonts w:hint="eastAsia" w:ascii="Times New Roman" w:hAnsi="Times New Roman" w:eastAsia="仿宋_GB2312" w:cs="Times New Roman"/>
          <w:kern w:val="0"/>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highlight w:val="none"/>
          <w:lang w:val="en-US" w:eastAsia="zh-CN"/>
        </w:rPr>
      </w:pPr>
      <w:r>
        <w:rPr>
          <w:rFonts w:hint="eastAsia" w:ascii="Times New Roman" w:hAnsi="Times New Roman" w:eastAsia="仿宋_GB2312" w:cs="Times New Roman"/>
          <w:kern w:val="0"/>
          <w:sz w:val="32"/>
          <w:szCs w:val="32"/>
        </w:rPr>
        <w:t>年初预算为</w:t>
      </w:r>
      <w:r>
        <w:rPr>
          <w:rFonts w:hint="eastAsia" w:ascii="Times New Roman" w:hAnsi="Times New Roman" w:eastAsia="仿宋_GB2312" w:cs="Times New Roman"/>
          <w:kern w:val="0"/>
          <w:sz w:val="32"/>
          <w:szCs w:val="32"/>
          <w:lang w:val="en-US" w:eastAsia="zh-CN"/>
        </w:rPr>
        <w:t>78.07</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77.18</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98.86</w:t>
      </w:r>
      <w:r>
        <w:rPr>
          <w:rFonts w:hint="eastAsia" w:ascii="Times New Roman" w:hAnsi="Times New Roman" w:eastAsia="仿宋_GB2312" w:cs="Times New Roman"/>
          <w:kern w:val="0"/>
          <w:sz w:val="32"/>
          <w:szCs w:val="32"/>
        </w:rPr>
        <w:t>%，决算数小于年初预算数的主要原因是：</w:t>
      </w:r>
      <w:r>
        <w:rPr>
          <w:rFonts w:hint="eastAsia" w:ascii="Times New Roman" w:hAnsi="Times New Roman" w:eastAsia="仿宋_GB2312" w:cs="Times New Roman"/>
          <w:kern w:val="0"/>
          <w:sz w:val="32"/>
          <w:szCs w:val="32"/>
          <w:highlight w:val="none"/>
        </w:rPr>
        <w:t>因我</w:t>
      </w:r>
      <w:r>
        <w:rPr>
          <w:rFonts w:hint="eastAsia" w:ascii="Times New Roman" w:hAnsi="Times New Roman" w:eastAsia="仿宋_GB2312" w:cs="Times New Roman"/>
          <w:kern w:val="0"/>
          <w:sz w:val="32"/>
          <w:szCs w:val="32"/>
          <w:highlight w:val="none"/>
          <w:lang w:val="en-US" w:eastAsia="zh-CN"/>
        </w:rPr>
        <w:t>单位</w:t>
      </w:r>
      <w:r>
        <w:rPr>
          <w:rFonts w:hint="eastAsia" w:ascii="Times New Roman" w:hAnsi="Times New Roman" w:eastAsia="仿宋_GB2312" w:cs="Times New Roman"/>
          <w:kern w:val="0"/>
          <w:sz w:val="32"/>
          <w:szCs w:val="32"/>
          <w:highlight w:val="none"/>
        </w:rPr>
        <w:t>人员调动，</w:t>
      </w:r>
      <w:r>
        <w:rPr>
          <w:rFonts w:hint="eastAsia" w:ascii="Times New Roman" w:hAnsi="Times New Roman" w:eastAsia="仿宋_GB2312" w:cs="Times New Roman"/>
          <w:kern w:val="0"/>
          <w:sz w:val="32"/>
          <w:szCs w:val="32"/>
          <w:highlight w:val="none"/>
          <w:lang w:val="en-US" w:eastAsia="zh-CN"/>
        </w:rPr>
        <w:t>调入人员级别低于调出人员级别，工资性支出减少。</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5、农林水支出（类）农业农村（款）农业生产发展（项）。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highlight w:val="yellow"/>
          <w:lang w:eastAsia="zh-CN"/>
        </w:rPr>
      </w:pPr>
      <w:r>
        <w:rPr>
          <w:rFonts w:hint="eastAsia" w:ascii="Times New Roman" w:hAnsi="Times New Roman" w:eastAsia="仿宋_GB2312" w:cs="Times New Roman"/>
          <w:kern w:val="0"/>
          <w:sz w:val="32"/>
          <w:szCs w:val="32"/>
        </w:rPr>
        <w:t>年初预算为</w:t>
      </w:r>
      <w:r>
        <w:rPr>
          <w:rFonts w:hint="eastAsia" w:ascii="Times New Roman" w:hAnsi="Times New Roman" w:eastAsia="仿宋_GB2312" w:cs="Times New Roman"/>
          <w:kern w:val="0"/>
          <w:sz w:val="32"/>
          <w:szCs w:val="32"/>
          <w:lang w:val="en-US" w:eastAsia="zh-CN"/>
        </w:rPr>
        <w:t>115.84</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115.18</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99.43</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决算数小于年初预算数的主要原因是：</w:t>
      </w:r>
      <w:r>
        <w:rPr>
          <w:rFonts w:hint="eastAsia" w:ascii="Times New Roman" w:hAnsi="Times New Roman" w:eastAsia="仿宋_GB2312" w:cs="Times New Roman"/>
          <w:kern w:val="0"/>
          <w:sz w:val="32"/>
          <w:szCs w:val="32"/>
          <w:highlight w:val="none"/>
          <w:lang w:val="en-US" w:eastAsia="zh-CN"/>
        </w:rPr>
        <w:t>因南繁基地项目跨年实施，项目资金随项目实施情况逐步支付</w:t>
      </w:r>
      <w:r>
        <w:rPr>
          <w:rFonts w:hint="eastAsia" w:ascii="Times New Roman" w:hAnsi="Times New Roman" w:eastAsia="仿宋_GB2312" w:cs="Times New Roman"/>
          <w:kern w:val="0"/>
          <w:sz w:val="32"/>
          <w:szCs w:val="32"/>
          <w:highlight w:val="none"/>
          <w:lang w:eastAsia="zh-CN"/>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6、住房保障支出（类）住房改革支出（款）住房公积金（项）。</w:t>
      </w:r>
    </w:p>
    <w:p>
      <w:pPr>
        <w:pStyle w:val="15"/>
        <w:overflowPunct w:val="0"/>
        <w:autoSpaceDE/>
        <w:autoSpaceDN/>
        <w:spacing w:line="600" w:lineRule="exact"/>
        <w:ind w:firstLine="640" w:firstLineChars="200"/>
        <w:jc w:val="both"/>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年初预算为</w:t>
      </w:r>
      <w:r>
        <w:rPr>
          <w:rFonts w:hint="eastAsia" w:ascii="Times New Roman" w:hAnsi="Times New Roman" w:eastAsia="仿宋_GB2312" w:cs="Times New Roman"/>
          <w:kern w:val="0"/>
          <w:sz w:val="32"/>
          <w:szCs w:val="32"/>
          <w:lang w:val="en-US" w:eastAsia="zh-CN"/>
        </w:rPr>
        <w:t>9.83</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9.83</w:t>
      </w:r>
      <w:r>
        <w:rPr>
          <w:rFonts w:hint="eastAsia" w:ascii="Times New Roman" w:hAnsi="Times New Roman" w:eastAsia="仿宋_GB2312" w:cs="Times New Roman"/>
          <w:kern w:val="0"/>
          <w:sz w:val="32"/>
          <w:szCs w:val="32"/>
        </w:rPr>
        <w:t>万元，完成年初预算的</w:t>
      </w:r>
      <w:r>
        <w:rPr>
          <w:rFonts w:hint="eastAsia" w:ascii="Times New Roman" w:hAnsi="Times New Roman" w:eastAsia="仿宋_GB2312" w:cs="Times New Roman"/>
          <w:kern w:val="0"/>
          <w:sz w:val="32"/>
          <w:szCs w:val="32"/>
          <w:lang w:val="en-US" w:eastAsia="zh-CN"/>
        </w:rPr>
        <w:t>100</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年度</w:t>
      </w:r>
      <w:r>
        <w:rPr>
          <w:rFonts w:ascii="Times New Roman" w:hAnsi="Times New Roman" w:eastAsia="仿宋_GB2312" w:cs="Times New Roman"/>
          <w:kern w:val="0"/>
          <w:sz w:val="32"/>
          <w:szCs w:val="32"/>
        </w:rPr>
        <w:t>一般公共预算财政拨款</w:t>
      </w:r>
      <w:r>
        <w:rPr>
          <w:rFonts w:hint="eastAsia" w:ascii="Times New Roman" w:hAnsi="Times New Roman" w:eastAsia="仿宋_GB2312" w:cs="Times New Roman"/>
          <w:kern w:val="0"/>
          <w:sz w:val="32"/>
          <w:szCs w:val="32"/>
        </w:rPr>
        <w:t>基本支出</w:t>
      </w:r>
      <w:r>
        <w:rPr>
          <w:rFonts w:hint="eastAsia" w:ascii="Times New Roman" w:hAnsi="Times New Roman" w:eastAsia="仿宋_GB2312" w:cs="Times New Roman"/>
          <w:kern w:val="0"/>
          <w:sz w:val="32"/>
          <w:szCs w:val="32"/>
          <w:lang w:val="en-US" w:eastAsia="zh-CN"/>
        </w:rPr>
        <w:t>109.01</w:t>
      </w:r>
      <w:r>
        <w:rPr>
          <w:rFonts w:hint="eastAsia" w:ascii="Times New Roman" w:hAnsi="Times New Roman" w:eastAsia="仿宋_GB2312" w:cs="Times New Roman"/>
          <w:kern w:val="0"/>
          <w:sz w:val="32"/>
          <w:szCs w:val="32"/>
        </w:rPr>
        <w:t>万元，其中：</w:t>
      </w:r>
    </w:p>
    <w:p>
      <w:pPr>
        <w:pStyle w:val="15"/>
        <w:overflowPunct w:val="0"/>
        <w:autoSpaceDE/>
        <w:autoSpaceDN/>
        <w:spacing w:line="600" w:lineRule="exact"/>
        <w:ind w:firstLine="640" w:firstLineChars="200"/>
        <w:jc w:val="both"/>
        <w:rPr>
          <w:rFonts w:hint="default"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b/>
          <w:bCs/>
          <w:kern w:val="0"/>
          <w:sz w:val="32"/>
          <w:szCs w:val="32"/>
        </w:rPr>
        <w:t>人员经费</w:t>
      </w:r>
      <w:r>
        <w:rPr>
          <w:rFonts w:hint="eastAsia" w:ascii="Times New Roman" w:hAnsi="Times New Roman" w:eastAsia="仿宋_GB2312" w:cs="Times New Roman"/>
          <w:b w:val="0"/>
          <w:bCs w:val="0"/>
          <w:kern w:val="0"/>
          <w:sz w:val="32"/>
          <w:szCs w:val="32"/>
          <w:lang w:val="en-US" w:eastAsia="zh-CN"/>
        </w:rPr>
        <w:t>94.80</w:t>
      </w:r>
      <w:r>
        <w:rPr>
          <w:rFonts w:hint="eastAsia" w:ascii="Times New Roman" w:hAnsi="Times New Roman" w:eastAsia="仿宋_GB2312" w:cs="Times New Roman"/>
          <w:b w:val="0"/>
          <w:bCs w:val="0"/>
          <w:kern w:val="0"/>
          <w:sz w:val="32"/>
          <w:szCs w:val="32"/>
        </w:rPr>
        <w:t>万元，占基本支出的</w:t>
      </w:r>
      <w:r>
        <w:rPr>
          <w:rFonts w:hint="eastAsia" w:ascii="Times New Roman" w:hAnsi="Times New Roman" w:eastAsia="仿宋_GB2312" w:cs="Times New Roman"/>
          <w:b w:val="0"/>
          <w:bCs w:val="0"/>
          <w:kern w:val="0"/>
          <w:sz w:val="32"/>
          <w:szCs w:val="32"/>
          <w:lang w:val="en-US" w:eastAsia="zh-CN"/>
        </w:rPr>
        <w:t>86.96</w:t>
      </w:r>
      <w:r>
        <w:rPr>
          <w:rFonts w:hint="eastAsia" w:ascii="Times New Roman" w:hAnsi="Times New Roman" w:eastAsia="仿宋_GB2312" w:cs="Times New Roman"/>
          <w:b w:val="0"/>
          <w:bCs w:val="0"/>
          <w:kern w:val="0"/>
          <w:sz w:val="32"/>
          <w:szCs w:val="32"/>
        </w:rPr>
        <w:t>%</w:t>
      </w:r>
      <w:r>
        <w:rPr>
          <w:rFonts w:hint="eastAsia" w:ascii="Times New Roman" w:hAnsi="Times New Roman" w:eastAsia="仿宋_GB2312" w:cs="Times New Roman"/>
          <w:b w:val="0"/>
          <w:bCs w:val="0"/>
          <w:kern w:val="0"/>
          <w:sz w:val="32"/>
          <w:szCs w:val="32"/>
          <w:lang w:eastAsia="zh-CN"/>
        </w:rPr>
        <w:t>，</w:t>
      </w:r>
      <w:r>
        <w:rPr>
          <w:rFonts w:hint="eastAsia" w:ascii="Times New Roman" w:hAnsi="Times New Roman" w:eastAsia="仿宋_GB2312" w:cs="Times New Roman"/>
          <w:b w:val="0"/>
          <w:bCs w:val="0"/>
          <w:kern w:val="0"/>
          <w:sz w:val="32"/>
          <w:szCs w:val="32"/>
        </w:rPr>
        <w:t>主要包括基本工资、津贴补贴、伙食补助费</w:t>
      </w:r>
      <w:r>
        <w:rPr>
          <w:rFonts w:hint="eastAsia" w:ascii="Times New Roman" w:hAnsi="Times New Roman" w:eastAsia="仿宋_GB2312" w:cs="Times New Roman"/>
          <w:b w:val="0"/>
          <w:bCs w:val="0"/>
          <w:kern w:val="0"/>
          <w:sz w:val="32"/>
          <w:szCs w:val="32"/>
          <w:lang w:eastAsia="zh-CN"/>
        </w:rPr>
        <w:t>、绩效工资、机关事业单位基本养老保险缴费、职工基本医疗保险缴费、</w:t>
      </w:r>
      <w:r>
        <w:rPr>
          <w:rFonts w:hint="eastAsia" w:ascii="Times New Roman" w:hAnsi="Times New Roman" w:eastAsia="仿宋_GB2312" w:cs="Times New Roman"/>
          <w:b w:val="0"/>
          <w:bCs w:val="0"/>
          <w:kern w:val="0"/>
          <w:sz w:val="32"/>
          <w:szCs w:val="32"/>
          <w:lang w:val="en-US" w:eastAsia="zh-CN"/>
        </w:rPr>
        <w:t>其他社会保障缴费、</w:t>
      </w:r>
      <w:r>
        <w:rPr>
          <w:rFonts w:hint="eastAsia" w:ascii="Times New Roman" w:hAnsi="Times New Roman" w:eastAsia="仿宋_GB2312" w:cs="Times New Roman"/>
          <w:b w:val="0"/>
          <w:bCs w:val="0"/>
          <w:kern w:val="0"/>
          <w:sz w:val="32"/>
          <w:szCs w:val="32"/>
          <w:lang w:eastAsia="zh-CN"/>
        </w:rPr>
        <w:t>住房公积金、</w:t>
      </w:r>
      <w:r>
        <w:rPr>
          <w:rFonts w:hint="eastAsia" w:ascii="Times New Roman" w:hAnsi="Times New Roman" w:eastAsia="仿宋_GB2312" w:cs="Times New Roman"/>
          <w:b w:val="0"/>
          <w:bCs w:val="0"/>
          <w:kern w:val="0"/>
          <w:sz w:val="32"/>
          <w:szCs w:val="32"/>
          <w:lang w:val="en-US" w:eastAsia="zh-CN"/>
        </w:rPr>
        <w:t>生活补助</w:t>
      </w:r>
      <w:r>
        <w:rPr>
          <w:rFonts w:hint="eastAsia" w:ascii="Times New Roman" w:hAnsi="Times New Roman" w:eastAsia="仿宋_GB2312" w:cs="Times New Roman"/>
          <w:b w:val="0"/>
          <w:bCs w:val="0"/>
          <w:kern w:val="0"/>
          <w:sz w:val="32"/>
          <w:szCs w:val="32"/>
          <w:lang w:eastAsia="zh-CN"/>
        </w:rPr>
        <w:t>、奖励金、</w:t>
      </w:r>
      <w:r>
        <w:rPr>
          <w:rFonts w:hint="eastAsia" w:ascii="Times New Roman" w:hAnsi="Times New Roman" w:eastAsia="仿宋_GB2312" w:cs="Times New Roman"/>
          <w:b w:val="0"/>
          <w:bCs w:val="0"/>
          <w:kern w:val="0"/>
          <w:sz w:val="32"/>
          <w:szCs w:val="32"/>
          <w:lang w:val="en-US" w:eastAsia="zh-CN"/>
        </w:rPr>
        <w:t>其他对个人和家庭的补助</w:t>
      </w:r>
      <w:r>
        <w:rPr>
          <w:rFonts w:hint="eastAsia" w:ascii="Times New Roman" w:hAnsi="Times New Roman" w:eastAsia="仿宋_GB2312" w:cs="Times New Roman"/>
          <w:b w:val="0"/>
          <w:bCs w:val="0"/>
          <w:kern w:val="0"/>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cs="Times New Roman"/>
          <w:b w:val="0"/>
          <w:bCs w:val="0"/>
          <w:kern w:val="0"/>
          <w:sz w:val="32"/>
          <w:szCs w:val="32"/>
          <w:lang w:val="en-US" w:eastAsia="zh-CN"/>
        </w:rPr>
        <w:t>14.21万元，占基本支出的13.04%，主要包括办公费、电费、邮电费、差旅费、租赁费、会议费、培训费、公务接待费、劳务费、工会经费、福利费、其他交通费用、其他商品和服务支出。</w:t>
      </w:r>
    </w:p>
    <w:p>
      <w:pPr>
        <w:pStyle w:val="15"/>
        <w:overflowPunct w:val="0"/>
        <w:autoSpaceDE/>
        <w:autoSpaceDN/>
        <w:spacing w:line="600" w:lineRule="exact"/>
        <w:ind w:firstLine="640" w:firstLineChars="200"/>
        <w:jc w:val="both"/>
        <w:rPr>
          <w:rFonts w:ascii="Times New Roman" w:hAnsi="Times New Roman" w:cs="Times New Roman"/>
          <w:bCs/>
          <w:kern w:val="0"/>
          <w:sz w:val="32"/>
          <w:szCs w:val="32"/>
        </w:rPr>
      </w:pPr>
      <w:r>
        <w:rPr>
          <w:rFonts w:hint="eastAsia" w:ascii="Times New Roman" w:hAnsi="Times New Roman" w:cs="Times New Roman"/>
          <w:bCs/>
          <w:kern w:val="0"/>
          <w:sz w:val="32"/>
          <w:szCs w:val="32"/>
        </w:rPr>
        <w:t>七、财政拨款</w:t>
      </w:r>
      <w:r>
        <w:rPr>
          <w:rFonts w:hint="eastAsia" w:ascii="Times New Roman" w:hAnsi="Times New Roman" w:cs="Times New Roman"/>
          <w:bCs/>
          <w:kern w:val="0"/>
          <w:sz w:val="32"/>
          <w:szCs w:val="32"/>
          <w:lang w:eastAsia="zh-CN"/>
        </w:rPr>
        <w:t>“</w:t>
      </w:r>
      <w:r>
        <w:rPr>
          <w:rFonts w:hint="eastAsia" w:ascii="Times New Roman" w:hAnsi="Times New Roman" w:cs="Times New Roman"/>
          <w:bCs/>
          <w:kern w:val="0"/>
          <w:sz w:val="32"/>
          <w:szCs w:val="32"/>
        </w:rPr>
        <w:t>三公</w:t>
      </w:r>
      <w:r>
        <w:rPr>
          <w:rFonts w:hint="eastAsia" w:ascii="Times New Roman" w:hAnsi="Times New Roman" w:cs="Times New Roman"/>
          <w:bCs/>
          <w:kern w:val="0"/>
          <w:sz w:val="32"/>
          <w:szCs w:val="32"/>
          <w:lang w:eastAsia="zh-CN"/>
        </w:rPr>
        <w:t>”</w:t>
      </w:r>
      <w:r>
        <w:rPr>
          <w:rFonts w:hint="eastAsia" w:ascii="Times New Roman" w:hAnsi="Times New Roman" w:cs="Times New Roman"/>
          <w:bCs/>
          <w:kern w:val="0"/>
          <w:sz w:val="32"/>
          <w:szCs w:val="32"/>
        </w:rPr>
        <w:t>经费支出决算情况说明</w:t>
      </w:r>
    </w:p>
    <w:p>
      <w:pPr>
        <w:pStyle w:val="15"/>
        <w:overflowPunct w:val="0"/>
        <w:autoSpaceDE/>
        <w:autoSpaceDN/>
        <w:spacing w:line="600" w:lineRule="exact"/>
        <w:ind w:firstLine="640" w:firstLineChars="200"/>
        <w:jc w:val="both"/>
        <w:rPr>
          <w:rFonts w:hint="eastAsia" w:ascii="Times New Roman" w:hAnsi="Times New Roman" w:eastAsia="楷体_GB2312" w:cs="Times New Roman"/>
          <w:b/>
          <w:kern w:val="0"/>
          <w:sz w:val="32"/>
          <w:szCs w:val="32"/>
        </w:rPr>
      </w:pPr>
      <w:r>
        <w:rPr>
          <w:rFonts w:hint="eastAsia" w:ascii="Times New Roman" w:hAnsi="Times New Roman" w:eastAsia="楷体_GB2312" w:cs="Times New Roman"/>
          <w:b/>
          <w:kern w:val="0"/>
          <w:sz w:val="32"/>
          <w:szCs w:val="32"/>
        </w:rPr>
        <w:t>（一）“三公”经费财政拨款支出决算总体情况说明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highlight w:val="yellow"/>
          <w:lang w:eastAsia="zh-CN"/>
        </w:rPr>
      </w:pP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kern w:val="0"/>
          <w:sz w:val="32"/>
          <w:szCs w:val="32"/>
        </w:rPr>
        <w:t>“三公”经费财政拨款支出预算为</w:t>
      </w:r>
      <w:r>
        <w:rPr>
          <w:rFonts w:hint="eastAsia" w:ascii="Times New Roman" w:hAnsi="Times New Roman" w:eastAsia="仿宋_GB2312" w:cs="Times New Roman"/>
          <w:kern w:val="0"/>
          <w:sz w:val="32"/>
          <w:szCs w:val="32"/>
          <w:lang w:val="en-US" w:eastAsia="zh-CN"/>
        </w:rPr>
        <w:t>0.40</w:t>
      </w:r>
      <w:r>
        <w:rPr>
          <w:rFonts w:hint="eastAsia" w:ascii="Times New Roman" w:hAnsi="Times New Roman" w:eastAsia="仿宋_GB2312" w:cs="Times New Roman"/>
          <w:kern w:val="0"/>
          <w:sz w:val="32"/>
          <w:szCs w:val="32"/>
        </w:rPr>
        <w:t>万元，支出决算为</w:t>
      </w:r>
      <w:r>
        <w:rPr>
          <w:rFonts w:hint="eastAsia" w:ascii="Times New Roman" w:hAnsi="Times New Roman" w:eastAsia="仿宋_GB2312" w:cs="Times New Roman"/>
          <w:kern w:val="0"/>
          <w:sz w:val="32"/>
          <w:szCs w:val="32"/>
          <w:lang w:val="en-US" w:eastAsia="zh-CN"/>
        </w:rPr>
        <w:t>0.11</w:t>
      </w:r>
      <w:r>
        <w:rPr>
          <w:rFonts w:hint="eastAsia" w:ascii="Times New Roman" w:hAnsi="Times New Roman" w:eastAsia="仿宋_GB2312" w:cs="Times New Roman"/>
          <w:kern w:val="0"/>
          <w:sz w:val="32"/>
          <w:szCs w:val="32"/>
        </w:rPr>
        <w:t>万元，完成预算的</w:t>
      </w:r>
      <w:r>
        <w:rPr>
          <w:rFonts w:hint="eastAsia" w:ascii="Times New Roman" w:hAnsi="Times New Roman" w:eastAsia="仿宋_GB2312" w:cs="Times New Roman"/>
          <w:kern w:val="0"/>
          <w:sz w:val="32"/>
          <w:szCs w:val="32"/>
          <w:lang w:val="en-US" w:eastAsia="zh-CN"/>
        </w:rPr>
        <w:t>27.50</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rPr>
        <w:t>与上年相比</w:t>
      </w:r>
      <w:r>
        <w:rPr>
          <w:rFonts w:hint="eastAsia" w:ascii="Times New Roman" w:hAnsi="Times New Roman" w:eastAsia="仿宋_GB2312" w:cs="Times New Roman"/>
          <w:kern w:val="0"/>
          <w:sz w:val="32"/>
          <w:szCs w:val="32"/>
          <w:lang w:val="en-US" w:eastAsia="zh-CN"/>
        </w:rPr>
        <w:t>减少0.29万元，</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72.45</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kern w:val="0"/>
          <w:sz w:val="32"/>
          <w:szCs w:val="32"/>
          <w:highlight w:val="none"/>
        </w:rPr>
        <w:t>决</w:t>
      </w:r>
      <w:r>
        <w:rPr>
          <w:rFonts w:hint="eastAsia" w:ascii="Times New Roman" w:hAnsi="Times New Roman" w:eastAsia="仿宋_GB2312" w:cs="Times New Roman"/>
          <w:kern w:val="0"/>
          <w:sz w:val="32"/>
          <w:szCs w:val="32"/>
        </w:rPr>
        <w:t>算数小于预算数的主要原因是</w:t>
      </w:r>
      <w:r>
        <w:rPr>
          <w:rFonts w:hint="eastAsia" w:ascii="Times New Roman" w:hAnsi="Times New Roman" w:eastAsia="仿宋_GB2312" w:cs="Times New Roman"/>
          <w:sz w:val="32"/>
          <w:szCs w:val="32"/>
          <w:highlight w:val="none"/>
        </w:rPr>
        <w:t>我</w:t>
      </w:r>
      <w:r>
        <w:rPr>
          <w:rFonts w:hint="eastAsia" w:ascii="Times New Roman" w:hAnsi="Times New Roman" w:eastAsia="仿宋_GB2312" w:cs="Times New Roman"/>
          <w:sz w:val="32"/>
          <w:szCs w:val="32"/>
          <w:highlight w:val="none"/>
          <w:lang w:val="en-US" w:eastAsia="zh-CN"/>
        </w:rPr>
        <w:t>单位</w:t>
      </w:r>
      <w:r>
        <w:rPr>
          <w:rFonts w:hint="eastAsia" w:ascii="Times New Roman" w:hAnsi="Times New Roman" w:eastAsia="仿宋_GB2312" w:cs="Times New Roman"/>
          <w:sz w:val="32"/>
          <w:szCs w:val="32"/>
          <w:highlight w:val="none"/>
        </w:rPr>
        <w:t>严格贯彻落实厉行节约</w:t>
      </w:r>
      <w:r>
        <w:rPr>
          <w:rFonts w:hint="eastAsia" w:ascii="Times New Roman" w:hAnsi="Times New Roman" w:eastAsia="仿宋_GB2312" w:cs="Times New Roman"/>
          <w:sz w:val="32"/>
          <w:szCs w:val="32"/>
          <w:highlight w:val="none"/>
          <w:lang w:val="en-US" w:eastAsia="zh-CN"/>
        </w:rPr>
        <w:t>的精神</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减少了“三公”经费支出</w:t>
      </w:r>
      <w:r>
        <w:rPr>
          <w:rFonts w:hint="eastAsia" w:ascii="Times New Roman" w:hAnsi="Times New Roman" w:eastAsia="仿宋_GB2312" w:cs="Times New Roman"/>
          <w:kern w:val="0"/>
          <w:sz w:val="32"/>
          <w:szCs w:val="32"/>
          <w:highlight w:val="none"/>
          <w:lang w:eastAsia="zh-CN"/>
        </w:rPr>
        <w:t>。</w:t>
      </w:r>
      <w:r>
        <w:rPr>
          <w:rFonts w:ascii="Times New Roman" w:hAnsi="Times New Roman" w:eastAsia="仿宋_GB2312" w:cs="Times New Roman"/>
          <w:kern w:val="0"/>
          <w:sz w:val="32"/>
          <w:szCs w:val="32"/>
          <w:highlight w:val="none"/>
        </w:rPr>
        <w:t>决算数小于上年数的主要原因是</w:t>
      </w:r>
      <w:r>
        <w:rPr>
          <w:rFonts w:hint="eastAsia" w:ascii="Times New Roman" w:hAnsi="Times New Roman" w:eastAsia="仿宋_GB2312" w:cs="Times New Roman"/>
          <w:sz w:val="32"/>
          <w:szCs w:val="32"/>
          <w:highlight w:val="none"/>
          <w:lang w:val="en-US" w:eastAsia="zh-CN"/>
        </w:rPr>
        <w:t>我单位</w:t>
      </w:r>
      <w:r>
        <w:rPr>
          <w:rFonts w:hint="eastAsia" w:ascii="Times New Roman" w:hAnsi="Times New Roman" w:eastAsia="仿宋_GB2312" w:cs="Times New Roman"/>
          <w:sz w:val="32"/>
          <w:szCs w:val="32"/>
          <w:highlight w:val="none"/>
        </w:rPr>
        <w:t>接待次数减少</w:t>
      </w:r>
      <w:r>
        <w:rPr>
          <w:rFonts w:hint="eastAsia" w:ascii="Times New Roman" w:hAnsi="Times New Roman" w:eastAsia="仿宋_GB2312" w:cs="Times New Roman"/>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2"/>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b/>
          <w:sz w:val="32"/>
          <w:szCs w:val="32"/>
          <w:highlight w:val="none"/>
          <w:lang w:val="en-US"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cs="Times New Roman"/>
          <w:kern w:val="0"/>
          <w:sz w:val="32"/>
          <w:szCs w:val="32"/>
          <w:highlight w:val="none"/>
        </w:rPr>
        <w:t>因公出国（境）费支出预算为</w:t>
      </w:r>
      <w:r>
        <w:rPr>
          <w:rFonts w:hint="eastAsia" w:ascii="Times New Roman" w:hAnsi="Times New Roman" w:eastAsia="仿宋_GB2312" w:cs="Times New Roman"/>
          <w:kern w:val="0"/>
          <w:sz w:val="32"/>
          <w:szCs w:val="32"/>
          <w:highlight w:val="none"/>
          <w:lang w:val="en-US" w:eastAsia="zh-CN"/>
        </w:rPr>
        <w:t>0</w:t>
      </w:r>
      <w:r>
        <w:rPr>
          <w:rFonts w:hint="eastAsia" w:ascii="Times New Roman" w:hAnsi="Times New Roman" w:eastAsia="仿宋_GB2312" w:cs="Times New Roman"/>
          <w:kern w:val="0"/>
          <w:sz w:val="32"/>
          <w:szCs w:val="32"/>
          <w:highlight w:val="none"/>
        </w:rPr>
        <w:t>万元，支出决算为</w:t>
      </w:r>
      <w:r>
        <w:rPr>
          <w:rFonts w:hint="eastAsia" w:ascii="Times New Roman" w:hAnsi="Times New Roman" w:eastAsia="仿宋_GB2312" w:cs="Times New Roman"/>
          <w:kern w:val="0"/>
          <w:sz w:val="32"/>
          <w:szCs w:val="32"/>
          <w:highlight w:val="none"/>
          <w:lang w:val="en-US" w:eastAsia="zh-CN"/>
        </w:rPr>
        <w:t>0</w:t>
      </w:r>
      <w:r>
        <w:rPr>
          <w:rFonts w:hint="eastAsia" w:ascii="Times New Roman" w:hAnsi="Times New Roman" w:eastAsia="仿宋_GB2312" w:cs="Times New Roman"/>
          <w:kern w:val="0"/>
          <w:sz w:val="32"/>
          <w:szCs w:val="32"/>
          <w:highlight w:val="none"/>
        </w:rPr>
        <w:t>万元，与上年相比</w:t>
      </w:r>
      <w:r>
        <w:rPr>
          <w:rFonts w:hint="eastAsia" w:ascii="Times New Roman" w:hAnsi="Times New Roman" w:eastAsia="仿宋_GB2312" w:cs="Times New Roman"/>
          <w:kern w:val="0"/>
          <w:sz w:val="32"/>
          <w:szCs w:val="32"/>
          <w:highlight w:val="none"/>
          <w:lang w:val="en-US" w:eastAsia="zh-CN"/>
        </w:rPr>
        <w:t>无差异</w:t>
      </w:r>
      <w:r>
        <w:rPr>
          <w:rFonts w:hint="eastAsia"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highlight w:val="none"/>
        </w:rPr>
        <w:t>2024年度</w:t>
      </w:r>
      <w:r>
        <w:rPr>
          <w:rFonts w:hint="eastAsia" w:ascii="Times New Roman" w:hAnsi="Times New Roman" w:eastAsia="仿宋_GB2312" w:cs="Times New Roman"/>
          <w:kern w:val="0"/>
          <w:sz w:val="32"/>
          <w:szCs w:val="32"/>
          <w:highlight w:val="none"/>
          <w:lang w:val="en-US" w:eastAsia="zh-CN"/>
        </w:rPr>
        <w:t>安排</w:t>
      </w:r>
      <w:r>
        <w:rPr>
          <w:rFonts w:hint="eastAsia" w:ascii="Times New Roman" w:hAnsi="Times New Roman" w:eastAsia="仿宋_GB2312" w:cs="Times New Roman"/>
          <w:kern w:val="0"/>
          <w:sz w:val="32"/>
          <w:szCs w:val="32"/>
          <w:highlight w:val="none"/>
        </w:rPr>
        <w:t>因公出国（境）团组</w:t>
      </w:r>
      <w:r>
        <w:rPr>
          <w:rFonts w:hint="eastAsia" w:ascii="Times New Roman" w:hAnsi="Times New Roman" w:eastAsia="仿宋_GB2312" w:cs="Times New Roman"/>
          <w:kern w:val="0"/>
          <w:sz w:val="32"/>
          <w:szCs w:val="32"/>
          <w:highlight w:val="none"/>
          <w:lang w:val="en-US" w:eastAsia="zh-CN"/>
        </w:rPr>
        <w:t>0</w:t>
      </w:r>
      <w:r>
        <w:rPr>
          <w:rFonts w:hint="eastAsia" w:ascii="Times New Roman" w:hAnsi="Times New Roman" w:eastAsia="仿宋_GB2312" w:cs="Times New Roman"/>
          <w:kern w:val="0"/>
          <w:sz w:val="32"/>
          <w:szCs w:val="32"/>
          <w:highlight w:val="none"/>
        </w:rPr>
        <w:t>个，累计</w:t>
      </w:r>
      <w:r>
        <w:rPr>
          <w:rFonts w:hint="eastAsia" w:ascii="Times New Roman" w:hAnsi="Times New Roman" w:eastAsia="仿宋_GB2312" w:cs="Times New Roman"/>
          <w:kern w:val="0"/>
          <w:sz w:val="32"/>
          <w:szCs w:val="32"/>
          <w:highlight w:val="none"/>
          <w:lang w:val="en-US" w:eastAsia="zh-CN"/>
        </w:rPr>
        <w:t>0</w:t>
      </w:r>
      <w:r>
        <w:rPr>
          <w:rFonts w:hint="eastAsia" w:ascii="Times New Roman" w:hAnsi="Times New Roman" w:eastAsia="仿宋_GB2312" w:cs="Times New Roman"/>
          <w:kern w:val="0"/>
          <w:sz w:val="32"/>
          <w:szCs w:val="32"/>
          <w:highlight w:val="none"/>
        </w:rPr>
        <w:t>人次</w:t>
      </w:r>
      <w:r>
        <w:rPr>
          <w:rFonts w:hint="eastAsia" w:ascii="Times New Roman" w:hAnsi="Times New Roman" w:eastAsia="仿宋_GB2312" w:cs="Times New Roman"/>
          <w:kern w:val="0"/>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w:t>
      </w:r>
      <w:r>
        <w:rPr>
          <w:rFonts w:ascii="Times New Roman" w:hAnsi="Times New Roman" w:eastAsia="仿宋_GB2312" w:cs="Times New Roman"/>
          <w:sz w:val="32"/>
          <w:szCs w:val="32"/>
        </w:rPr>
        <w:t>公务用车购置费及运行维</w:t>
      </w:r>
      <w:bookmarkStart w:id="1" w:name="_GoBack"/>
      <w:bookmarkEnd w:id="1"/>
      <w:r>
        <w:rPr>
          <w:rFonts w:ascii="Times New Roman" w:hAnsi="Times New Roman" w:eastAsia="仿宋_GB2312" w:cs="Times New Roman"/>
          <w:sz w:val="32"/>
          <w:szCs w:val="32"/>
        </w:rPr>
        <w:t>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，与上年</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其中：</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w:t>
      </w:r>
      <w:r>
        <w:rPr>
          <w:rFonts w:hint="eastAsia" w:ascii="Times New Roman" w:hAnsi="Times New Roman" w:eastAsia="仿宋_GB2312"/>
          <w:sz w:val="32"/>
          <w:szCs w:val="32"/>
          <w:highlight w:val="none"/>
        </w:rPr>
        <w:t>与上年</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湖南省农作物种子南繁</w:t>
      </w:r>
      <w:r>
        <w:rPr>
          <w:rFonts w:hint="eastAsia" w:ascii="Times New Roman" w:hAnsi="Times New Roman" w:eastAsia="仿宋_GB2312"/>
          <w:sz w:val="32"/>
          <w:szCs w:val="32"/>
          <w:lang w:val="en-US" w:eastAsia="zh-CN"/>
        </w:rPr>
        <w:t>中心</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与上年</w:t>
      </w:r>
      <w:r>
        <w:rPr>
          <w:rFonts w:hint="eastAsia" w:ascii="Times New Roman" w:hAnsi="Times New Roman" w:eastAsia="仿宋_GB2312"/>
          <w:sz w:val="32"/>
          <w:szCs w:val="32"/>
          <w:highlight w:val="none"/>
          <w:lang w:val="en-US" w:eastAsia="zh-CN"/>
        </w:rPr>
        <w:t>持平</w:t>
      </w:r>
      <w:r>
        <w:rPr>
          <w:rFonts w:hint="eastAsia" w:ascii="Times New Roman" w:hAnsi="Times New Roman" w:eastAsia="仿宋_GB2312"/>
          <w:sz w:val="32"/>
          <w:szCs w:val="32"/>
          <w:highlight w:val="none"/>
        </w:rPr>
        <w:t>。截</w:t>
      </w:r>
      <w:r>
        <w:rPr>
          <w:rFonts w:hint="eastAsia" w:ascii="Times New Roman" w:hAnsi="Times New Roman" w:eastAsia="仿宋_GB2312"/>
          <w:sz w:val="32"/>
          <w:szCs w:val="32"/>
        </w:rPr>
        <w:t>止202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3、公务接待费支出预算为</w:t>
      </w:r>
      <w:r>
        <w:rPr>
          <w:rFonts w:hint="eastAsia" w:ascii="Times New Roman" w:hAnsi="Times New Roman" w:eastAsia="仿宋_GB2312"/>
          <w:sz w:val="32"/>
          <w:szCs w:val="32"/>
          <w:lang w:val="en-US" w:eastAsia="zh-CN"/>
        </w:rPr>
        <w:t>0.40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27.50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减少0.29万元，</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72.45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highlight w:val="none"/>
        </w:rPr>
        <w:t>我</w:t>
      </w:r>
      <w:r>
        <w:rPr>
          <w:rFonts w:hint="eastAsia" w:ascii="Times New Roman" w:hAnsi="Times New Roman" w:eastAsia="仿宋_GB2312" w:cs="Times New Roman"/>
          <w:sz w:val="32"/>
          <w:szCs w:val="32"/>
          <w:highlight w:val="none"/>
          <w:lang w:val="en-US" w:eastAsia="zh-CN"/>
        </w:rPr>
        <w:t>单位</w:t>
      </w:r>
      <w:r>
        <w:rPr>
          <w:rFonts w:hint="eastAsia" w:ascii="Times New Roman" w:hAnsi="Times New Roman" w:eastAsia="仿宋_GB2312" w:cs="Times New Roman"/>
          <w:sz w:val="32"/>
          <w:szCs w:val="32"/>
          <w:highlight w:val="none"/>
        </w:rPr>
        <w:t>严格贯彻落实厉行节约</w:t>
      </w:r>
      <w:r>
        <w:rPr>
          <w:rFonts w:hint="eastAsia" w:ascii="Times New Roman" w:hAnsi="Times New Roman" w:eastAsia="仿宋_GB2312" w:cs="Times New Roman"/>
          <w:sz w:val="32"/>
          <w:szCs w:val="32"/>
          <w:highlight w:val="none"/>
          <w:lang w:val="en-US" w:eastAsia="zh-CN"/>
        </w:rPr>
        <w:t>的精神</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减少了</w:t>
      </w:r>
      <w:r>
        <w:rPr>
          <w:rFonts w:hint="eastAsia" w:ascii="Times New Roman" w:hAnsi="Times New Roman" w:eastAsia="仿宋_GB2312" w:cs="Times New Roman"/>
          <w:sz w:val="32"/>
          <w:szCs w:val="32"/>
          <w:highlight w:val="none"/>
        </w:rPr>
        <w:t>公务接待</w:t>
      </w:r>
      <w:r>
        <w:rPr>
          <w:rFonts w:hint="eastAsia" w:ascii="Times New Roman" w:hAnsi="Times New Roman" w:eastAsia="仿宋_GB2312"/>
          <w:sz w:val="32"/>
          <w:szCs w:val="32"/>
          <w:highlight w:val="none"/>
        </w:rPr>
        <w:t>。</w:t>
      </w:r>
      <w:r>
        <w:rPr>
          <w:rFonts w:hint="eastAsia"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highlight w:val="none"/>
        </w:rPr>
        <w:t>上年数的主要原因是</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我单位</w:t>
      </w:r>
      <w:r>
        <w:rPr>
          <w:rFonts w:hint="eastAsia" w:ascii="Times New Roman" w:hAnsi="Times New Roman" w:eastAsia="仿宋_GB2312" w:cs="Times New Roman"/>
          <w:sz w:val="32"/>
          <w:szCs w:val="32"/>
          <w:highlight w:val="none"/>
        </w:rPr>
        <w:t>接待次数减少</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2024年度</w:t>
      </w:r>
      <w:r>
        <w:rPr>
          <w:rFonts w:hint="eastAsia" w:ascii="Times New Roman" w:hAnsi="Times New Roman" w:eastAsia="仿宋_GB2312"/>
          <w:sz w:val="32"/>
          <w:szCs w:val="32"/>
          <w:highlight w:val="none"/>
        </w:rPr>
        <w:t>共接待来访团组</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个、来宾</w:t>
      </w:r>
      <w:r>
        <w:rPr>
          <w:rFonts w:hint="eastAsia" w:ascii="Times New Roman" w:hAnsi="Times New Roman" w:eastAsia="仿宋_GB2312"/>
          <w:sz w:val="32"/>
          <w:szCs w:val="32"/>
          <w:highlight w:val="none"/>
          <w:lang w:val="en-US" w:eastAsia="zh-CN"/>
        </w:rPr>
        <w:t>29</w:t>
      </w:r>
      <w:r>
        <w:rPr>
          <w:rFonts w:hint="eastAsia" w:ascii="Times New Roman" w:hAnsi="Times New Roman" w:eastAsia="仿宋_GB2312"/>
          <w:sz w:val="32"/>
          <w:szCs w:val="32"/>
          <w:highlight w:val="none"/>
        </w:rPr>
        <w:t>人次，主要是</w:t>
      </w:r>
      <w:r>
        <w:rPr>
          <w:rFonts w:hint="eastAsia" w:ascii="Times New Roman" w:hAnsi="Times New Roman" w:eastAsia="仿宋_GB2312"/>
          <w:sz w:val="32"/>
          <w:szCs w:val="32"/>
          <w:highlight w:val="none"/>
          <w:lang w:val="en-US" w:eastAsia="zh-CN"/>
        </w:rPr>
        <w:t>湖南省相关单位来南繁基地</w:t>
      </w:r>
      <w:r>
        <w:rPr>
          <w:rFonts w:hint="eastAsia" w:ascii="Times New Roman" w:hAnsi="Times New Roman" w:eastAsia="仿宋_GB2312"/>
          <w:sz w:val="32"/>
          <w:szCs w:val="32"/>
          <w:highlight w:val="none"/>
          <w:lang w:eastAsia="zh-CN"/>
        </w:rPr>
        <w:t>考察调研</w:t>
      </w:r>
      <w:r>
        <w:rPr>
          <w:rFonts w:hint="eastAsia" w:ascii="Times New Roman" w:hAnsi="Times New Roman" w:eastAsia="仿宋_GB2312"/>
          <w:sz w:val="32"/>
          <w:szCs w:val="32"/>
          <w:highlight w:val="none"/>
          <w:lang w:val="en-US" w:eastAsia="zh-CN"/>
        </w:rPr>
        <w:t>活动</w:t>
      </w:r>
      <w:r>
        <w:rPr>
          <w:rFonts w:hint="eastAsia" w:ascii="Times New Roman" w:hAnsi="Times New Roman" w:eastAsia="仿宋_GB2312"/>
          <w:sz w:val="32"/>
          <w:szCs w:val="32"/>
          <w:highlight w:val="none"/>
        </w:rPr>
        <w:t>发生的接待支出。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本单位</w:t>
      </w:r>
      <w:r>
        <w:rPr>
          <w:rFonts w:hint="eastAsia" w:ascii="Times New Roman" w:hAnsi="Times New Roman" w:eastAsia="仿宋_GB2312" w:cs="Times New Roman"/>
          <w:sz w:val="32"/>
          <w:szCs w:val="32"/>
          <w:lang w:eastAsia="zh-CN"/>
        </w:rPr>
        <w:t>2024年度</w:t>
      </w:r>
      <w:r>
        <w:rPr>
          <w:rFonts w:hint="eastAsia" w:ascii="Times New Roman" w:hAnsi="Times New Roman" w:eastAsia="仿宋_GB2312" w:cs="Times New Roman"/>
          <w:sz w:val="32"/>
          <w:szCs w:val="32"/>
          <w:lang w:val="en-US" w:eastAsia="zh-CN"/>
        </w:rPr>
        <w:t>无政府性基金收支。</w:t>
      </w:r>
    </w:p>
    <w:p>
      <w:pPr>
        <w:pStyle w:val="15"/>
        <w:overflowPunct w:val="0"/>
        <w:autoSpaceDE/>
        <w:autoSpaceDN/>
        <w:spacing w:line="600" w:lineRule="exact"/>
        <w:ind w:firstLine="640" w:firstLineChars="200"/>
        <w:jc w:val="both"/>
        <w:rPr>
          <w:rFonts w:ascii="Times New Roman" w:hAnsi="Times New Roman" w:cs="Times New Roman"/>
          <w:bCs/>
          <w:kern w:val="0"/>
          <w:sz w:val="32"/>
          <w:szCs w:val="32"/>
        </w:rPr>
      </w:pPr>
      <w:r>
        <w:rPr>
          <w:rFonts w:hint="eastAsia" w:ascii="Times New Roman" w:hAnsi="Times New Roman" w:cs="Times New Roman"/>
          <w:bCs/>
          <w:kern w:val="0"/>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highlight w:val="none"/>
          <w:lang w:val="en-US" w:eastAsia="zh-CN"/>
        </w:rPr>
        <w:t>本单位2024</w:t>
      </w:r>
      <w:r>
        <w:rPr>
          <w:rFonts w:hint="eastAsia" w:ascii="Times New Roman" w:hAnsi="Times New Roman" w:eastAsia="仿宋_GB2312"/>
          <w:color w:val="auto"/>
          <w:sz w:val="32"/>
          <w:szCs w:val="32"/>
          <w:highlight w:val="none"/>
        </w:rPr>
        <w:t>年度机关运行经费支出</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sz w:val="32"/>
          <w:szCs w:val="32"/>
          <w:highlight w:val="none"/>
        </w:rPr>
        <w:t>与上年</w:t>
      </w:r>
      <w:r>
        <w:rPr>
          <w:rFonts w:hint="eastAsia" w:ascii="Times New Roman" w:hAnsi="Times New Roman" w:eastAsia="仿宋_GB2312"/>
          <w:sz w:val="32"/>
          <w:szCs w:val="32"/>
          <w:highlight w:val="none"/>
          <w:lang w:val="en-US" w:eastAsia="zh-CN"/>
        </w:rPr>
        <w:t>持平</w:t>
      </w:r>
      <w:r>
        <w:rPr>
          <w:rFonts w:ascii="Times New Roman" w:hAnsi="Times New Roman" w:eastAsia="仿宋_GB2312" w:cs="Times New Roman"/>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2024年本单位开支会议费1.00万元，</w:t>
      </w:r>
      <w:r>
        <w:rPr>
          <w:rFonts w:hint="eastAsia" w:ascii="Times New Roman" w:hAnsi="Times New Roman" w:eastAsia="仿宋_GB2312" w:cs="Times New Roman"/>
          <w:kern w:val="0"/>
          <w:sz w:val="32"/>
          <w:szCs w:val="32"/>
          <w:highlight w:val="none"/>
          <w:shd w:val="clear"/>
          <w:lang w:val="en-US" w:eastAsia="zh-CN"/>
        </w:rPr>
        <w:t>用于召开湖南省南繁科研育种工作交流会会议，人数60人，</w:t>
      </w:r>
      <w:r>
        <w:rPr>
          <w:rFonts w:hint="eastAsia" w:ascii="Times New Roman" w:hAnsi="Times New Roman" w:eastAsia="仿宋_GB2312" w:cs="Times New Roman"/>
          <w:kern w:val="0"/>
          <w:sz w:val="32"/>
          <w:szCs w:val="32"/>
          <w:highlight w:val="none"/>
          <w:lang w:val="en-US" w:eastAsia="zh-CN"/>
        </w:rPr>
        <w:t>内容为湖南省南繁科研育种工作交流；开支培训费0.17万元，用于参加事业单位工作人员职业培训，人数6人，</w:t>
      </w:r>
      <w:r>
        <w:rPr>
          <w:rFonts w:hint="eastAsia" w:ascii="Times New Roman" w:hAnsi="Times New Roman" w:eastAsia="仿宋_GB2312"/>
          <w:color w:val="auto"/>
          <w:sz w:val="32"/>
          <w:szCs w:val="32"/>
          <w:highlight w:val="none"/>
        </w:rPr>
        <w:t>主要培训内容</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s="Times New Roman"/>
          <w:kern w:val="0"/>
          <w:sz w:val="32"/>
          <w:szCs w:val="32"/>
          <w:lang w:val="en-US" w:eastAsia="zh-CN"/>
        </w:rPr>
        <w:t>一是参加事业单位工作人员培训，人数3人，开支0.12万元；二是参加廉政教育培训，人数3人，开支0.05万元。2024年我单位未举办节庆、晚会、论坛、赛事活动。</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kern w:val="0"/>
          <w:sz w:val="32"/>
          <w:szCs w:val="32"/>
          <w:highlight w:val="yellow"/>
          <w:lang w:val="en-US" w:eastAsia="zh-CN"/>
        </w:rPr>
      </w:pPr>
      <w:r>
        <w:rPr>
          <w:rFonts w:hint="eastAsia" w:ascii="Times New Roman" w:hAnsi="Times New Roman" w:eastAsia="仿宋_GB2312" w:cs="Times New Roman"/>
          <w:kern w:val="0"/>
          <w:sz w:val="32"/>
          <w:szCs w:val="32"/>
          <w:lang w:val="en-US" w:eastAsia="zh-CN"/>
        </w:rPr>
        <w:t>本单位2024年度政府采购支出总额81.71万元，其中：政府采购货物支出31.49万元、政府采购工程支出9.40万元、政府采购服务支出40.82万元。授予中小企业合同金额81.71万元，占政府采购支出总额的100%，其中：授予小微企业合同金额81.71万元，占授予中小企业合同金额</w:t>
      </w:r>
      <w:r>
        <w:rPr>
          <w:rFonts w:hint="eastAsia" w:ascii="Times New Roman" w:hAnsi="Times New Roman" w:eastAsia="仿宋_GB2312" w:cs="Times New Roman"/>
          <w:kern w:val="0"/>
          <w:sz w:val="32"/>
          <w:szCs w:val="32"/>
          <w:highlight w:val="none"/>
          <w:lang w:val="en-US" w:eastAsia="zh-CN"/>
        </w:rPr>
        <w:t>的100%。货物采购授予中小企业合同金额占货物支出金额的100%，工程采购授予中小企业合同金额占工程支出金额的100%，服务采购授予中小企业合同金额占服务支出金额的100%。</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outlineLvl w:val="1"/>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olor w:val="auto"/>
          <w:sz w:val="32"/>
          <w:szCs w:val="32"/>
        </w:rPr>
      </w:pPr>
      <w:r>
        <w:rPr>
          <w:rFonts w:hint="eastAsia" w:ascii="Times New Roman" w:hAnsi="Times New Roman" w:eastAsia="仿宋_GB2312" w:cs="Times New Roman"/>
          <w:color w:val="auto"/>
          <w:kern w:val="0"/>
          <w:sz w:val="32"/>
          <w:szCs w:val="32"/>
        </w:rPr>
        <w:t>截至202</w:t>
      </w:r>
      <w:r>
        <w:rPr>
          <w:rFonts w:hint="eastAsia" w:ascii="Times New Roman" w:hAnsi="Times New Roman" w:eastAsia="仿宋_GB2312" w:cs="Times New Roman"/>
          <w:color w:val="auto"/>
          <w:kern w:val="0"/>
          <w:sz w:val="32"/>
          <w:szCs w:val="32"/>
          <w:lang w:val="en-US" w:eastAsia="zh-CN"/>
        </w:rPr>
        <w:t>4</w:t>
      </w:r>
      <w:r>
        <w:rPr>
          <w:rFonts w:hint="eastAsia" w:ascii="Times New Roman" w:hAnsi="Times New Roman" w:eastAsia="仿宋_GB2312" w:cs="Times New Roman"/>
          <w:color w:val="auto"/>
          <w:kern w:val="0"/>
          <w:sz w:val="32"/>
          <w:szCs w:val="32"/>
        </w:rPr>
        <w:t>年12月31日，</w:t>
      </w:r>
      <w:r>
        <w:rPr>
          <w:rFonts w:hint="eastAsia" w:ascii="Times New Roman" w:hAnsi="Times New Roman" w:eastAsia="仿宋_GB2312" w:cs="Times New Roman"/>
          <w:color w:val="auto"/>
          <w:kern w:val="0"/>
          <w:sz w:val="32"/>
          <w:szCs w:val="32"/>
          <w:lang w:val="en-US" w:eastAsia="zh-CN"/>
        </w:rPr>
        <w:t>湖南省农作物种子南繁中心</w:t>
      </w:r>
      <w:r>
        <w:rPr>
          <w:rFonts w:hint="eastAsia" w:ascii="Times New Roman" w:hAnsi="Times New Roman" w:eastAsia="仿宋_GB2312" w:cs="Times New Roman"/>
          <w:color w:val="auto"/>
          <w:kern w:val="0"/>
          <w:sz w:val="32"/>
          <w:szCs w:val="32"/>
        </w:rPr>
        <w:t>共有车辆</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辆，其中</w:t>
      </w:r>
      <w:r>
        <w:rPr>
          <w:rFonts w:hint="eastAsia" w:ascii="Times New Roman" w:hAnsi="Times New Roman" w:eastAsia="仿宋_GB2312" w:cs="Times New Roman"/>
          <w:color w:val="auto"/>
          <w:kern w:val="0"/>
          <w:sz w:val="32"/>
          <w:szCs w:val="32"/>
          <w:lang w:eastAsia="zh-CN"/>
        </w:rPr>
        <w:t>，副部（省）级及以上领导用车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主要</w:t>
      </w:r>
      <w:r>
        <w:rPr>
          <w:rFonts w:hint="eastAsia" w:ascii="Times New Roman" w:hAnsi="Times New Roman" w:eastAsia="仿宋_GB2312" w:cs="Times New Roman"/>
          <w:color w:val="auto"/>
          <w:kern w:val="0"/>
          <w:sz w:val="32"/>
          <w:szCs w:val="32"/>
          <w:lang w:eastAsia="zh-CN"/>
        </w:rPr>
        <w:t>负责人</w:t>
      </w:r>
      <w:r>
        <w:rPr>
          <w:rFonts w:hint="eastAsia" w:ascii="Times New Roman" w:hAnsi="Times New Roman" w:eastAsia="仿宋_GB2312" w:cs="Times New Roman"/>
          <w:color w:val="auto"/>
          <w:kern w:val="0"/>
          <w:sz w:val="32"/>
          <w:szCs w:val="32"/>
        </w:rPr>
        <w:t>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机要通信用车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辆、应急保障用车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辆、执法执勤用车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辆、特种专业技术用车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w:t>
      </w:r>
      <w:r>
        <w:rPr>
          <w:rFonts w:hint="eastAsia" w:ascii="Times New Roman" w:hAnsi="Times New Roman" w:eastAsia="仿宋_GB2312" w:cs="Times New Roman"/>
          <w:color w:val="auto"/>
          <w:kern w:val="0"/>
          <w:sz w:val="32"/>
          <w:szCs w:val="32"/>
          <w:lang w:eastAsia="zh-CN"/>
        </w:rPr>
        <w:t>离退休干部服务用车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辆、其他用车</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辆；单位价值100万元以上设备</w:t>
      </w:r>
      <w:r>
        <w:rPr>
          <w:rFonts w:hint="eastAsia" w:ascii="Times New Roman" w:hAnsi="Times New Roman" w:eastAsia="仿宋_GB2312" w:cs="Times New Roman"/>
          <w:color w:val="auto"/>
          <w:kern w:val="0"/>
          <w:sz w:val="32"/>
          <w:szCs w:val="32"/>
          <w:lang w:eastAsia="zh-CN"/>
        </w:rPr>
        <w:t>（不含车辆）</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outlineLvl w:val="1"/>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十三、关于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rPr>
        <w:t>组织对2024年度本单位整体支出开展绩效自评，涉及项目</w:t>
      </w:r>
      <w:r>
        <w:rPr>
          <w:rFonts w:hint="eastAsia" w:ascii="Times New Roman" w:hAnsi="Times New Roman" w:eastAsia="仿宋_GB2312" w:cs="Times New Roman"/>
          <w:color w:val="auto"/>
          <w:kern w:val="0"/>
          <w:sz w:val="32"/>
          <w:szCs w:val="32"/>
          <w:lang w:val="en-US" w:eastAsia="zh-CN"/>
        </w:rPr>
        <w:t>2</w:t>
      </w:r>
      <w:r>
        <w:rPr>
          <w:rFonts w:hint="eastAsia" w:ascii="Times New Roman" w:hAnsi="Times New Roman" w:eastAsia="仿宋_GB2312" w:cs="Times New Roman"/>
          <w:color w:val="auto"/>
          <w:kern w:val="0"/>
          <w:sz w:val="32"/>
          <w:szCs w:val="32"/>
        </w:rPr>
        <w:t>个，共涉及资金</w:t>
      </w:r>
      <w:r>
        <w:rPr>
          <w:rFonts w:hint="eastAsia" w:ascii="Times New Roman" w:hAnsi="Times New Roman" w:eastAsia="仿宋_GB2312" w:cs="Times New Roman"/>
          <w:color w:val="auto"/>
          <w:kern w:val="0"/>
          <w:sz w:val="32"/>
          <w:szCs w:val="32"/>
          <w:lang w:val="en-US" w:eastAsia="zh-CN"/>
        </w:rPr>
        <w:t>115.18</w:t>
      </w:r>
      <w:r>
        <w:rPr>
          <w:rFonts w:hint="eastAsia" w:ascii="Times New Roman" w:hAnsi="Times New Roman" w:eastAsia="仿宋_GB2312" w:cs="Times New Roman"/>
          <w:color w:val="auto"/>
          <w:kern w:val="0"/>
          <w:sz w:val="32"/>
          <w:szCs w:val="32"/>
        </w:rPr>
        <w:t>万元。其中，</w:t>
      </w:r>
      <w:r>
        <w:rPr>
          <w:rFonts w:hint="eastAsia" w:ascii="Times New Roman" w:hAnsi="Times New Roman" w:eastAsia="仿宋_GB2312" w:cs="Times New Roman"/>
          <w:color w:val="auto"/>
          <w:kern w:val="0"/>
          <w:sz w:val="32"/>
          <w:szCs w:val="32"/>
          <w:highlight w:val="none"/>
        </w:rPr>
        <w:t>一般公共预算项目</w:t>
      </w:r>
      <w:r>
        <w:rPr>
          <w:rFonts w:hint="eastAsia" w:ascii="Times New Roman" w:hAnsi="Times New Roman" w:eastAsia="仿宋_GB2312" w:cs="Times New Roman"/>
          <w:color w:val="auto"/>
          <w:kern w:val="0"/>
          <w:sz w:val="32"/>
          <w:szCs w:val="32"/>
          <w:highlight w:val="none"/>
          <w:lang w:val="en-US" w:eastAsia="zh-CN"/>
        </w:rPr>
        <w:t>2</w:t>
      </w:r>
      <w:r>
        <w:rPr>
          <w:rFonts w:hint="eastAsia" w:ascii="Times New Roman" w:hAnsi="Times New Roman" w:eastAsia="仿宋_GB2312" w:cs="Times New Roman"/>
          <w:color w:val="auto"/>
          <w:kern w:val="0"/>
          <w:sz w:val="32"/>
          <w:szCs w:val="32"/>
          <w:highlight w:val="none"/>
        </w:rPr>
        <w:t>个</w:t>
      </w:r>
      <w:r>
        <w:rPr>
          <w:rFonts w:hint="eastAsia" w:ascii="Times New Roman" w:hAnsi="Times New Roman" w:eastAsia="仿宋_GB2312" w:cs="Times New Roman"/>
          <w:color w:val="auto"/>
          <w:kern w:val="0"/>
          <w:sz w:val="32"/>
          <w:szCs w:val="32"/>
          <w:highlight w:val="none"/>
          <w:lang w:val="en-US" w:eastAsia="zh-CN"/>
        </w:rPr>
        <w:t>115.18</w:t>
      </w:r>
      <w:r>
        <w:rPr>
          <w:rFonts w:hint="eastAsia" w:ascii="Times New Roman" w:hAnsi="Times New Roman" w:eastAsia="仿宋_GB2312" w:cs="Times New Roman"/>
          <w:color w:val="auto"/>
          <w:kern w:val="0"/>
          <w:sz w:val="32"/>
          <w:szCs w:val="32"/>
          <w:highlight w:val="none"/>
        </w:rPr>
        <w:t>万元，占一般公共预算支出总额的</w:t>
      </w:r>
      <w:r>
        <w:rPr>
          <w:rFonts w:hint="eastAsia" w:ascii="Times New Roman" w:hAnsi="Times New Roman" w:eastAsia="仿宋_GB2312" w:cs="Times New Roman"/>
          <w:color w:val="auto"/>
          <w:kern w:val="0"/>
          <w:sz w:val="32"/>
          <w:szCs w:val="32"/>
          <w:highlight w:val="none"/>
          <w:lang w:val="en-US" w:eastAsia="zh-CN"/>
        </w:rPr>
        <w:t>51.38</w:t>
      </w:r>
      <w:r>
        <w:rPr>
          <w:rFonts w:hint="eastAsia" w:ascii="Times New Roman" w:hAnsi="Times New Roman" w:eastAsia="仿宋_GB2312" w:cs="Times New Roman"/>
          <w:color w:val="auto"/>
          <w:kern w:val="0"/>
          <w:sz w:val="32"/>
          <w:szCs w:val="32"/>
          <w:highlight w:val="none"/>
        </w:rPr>
        <w:t>%；</w:t>
      </w:r>
      <w:r>
        <w:rPr>
          <w:rFonts w:hint="eastAsia" w:ascii="Times New Roman" w:hAnsi="Times New Roman" w:eastAsia="仿宋_GB2312" w:cs="Times New Roman"/>
          <w:color w:val="auto"/>
          <w:kern w:val="0"/>
          <w:sz w:val="32"/>
          <w:szCs w:val="32"/>
        </w:rPr>
        <w:t>政府性基金预算项目</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个</w:t>
      </w:r>
      <w:r>
        <w:rPr>
          <w:rFonts w:hint="eastAsia"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rPr>
        <w:t>万元</w:t>
      </w:r>
      <w:r>
        <w:rPr>
          <w:rFonts w:hint="eastAsia" w:ascii="Times New Roman" w:hAnsi="Times New Roman" w:eastAsia="仿宋_GB2312" w:cs="Times New Roman"/>
          <w:color w:val="auto"/>
          <w:kern w:val="0"/>
          <w:sz w:val="32"/>
          <w:szCs w:val="32"/>
          <w:highlight w:val="none"/>
        </w:rPr>
        <w:t>；国有资本经营预算项目</w:t>
      </w:r>
      <w:r>
        <w:rPr>
          <w:rFonts w:hint="eastAsia" w:ascii="Times New Roman" w:hAnsi="Times New Roman" w:eastAsia="仿宋_GB2312" w:cs="Times New Roman"/>
          <w:color w:val="auto"/>
          <w:kern w:val="0"/>
          <w:sz w:val="32"/>
          <w:szCs w:val="32"/>
          <w:highlight w:val="none"/>
          <w:lang w:val="en-US" w:eastAsia="zh-CN"/>
        </w:rPr>
        <w:t>0</w:t>
      </w:r>
      <w:r>
        <w:rPr>
          <w:rFonts w:hint="eastAsia" w:ascii="Times New Roman" w:hAnsi="Times New Roman" w:eastAsia="仿宋_GB2312" w:cs="Times New Roman"/>
          <w:color w:val="auto"/>
          <w:kern w:val="0"/>
          <w:sz w:val="32"/>
          <w:szCs w:val="32"/>
          <w:highlight w:val="none"/>
        </w:rPr>
        <w:t>个</w:t>
      </w:r>
      <w:r>
        <w:rPr>
          <w:rFonts w:hint="eastAsia" w:ascii="Times New Roman" w:hAnsi="Times New Roman" w:eastAsia="仿宋_GB2312" w:cs="Times New Roman"/>
          <w:color w:val="auto"/>
          <w:kern w:val="0"/>
          <w:sz w:val="32"/>
          <w:szCs w:val="32"/>
          <w:highlight w:val="none"/>
          <w:lang w:val="en-US" w:eastAsia="zh-CN"/>
        </w:rPr>
        <w:t>0</w:t>
      </w:r>
      <w:r>
        <w:rPr>
          <w:rFonts w:hint="eastAsia" w:ascii="Times New Roman" w:hAnsi="Times New Roman" w:eastAsia="仿宋_GB2312" w:cs="Times New Roman"/>
          <w:color w:val="auto"/>
          <w:kern w:val="0"/>
          <w:sz w:val="32"/>
          <w:szCs w:val="32"/>
          <w:highlight w:val="none"/>
        </w:rPr>
        <w:t>万元；社会保险基金预算项目</w:t>
      </w:r>
      <w:r>
        <w:rPr>
          <w:rFonts w:hint="eastAsia" w:ascii="Times New Roman" w:hAnsi="Times New Roman" w:eastAsia="仿宋_GB2312" w:cs="Times New Roman"/>
          <w:color w:val="auto"/>
          <w:kern w:val="0"/>
          <w:sz w:val="32"/>
          <w:szCs w:val="32"/>
          <w:highlight w:val="none"/>
          <w:lang w:val="en-US" w:eastAsia="zh-CN"/>
        </w:rPr>
        <w:t>0</w:t>
      </w:r>
      <w:r>
        <w:rPr>
          <w:rFonts w:hint="eastAsia" w:ascii="Times New Roman" w:hAnsi="Times New Roman" w:eastAsia="仿宋_GB2312" w:cs="Times New Roman"/>
          <w:color w:val="auto"/>
          <w:kern w:val="0"/>
          <w:sz w:val="32"/>
          <w:szCs w:val="32"/>
          <w:highlight w:val="none"/>
        </w:rPr>
        <w:t>个</w:t>
      </w:r>
      <w:r>
        <w:rPr>
          <w:rFonts w:hint="eastAsia" w:ascii="Times New Roman" w:hAnsi="Times New Roman" w:eastAsia="仿宋_GB2312" w:cs="Times New Roman"/>
          <w:color w:val="auto"/>
          <w:kern w:val="0"/>
          <w:sz w:val="32"/>
          <w:szCs w:val="32"/>
          <w:highlight w:val="none"/>
          <w:lang w:val="en-US" w:eastAsia="zh-CN"/>
        </w:rPr>
        <w:t>0</w:t>
      </w:r>
      <w:r>
        <w:rPr>
          <w:rFonts w:hint="eastAsia" w:ascii="Times New Roman" w:hAnsi="Times New Roman" w:eastAsia="仿宋_GB2312" w:cs="Times New Roman"/>
          <w:color w:val="auto"/>
          <w:kern w:val="0"/>
          <w:sz w:val="32"/>
          <w:szCs w:val="32"/>
          <w:highlight w:val="none"/>
        </w:rPr>
        <w:t>万元。</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2024年度本单位整体支出全年预算数</w:t>
      </w:r>
      <w:r>
        <w:rPr>
          <w:rFonts w:hint="eastAsia" w:ascii="Times New Roman" w:hAnsi="Times New Roman" w:eastAsia="仿宋_GB2312" w:cs="Times New Roman"/>
          <w:color w:val="auto"/>
          <w:kern w:val="0"/>
          <w:sz w:val="32"/>
          <w:szCs w:val="32"/>
          <w:lang w:val="en-US" w:eastAsia="zh-CN"/>
        </w:rPr>
        <w:t>237.35</w:t>
      </w:r>
      <w:r>
        <w:rPr>
          <w:rFonts w:hint="eastAsia" w:ascii="Times New Roman" w:hAnsi="Times New Roman" w:eastAsia="仿宋_GB2312" w:cs="Times New Roman"/>
          <w:color w:val="auto"/>
          <w:kern w:val="0"/>
          <w:sz w:val="32"/>
          <w:szCs w:val="32"/>
        </w:rPr>
        <w:t>万元，执行数</w:t>
      </w:r>
      <w:r>
        <w:rPr>
          <w:rFonts w:hint="eastAsia" w:ascii="Times New Roman" w:hAnsi="Times New Roman" w:eastAsia="仿宋_GB2312" w:cs="Times New Roman"/>
          <w:color w:val="auto"/>
          <w:kern w:val="0"/>
          <w:sz w:val="32"/>
          <w:szCs w:val="32"/>
          <w:lang w:val="en-US" w:eastAsia="zh-CN"/>
        </w:rPr>
        <w:t>224.19</w:t>
      </w:r>
      <w:r>
        <w:rPr>
          <w:rFonts w:hint="eastAsia" w:ascii="Times New Roman" w:hAnsi="Times New Roman" w:eastAsia="仿宋_GB2312" w:cs="Times New Roman"/>
          <w:color w:val="auto"/>
          <w:kern w:val="0"/>
          <w:sz w:val="32"/>
          <w:szCs w:val="32"/>
        </w:rPr>
        <w:t>万元，完成预算的</w:t>
      </w:r>
      <w:r>
        <w:rPr>
          <w:rFonts w:hint="eastAsia" w:ascii="Times New Roman" w:hAnsi="Times New Roman" w:eastAsia="仿宋_GB2312" w:cs="Times New Roman"/>
          <w:color w:val="auto"/>
          <w:kern w:val="0"/>
          <w:sz w:val="32"/>
          <w:szCs w:val="32"/>
          <w:lang w:val="en-US" w:eastAsia="zh-CN"/>
        </w:rPr>
        <w:t>94.46</w:t>
      </w:r>
      <w:r>
        <w:rPr>
          <w:rFonts w:hint="eastAsia" w:ascii="Times New Roman" w:hAnsi="Times New Roman" w:eastAsia="仿宋_GB2312" w:cs="Times New Roman"/>
          <w:color w:val="auto"/>
          <w:kern w:val="0"/>
          <w:sz w:val="32"/>
          <w:szCs w:val="32"/>
        </w:rPr>
        <w:t>%，绩效自评得分</w:t>
      </w:r>
      <w:r>
        <w:rPr>
          <w:rFonts w:hint="eastAsia" w:ascii="Times New Roman" w:hAnsi="Times New Roman" w:eastAsia="仿宋_GB2312" w:cs="Times New Roman"/>
          <w:color w:val="auto"/>
          <w:kern w:val="0"/>
          <w:sz w:val="32"/>
          <w:szCs w:val="32"/>
          <w:lang w:val="en-US" w:eastAsia="zh-CN"/>
        </w:rPr>
        <w:t>99.45</w:t>
      </w:r>
      <w:r>
        <w:rPr>
          <w:rFonts w:hint="eastAsia" w:ascii="Times New Roman" w:hAnsi="Times New Roman" w:eastAsia="仿宋_GB2312" w:cs="Times New Roman"/>
          <w:color w:val="auto"/>
          <w:kern w:val="0"/>
          <w:sz w:val="32"/>
          <w:szCs w:val="32"/>
        </w:rPr>
        <w:t>分，评价等级为“</w:t>
      </w:r>
      <w:r>
        <w:rPr>
          <w:rFonts w:hint="eastAsia" w:ascii="Times New Roman" w:hAnsi="Times New Roman" w:eastAsia="仿宋_GB2312" w:cs="Times New Roman"/>
          <w:color w:val="auto"/>
          <w:kern w:val="0"/>
          <w:sz w:val="32"/>
          <w:szCs w:val="32"/>
          <w:lang w:eastAsia="zh-CN"/>
        </w:rPr>
        <w:t>优</w:t>
      </w:r>
      <w:r>
        <w:rPr>
          <w:rFonts w:hint="eastAsia" w:ascii="Times New Roman" w:hAnsi="Times New Roman" w:eastAsia="仿宋_GB2312" w:cs="Times New Roman"/>
          <w:color w:val="auto"/>
          <w:kern w:val="0"/>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rPr>
        <w:t>绩效目标完成情况：</w:t>
      </w:r>
      <w:r>
        <w:rPr>
          <w:rFonts w:hint="eastAsia" w:ascii="Times New Roman" w:hAnsi="Times New Roman" w:eastAsia="仿宋_GB2312" w:cs="Times New Roman"/>
          <w:color w:val="auto"/>
          <w:kern w:val="0"/>
          <w:sz w:val="32"/>
          <w:szCs w:val="32"/>
          <w:lang w:val="en-US" w:eastAsia="zh-CN"/>
        </w:rPr>
        <w:t>一是</w:t>
      </w:r>
      <w:r>
        <w:rPr>
          <w:rFonts w:hint="eastAsia" w:ascii="Times New Roman" w:hAnsi="Times New Roman" w:eastAsia="仿宋_GB2312" w:cs="Times New Roman"/>
          <w:color w:val="auto"/>
          <w:kern w:val="0"/>
          <w:sz w:val="32"/>
          <w:szCs w:val="32"/>
        </w:rPr>
        <w:t>加强政治学习，抓党建促工作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按照厅党组的统一部署，全年共组织全体干部职工集中开展政治学习</w:t>
      </w:r>
      <w:r>
        <w:rPr>
          <w:rFonts w:hint="eastAsia" w:ascii="Times New Roman" w:hAnsi="Times New Roman" w:eastAsia="仿宋_GB2312" w:cs="Times New Roman"/>
          <w:color w:val="auto"/>
          <w:kern w:val="0"/>
          <w:sz w:val="32"/>
          <w:szCs w:val="32"/>
          <w:lang w:val="en-US" w:eastAsia="zh-CN"/>
        </w:rPr>
        <w:t>9</w:t>
      </w:r>
      <w:r>
        <w:rPr>
          <w:rFonts w:hint="eastAsia" w:ascii="Times New Roman" w:hAnsi="Times New Roman" w:eastAsia="仿宋_GB2312" w:cs="Times New Roman"/>
          <w:color w:val="auto"/>
          <w:kern w:val="0"/>
          <w:sz w:val="32"/>
          <w:szCs w:val="32"/>
        </w:rPr>
        <w:t>次，</w:t>
      </w:r>
      <w:r>
        <w:rPr>
          <w:rFonts w:hint="eastAsia" w:ascii="Times New Roman" w:hAnsi="Times New Roman" w:eastAsia="仿宋_GB2312" w:cs="Times New Roman"/>
          <w:color w:val="auto"/>
          <w:kern w:val="0"/>
          <w:sz w:val="32"/>
          <w:szCs w:val="32"/>
          <w:lang w:val="en-US" w:eastAsia="zh-CN"/>
        </w:rPr>
        <w:t>其中：2次党课学习，学习了习近平在二十届中纪委三次会议上的重要讲话内容，重点聚焦于加强党风廉政建设和反腐败斗争的重要性和紧迫性。大家一致认为此次学习收获颇丰，对党风廉政建设和支持种业发展有了更深入的理解，同时对下一步的学习计划和任务分工进行了初步安排；2次党日活动，分别赴陵水革命烈士纪念碑、梁家河、延安革命纪念馆、枣园革命旧址、杨家岭革命旧址等地。通过参观革命旧址、聆听讲解，让党员们亲身感受了延安时期中国共产党的光辉历程和伟大精神，进一步提高了党性修养。学习、继承、发扬好延安精神，为实现中华民族伟大复兴、第二个百年奋斗目标再出发；5次集中学习，集中观看警示教育片、开展党纪学习教育第二次专题学习、《中华人民共和国保守国家秘密法》专题辅导、传达学习习近平生态文明思想、习近平总书记在重庆考察讲话精神、西部大开发座谈会议精神，以及安全生产、平安建设等工作、学习《中国共产党纪律处分条例》，传达有关会议精神。二是</w:t>
      </w:r>
      <w:r>
        <w:rPr>
          <w:rFonts w:hint="eastAsia" w:ascii="Times New Roman" w:hAnsi="Times New Roman" w:eastAsia="仿宋_GB2312" w:cs="Times New Roman"/>
          <w:color w:val="auto"/>
          <w:kern w:val="0"/>
          <w:sz w:val="32"/>
          <w:szCs w:val="32"/>
        </w:rPr>
        <w:t>规范管理，南繁工作成效显著</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1.举办育种交流会。3月23日，在陵水伯明顿酒店举办2024年湖南南繁育种经验交流会，参会人员84人。大会邀请了湖南杂交水稻研究单位唐文帮主任授课《杂交水稻再发展》，还邀请了长沙白奥云数据科技有限公司王艾青做报告《大数据&amp;AI驱动的只能精准育种》。未来杂交水稻的发展趋势将会朝着机械化、智能化的方向发展。两位专家的授课有望为这一领域的未来的发展指明方向，促进杂交水稻产业的进步。南繁单位谭新跃主任对大会进行了安全生产的宣讲。2.举办篮球友谊赛。3月22日下午5时许，湖南南繁篮球友谊赛拉开帷幕。本次活动旨在通过篮球比赛的形式促进南繁科技人员之间的交流与友谊，增强他们的凝聚力和团队合作意识，同时提倡健康的生活方式和运动精神。本届比赛一共有4只球队参赛，分别是隆平科学院队、亚华科学院和杂优单位联队、金健种业和华智联队、广陵集团队，参赛队员纷纷表示希望每年能不定期经常举行此类运动。3.安全园区建设。一是维修安防设备。由于海南的气候高温高湿，空气盐分含量高，部分安防监控设备已经失效，上半年，单位邀请湖南联通公司的专业技术人员赴陵水进行设施设备的维修，确保整个安防系统能正常有效运行，为科研材料的安全保驾护航。二是安全生产“三同时”行动。6月11日，参加“安全生产月”消防安全培训暨应急演练活动。及时更换一批消防器材、电线电缆。台风期间、会议期间、重要节假日、农忙时间，及时传达安全生产、预警预报信息，督促落实主体责任，防范风险、确保安全。4.完成工作交接。由于工作变动，谭新跃调任良种引进示范单位主任，不再担任南繁单位主任一职，南繁单位主任由刘畅接任。新老两位主任于5月14日-5月23日，在海南进行了工作交接，确保南繁工作稳定，不受影响。5.开展工作对接。一是走进种子企业、科研院校（所），听取意见建议，了解南繁服务需求、填写南繁工作调查问卷，促进南繁事业发展。二是与省财政厅、科技厅，以及农业农村厅种业管理处、省种子管理服务站，有关处室、站、所、单位汇报南繁工作，让更多领导了解南繁、指导南繁、发展南繁。三是与海南省农业农村厅、南繁管理局、陵水县农业农村局、农业农村发展单位、椰林镇、村、派出所做好对接工作，争取多方支持，营造南繁和谐、稳定发展环境。四是与椰林镇做好“一省包一镇”助力海南乡村振兴工作。根据其产业规划，围绕水果（芒果、荔枝）、水稻轮作（水稻+圣雨果、水稻+辣椒、水稻+西瓜、水稻+玉米）、水产（稻虾、稻鱼、稻蛙）三水产业，做好技术培训、示范推广、产销对接，以及扶贫助学等工作。五是向国家南繁办、部种业管理司、部科技教育司汇报湖南南繁工作，了解南繁发展政策、工作。争取农业科技创新能力条件建设项目——农业科研试验基地建设支持。三是</w:t>
      </w:r>
      <w:r>
        <w:rPr>
          <w:rFonts w:hint="eastAsia" w:ascii="Times New Roman" w:hAnsi="Times New Roman" w:eastAsia="仿宋_GB2312" w:cs="Times New Roman"/>
          <w:color w:val="auto"/>
          <w:kern w:val="0"/>
          <w:sz w:val="32"/>
          <w:szCs w:val="32"/>
        </w:rPr>
        <w:t>对照标准、严格综合财务工作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1、全面开展各项综合工作。完成了</w:t>
      </w:r>
      <w:r>
        <w:rPr>
          <w:rFonts w:hint="eastAsia" w:ascii="Times New Roman" w:hAnsi="Times New Roman" w:eastAsia="仿宋_GB2312" w:cs="Times New Roman"/>
          <w:color w:val="auto"/>
          <w:kern w:val="0"/>
          <w:sz w:val="32"/>
          <w:szCs w:val="32"/>
          <w:lang w:eastAsia="zh-CN"/>
        </w:rPr>
        <w:t>单位</w:t>
      </w:r>
      <w:r>
        <w:rPr>
          <w:rFonts w:hint="eastAsia" w:ascii="Times New Roman" w:hAnsi="Times New Roman" w:eastAsia="仿宋_GB2312" w:cs="Times New Roman"/>
          <w:color w:val="auto"/>
          <w:kern w:val="0"/>
          <w:sz w:val="32"/>
          <w:szCs w:val="32"/>
        </w:rPr>
        <w:t>的事业单位法人证书、银行基本账户等的年检工作；五险一金年检等各项工作按质按量适时完成。2、积极做好职工职称晋升和薪级工资的调薪晋级工作和每月工资按时发放工作，坚决在国家政策允许的情况下做好</w:t>
      </w:r>
      <w:r>
        <w:rPr>
          <w:rFonts w:hint="eastAsia" w:ascii="Times New Roman" w:hAnsi="Times New Roman" w:eastAsia="仿宋_GB2312" w:cs="Times New Roman"/>
          <w:color w:val="auto"/>
          <w:kern w:val="0"/>
          <w:sz w:val="32"/>
          <w:szCs w:val="32"/>
          <w:lang w:eastAsia="zh-CN"/>
        </w:rPr>
        <w:t>单位</w:t>
      </w:r>
      <w:r>
        <w:rPr>
          <w:rFonts w:hint="eastAsia" w:ascii="Times New Roman" w:hAnsi="Times New Roman" w:eastAsia="仿宋_GB2312" w:cs="Times New Roman"/>
          <w:color w:val="auto"/>
          <w:kern w:val="0"/>
          <w:sz w:val="32"/>
          <w:szCs w:val="32"/>
        </w:rPr>
        <w:t>的福利工作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认真、仔细做好在职人员养老保险和事业年金的核算和缴纳工作，同时做好退休人员一般性事务工作。3、规范工作纪律。严格执行</w:t>
      </w:r>
      <w:r>
        <w:rPr>
          <w:rFonts w:hint="eastAsia" w:ascii="Times New Roman" w:hAnsi="Times New Roman" w:eastAsia="仿宋_GB2312" w:cs="Times New Roman"/>
          <w:color w:val="auto"/>
          <w:kern w:val="0"/>
          <w:sz w:val="32"/>
          <w:szCs w:val="32"/>
          <w:lang w:eastAsia="zh-CN"/>
        </w:rPr>
        <w:t>单位</w:t>
      </w:r>
      <w:r>
        <w:rPr>
          <w:rFonts w:hint="eastAsia" w:ascii="Times New Roman" w:hAnsi="Times New Roman" w:eastAsia="仿宋_GB2312" w:cs="Times New Roman"/>
          <w:color w:val="auto"/>
          <w:kern w:val="0"/>
          <w:sz w:val="32"/>
          <w:szCs w:val="32"/>
        </w:rPr>
        <w:t>制定的《考勤制度》，要求职工都要按制度执行，严肃上班纪律和工作作风，并与个人年终考核和绩效工资挂钩，杜绝出现迟到早退和无故旷工等现象。4、节支增效，加强办公室水电管理</w:t>
      </w:r>
      <w:r>
        <w:rPr>
          <w:rFonts w:hint="eastAsia" w:ascii="Times New Roman" w:hAnsi="Times New Roman" w:eastAsia="仿宋_GB2312" w:cs="Times New Roman"/>
          <w:color w:val="auto"/>
          <w:kern w:val="0"/>
          <w:sz w:val="32"/>
          <w:szCs w:val="32"/>
          <w:lang w:eastAsia="zh-CN"/>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rPr>
        <w:t>发现的主要问题及原因：</w:t>
      </w:r>
      <w:r>
        <w:rPr>
          <w:rFonts w:hint="eastAsia" w:ascii="Times New Roman" w:hAnsi="Times New Roman" w:eastAsia="仿宋_GB2312" w:cs="Times New Roman"/>
          <w:color w:val="auto"/>
          <w:kern w:val="0"/>
          <w:sz w:val="32"/>
          <w:szCs w:val="32"/>
          <w:lang w:val="en-US" w:eastAsia="zh-CN"/>
        </w:rPr>
        <w:t>一是绩效管理有待进一步加强。我单位部分项目绩效目标申报欠全面，未根据项目具体内容全面申报数量、质量、时效、成本、经济效益、社会效益、生态效益和可持续性发展指标。二是单位内部控制制度管理有待进一步加强。</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highlight w:val="yellow"/>
          <w:lang w:eastAsia="zh-CN"/>
        </w:rPr>
      </w:pPr>
      <w:r>
        <w:rPr>
          <w:rFonts w:ascii="Times New Roman" w:hAnsi="Times New Roman" w:eastAsia="仿宋_GB2312" w:cs="Times New Roman"/>
          <w:color w:val="auto"/>
          <w:sz w:val="32"/>
          <w:szCs w:val="32"/>
          <w:highlight w:val="none"/>
        </w:rPr>
        <w:t>下一步改进措施：</w:t>
      </w:r>
      <w:r>
        <w:rPr>
          <w:rFonts w:hint="eastAsia" w:ascii="Times New Roman" w:hAnsi="Times New Roman" w:eastAsia="仿宋_GB2312" w:cs="Times New Roman"/>
          <w:color w:val="auto"/>
          <w:kern w:val="0"/>
          <w:sz w:val="32"/>
          <w:szCs w:val="32"/>
          <w:highlight w:val="none"/>
        </w:rPr>
        <w:t>加强人员管理、规范财务管理、加强信息管理、建立风险管理机制、加强监督与督促和提升管理水平等措施，提高内部控制的有效性和适用性</w:t>
      </w:r>
      <w:r>
        <w:rPr>
          <w:rFonts w:hint="eastAsia" w:ascii="Times New Roman" w:hAnsi="Times New Roman" w:eastAsia="仿宋_GB2312" w:cs="Times New Roman"/>
          <w:color w:val="auto"/>
          <w:kern w:val="0"/>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根据《湖南省财政厅关于开展2024年度省级预算部门绩效自评和部门评价的通知》（湘财绩〔2025〕2号）要求，我单位预算绩效管理工作紧紧围绕中央、省关于全面实施预算绩效管理的决策部署，以扩面、提质、增效为总抓手，大力提升绩效目标质量，强化绩效运行监控，拓展绩效评价范围，不断增强预算绩效管理工作效果、影响力和公信力。使用预算一体化系统开展预算编制、预算执行、会计核算和预算绩效管理相关工作。在湖南省农业农村厅种业管理处、省种子管理服务站的精心指导、安排部署下，单位聚焦南繁主责主业，牢记习近平总书记关于种业振兴和粮食安全的殷切嘱托，服务南繁，建设南繁硅谷、种业强国，服务好种子企业、科研机构、科技工作者们，圆满完成各项绩效管理工作。</w:t>
      </w:r>
    </w:p>
    <w:p>
      <w:pPr>
        <w:pStyle w:val="15"/>
        <w:overflowPunct w:val="0"/>
        <w:autoSpaceDE/>
        <w:autoSpaceDN/>
        <w:spacing w:line="600" w:lineRule="exact"/>
        <w:ind w:firstLine="640" w:firstLineChars="200"/>
        <w:jc w:val="both"/>
        <w:rPr>
          <w:rFonts w:hint="eastAsia" w:ascii="黑体" w:hAnsi="黑体" w:eastAsia="黑体" w:cs="黑体"/>
          <w:sz w:val="72"/>
          <w:szCs w:val="72"/>
        </w:rPr>
      </w:pPr>
      <w:r>
        <w:rPr>
          <w:rFonts w:hint="eastAsia" w:ascii="Times New Roman" w:hAnsi="Times New Roman" w:eastAsia="仿宋_GB2312" w:cs="Times New Roman"/>
          <w:color w:val="auto"/>
          <w:kern w:val="0"/>
          <w:sz w:val="32"/>
          <w:szCs w:val="32"/>
          <w:lang w:val="en-US" w:eastAsia="zh-CN"/>
        </w:rPr>
        <w:t>对本单位2025年度预算安排：一是精打细算执行预算。加强对项目支出的统筹和结余资金的盘活力度。二是进一步树立“花钱必问效、无效必问责”意识，强化信息沟通、成果共享。以近年来审计、绩效评价指出的问题为导向，将自评结果与预算调整和项目安排挂钩，体现奖优罚劣的绩效导向。</w:t>
      </w: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p>
    <w:p>
      <w:pPr>
        <w:pStyle w:val="15"/>
        <w:spacing w:line="360" w:lineRule="auto"/>
        <w:jc w:val="both"/>
        <w:outlineLvl w:val="0"/>
        <w:rPr>
          <w:rFonts w:ascii="Times New Roman" w:hAnsi="Times New Roman" w:eastAsia="方正小标宋_GBK" w:cs="Times New Roman"/>
          <w:sz w:val="52"/>
          <w:szCs w:val="52"/>
        </w:rPr>
      </w:pPr>
    </w:p>
    <w:p>
      <w:pPr>
        <w:pStyle w:val="15"/>
        <w:spacing w:line="360" w:lineRule="auto"/>
        <w:jc w:val="center"/>
        <w:outlineLvl w:val="0"/>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spacing w:line="58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基本支出：指为保障机构正常运转、完成日常工作任务而发生的行政单位(含参照公务员法管理的事业单位)履行一般行政管理职能，维持机关日常运转所必须开支的费用，包括用于工资、津贴及奖金等的人员经费和用于办公、水电费等的公用经费。</w:t>
      </w:r>
    </w:p>
    <w:p>
      <w:pPr>
        <w:spacing w:line="580" w:lineRule="exac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2、项目支出：指在基本支出之外为完成特定行政任务和事业发展目标所发生的支出。</w:t>
      </w:r>
    </w:p>
    <w:p>
      <w:pPr>
        <w:spacing w:line="580" w:lineRule="exac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3、“三公”经费：纳入财政预决算管理的“三公”经费，是指用财政拨款安排的因公出国(境)费、公务用车购置及运行费和公务接待费。其中，因公出国(境)费反映单位因公务出国(境)的国际旅费、国外城市间交通费、住宿费、伙食费、培训费、公杂费等支出；公务用车购置及运行费反映单位因公务用车车辆购置支出(含车辆购置税)及租用费、燃料费、维修费、过路过桥费、保险费、安全奖励费用等支出；公务接待费反映单位按中央和省委省政府相关规定开支的各类公务接待(含外宾接待)支出。</w:t>
      </w:r>
    </w:p>
    <w:p>
      <w:pPr>
        <w:spacing w:line="580" w:lineRule="exac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w:t>
      </w:r>
    </w:p>
    <w:p>
      <w:pPr>
        <w:pStyle w:val="15"/>
        <w:spacing w:line="360" w:lineRule="auto"/>
        <w:jc w:val="center"/>
        <w:rPr>
          <w:rFonts w:ascii="Times New Roman" w:hAnsi="Times New Roman" w:eastAsia="方正小标宋_GBK" w:cs="Times New Roman"/>
          <w:color w:val="auto"/>
          <w:sz w:val="52"/>
          <w:szCs w:val="52"/>
          <w:highlight w:val="none"/>
        </w:rPr>
      </w:pPr>
      <w:r>
        <w:rPr>
          <w:rFonts w:ascii="Times New Roman" w:hAnsi="Times New Roman" w:eastAsia="方正小标宋_GBK" w:cs="Times New Roman"/>
          <w:color w:val="auto"/>
          <w:sz w:val="52"/>
          <w:szCs w:val="52"/>
          <w:highlight w:val="none"/>
        </w:rPr>
        <w:t>第五部分   附 件</w:t>
      </w:r>
    </w:p>
    <w:p>
      <w:pPr>
        <w:pStyle w:val="15"/>
        <w:spacing w:line="360" w:lineRule="auto"/>
        <w:jc w:val="center"/>
        <w:rPr>
          <w:rFonts w:ascii="Times New Roman" w:hAnsi="Times New Roman" w:eastAsia="方正小标宋_GBK" w:cs="Times New Roman"/>
          <w:color w:val="auto"/>
          <w:sz w:val="72"/>
          <w:szCs w:val="72"/>
          <w:highlight w:val="none"/>
        </w:rPr>
      </w:pPr>
    </w:p>
    <w:p>
      <w:pPr>
        <w:widowControl w:val="0"/>
        <w:kinsoku/>
        <w:autoSpaceDE/>
        <w:autoSpaceDN/>
        <w:spacing w:line="579" w:lineRule="atLeast"/>
        <w:ind w:firstLine="0" w:firstLineChars="0"/>
        <w:jc w:val="center"/>
        <w:textAlignment w:val="auto"/>
        <w:rPr>
          <w:rFonts w:hint="default" w:ascii="Times New Roman" w:hAnsi="Times New Roman" w:eastAsia="方正小标宋_GBK" w:cs="Times New Roman"/>
          <w:snapToGrid/>
          <w:kern w:val="2"/>
          <w:sz w:val="48"/>
          <w:szCs w:val="48"/>
          <w:lang w:val="en-US" w:eastAsia="zh-CN"/>
        </w:rPr>
      </w:pPr>
      <w:r>
        <w:rPr>
          <w:rFonts w:ascii="Times New Roman" w:hAnsi="Times New Roman" w:eastAsia="方正小标宋_GBK" w:cs="Times New Roman"/>
          <w:snapToGrid/>
          <w:kern w:val="2"/>
          <w:sz w:val="48"/>
          <w:szCs w:val="48"/>
          <w:lang w:eastAsia="zh-CN"/>
        </w:rPr>
        <w:t>202</w:t>
      </w:r>
      <w:r>
        <w:rPr>
          <w:rFonts w:hint="eastAsia" w:ascii="Times New Roman" w:hAnsi="Times New Roman" w:eastAsia="方正小标宋_GBK" w:cs="Times New Roman"/>
          <w:snapToGrid/>
          <w:kern w:val="2"/>
          <w:sz w:val="48"/>
          <w:szCs w:val="48"/>
          <w:lang w:val="en-US" w:eastAsia="zh-CN"/>
        </w:rPr>
        <w:t>4</w:t>
      </w:r>
      <w:r>
        <w:rPr>
          <w:rFonts w:ascii="Times New Roman" w:hAnsi="Times New Roman" w:eastAsia="方正小标宋_GBK" w:cs="Times New Roman"/>
          <w:snapToGrid/>
          <w:kern w:val="2"/>
          <w:sz w:val="48"/>
          <w:szCs w:val="48"/>
          <w:lang w:eastAsia="zh-CN"/>
        </w:rPr>
        <w:t>年度</w:t>
      </w:r>
      <w:r>
        <w:rPr>
          <w:rFonts w:hint="eastAsia" w:ascii="Times New Roman" w:hAnsi="Times New Roman" w:eastAsia="方正小标宋_GBK" w:cs="Times New Roman"/>
          <w:snapToGrid/>
          <w:kern w:val="2"/>
          <w:sz w:val="48"/>
          <w:szCs w:val="48"/>
          <w:lang w:val="en-US" w:eastAsia="zh-CN"/>
        </w:rPr>
        <w:t>湖南省农作物种子南繁中心</w:t>
      </w:r>
    </w:p>
    <w:p>
      <w:pPr>
        <w:widowControl w:val="0"/>
        <w:kinsoku/>
        <w:autoSpaceDE/>
        <w:autoSpaceDN/>
        <w:spacing w:line="579" w:lineRule="atLeast"/>
        <w:ind w:firstLine="0" w:firstLineChars="0"/>
        <w:jc w:val="center"/>
        <w:textAlignment w:val="auto"/>
        <w:rPr>
          <w:rFonts w:hint="default" w:ascii="Times New Roman" w:hAnsi="Times New Roman" w:eastAsia="方正小标宋_GBK" w:cs="Times New Roman"/>
          <w:snapToGrid/>
          <w:kern w:val="2"/>
          <w:sz w:val="48"/>
          <w:szCs w:val="48"/>
          <w:lang w:val="en-US" w:eastAsia="zh-CN"/>
        </w:rPr>
      </w:pPr>
      <w:r>
        <w:rPr>
          <w:rFonts w:ascii="Times New Roman" w:hAnsi="Times New Roman" w:eastAsia="方正小标宋_GBK" w:cs="Times New Roman"/>
          <w:snapToGrid/>
          <w:kern w:val="2"/>
          <w:sz w:val="48"/>
          <w:szCs w:val="48"/>
          <w:lang w:eastAsia="zh-CN"/>
        </w:rPr>
        <w:t>整体支出</w:t>
      </w:r>
      <w:r>
        <w:rPr>
          <w:rFonts w:hint="eastAsia" w:ascii="Times New Roman" w:hAnsi="Times New Roman" w:eastAsia="方正小标宋_GBK" w:cs="Times New Roman"/>
          <w:snapToGrid/>
          <w:kern w:val="2"/>
          <w:sz w:val="48"/>
          <w:szCs w:val="48"/>
          <w:lang w:val="en-US" w:eastAsia="zh-CN"/>
        </w:rPr>
        <w:t>绩效自评报告</w:t>
      </w: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keepNext w:val="0"/>
        <w:keepLines w:val="0"/>
        <w:pageBreakBefore w:val="0"/>
        <w:widowControl/>
        <w:kinsoku w:val="0"/>
        <w:wordWrap/>
        <w:overflowPunct/>
        <w:topLinePunct w:val="0"/>
        <w:autoSpaceDE w:val="0"/>
        <w:autoSpaceDN w:val="0"/>
        <w:bidi w:val="0"/>
        <w:adjustRightInd w:val="0"/>
        <w:snapToGrid w:val="0"/>
        <w:spacing w:line="579" w:lineRule="atLeast"/>
        <w:ind w:left="0" w:leftChars="0" w:firstLine="0" w:firstLineChars="0"/>
        <w:textAlignment w:val="baseline"/>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widowControl w:val="0"/>
        <w:kinsoku/>
        <w:autoSpaceDE/>
        <w:autoSpaceDN/>
        <w:spacing w:line="579" w:lineRule="atLeast"/>
        <w:ind w:firstLine="0" w:firstLineChars="0"/>
        <w:jc w:val="center"/>
        <w:textAlignment w:val="auto"/>
        <w:rPr>
          <w:rFonts w:hint="default" w:ascii="Times New Roman" w:hAnsi="Times New Roman" w:eastAsia="方正小标宋_GBK" w:cs="Times New Roman"/>
          <w:snapToGrid/>
          <w:kern w:val="2"/>
          <w:sz w:val="48"/>
          <w:szCs w:val="48"/>
          <w:lang w:val="en-US" w:eastAsia="zh-CN"/>
        </w:rPr>
      </w:pPr>
      <w:r>
        <w:rPr>
          <w:rFonts w:ascii="Times New Roman" w:hAnsi="Times New Roman" w:eastAsia="黑体" w:cs="Times New Roman"/>
          <w:snapToGrid/>
          <w:kern w:val="2"/>
          <w:sz w:val="36"/>
          <w:szCs w:val="36"/>
          <w:lang w:eastAsia="zh-CN"/>
        </w:rPr>
        <w:t>单位名称（盖章）：</w:t>
      </w:r>
      <w:r>
        <w:rPr>
          <w:rFonts w:hint="eastAsia" w:ascii="Times New Roman" w:hAnsi="Times New Roman" w:eastAsia="黑体" w:cs="Times New Roman"/>
          <w:snapToGrid/>
          <w:kern w:val="2"/>
          <w:sz w:val="36"/>
          <w:szCs w:val="36"/>
          <w:lang w:val="en-US" w:eastAsia="zh-CN"/>
        </w:rPr>
        <w:t>湖南省农作物种子南繁中心</w:t>
      </w:r>
    </w:p>
    <w:p>
      <w:pPr>
        <w:widowControl w:val="0"/>
        <w:kinsoku/>
        <w:autoSpaceDE/>
        <w:autoSpaceDN/>
        <w:spacing w:line="579" w:lineRule="atLeast"/>
        <w:ind w:firstLine="0" w:firstLineChars="0"/>
        <w:jc w:val="both"/>
        <w:textAlignment w:val="auto"/>
        <w:rPr>
          <w:rFonts w:ascii="Times New Roman" w:hAnsi="Times New Roman" w:eastAsia="黑体" w:cs="Times New Roman"/>
          <w:snapToGrid/>
          <w:kern w:val="2"/>
          <w:sz w:val="36"/>
          <w:szCs w:val="36"/>
          <w:lang w:eastAsia="zh-C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spacing w:line="304" w:lineRule="auto"/>
        <w:rPr>
          <w:rFonts w:ascii="Times New Roman" w:hAnsi="Times New Roman"/>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Times New Roman" w:hAnsi="Times New Roma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一</w:t>
      </w:r>
      <w:r>
        <w:rPr>
          <w:rFonts w:ascii="Times New Roman" w:hAnsi="Times New Roman" w:eastAsia="黑体" w:cs="黑体"/>
          <w:spacing w:val="-84"/>
          <w:sz w:val="32"/>
          <w:szCs w:val="32"/>
        </w:rPr>
        <w:t xml:space="preserve"> </w:t>
      </w:r>
      <w:r>
        <w:rPr>
          <w:rFonts w:ascii="Times New Roman" w:hAnsi="Times New Roman" w:eastAsia="黑体" w:cs="黑体"/>
          <w:sz w:val="32"/>
          <w:szCs w:val="32"/>
        </w:rPr>
        <w:t>、基本情况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1.主要职能。农作物种子繁殖，促进农业发展。主要农作物种子海南种植鉴定的田间管理工作、南繁各单位的技术服务和协调工作。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2.机构设置。湖南省农作物种子南繁中心内设机构包括：综合财务科和三亚基地科。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3.人员情况。</w:t>
      </w:r>
      <w:r>
        <w:rPr>
          <w:rFonts w:hint="eastAsia" w:ascii="Times New Roman" w:hAnsi="Times New Roman" w:eastAsia="仿宋_GB2312" w:cs="仿宋_GB2312"/>
          <w:sz w:val="32"/>
          <w:szCs w:val="32"/>
          <w:highlight w:val="none"/>
        </w:rPr>
        <w:t>我站现有在职人员</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人。处级干部1人，科级干部</w:t>
      </w: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_GB2312"/>
          <w:sz w:val="32"/>
          <w:szCs w:val="32"/>
          <w:highlight w:val="none"/>
        </w:rPr>
        <w:t>人。</w:t>
      </w:r>
    </w:p>
    <w:p>
      <w:pPr>
        <w:pStyle w:val="25"/>
        <w:widowControl w:val="0"/>
        <w:kinsoku/>
        <w:autoSpaceDE/>
        <w:autoSpaceDN/>
        <w:snapToGrid w:val="0"/>
        <w:spacing w:line="570" w:lineRule="atLeast"/>
        <w:ind w:firstLine="640" w:firstLineChars="200"/>
        <w:jc w:val="both"/>
        <w:textAlignment w:val="auto"/>
        <w:rPr>
          <w:rFonts w:ascii="Times New Roman" w:hAnsi="Times New Roman" w:eastAsia="黑体" w:cs="Times New Roman"/>
          <w:snapToGrid/>
          <w:kern w:val="2"/>
          <w:sz w:val="32"/>
          <w:szCs w:val="32"/>
          <w:lang w:eastAsia="zh-CN"/>
        </w:rPr>
      </w:pPr>
      <w:r>
        <w:rPr>
          <w:rFonts w:ascii="Times New Roman" w:hAnsi="Times New Roman" w:eastAsia="黑体" w:cs="Times New Roman"/>
          <w:snapToGrid/>
          <w:kern w:val="2"/>
          <w:sz w:val="32"/>
          <w:szCs w:val="32"/>
          <w:lang w:eastAsia="zh-CN"/>
        </w:rPr>
        <w:t>二 、一般公共预算支出情况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我单位202</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年度年初预算收入</w:t>
      </w:r>
      <w:r>
        <w:rPr>
          <w:rFonts w:hint="eastAsia" w:ascii="Times New Roman" w:hAnsi="Times New Roman" w:eastAsia="仿宋_GB2312" w:cs="仿宋_GB2312"/>
          <w:sz w:val="32"/>
          <w:szCs w:val="32"/>
          <w:highlight w:val="none"/>
        </w:rPr>
        <w:t>22</w:t>
      </w:r>
      <w:r>
        <w:rPr>
          <w:rFonts w:hint="eastAsia" w:ascii="Times New Roman" w:hAnsi="Times New Roman" w:eastAsia="仿宋_GB2312" w:cs="仿宋_GB2312"/>
          <w:sz w:val="32"/>
          <w:szCs w:val="32"/>
          <w:highlight w:val="none"/>
          <w:lang w:val="en-US" w:eastAsia="zh-CN"/>
        </w:rPr>
        <w:t>9.35</w:t>
      </w:r>
      <w:r>
        <w:rPr>
          <w:rFonts w:hint="eastAsia" w:ascii="Times New Roman" w:hAnsi="Times New Roman" w:eastAsia="仿宋_GB2312" w:cs="仿宋_GB2312"/>
          <w:sz w:val="32"/>
          <w:szCs w:val="32"/>
        </w:rPr>
        <w:t>万元，为一般公共预算财政拨款收入，较上年初预算收入</w:t>
      </w:r>
      <w:r>
        <w:rPr>
          <w:rFonts w:hint="eastAsia" w:ascii="Times New Roman" w:hAnsi="Times New Roman" w:eastAsia="仿宋_GB2312" w:cs="仿宋_GB2312"/>
          <w:sz w:val="32"/>
          <w:szCs w:val="32"/>
          <w:lang w:val="en-US" w:eastAsia="zh-CN"/>
        </w:rPr>
        <w:t>增加</w:t>
      </w:r>
      <w:r>
        <w:rPr>
          <w:rFonts w:hint="eastAsia" w:ascii="Times New Roman" w:hAnsi="Times New Roman" w:eastAsia="仿宋_GB2312" w:cs="仿宋_GB2312"/>
          <w:sz w:val="32"/>
          <w:szCs w:val="32"/>
          <w:highlight w:val="none"/>
          <w:lang w:val="en-US" w:eastAsia="zh-CN"/>
        </w:rPr>
        <w:t>6.35</w:t>
      </w:r>
      <w:r>
        <w:rPr>
          <w:rFonts w:hint="eastAsia" w:ascii="Times New Roman" w:hAnsi="Times New Roman" w:eastAsia="仿宋_GB2312" w:cs="仿宋_GB2312"/>
          <w:sz w:val="32"/>
          <w:szCs w:val="32"/>
        </w:rPr>
        <w:t>万元，</w:t>
      </w:r>
      <w:r>
        <w:rPr>
          <w:rFonts w:hint="default" w:ascii="Times New Roman" w:hAnsi="Times New Roman" w:eastAsia="仿宋_GB2312" w:cs="Times New Roman"/>
          <w:b w:val="0"/>
          <w:bCs w:val="0"/>
          <w:sz w:val="32"/>
          <w:szCs w:val="32"/>
          <w:u w:val="none"/>
        </w:rPr>
        <w:t>主要是</w:t>
      </w:r>
      <w:r>
        <w:rPr>
          <w:rFonts w:hint="eastAsia" w:ascii="Times New Roman" w:hAnsi="Times New Roman" w:eastAsia="仿宋_GB2312" w:cs="Times New Roman"/>
          <w:b w:val="0"/>
          <w:bCs w:val="0"/>
          <w:sz w:val="32"/>
          <w:szCs w:val="32"/>
          <w:u w:val="none"/>
          <w:lang w:val="en-US" w:eastAsia="zh-CN"/>
        </w:rPr>
        <w:t>增加绩效工</w:t>
      </w:r>
      <w:r>
        <w:rPr>
          <w:rFonts w:hint="eastAsia" w:ascii="Times New Roman" w:hAnsi="Times New Roman" w:eastAsia="仿宋_GB2312" w:cs="Times New Roman"/>
          <w:sz w:val="32"/>
          <w:szCs w:val="32"/>
          <w:u w:val="none"/>
          <w:lang w:val="en-US" w:eastAsia="zh-CN"/>
        </w:rPr>
        <w:t>资收入</w:t>
      </w:r>
      <w:r>
        <w:rPr>
          <w:rFonts w:hint="eastAsia" w:ascii="Times New Roman" w:hAnsi="Times New Roman" w:eastAsia="仿宋_GB2312" w:cs="仿宋_GB2312"/>
          <w:sz w:val="32"/>
          <w:szCs w:val="32"/>
        </w:rPr>
        <w:t>；年中追加指标</w:t>
      </w:r>
      <w:r>
        <w:rPr>
          <w:rFonts w:hint="eastAsia" w:ascii="Times New Roman" w:hAnsi="Times New Roman" w:eastAsia="仿宋_GB2312" w:cs="仿宋_GB2312"/>
          <w:sz w:val="32"/>
          <w:szCs w:val="32"/>
          <w:highlight w:val="none"/>
          <w:lang w:val="en-US" w:eastAsia="zh-CN"/>
        </w:rPr>
        <w:t>8</w:t>
      </w:r>
      <w:r>
        <w:rPr>
          <w:rFonts w:hint="eastAsia" w:ascii="Times New Roman" w:hAnsi="Times New Roman" w:eastAsia="仿宋_GB2312" w:cs="仿宋_GB2312"/>
          <w:sz w:val="32"/>
          <w:szCs w:val="32"/>
        </w:rPr>
        <w:t>万元，其他收入</w:t>
      </w:r>
      <w:r>
        <w:rPr>
          <w:rFonts w:hint="eastAsia" w:ascii="Times New Roman" w:hAnsi="Times New Roman" w:eastAsia="仿宋_GB2312" w:cs="仿宋_GB2312"/>
          <w:sz w:val="32"/>
          <w:szCs w:val="32"/>
          <w:lang w:val="en-US" w:eastAsia="zh-CN"/>
        </w:rPr>
        <w:t>102.98</w:t>
      </w:r>
      <w:r>
        <w:rPr>
          <w:rFonts w:hint="eastAsia" w:ascii="Times New Roman" w:hAnsi="Times New Roman" w:eastAsia="仿宋_GB2312" w:cs="仿宋_GB2312"/>
          <w:sz w:val="32"/>
          <w:szCs w:val="32"/>
        </w:rPr>
        <w:t>万，追加非财政拨款结余和专用结余</w:t>
      </w:r>
      <w:r>
        <w:rPr>
          <w:rFonts w:hint="eastAsia" w:ascii="Times New Roman" w:hAnsi="Times New Roman" w:eastAsia="仿宋_GB2312" w:cs="仿宋_GB2312"/>
          <w:sz w:val="32"/>
          <w:szCs w:val="32"/>
          <w:lang w:val="en-US" w:eastAsia="zh-CN"/>
        </w:rPr>
        <w:t>278.27</w:t>
      </w:r>
      <w:r>
        <w:rPr>
          <w:rFonts w:hint="eastAsia" w:ascii="Times New Roman" w:hAnsi="Times New Roman" w:eastAsia="仿宋_GB2312" w:cs="仿宋_GB2312"/>
          <w:sz w:val="32"/>
          <w:szCs w:val="32"/>
        </w:rPr>
        <w:t>万元，调整后202</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年收入预算为</w:t>
      </w:r>
      <w:r>
        <w:rPr>
          <w:rFonts w:hint="eastAsia" w:ascii="Times New Roman" w:hAnsi="Times New Roman" w:eastAsia="仿宋_GB2312" w:cs="仿宋_GB2312"/>
          <w:sz w:val="32"/>
          <w:szCs w:val="32"/>
          <w:highlight w:val="none"/>
          <w:lang w:val="en-US" w:eastAsia="zh-CN"/>
        </w:rPr>
        <w:t>618.6</w:t>
      </w:r>
      <w:r>
        <w:rPr>
          <w:rFonts w:hint="eastAsia" w:ascii="Times New Roman" w:hAnsi="Times New Roman" w:eastAsia="仿宋_GB2312" w:cs="仿宋_GB2312"/>
          <w:sz w:val="32"/>
          <w:szCs w:val="32"/>
        </w:rPr>
        <w:t>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202</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年支出预算批复数</w:t>
      </w:r>
      <w:r>
        <w:rPr>
          <w:rFonts w:hint="eastAsia" w:ascii="Times New Roman" w:hAnsi="Times New Roman" w:eastAsia="仿宋_GB2312" w:cs="仿宋_GB2312"/>
          <w:sz w:val="32"/>
          <w:szCs w:val="32"/>
          <w:highlight w:val="none"/>
          <w:lang w:val="en-US" w:eastAsia="zh-CN"/>
        </w:rPr>
        <w:t>618.6</w:t>
      </w:r>
      <w:r>
        <w:rPr>
          <w:rFonts w:hint="eastAsia" w:ascii="Times New Roman" w:hAnsi="Times New Roman" w:eastAsia="仿宋_GB2312" w:cs="仿宋_GB2312"/>
          <w:sz w:val="32"/>
          <w:szCs w:val="32"/>
        </w:rPr>
        <w:t>万元，其中基本支</w:t>
      </w:r>
      <w:r>
        <w:rPr>
          <w:rFonts w:hint="eastAsia" w:ascii="Times New Roman" w:hAnsi="Times New Roman" w:eastAsia="仿宋_GB2312" w:cs="仿宋_GB2312"/>
          <w:sz w:val="32"/>
          <w:szCs w:val="32"/>
          <w:lang w:val="en-US" w:eastAsia="zh-CN"/>
        </w:rPr>
        <w:t>出</w:t>
      </w:r>
      <w:r>
        <w:rPr>
          <w:rFonts w:hint="eastAsia" w:ascii="Times New Roman" w:hAnsi="Times New Roman" w:eastAsia="仿宋_GB2312" w:cs="仿宋_GB2312"/>
          <w:sz w:val="32"/>
          <w:szCs w:val="32"/>
          <w:highlight w:val="none"/>
          <w:lang w:val="en-US" w:eastAsia="zh-CN"/>
        </w:rPr>
        <w:t>113.51</w:t>
      </w:r>
      <w:r>
        <w:rPr>
          <w:rFonts w:hint="eastAsia" w:ascii="Times New Roman" w:hAnsi="Times New Roman" w:eastAsia="仿宋_GB2312" w:cs="仿宋_GB2312"/>
          <w:sz w:val="32"/>
          <w:szCs w:val="32"/>
        </w:rPr>
        <w:t>万元，项目支出</w:t>
      </w:r>
      <w:r>
        <w:rPr>
          <w:rFonts w:hint="eastAsia" w:ascii="Times New Roman" w:hAnsi="Times New Roman" w:eastAsia="仿宋_GB2312" w:cs="仿宋_GB2312"/>
          <w:sz w:val="32"/>
          <w:szCs w:val="32"/>
          <w:highlight w:val="none"/>
          <w:lang w:val="en-US" w:eastAsia="zh-CN"/>
        </w:rPr>
        <w:t>505.09</w:t>
      </w:r>
      <w:r>
        <w:rPr>
          <w:rFonts w:hint="eastAsia" w:ascii="Times New Roman" w:hAnsi="Times New Roman" w:eastAsia="仿宋_GB2312" w:cs="仿宋_GB2312"/>
          <w:sz w:val="32"/>
          <w:szCs w:val="32"/>
        </w:rPr>
        <w:t>万元。</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rPr>
      </w:pPr>
      <w:r>
        <w:rPr>
          <w:rFonts w:hint="eastAsia" w:ascii="Times New Roman" w:hAnsi="Times New Roman" w:eastAsia="楷体_GB2312" w:cs="楷体_GB2312"/>
          <w:b/>
          <w:bCs/>
          <w:color w:val="000000"/>
          <w:kern w:val="0"/>
          <w:sz w:val="32"/>
          <w:szCs w:val="32"/>
          <w:highlight w:val="none"/>
          <w:lang w:val="en-US" w:eastAsia="zh-CN"/>
        </w:rPr>
        <w:t>基本支出情况</w:t>
      </w:r>
    </w:p>
    <w:p>
      <w:pPr>
        <w:keepNext w:val="0"/>
        <w:keepLines w:val="0"/>
        <w:pageBreakBefore w:val="0"/>
        <w:widowControl w:val="0"/>
        <w:kinsoku w:val="0"/>
        <w:wordWrap/>
        <w:overflowPunct w:val="0"/>
        <w:topLinePunct w:val="0"/>
        <w:autoSpaceDE w:val="0"/>
        <w:autoSpaceDN w:val="0"/>
        <w:bidi w:val="0"/>
        <w:adjustRightInd/>
        <w:snapToGrid w:val="0"/>
        <w:spacing w:line="560" w:lineRule="exact"/>
        <w:ind w:firstLine="640" w:firstLineChars="200"/>
        <w:textAlignment w:val="auto"/>
        <w:rPr>
          <w:rFonts w:hint="eastAsia" w:ascii="Times New Roman" w:hAnsi="Times New Roman" w:eastAsia="仿宋" w:cs="仿宋"/>
          <w:color w:val="000000"/>
          <w:kern w:val="0"/>
          <w:sz w:val="32"/>
          <w:szCs w:val="32"/>
        </w:rPr>
      </w:pPr>
      <w:r>
        <w:rPr>
          <w:rFonts w:hint="eastAsia" w:ascii="Times New Roman" w:hAnsi="Times New Roman" w:eastAsia="仿宋_GB2312"/>
          <w:sz w:val="32"/>
          <w:szCs w:val="32"/>
        </w:rPr>
        <w:t>我</w:t>
      </w:r>
      <w:r>
        <w:rPr>
          <w:rFonts w:hint="eastAsia" w:ascii="Times New Roman" w:hAnsi="Times New Roman" w:eastAsia="仿宋_GB2312"/>
          <w:sz w:val="32"/>
          <w:szCs w:val="32"/>
          <w:lang w:val="en-US" w:eastAsia="zh-CN"/>
        </w:rPr>
        <w:t>中心</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全年基本支出</w:t>
      </w:r>
      <w:r>
        <w:rPr>
          <w:rFonts w:hint="eastAsia" w:ascii="Times New Roman" w:hAnsi="Times New Roman" w:eastAsia="仿宋_GB2312"/>
          <w:sz w:val="32"/>
          <w:szCs w:val="32"/>
        </w:rPr>
        <w:t>预算收入</w:t>
      </w:r>
      <w:r>
        <w:rPr>
          <w:rFonts w:hint="eastAsia" w:ascii="Times New Roman" w:hAnsi="Times New Roman" w:eastAsia="仿宋_GB2312"/>
          <w:sz w:val="32"/>
          <w:szCs w:val="32"/>
          <w:highlight w:val="none"/>
          <w:lang w:val="en-US" w:eastAsia="zh-CN"/>
        </w:rPr>
        <w:t>113.51</w:t>
      </w:r>
      <w:r>
        <w:rPr>
          <w:rFonts w:hint="eastAsia" w:ascii="Times New Roman" w:hAnsi="Times New Roman" w:eastAsia="仿宋_GB2312"/>
          <w:sz w:val="32"/>
          <w:szCs w:val="32"/>
        </w:rPr>
        <w:t>万元，为一般公共预算财政拨款收入，</w:t>
      </w:r>
      <w:r>
        <w:rPr>
          <w:rFonts w:hint="eastAsia" w:ascii="Times New Roman" w:hAnsi="Times New Roman" w:eastAsia="仿宋_GB2312"/>
          <w:sz w:val="32"/>
          <w:szCs w:val="32"/>
          <w:lang w:val="en-US" w:eastAsia="zh-CN"/>
        </w:rPr>
        <w:t>其中：人员经费</w:t>
      </w:r>
      <w:r>
        <w:rPr>
          <w:rFonts w:hint="eastAsia" w:ascii="Times New Roman" w:hAnsi="Times New Roman" w:eastAsia="仿宋_GB2312"/>
          <w:sz w:val="32"/>
          <w:szCs w:val="32"/>
          <w:highlight w:val="none"/>
          <w:lang w:val="en-US" w:eastAsia="zh-CN"/>
        </w:rPr>
        <w:t>99.01</w:t>
      </w:r>
      <w:r>
        <w:rPr>
          <w:rFonts w:hint="eastAsia" w:ascii="Times New Roman" w:hAnsi="Times New Roman" w:eastAsia="仿宋_GB2312"/>
          <w:sz w:val="32"/>
          <w:szCs w:val="32"/>
          <w:lang w:val="en-US" w:eastAsia="zh-CN"/>
        </w:rPr>
        <w:t>万元、公用经费</w:t>
      </w:r>
      <w:r>
        <w:rPr>
          <w:rFonts w:hint="eastAsia" w:ascii="Times New Roman" w:hAnsi="Times New Roman" w:eastAsia="仿宋_GB2312"/>
          <w:sz w:val="32"/>
          <w:szCs w:val="32"/>
          <w:highlight w:val="none"/>
          <w:lang w:val="en-US" w:eastAsia="zh-CN"/>
        </w:rPr>
        <w:t>14.50</w:t>
      </w:r>
      <w:r>
        <w:rPr>
          <w:rFonts w:hint="eastAsia" w:ascii="Times New Roman" w:hAnsi="Times New Roman" w:eastAsia="仿宋_GB2312"/>
          <w:sz w:val="32"/>
          <w:szCs w:val="32"/>
          <w:lang w:val="en-US" w:eastAsia="zh-CN"/>
        </w:rPr>
        <w:t>万元。</w:t>
      </w:r>
      <w:r>
        <w:rPr>
          <w:rFonts w:hint="eastAsia" w:ascii="Times New Roman" w:hAnsi="Times New Roman" w:eastAsia="仿宋" w:cs="仿宋"/>
          <w:color w:val="000000"/>
          <w:kern w:val="0"/>
          <w:sz w:val="32"/>
          <w:szCs w:val="32"/>
        </w:rPr>
        <w:t>202</w:t>
      </w:r>
      <w:r>
        <w:rPr>
          <w:rFonts w:hint="eastAsia" w:ascii="Times New Roman" w:hAnsi="Times New Roman" w:eastAsia="仿宋" w:cs="仿宋"/>
          <w:color w:val="000000"/>
          <w:kern w:val="0"/>
          <w:sz w:val="32"/>
          <w:szCs w:val="32"/>
          <w:lang w:val="en-US" w:eastAsia="zh-CN"/>
        </w:rPr>
        <w:t>4</w:t>
      </w:r>
      <w:r>
        <w:rPr>
          <w:rFonts w:hint="eastAsia" w:ascii="Times New Roman" w:hAnsi="Times New Roman" w:eastAsia="仿宋" w:cs="仿宋"/>
          <w:color w:val="000000"/>
          <w:kern w:val="0"/>
          <w:sz w:val="32"/>
          <w:szCs w:val="32"/>
        </w:rPr>
        <w:t>年度一般公共预算基本支出具体情况如下表：</w:t>
      </w:r>
    </w:p>
    <w:p>
      <w:pPr>
        <w:keepNext w:val="0"/>
        <w:keepLines w:val="0"/>
        <w:pageBreakBefore w:val="0"/>
        <w:widowControl w:val="0"/>
        <w:kinsoku w:val="0"/>
        <w:wordWrap/>
        <w:overflowPunct w:val="0"/>
        <w:topLinePunct w:val="0"/>
        <w:autoSpaceDE w:val="0"/>
        <w:autoSpaceDN w:val="0"/>
        <w:bidi w:val="0"/>
        <w:adjustRightInd/>
        <w:snapToGrid w:val="0"/>
        <w:spacing w:line="560" w:lineRule="exact"/>
        <w:ind w:firstLine="360" w:firstLineChars="200"/>
        <w:jc w:val="right"/>
        <w:textAlignment w:val="auto"/>
        <w:rPr>
          <w:rFonts w:hint="default" w:ascii="Times New Roman" w:hAnsi="Times New Roman" w:eastAsia="仿宋" w:cs="仿宋"/>
          <w:color w:val="000000"/>
          <w:kern w:val="0"/>
          <w:sz w:val="18"/>
          <w:szCs w:val="18"/>
          <w:lang w:val="en-US" w:eastAsia="zh-CN"/>
        </w:rPr>
      </w:pPr>
      <w:r>
        <w:rPr>
          <w:rFonts w:hint="eastAsia" w:ascii="Times New Roman" w:hAnsi="Times New Roman" w:eastAsia="仿宋" w:cs="仿宋"/>
          <w:color w:val="000000"/>
          <w:kern w:val="0"/>
          <w:sz w:val="18"/>
          <w:szCs w:val="18"/>
          <w:lang w:val="en-US" w:eastAsia="zh-CN"/>
        </w:rPr>
        <w:t>单位：万元</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2711"/>
        <w:gridCol w:w="965"/>
        <w:gridCol w:w="750"/>
        <w:gridCol w:w="637"/>
        <w:gridCol w:w="623"/>
        <w:gridCol w:w="1118"/>
        <w:gridCol w:w="806"/>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7"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序号</w:t>
            </w:r>
          </w:p>
        </w:tc>
        <w:tc>
          <w:tcPr>
            <w:tcW w:w="2711"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项目</w:t>
            </w:r>
          </w:p>
        </w:tc>
        <w:tc>
          <w:tcPr>
            <w:tcW w:w="2975" w:type="dxa"/>
            <w:gridSpan w:val="4"/>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预算指标金额</w:t>
            </w:r>
          </w:p>
        </w:tc>
        <w:tc>
          <w:tcPr>
            <w:tcW w:w="1118"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实际执行金额</w:t>
            </w:r>
          </w:p>
        </w:tc>
        <w:tc>
          <w:tcPr>
            <w:tcW w:w="806"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结余金额</w:t>
            </w:r>
          </w:p>
        </w:tc>
        <w:tc>
          <w:tcPr>
            <w:tcW w:w="515"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97"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2711"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965" w:type="dxa"/>
            <w:vAlign w:val="center"/>
          </w:tcPr>
          <w:p>
            <w:pPr>
              <w:keepNext w:val="0"/>
              <w:keepLines w:val="0"/>
              <w:widowControl/>
              <w:suppressLineNumbers w:val="0"/>
              <w:jc w:val="both"/>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合计</w:t>
            </w:r>
          </w:p>
        </w:tc>
        <w:tc>
          <w:tcPr>
            <w:tcW w:w="750"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年初批复</w:t>
            </w:r>
          </w:p>
        </w:tc>
        <w:tc>
          <w:tcPr>
            <w:tcW w:w="637"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指标调剂</w:t>
            </w:r>
          </w:p>
        </w:tc>
        <w:tc>
          <w:tcPr>
            <w:tcW w:w="623"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指标追加</w:t>
            </w:r>
          </w:p>
        </w:tc>
        <w:tc>
          <w:tcPr>
            <w:tcW w:w="1118"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806"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515"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yellow"/>
                <w:u w:val="none"/>
                <w:lang w:val="en-US" w:eastAsia="zh-CN" w:bidi="ar"/>
              </w:rPr>
              <w:br w:type="page"/>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一</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人员经费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99.01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99.01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94.8</w:t>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1</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4.2</w:t>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w:t>
            </w: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w:t>
            </w:r>
          </w:p>
        </w:tc>
        <w:tc>
          <w:tcPr>
            <w:tcW w:w="515" w:type="dxa"/>
            <w:vAlign w:val="center"/>
          </w:tcPr>
          <w:p>
            <w:pPr>
              <w:widowControl w:val="0"/>
              <w:jc w:val="right"/>
              <w:rPr>
                <w:rFonts w:hint="eastAsia" w:ascii="Times New Roman" w:hAnsi="Times New Roman" w:eastAsia="仿宋_GB2312" w:cs="仿宋_GB2312"/>
                <w:b/>
                <w:bCs/>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1</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奖金</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3.00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3.00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2.40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0.60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2</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机关事业单位基本养老保险缴费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13.12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13.12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11.03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2.09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3</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奖励金</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12.37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12.37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10.86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1.51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4</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津贴补贴</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4.97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4.97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4.97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5</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基本工资</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20.17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20.17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20.17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6</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绩效工资</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26.53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26.53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26.53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7</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住房公积金</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9.83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9.83 </w:t>
            </w:r>
          </w:p>
        </w:tc>
        <w:tc>
          <w:tcPr>
            <w:tcW w:w="637" w:type="dxa"/>
            <w:vAlign w:val="center"/>
          </w:tcPr>
          <w:p>
            <w:pPr>
              <w:keepNext w:val="0"/>
              <w:keepLines w:val="0"/>
              <w:widowControl/>
              <w:suppressLineNumbers w:val="0"/>
              <w:jc w:val="right"/>
              <w:textAlignment w:val="cente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9.83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8</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伙食补助费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1.80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1.80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1.80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9</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其他社会保障缴费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1.97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1.97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1.97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10</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职工基本医疗保险缴费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4.78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4.78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4.78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11</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其他工资福利支出</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0.48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0.48 </w:t>
            </w:r>
          </w:p>
        </w:tc>
        <w:tc>
          <w:tcPr>
            <w:tcW w:w="637" w:type="dxa"/>
            <w:vAlign w:val="center"/>
          </w:tcPr>
          <w:p>
            <w:pPr>
              <w:keepNext w:val="0"/>
              <w:keepLines w:val="0"/>
              <w:widowControl/>
              <w:suppressLineNumbers w:val="0"/>
              <w:jc w:val="right"/>
              <w:textAlignment w:val="cente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0.48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二</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公用经费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14.50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14.50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14.2</w:t>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w:t>
            </w: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0.</w:t>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30</w:t>
            </w: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1</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公务接待费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0.40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0.40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0.11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0.29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2</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差旅费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1.00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1.00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1.00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3</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培训费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0.12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0.12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0.12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4</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租赁费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0.30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0.30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0.30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5</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会议费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1.00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1.00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1.00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0.01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6</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办公费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1.17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1.17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1.17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bCs/>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7</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福利费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2.63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2.63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2.63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8</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其他交通费用</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4.81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4.81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4.81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9</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工会经费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2.68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2.68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2.68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10</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邮电费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0.20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0.20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0.20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center"/>
              <w:textAlignment w:val="center"/>
              <w:rPr>
                <w:rFonts w:hint="default"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sz w:val="18"/>
                <w:szCs w:val="18"/>
                <w:highlight w:val="none"/>
                <w:vertAlign w:val="baseline"/>
                <w:lang w:val="en-US" w:eastAsia="zh-CN"/>
              </w:rPr>
              <w:t>11</w:t>
            </w:r>
          </w:p>
        </w:tc>
        <w:tc>
          <w:tcPr>
            <w:tcW w:w="2711"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电费</w:t>
            </w:r>
          </w:p>
        </w:tc>
        <w:tc>
          <w:tcPr>
            <w:tcW w:w="965"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0.20 </w:t>
            </w:r>
          </w:p>
        </w:tc>
        <w:tc>
          <w:tcPr>
            <w:tcW w:w="750"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 0.20 </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0.00 </w:t>
            </w:r>
          </w:p>
        </w:tc>
        <w:tc>
          <w:tcPr>
            <w:tcW w:w="1118"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val="0"/>
                <w:bCs w:val="0"/>
                <w:i w:val="0"/>
                <w:iCs w:val="0"/>
                <w:snapToGrid w:val="0"/>
                <w:color w:val="000000"/>
                <w:kern w:val="0"/>
                <w:sz w:val="18"/>
                <w:szCs w:val="18"/>
                <w:highlight w:val="none"/>
                <w:u w:val="none"/>
                <w:lang w:val="en-US" w:eastAsia="zh-CN" w:bidi="ar"/>
              </w:rPr>
              <w:t xml:space="preserve">0.20 </w:t>
            </w:r>
          </w:p>
        </w:tc>
        <w:tc>
          <w:tcPr>
            <w:tcW w:w="806"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val="0"/>
                <w:bCs w:val="0"/>
                <w:i w:val="0"/>
                <w:iCs w:val="0"/>
                <w:snapToGrid w:val="0"/>
                <w:color w:val="000000"/>
                <w:kern w:val="0"/>
                <w:sz w:val="18"/>
                <w:szCs w:val="18"/>
                <w:highlight w:val="none"/>
                <w:u w:val="none"/>
                <w:lang w:val="en-US" w:eastAsia="zh-CN" w:bidi="ar"/>
              </w:rPr>
              <w:t>0.00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97" w:type="dxa"/>
            <w:vAlign w:val="center"/>
          </w:tcPr>
          <w:p>
            <w:pPr>
              <w:keepNext w:val="0"/>
              <w:keepLines w:val="0"/>
              <w:widowControl/>
              <w:suppressLineNumbers w:val="0"/>
              <w:jc w:val="right"/>
              <w:textAlignment w:val="center"/>
              <w:rPr>
                <w:rFonts w:hint="eastAsia" w:ascii="Times New Roman" w:hAnsi="Times New Roman" w:eastAsia="仿宋_GB2312" w:cs="仿宋_GB2312"/>
                <w:b w:val="0"/>
                <w:bCs w:val="0"/>
                <w:sz w:val="18"/>
                <w:szCs w:val="18"/>
                <w:highlight w:val="none"/>
                <w:vertAlign w:val="baseline"/>
                <w:lang w:val="en-US" w:eastAsia="zh-CN"/>
              </w:rPr>
            </w:pPr>
          </w:p>
        </w:tc>
        <w:tc>
          <w:tcPr>
            <w:tcW w:w="2711" w:type="dxa"/>
            <w:vAlign w:val="center"/>
          </w:tcPr>
          <w:p>
            <w:pPr>
              <w:keepNext w:val="0"/>
              <w:keepLines w:val="0"/>
              <w:widowControl/>
              <w:suppressLineNumbers w:val="0"/>
              <w:jc w:val="center"/>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总计</w:t>
            </w:r>
          </w:p>
        </w:tc>
        <w:tc>
          <w:tcPr>
            <w:tcW w:w="965" w:type="dxa"/>
            <w:shd w:val="clear" w:color="auto" w:fill="auto"/>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113.51 </w:t>
            </w:r>
          </w:p>
        </w:tc>
        <w:tc>
          <w:tcPr>
            <w:tcW w:w="750" w:type="dxa"/>
            <w:shd w:val="clear" w:color="auto" w:fill="auto"/>
            <w:vAlign w:val="center"/>
          </w:tcPr>
          <w:p>
            <w:pPr>
              <w:keepNext w:val="0"/>
              <w:keepLines w:val="0"/>
              <w:widowControl/>
              <w:suppressLineNumbers w:val="0"/>
              <w:jc w:val="center"/>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en-US"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113.51</w:t>
            </w:r>
          </w:p>
        </w:tc>
        <w:tc>
          <w:tcPr>
            <w:tcW w:w="637"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0.00</w:t>
            </w:r>
          </w:p>
        </w:tc>
        <w:tc>
          <w:tcPr>
            <w:tcW w:w="623" w:type="dxa"/>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0.00</w:t>
            </w:r>
          </w:p>
        </w:tc>
        <w:tc>
          <w:tcPr>
            <w:tcW w:w="1118" w:type="dxa"/>
            <w:shd w:val="clear" w:color="auto" w:fill="auto"/>
            <w:vAlign w:val="center"/>
          </w:tcPr>
          <w:p>
            <w:pPr>
              <w:keepNext w:val="0"/>
              <w:keepLines w:val="0"/>
              <w:widowControl/>
              <w:suppressLineNumbers w:val="0"/>
              <w:jc w:val="right"/>
              <w:textAlignment w:val="cente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109.01 </w:t>
            </w:r>
          </w:p>
        </w:tc>
        <w:tc>
          <w:tcPr>
            <w:tcW w:w="806"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pPr>
            <w:r>
              <w:rPr>
                <w:rFonts w:hint="default" w:ascii="Times New Roman" w:hAnsi="Times New Roman" w:eastAsia="仿宋_GB2312" w:cs="仿宋_GB2312"/>
                <w:b/>
                <w:bCs/>
                <w:i w:val="0"/>
                <w:iCs w:val="0"/>
                <w:snapToGrid w:val="0"/>
                <w:color w:val="000000"/>
                <w:kern w:val="0"/>
                <w:sz w:val="18"/>
                <w:szCs w:val="18"/>
                <w:highlight w:val="none"/>
                <w:u w:val="none"/>
                <w:lang w:val="en-US" w:eastAsia="zh-CN" w:bidi="ar"/>
              </w:rPr>
              <w:t xml:space="preserve"> 4.</w:t>
            </w: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50</w:t>
            </w:r>
          </w:p>
        </w:tc>
        <w:tc>
          <w:tcPr>
            <w:tcW w:w="515" w:type="dxa"/>
            <w:vAlign w:val="center"/>
          </w:tcPr>
          <w:p>
            <w:pPr>
              <w:widowControl w:val="0"/>
              <w:jc w:val="right"/>
              <w:rPr>
                <w:rFonts w:hint="eastAsia" w:ascii="Times New Roman" w:hAnsi="Times New Roman" w:eastAsia="仿宋_GB2312" w:cs="仿宋_GB2312"/>
                <w:b w:val="0"/>
                <w:bCs w:val="0"/>
                <w:sz w:val="18"/>
                <w:szCs w:val="18"/>
                <w:highlight w:val="none"/>
                <w:vertAlign w:val="baseline"/>
                <w:lang w:val="en-US" w:eastAsia="zh-CN"/>
              </w:rPr>
            </w:pPr>
          </w:p>
        </w:tc>
      </w:tr>
    </w:tbl>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highlight w:val="none"/>
          <w:lang w:val="en-US" w:eastAsia="zh-CN"/>
        </w:rPr>
      </w:pPr>
      <w:r>
        <w:rPr>
          <w:rFonts w:hint="eastAsia" w:ascii="Times New Roman" w:hAnsi="Times New Roman" w:eastAsia="楷体_GB2312" w:cs="楷体_GB2312"/>
          <w:b/>
          <w:bCs/>
          <w:color w:val="000000"/>
          <w:kern w:val="0"/>
          <w:sz w:val="32"/>
          <w:szCs w:val="32"/>
          <w:highlight w:val="none"/>
          <w:lang w:val="en-US" w:eastAsia="zh-CN"/>
        </w:rPr>
        <w:t>项目支出情况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我</w:t>
      </w:r>
      <w:r>
        <w:rPr>
          <w:rFonts w:hint="eastAsia" w:ascii="Times New Roman" w:hAnsi="Times New Roman" w:eastAsia="仿宋_GB2312"/>
          <w:sz w:val="32"/>
          <w:szCs w:val="32"/>
          <w:lang w:val="en-US" w:eastAsia="zh-CN"/>
        </w:rPr>
        <w:t>中心</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全年项目支出</w:t>
      </w:r>
      <w:r>
        <w:rPr>
          <w:rFonts w:hint="eastAsia" w:ascii="Times New Roman" w:hAnsi="Times New Roman" w:eastAsia="仿宋_GB2312"/>
          <w:sz w:val="32"/>
          <w:szCs w:val="32"/>
        </w:rPr>
        <w:t>预算收入</w:t>
      </w:r>
      <w:r>
        <w:rPr>
          <w:rFonts w:hint="eastAsia" w:ascii="Times New Roman" w:hAnsi="Times New Roman" w:eastAsia="仿宋_GB2312"/>
          <w:sz w:val="32"/>
          <w:szCs w:val="32"/>
          <w:highlight w:val="none"/>
          <w:lang w:val="en-US" w:eastAsia="zh-CN"/>
        </w:rPr>
        <w:t>505.09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2024年项目支出情况如下：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360" w:firstLineChars="200"/>
        <w:jc w:val="right"/>
        <w:textAlignment w:val="baseline"/>
        <w:rPr>
          <w:rFonts w:hint="default" w:ascii="Times New Roman" w:hAnsi="Times New Roman" w:eastAsia="仿宋_GB2312"/>
          <w:sz w:val="18"/>
          <w:szCs w:val="18"/>
          <w:lang w:val="en-US" w:eastAsia="zh-CN"/>
        </w:rPr>
      </w:pPr>
      <w:r>
        <w:rPr>
          <w:rFonts w:hint="eastAsia" w:ascii="Times New Roman" w:hAnsi="Times New Roman" w:eastAsia="仿宋_GB2312"/>
          <w:sz w:val="18"/>
          <w:szCs w:val="18"/>
          <w:lang w:val="en-US" w:eastAsia="zh-CN"/>
        </w:rPr>
        <w:t>单位：万元</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2278"/>
        <w:gridCol w:w="711"/>
        <w:gridCol w:w="860"/>
        <w:gridCol w:w="828"/>
        <w:gridCol w:w="860"/>
        <w:gridCol w:w="1096"/>
        <w:gridCol w:w="860"/>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序号</w:t>
            </w:r>
          </w:p>
        </w:tc>
        <w:tc>
          <w:tcPr>
            <w:tcW w:w="2278"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项目</w:t>
            </w:r>
          </w:p>
        </w:tc>
        <w:tc>
          <w:tcPr>
            <w:tcW w:w="3259" w:type="dxa"/>
            <w:gridSpan w:val="4"/>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预算指标金额</w:t>
            </w:r>
          </w:p>
        </w:tc>
        <w:tc>
          <w:tcPr>
            <w:tcW w:w="1096"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实际执行金额</w:t>
            </w:r>
          </w:p>
        </w:tc>
        <w:tc>
          <w:tcPr>
            <w:tcW w:w="860"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结余金额</w:t>
            </w:r>
          </w:p>
        </w:tc>
        <w:tc>
          <w:tcPr>
            <w:tcW w:w="515" w:type="dxa"/>
            <w:vMerge w:val="restart"/>
            <w:vAlign w:val="center"/>
          </w:tcPr>
          <w:p>
            <w:pPr>
              <w:keepNext w:val="0"/>
              <w:keepLines w:val="0"/>
              <w:widowControl/>
              <w:suppressLineNumbers w:val="0"/>
              <w:jc w:val="center"/>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2278"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711" w:type="dxa"/>
            <w:vAlign w:val="center"/>
          </w:tcPr>
          <w:p>
            <w:pPr>
              <w:keepNext w:val="0"/>
              <w:keepLines w:val="0"/>
              <w:widowControl/>
              <w:suppressLineNumbers w:val="0"/>
              <w:jc w:val="both"/>
              <w:textAlignment w:val="center"/>
              <w:rPr>
                <w:rFonts w:hint="eastAsia" w:ascii="Times New Roman" w:hAnsi="Times New Roman" w:eastAsia="仿宋_GB2312" w:cs="仿宋_GB2312"/>
                <w:b/>
                <w:bCs/>
                <w:sz w:val="18"/>
                <w:szCs w:val="18"/>
                <w:highlight w:val="none"/>
                <w:vertAlign w:val="baseline"/>
                <w:lang w:val="en-US" w:eastAsia="zh-CN"/>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合计</w:t>
            </w:r>
          </w:p>
        </w:tc>
        <w:tc>
          <w:tcPr>
            <w:tcW w:w="860" w:type="dxa"/>
            <w:vAlign w:val="center"/>
          </w:tcPr>
          <w:p>
            <w:pPr>
              <w:keepNext w:val="0"/>
              <w:keepLines w:val="0"/>
              <w:widowControl/>
              <w:suppressLineNumbers w:val="0"/>
              <w:jc w:val="left"/>
              <w:textAlignment w:val="center"/>
              <w:rPr>
                <w:rFonts w:hint="eastAsia" w:ascii="Times New Roman" w:hAnsi="Times New Roman" w:eastAsia="仿宋_GB2312" w:cs="仿宋_GB2312"/>
                <w:b/>
                <w:bCs/>
                <w:sz w:val="18"/>
                <w:szCs w:val="18"/>
                <w:highlight w:val="none"/>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年初批复</w:t>
            </w:r>
          </w:p>
        </w:tc>
        <w:tc>
          <w:tcPr>
            <w:tcW w:w="828" w:type="dxa"/>
            <w:vAlign w:val="center"/>
          </w:tcPr>
          <w:p>
            <w:pPr>
              <w:keepNext w:val="0"/>
              <w:keepLines w:val="0"/>
              <w:widowControl/>
              <w:suppressLineNumbers w:val="0"/>
              <w:jc w:val="left"/>
              <w:textAlignment w:val="center"/>
              <w:rPr>
                <w:rFonts w:hint="default" w:ascii="Times New Roman" w:hAnsi="Times New Roman" w:eastAsia="仿宋_GB2312" w:cs="仿宋_GB2312"/>
                <w:b/>
                <w:bCs/>
                <w:sz w:val="18"/>
                <w:szCs w:val="18"/>
                <w:highlight w:val="none"/>
                <w:lang w:val="en-US" w:eastAsia="zh-CN"/>
              </w:rPr>
            </w:pPr>
            <w:r>
              <w:rPr>
                <w:rFonts w:hint="eastAsia" w:ascii="Times New Roman" w:hAnsi="Times New Roman" w:eastAsia="仿宋_GB2312" w:cs="仿宋_GB2312"/>
                <w:b/>
                <w:bCs/>
                <w:sz w:val="18"/>
                <w:szCs w:val="18"/>
                <w:highlight w:val="none"/>
                <w:lang w:val="en-US" w:eastAsia="zh-CN"/>
              </w:rPr>
              <w:t>其他收入</w:t>
            </w:r>
          </w:p>
        </w:tc>
        <w:tc>
          <w:tcPr>
            <w:tcW w:w="860" w:type="dxa"/>
            <w:vAlign w:val="center"/>
          </w:tcPr>
          <w:p>
            <w:pPr>
              <w:keepNext w:val="0"/>
              <w:keepLines w:val="0"/>
              <w:widowControl/>
              <w:suppressLineNumbers w:val="0"/>
              <w:jc w:val="left"/>
              <w:textAlignment w:val="center"/>
              <w:rPr>
                <w:rFonts w:hint="default" w:ascii="Times New Roman" w:hAnsi="Times New Roman" w:eastAsia="仿宋_GB2312" w:cs="仿宋_GB2312"/>
                <w:b/>
                <w:bCs/>
                <w:sz w:val="18"/>
                <w:szCs w:val="18"/>
                <w:highlight w:val="none"/>
                <w:lang w:val="en-US"/>
              </w:rPr>
            </w:pPr>
            <w:r>
              <w:rPr>
                <w:rFonts w:hint="eastAsia" w:ascii="Times New Roman" w:hAnsi="Times New Roman" w:eastAsia="仿宋_GB2312" w:cs="仿宋_GB2312"/>
                <w:b/>
                <w:bCs/>
                <w:i w:val="0"/>
                <w:iCs w:val="0"/>
                <w:snapToGrid w:val="0"/>
                <w:color w:val="000000"/>
                <w:kern w:val="0"/>
                <w:sz w:val="18"/>
                <w:szCs w:val="18"/>
                <w:highlight w:val="none"/>
                <w:u w:val="none"/>
                <w:lang w:val="en-US" w:eastAsia="zh-CN" w:bidi="ar"/>
              </w:rPr>
              <w:t>上年结转</w:t>
            </w:r>
          </w:p>
        </w:tc>
        <w:tc>
          <w:tcPr>
            <w:tcW w:w="1096"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860"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c>
          <w:tcPr>
            <w:tcW w:w="515" w:type="dxa"/>
            <w:vMerge w:val="continue"/>
            <w:vAlign w:val="center"/>
          </w:tcPr>
          <w:p>
            <w:pPr>
              <w:widowControl w:val="0"/>
              <w:jc w:val="center"/>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Align w:val="center"/>
          </w:tcPr>
          <w:p>
            <w:pPr>
              <w:keepNext w:val="0"/>
              <w:keepLines w:val="0"/>
              <w:widowControl/>
              <w:suppressLineNumbers w:val="0"/>
              <w:jc w:val="left"/>
              <w:textAlignment w:val="center"/>
              <w:rPr>
                <w:rFonts w:hint="eastAsia" w:ascii="Times New Roman" w:hAnsi="Times New Roman" w:eastAsia="仿宋_GB2312" w:cs="宋体"/>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宋体"/>
                <w:b w:val="0"/>
                <w:bCs w:val="0"/>
                <w:i w:val="0"/>
                <w:iCs w:val="0"/>
                <w:snapToGrid w:val="0"/>
                <w:color w:val="000000"/>
                <w:kern w:val="0"/>
                <w:sz w:val="18"/>
                <w:szCs w:val="18"/>
                <w:highlight w:val="none"/>
                <w:u w:val="none"/>
                <w:lang w:val="en-US" w:eastAsia="zh-CN" w:bidi="ar"/>
              </w:rPr>
              <w:t>1</w:t>
            </w:r>
          </w:p>
        </w:tc>
        <w:tc>
          <w:tcPr>
            <w:tcW w:w="2278"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ascii="宋体" w:hAnsi="宋体" w:eastAsia="宋体" w:cs="宋体"/>
                <w:i w:val="0"/>
                <w:iCs w:val="0"/>
                <w:snapToGrid w:val="0"/>
                <w:color w:val="000000"/>
                <w:kern w:val="0"/>
                <w:sz w:val="18"/>
                <w:szCs w:val="18"/>
                <w:highlight w:val="none"/>
                <w:u w:val="none"/>
                <w:lang w:val="en-US" w:eastAsia="zh-CN" w:bidi="ar"/>
              </w:rPr>
              <w:t>南繁管理</w:t>
            </w:r>
          </w:p>
        </w:tc>
        <w:tc>
          <w:tcPr>
            <w:tcW w:w="71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vertAlign w:val="baseline"/>
                <w:lang w:val="en-US" w:eastAsia="zh-CN"/>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417.09</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lang w:val="en-US"/>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35.84</w:t>
            </w:r>
          </w:p>
        </w:tc>
        <w:tc>
          <w:tcPr>
            <w:tcW w:w="828"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lang w:val="en-US"/>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102.98</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278.27</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109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222.76</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194.33</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515"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Align w:val="center"/>
          </w:tcPr>
          <w:p>
            <w:pPr>
              <w:keepNext w:val="0"/>
              <w:keepLines w:val="0"/>
              <w:widowControl/>
              <w:suppressLineNumbers w:val="0"/>
              <w:tabs>
                <w:tab w:val="left" w:pos="273"/>
              </w:tabs>
              <w:jc w:val="left"/>
              <w:textAlignment w:val="center"/>
              <w:rPr>
                <w:rFonts w:hint="default" w:ascii="Times New Roman" w:hAnsi="Times New Roman" w:eastAsia="仿宋_GB2312" w:cs="仿宋_GB2312"/>
                <w:b w:val="0"/>
                <w:bCs w:val="0"/>
                <w:snapToGrid w:val="0"/>
                <w:color w:val="000000"/>
                <w:kern w:val="0"/>
                <w:sz w:val="18"/>
                <w:szCs w:val="18"/>
                <w:highlight w:val="none"/>
                <w:vertAlign w:val="baseline"/>
                <w:lang w:val="en-US" w:eastAsia="zh-CN" w:bidi="ar-SA"/>
              </w:rPr>
            </w:pPr>
            <w:r>
              <w:rPr>
                <w:rFonts w:hint="eastAsia" w:ascii="Times New Roman" w:hAnsi="Times New Roman" w:eastAsia="仿宋_GB2312" w:cs="仿宋_GB2312"/>
                <w:b w:val="0"/>
                <w:bCs w:val="0"/>
                <w:snapToGrid w:val="0"/>
                <w:color w:val="000000"/>
                <w:kern w:val="0"/>
                <w:sz w:val="18"/>
                <w:szCs w:val="18"/>
                <w:highlight w:val="none"/>
                <w:vertAlign w:val="baseline"/>
                <w:lang w:val="en-US" w:eastAsia="zh-CN" w:bidi="ar-SA"/>
              </w:rPr>
              <w:t>2</w:t>
            </w:r>
          </w:p>
        </w:tc>
        <w:tc>
          <w:tcPr>
            <w:tcW w:w="2278" w:type="dxa"/>
            <w:vAlign w:val="center"/>
          </w:tcPr>
          <w:p>
            <w:pPr>
              <w:keepNext w:val="0"/>
              <w:keepLines w:val="0"/>
              <w:widowControl/>
              <w:suppressLineNumbers w:val="0"/>
              <w:jc w:val="left"/>
              <w:textAlignment w:val="center"/>
              <w:rPr>
                <w:rFonts w:hint="eastAsia" w:ascii="Times New Roman" w:hAnsi="Times New Roman" w:eastAsia="仿宋_GB2312" w:cs="宋体"/>
                <w:b w:val="0"/>
                <w:bCs w:val="0"/>
                <w:i w:val="0"/>
                <w:iCs w:val="0"/>
                <w:snapToGrid w:val="0"/>
                <w:color w:val="000000"/>
                <w:kern w:val="0"/>
                <w:sz w:val="18"/>
                <w:szCs w:val="18"/>
                <w:highlight w:val="none"/>
                <w:u w:val="none"/>
                <w:lang w:val="en-US" w:eastAsia="zh-CN" w:bidi="ar"/>
              </w:rPr>
            </w:pPr>
            <w:r>
              <w:rPr>
                <w:rFonts w:ascii="宋体" w:hAnsi="宋体" w:eastAsia="宋体" w:cs="宋体"/>
                <w:i w:val="0"/>
                <w:iCs w:val="0"/>
                <w:snapToGrid w:val="0"/>
                <w:color w:val="000000"/>
                <w:kern w:val="0"/>
                <w:sz w:val="18"/>
                <w:szCs w:val="18"/>
                <w:highlight w:val="none"/>
                <w:u w:val="none"/>
                <w:lang w:val="en-US" w:eastAsia="zh-CN" w:bidi="ar"/>
              </w:rPr>
              <w:t>检测检验工作</w:t>
            </w:r>
          </w:p>
        </w:tc>
        <w:tc>
          <w:tcPr>
            <w:tcW w:w="71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8.00</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8.00</w:t>
            </w:r>
          </w:p>
        </w:tc>
        <w:tc>
          <w:tcPr>
            <w:tcW w:w="828"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0.00</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0.00</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109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0.00</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8.00</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515"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napToGrid w:val="0"/>
                <w:color w:val="000000"/>
                <w:kern w:val="0"/>
                <w:sz w:val="18"/>
                <w:szCs w:val="18"/>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Align w:val="center"/>
          </w:tcPr>
          <w:p>
            <w:pPr>
              <w:keepNext w:val="0"/>
              <w:keepLines w:val="0"/>
              <w:widowControl/>
              <w:suppressLineNumbers w:val="0"/>
              <w:jc w:val="left"/>
              <w:textAlignment w:val="center"/>
              <w:rPr>
                <w:rFonts w:hint="default" w:ascii="Times New Roman" w:hAnsi="Times New Roman" w:eastAsia="仿宋_GB2312" w:cs="仿宋_GB2312"/>
                <w:b w:val="0"/>
                <w:bCs w:val="0"/>
                <w:sz w:val="18"/>
                <w:szCs w:val="18"/>
                <w:highlight w:val="none"/>
                <w:vertAlign w:val="baseline"/>
                <w:lang w:val="en-US" w:eastAsia="zh-CN"/>
              </w:rPr>
            </w:pPr>
            <w:r>
              <w:rPr>
                <w:rFonts w:hint="eastAsia" w:ascii="Times New Roman" w:hAnsi="Times New Roman" w:eastAsia="仿宋_GB2312" w:cs="仿宋_GB2312"/>
                <w:b w:val="0"/>
                <w:bCs w:val="0"/>
                <w:sz w:val="18"/>
                <w:szCs w:val="18"/>
                <w:highlight w:val="none"/>
                <w:vertAlign w:val="baseline"/>
                <w:lang w:val="en-US" w:eastAsia="zh-CN"/>
              </w:rPr>
              <w:t>3</w:t>
            </w:r>
          </w:p>
        </w:tc>
        <w:tc>
          <w:tcPr>
            <w:tcW w:w="2278"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r>
              <w:rPr>
                <w:rFonts w:ascii="宋体" w:hAnsi="宋体" w:eastAsia="宋体" w:cs="宋体"/>
                <w:i w:val="0"/>
                <w:iCs w:val="0"/>
                <w:snapToGrid w:val="0"/>
                <w:color w:val="000000"/>
                <w:kern w:val="0"/>
                <w:sz w:val="18"/>
                <w:szCs w:val="18"/>
                <w:highlight w:val="none"/>
                <w:u w:val="none"/>
                <w:lang w:val="en-US" w:eastAsia="zh-CN" w:bidi="ar"/>
              </w:rPr>
              <w:t>南繁基地管理</w:t>
            </w:r>
          </w:p>
        </w:tc>
        <w:tc>
          <w:tcPr>
            <w:tcW w:w="711"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vertAlign w:val="baseline"/>
                <w:lang w:val="en-US" w:eastAsia="zh-CN"/>
              </w:rPr>
            </w:pP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80.00 </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rPr>
            </w:pP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80.00 </w:t>
            </w:r>
          </w:p>
        </w:tc>
        <w:tc>
          <w:tcPr>
            <w:tcW w:w="828"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rPr>
            </w:pP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0.00 </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z w:val="18"/>
                <w:szCs w:val="18"/>
                <w:highlight w:val="none"/>
              </w:rPr>
            </w:pP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0.00 </w:t>
            </w:r>
          </w:p>
        </w:tc>
        <w:tc>
          <w:tcPr>
            <w:tcW w:w="1096"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79.34</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860" w:type="dxa"/>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val="0"/>
                <w:bCs w:val="0"/>
                <w:i w:val="0"/>
                <w:iCs w:val="0"/>
                <w:snapToGrid w:val="0"/>
                <w:color w:val="000000"/>
                <w:kern w:val="0"/>
                <w:sz w:val="18"/>
                <w:szCs w:val="18"/>
                <w:highlight w:val="none"/>
                <w:u w:val="none"/>
                <w:lang w:val="en-US" w:eastAsia="zh-CN" w:bidi="ar"/>
              </w:rPr>
              <w:t>0.66</w:t>
            </w:r>
            <w: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t xml:space="preserve"> </w:t>
            </w:r>
          </w:p>
        </w:tc>
        <w:tc>
          <w:tcPr>
            <w:tcW w:w="515"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4" w:type="dxa"/>
            <w:vAlign w:val="center"/>
          </w:tcPr>
          <w:p>
            <w:pPr>
              <w:widowControl w:val="0"/>
              <w:jc w:val="center"/>
              <w:rPr>
                <w:rFonts w:hint="default" w:ascii="Times New Roman" w:hAnsi="Times New Roman" w:eastAsia="仿宋_GB2312" w:cs="仿宋_GB2312"/>
                <w:b w:val="0"/>
                <w:bCs w:val="0"/>
                <w:sz w:val="18"/>
                <w:szCs w:val="18"/>
                <w:highlight w:val="none"/>
                <w:vertAlign w:val="baseline"/>
                <w:lang w:val="en-US" w:eastAsia="zh-CN"/>
              </w:rPr>
            </w:pPr>
          </w:p>
        </w:tc>
        <w:tc>
          <w:tcPr>
            <w:tcW w:w="2278" w:type="dxa"/>
            <w:shd w:val="clear" w:color="auto" w:fill="auto"/>
            <w:vAlign w:val="center"/>
          </w:tcPr>
          <w:p>
            <w:pPr>
              <w:widowControl w:val="0"/>
              <w:jc w:val="center"/>
              <w:rPr>
                <w:rFonts w:hint="eastAsia" w:ascii="Times New Roman" w:hAnsi="Times New Roman" w:eastAsia="仿宋_GB2312" w:cs="仿宋_GB2312"/>
                <w:b w:val="0"/>
                <w:bCs w:val="0"/>
                <w:snapToGrid w:val="0"/>
                <w:color w:val="000000"/>
                <w:kern w:val="0"/>
                <w:sz w:val="18"/>
                <w:szCs w:val="18"/>
                <w:highlight w:val="none"/>
                <w:vertAlign w:val="baseline"/>
                <w:lang w:val="en-US" w:eastAsia="zh-CN" w:bidi="ar-SA"/>
              </w:rPr>
            </w:pPr>
            <w:r>
              <w:rPr>
                <w:rFonts w:hint="eastAsia" w:ascii="Times New Roman" w:hAnsi="Times New Roman" w:eastAsia="仿宋_GB2312" w:cs="宋体"/>
                <w:b/>
                <w:bCs/>
                <w:i w:val="0"/>
                <w:iCs w:val="0"/>
                <w:snapToGrid w:val="0"/>
                <w:color w:val="000000"/>
                <w:kern w:val="0"/>
                <w:sz w:val="18"/>
                <w:szCs w:val="18"/>
                <w:highlight w:val="none"/>
                <w:u w:val="none"/>
                <w:lang w:val="en-US" w:eastAsia="zh-CN" w:bidi="ar"/>
              </w:rPr>
              <w:t>总计</w:t>
            </w:r>
          </w:p>
        </w:tc>
        <w:tc>
          <w:tcPr>
            <w:tcW w:w="711"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仿宋_GB2312"/>
                <w:b w:val="0"/>
                <w:bCs w:val="0"/>
                <w:snapToGrid w:val="0"/>
                <w:color w:val="000000"/>
                <w:kern w:val="0"/>
                <w:sz w:val="18"/>
                <w:szCs w:val="18"/>
                <w:highlight w:val="none"/>
                <w:vertAlign w:val="baseline"/>
                <w:lang w:val="en-US" w:eastAsia="zh-CN" w:bidi="ar-SA"/>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505.09</w:t>
            </w:r>
            <w:r>
              <w:rPr>
                <w:rFonts w:hint="default" w:ascii="Times New Roman" w:hAnsi="Times New Roman" w:eastAsia="仿宋_GB2312" w:cs="Times New Roman"/>
                <w:b/>
                <w:bCs/>
                <w:i w:val="0"/>
                <w:iCs w:val="0"/>
                <w:snapToGrid w:val="0"/>
                <w:color w:val="000000"/>
                <w:kern w:val="0"/>
                <w:sz w:val="18"/>
                <w:szCs w:val="18"/>
                <w:highlight w:val="none"/>
                <w:u w:val="none"/>
                <w:lang w:val="en-US" w:eastAsia="zh-CN" w:bidi="ar"/>
              </w:rPr>
              <w:t xml:space="preserve"> </w:t>
            </w:r>
          </w:p>
        </w:tc>
        <w:tc>
          <w:tcPr>
            <w:tcW w:w="860"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napToGrid w:val="0"/>
                <w:color w:val="000000"/>
                <w:kern w:val="0"/>
                <w:sz w:val="18"/>
                <w:szCs w:val="18"/>
                <w:highlight w:val="none"/>
                <w:vertAlign w:val="baseline"/>
                <w:lang w:val="en-US" w:eastAsia="zh-CN" w:bidi="ar-SA"/>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123.84</w:t>
            </w:r>
            <w:r>
              <w:rPr>
                <w:rFonts w:hint="default" w:ascii="Times New Roman" w:hAnsi="Times New Roman" w:eastAsia="仿宋_GB2312" w:cs="Times New Roman"/>
                <w:b/>
                <w:bCs/>
                <w:i w:val="0"/>
                <w:iCs w:val="0"/>
                <w:snapToGrid w:val="0"/>
                <w:color w:val="000000"/>
                <w:kern w:val="0"/>
                <w:sz w:val="18"/>
                <w:szCs w:val="18"/>
                <w:highlight w:val="none"/>
                <w:u w:val="none"/>
                <w:lang w:val="en-US" w:eastAsia="zh-CN" w:bidi="ar"/>
              </w:rPr>
              <w:t xml:space="preserve"> </w:t>
            </w:r>
          </w:p>
        </w:tc>
        <w:tc>
          <w:tcPr>
            <w:tcW w:w="828"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napToGrid w:val="0"/>
                <w:color w:val="000000"/>
                <w:kern w:val="0"/>
                <w:sz w:val="18"/>
                <w:szCs w:val="18"/>
                <w:highlight w:val="none"/>
                <w:lang w:val="en-US" w:eastAsia="en-US" w:bidi="ar-SA"/>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102.98</w:t>
            </w:r>
            <w:r>
              <w:rPr>
                <w:rFonts w:hint="default" w:ascii="Times New Roman" w:hAnsi="Times New Roman" w:eastAsia="仿宋_GB2312" w:cs="Times New Roman"/>
                <w:b/>
                <w:bCs/>
                <w:i w:val="0"/>
                <w:iCs w:val="0"/>
                <w:snapToGrid w:val="0"/>
                <w:color w:val="000000"/>
                <w:kern w:val="0"/>
                <w:sz w:val="18"/>
                <w:szCs w:val="18"/>
                <w:highlight w:val="none"/>
                <w:u w:val="none"/>
                <w:lang w:val="en-US" w:eastAsia="zh-CN" w:bidi="ar"/>
              </w:rPr>
              <w:t xml:space="preserve"> </w:t>
            </w:r>
          </w:p>
        </w:tc>
        <w:tc>
          <w:tcPr>
            <w:tcW w:w="860"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napToGrid w:val="0"/>
                <w:color w:val="000000"/>
                <w:kern w:val="0"/>
                <w:sz w:val="18"/>
                <w:szCs w:val="18"/>
                <w:highlight w:val="none"/>
                <w:lang w:val="en-US" w:eastAsia="en-US" w:bidi="ar-SA"/>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278.27</w:t>
            </w:r>
            <w:r>
              <w:rPr>
                <w:rFonts w:hint="default" w:ascii="Times New Roman" w:hAnsi="Times New Roman" w:eastAsia="仿宋_GB2312" w:cs="Times New Roman"/>
                <w:b/>
                <w:bCs/>
                <w:i w:val="0"/>
                <w:iCs w:val="0"/>
                <w:snapToGrid w:val="0"/>
                <w:color w:val="000000"/>
                <w:kern w:val="0"/>
                <w:sz w:val="18"/>
                <w:szCs w:val="18"/>
                <w:highlight w:val="none"/>
                <w:u w:val="none"/>
                <w:lang w:val="en-US" w:eastAsia="zh-CN" w:bidi="ar"/>
              </w:rPr>
              <w:t xml:space="preserve"> </w:t>
            </w:r>
          </w:p>
        </w:tc>
        <w:tc>
          <w:tcPr>
            <w:tcW w:w="1096"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snapToGrid w:val="0"/>
                <w:color w:val="000000"/>
                <w:kern w:val="0"/>
                <w:sz w:val="18"/>
                <w:szCs w:val="18"/>
                <w:highlight w:val="none"/>
                <w:lang w:val="en-US" w:eastAsia="zh-CN" w:bidi="ar-SA"/>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302.10</w:t>
            </w:r>
          </w:p>
        </w:tc>
        <w:tc>
          <w:tcPr>
            <w:tcW w:w="860" w:type="dxa"/>
            <w:shd w:val="clear" w:color="auto" w:fill="auto"/>
            <w:vAlign w:val="center"/>
          </w:tcPr>
          <w:p>
            <w:pPr>
              <w:keepNext w:val="0"/>
              <w:keepLines w:val="0"/>
              <w:widowControl/>
              <w:suppressLineNumbers w:val="0"/>
              <w:jc w:val="right"/>
              <w:textAlignment w:val="center"/>
              <w:rPr>
                <w:rFonts w:hint="default" w:ascii="Times New Roman" w:hAnsi="Times New Roman" w:eastAsia="仿宋_GB2312" w:cs="Times New Roman"/>
                <w:b w:val="0"/>
                <w:bCs w:val="0"/>
                <w:i w:val="0"/>
                <w:iCs w:val="0"/>
                <w:snapToGrid w:val="0"/>
                <w:color w:val="000000"/>
                <w:kern w:val="0"/>
                <w:sz w:val="18"/>
                <w:szCs w:val="18"/>
                <w:highlight w:val="none"/>
                <w:u w:val="none"/>
                <w:lang w:val="en-US" w:eastAsia="zh-CN" w:bidi="ar"/>
              </w:rPr>
            </w:pPr>
            <w:r>
              <w:rPr>
                <w:rFonts w:hint="eastAsia" w:ascii="Times New Roman" w:hAnsi="Times New Roman" w:eastAsia="仿宋_GB2312" w:cs="Times New Roman"/>
                <w:b/>
                <w:bCs/>
                <w:i w:val="0"/>
                <w:iCs w:val="0"/>
                <w:snapToGrid w:val="0"/>
                <w:color w:val="000000"/>
                <w:kern w:val="0"/>
                <w:sz w:val="18"/>
                <w:szCs w:val="18"/>
                <w:highlight w:val="none"/>
                <w:u w:val="none"/>
                <w:lang w:val="en-US" w:eastAsia="zh-CN" w:bidi="ar"/>
              </w:rPr>
              <w:t>202.99</w:t>
            </w:r>
            <w:r>
              <w:rPr>
                <w:rFonts w:hint="default" w:ascii="Times New Roman" w:hAnsi="Times New Roman" w:eastAsia="仿宋_GB2312" w:cs="Times New Roman"/>
                <w:b/>
                <w:bCs/>
                <w:i w:val="0"/>
                <w:iCs w:val="0"/>
                <w:snapToGrid w:val="0"/>
                <w:color w:val="000000"/>
                <w:kern w:val="0"/>
                <w:sz w:val="18"/>
                <w:szCs w:val="18"/>
                <w:highlight w:val="none"/>
                <w:u w:val="none"/>
                <w:lang w:val="en-US" w:eastAsia="zh-CN" w:bidi="ar"/>
              </w:rPr>
              <w:t xml:space="preserve"> </w:t>
            </w:r>
          </w:p>
        </w:tc>
        <w:tc>
          <w:tcPr>
            <w:tcW w:w="515" w:type="dxa"/>
            <w:vAlign w:val="center"/>
          </w:tcPr>
          <w:p>
            <w:pPr>
              <w:keepNext w:val="0"/>
              <w:keepLines w:val="0"/>
              <w:widowControl/>
              <w:suppressLineNumbers w:val="0"/>
              <w:jc w:val="left"/>
              <w:textAlignment w:val="center"/>
              <w:rPr>
                <w:rFonts w:hint="eastAsia" w:ascii="Times New Roman" w:hAnsi="Times New Roman" w:eastAsia="仿宋_GB2312" w:cs="仿宋_GB2312"/>
                <w:b w:val="0"/>
                <w:bCs w:val="0"/>
                <w:sz w:val="18"/>
                <w:szCs w:val="18"/>
                <w:highlight w:val="none"/>
                <w:vertAlign w:val="baseline"/>
                <w:lang w:val="en-US" w:eastAsia="zh-CN"/>
              </w:rPr>
            </w:pP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hint="eastAsia" w:ascii="Times New Roman" w:hAnsi="Times New Roman" w:eastAsia="黑体" w:cs="黑体"/>
          <w:sz w:val="32"/>
          <w:szCs w:val="32"/>
          <w:lang w:val="en-US" w:eastAsia="zh-CN"/>
        </w:rPr>
        <w:t>三、</w:t>
      </w:r>
      <w:r>
        <w:rPr>
          <w:rFonts w:ascii="Times New Roman" w:hAnsi="Times New Roman" w:eastAsia="黑体" w:cs="黑体"/>
          <w:sz w:val="32"/>
          <w:szCs w:val="32"/>
        </w:rPr>
        <w:t>政府性基金预算支出情况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四</w:t>
      </w:r>
      <w:r>
        <w:rPr>
          <w:rFonts w:hint="eastAsia" w:ascii="Times New Roman" w:hAnsi="Times New Roman" w:eastAsia="黑体" w:cs="黑体"/>
          <w:sz w:val="32"/>
          <w:szCs w:val="32"/>
          <w:lang w:eastAsia="zh-CN"/>
        </w:rPr>
        <w:t>、</w:t>
      </w:r>
      <w:r>
        <w:rPr>
          <w:rFonts w:ascii="Times New Roman" w:hAnsi="Times New Roman" w:eastAsia="黑体" w:cs="黑体"/>
          <w:sz w:val="32"/>
          <w:szCs w:val="32"/>
        </w:rPr>
        <w:t>国有资本经营预算支出情况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ascii="Times New Roman" w:hAnsi="Times New Roman" w:eastAsia="黑体" w:cs="黑体"/>
          <w:sz w:val="32"/>
          <w:szCs w:val="32"/>
        </w:rPr>
      </w:pPr>
      <w:r>
        <w:rPr>
          <w:rFonts w:ascii="Times New Roman" w:hAnsi="Times New Roman" w:eastAsia="黑体" w:cs="黑体"/>
          <w:sz w:val="32"/>
          <w:szCs w:val="32"/>
        </w:rPr>
        <w:t>五</w:t>
      </w:r>
      <w:r>
        <w:rPr>
          <w:rFonts w:hint="eastAsia" w:ascii="Times New Roman" w:hAnsi="Times New Roman" w:eastAsia="黑体" w:cs="黑体"/>
          <w:sz w:val="32"/>
          <w:szCs w:val="32"/>
          <w:lang w:eastAsia="zh-CN"/>
        </w:rPr>
        <w:t>、</w:t>
      </w:r>
      <w:r>
        <w:rPr>
          <w:rFonts w:ascii="Times New Roman" w:hAnsi="Times New Roman" w:eastAsia="黑体" w:cs="黑体"/>
          <w:sz w:val="32"/>
          <w:szCs w:val="32"/>
        </w:rPr>
        <w:t>社会保险基金预算支出情况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firstLine="628" w:firstLineChars="200"/>
        <w:textAlignment w:val="baseline"/>
        <w:rPr>
          <w:rFonts w:ascii="Times New Roman" w:hAnsi="Times New Roman" w:eastAsia="黑体" w:cs="黑体"/>
          <w:b/>
          <w:bCs/>
          <w:spacing w:val="-5"/>
          <w:sz w:val="31"/>
          <w:szCs w:val="31"/>
        </w:rPr>
      </w:pPr>
      <w:r>
        <w:rPr>
          <w:rFonts w:hint="eastAsia" w:ascii="Times New Roman" w:hAnsi="Times New Roman" w:eastAsia="仿宋_GB2312" w:cs="仿宋_GB2312"/>
          <w:b/>
          <w:bCs/>
          <w:spacing w:val="-3"/>
          <w:sz w:val="32"/>
          <w:szCs w:val="32"/>
          <w:lang w:val="en-US" w:eastAsia="zh-CN"/>
        </w:rPr>
        <w:t>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Chars="0" w:firstLine="640" w:firstLineChars="200"/>
        <w:textAlignment w:val="baseline"/>
        <w:rPr>
          <w:rFonts w:ascii="Times New Roman" w:hAnsi="Times New Roman" w:eastAsia="黑体" w:cs="黑体"/>
          <w:b/>
          <w:bCs/>
          <w:spacing w:val="-8"/>
          <w:sz w:val="31"/>
          <w:szCs w:val="31"/>
          <w:highlight w:val="none"/>
        </w:rPr>
      </w:pPr>
      <w:r>
        <w:rPr>
          <w:rFonts w:hint="eastAsia" w:ascii="Times New Roman" w:hAnsi="Times New Roman" w:eastAsia="黑体" w:cs="黑体"/>
          <w:sz w:val="32"/>
          <w:szCs w:val="32"/>
          <w:highlight w:val="none"/>
          <w:lang w:val="en-US" w:eastAsia="zh-CN"/>
        </w:rPr>
        <w:t>六、</w:t>
      </w:r>
      <w:r>
        <w:rPr>
          <w:rFonts w:ascii="Times New Roman" w:hAnsi="Times New Roman" w:eastAsia="黑体" w:cs="黑体"/>
          <w:sz w:val="32"/>
          <w:szCs w:val="32"/>
          <w:highlight w:val="none"/>
        </w:rPr>
        <w:t>部门整体支出绩效情况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（一）加强政治学习，抓党建促工作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按照</w:t>
      </w:r>
      <w:r>
        <w:rPr>
          <w:rFonts w:hint="eastAsia" w:ascii="Times New Roman" w:hAnsi="Times New Roman" w:eastAsia="仿宋" w:cs="Times New Roman"/>
          <w:color w:val="000000"/>
          <w:sz w:val="32"/>
          <w:szCs w:val="32"/>
          <w:lang w:val="en-US" w:eastAsia="zh-CN"/>
        </w:rPr>
        <w:t>厅党组的统一部署</w:t>
      </w:r>
      <w:r>
        <w:rPr>
          <w:rFonts w:hint="eastAsia" w:ascii="Times New Roman" w:hAnsi="Times New Roman" w:eastAsia="仿宋" w:cs="Times New Roman"/>
          <w:color w:val="000000"/>
          <w:sz w:val="32"/>
          <w:szCs w:val="32"/>
          <w:lang w:val="en-US" w:eastAsia="en-US"/>
        </w:rPr>
        <w:t>，</w:t>
      </w:r>
      <w:r>
        <w:rPr>
          <w:rFonts w:hint="eastAsia" w:ascii="Times New Roman" w:hAnsi="Times New Roman" w:eastAsia="仿宋" w:cs="Times New Roman"/>
          <w:color w:val="000000"/>
          <w:sz w:val="32"/>
          <w:szCs w:val="32"/>
          <w:lang w:val="en-US" w:eastAsia="zh-CN"/>
        </w:rPr>
        <w:t>全年共</w:t>
      </w:r>
      <w:r>
        <w:rPr>
          <w:rFonts w:hint="eastAsia" w:ascii="Times New Roman" w:hAnsi="Times New Roman" w:eastAsia="仿宋" w:cs="Times New Roman"/>
          <w:color w:val="000000"/>
          <w:sz w:val="32"/>
          <w:szCs w:val="32"/>
          <w:lang w:val="en-US" w:eastAsia="en-US"/>
        </w:rPr>
        <w:t>组织全体干部职工集中开展政治学习</w:t>
      </w:r>
      <w:r>
        <w:rPr>
          <w:rFonts w:hint="eastAsia" w:ascii="Times New Roman" w:hAnsi="Times New Roman" w:eastAsia="仿宋" w:cs="Times New Roman"/>
          <w:color w:val="000000"/>
          <w:sz w:val="32"/>
          <w:szCs w:val="32"/>
          <w:lang w:val="en-US" w:eastAsia="zh-CN"/>
        </w:rPr>
        <w:t>12</w:t>
      </w:r>
      <w:r>
        <w:rPr>
          <w:rFonts w:hint="eastAsia" w:ascii="Times New Roman" w:hAnsi="Times New Roman" w:eastAsia="仿宋" w:cs="Times New Roman"/>
          <w:color w:val="000000"/>
          <w:sz w:val="32"/>
          <w:szCs w:val="32"/>
          <w:lang w:val="en-US" w:eastAsia="en-US"/>
        </w:rPr>
        <w:t>次，学习习近平同志中国共产党第二十次全国代表大会上的报告，学习《习近平新时代中国特色社会主义思想专题摘编》和学习厅党组《关于深入开展学习贯彻习近平新时代中国特色社会主义思想主题教育的实施方</w:t>
      </w:r>
      <w:r>
        <w:rPr>
          <w:rFonts w:hint="eastAsia" w:ascii="Times New Roman" w:hAnsi="Times New Roman" w:eastAsia="仿宋" w:cs="Times New Roman"/>
          <w:color w:val="000000"/>
          <w:sz w:val="32"/>
          <w:szCs w:val="32"/>
          <w:lang w:val="en-US" w:eastAsia="zh-CN"/>
        </w:rPr>
        <w:t>案</w:t>
      </w:r>
      <w:r>
        <w:rPr>
          <w:rFonts w:hint="eastAsia" w:ascii="Times New Roman" w:hAnsi="Times New Roman" w:eastAsia="仿宋" w:cs="Times New Roman"/>
          <w:color w:val="000000"/>
          <w:sz w:val="32"/>
          <w:szCs w:val="32"/>
          <w:lang w:val="en-US" w:eastAsia="en-US"/>
        </w:rPr>
        <w:t>》，深刻领会习近平总书记新时代中国特色社会主义思想的重大意义，进一步增强“四个意识”，坚定“四个自信”，做到“两个维护”，坚持党的领导、人民当家做主，坚决维护党中央的权威；同时要求全体干部职工加强学习，切实提高个人素质，加强个人修养;组织全体党员认真学习宪法和党章，深刻理解宪法和党章。做好党风廉政建设是我们每个党员和干部的责任。中心全体职工能够认真按照中央八项规定和省委九项规定精神开展工作，做到廉洁自律。</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val="en-US" w:eastAsia="en-US"/>
        </w:rPr>
      </w:pPr>
      <w:r>
        <w:rPr>
          <w:rFonts w:hint="eastAsia" w:ascii="Times New Roman" w:hAnsi="Times New Roman" w:eastAsia="仿宋" w:cs="Times New Roman"/>
          <w:color w:val="000000"/>
          <w:sz w:val="32"/>
          <w:szCs w:val="32"/>
          <w:lang w:val="en-US" w:eastAsia="en-US"/>
        </w:rPr>
        <w:t>汇编了支部202</w:t>
      </w:r>
      <w:r>
        <w:rPr>
          <w:rFonts w:hint="eastAsia" w:ascii="Times New Roman" w:hAnsi="Times New Roman" w:eastAsia="仿宋" w:cs="Times New Roman"/>
          <w:color w:val="000000"/>
          <w:sz w:val="32"/>
          <w:szCs w:val="32"/>
          <w:lang w:val="en-US" w:eastAsia="zh-CN"/>
        </w:rPr>
        <w:t>4</w:t>
      </w:r>
      <w:r>
        <w:rPr>
          <w:rFonts w:hint="eastAsia" w:ascii="Times New Roman" w:hAnsi="Times New Roman" w:eastAsia="仿宋" w:cs="Times New Roman"/>
          <w:color w:val="000000"/>
          <w:sz w:val="32"/>
          <w:szCs w:val="32"/>
          <w:lang w:val="en-US" w:eastAsia="en-US"/>
        </w:rPr>
        <w:t>年度党建材料</w:t>
      </w:r>
      <w:r>
        <w:rPr>
          <w:rFonts w:hint="eastAsia" w:ascii="Times New Roman" w:hAnsi="Times New Roman" w:eastAsia="仿宋" w:cs="Times New Roman"/>
          <w:color w:val="000000"/>
          <w:sz w:val="32"/>
          <w:szCs w:val="32"/>
          <w:lang w:val="en-US" w:eastAsia="zh-CN"/>
        </w:rPr>
        <w:t>。</w:t>
      </w:r>
      <w:r>
        <w:rPr>
          <w:rFonts w:hint="eastAsia" w:ascii="Times New Roman" w:hAnsi="Times New Roman" w:eastAsia="仿宋" w:cs="Times New Roman"/>
          <w:color w:val="000000"/>
          <w:sz w:val="32"/>
          <w:szCs w:val="32"/>
          <w:lang w:val="en-US" w:eastAsia="en-US"/>
        </w:rPr>
        <w:t>党建工作是我们单位的重中之重，为</w:t>
      </w:r>
      <w:r>
        <w:rPr>
          <w:rFonts w:hint="eastAsia" w:ascii="Times New Roman" w:hAnsi="Times New Roman" w:eastAsia="仿宋" w:cs="Times New Roman"/>
          <w:color w:val="000000"/>
          <w:sz w:val="32"/>
          <w:szCs w:val="32"/>
          <w:lang w:val="en-US" w:eastAsia="zh-CN"/>
        </w:rPr>
        <w:t>了总结提高此项工作</w:t>
      </w:r>
      <w:r>
        <w:rPr>
          <w:rFonts w:hint="eastAsia" w:ascii="Times New Roman" w:hAnsi="Times New Roman" w:eastAsia="仿宋" w:cs="Times New Roman"/>
          <w:color w:val="000000"/>
          <w:sz w:val="32"/>
          <w:szCs w:val="32"/>
          <w:lang w:val="en-US" w:eastAsia="en-US"/>
        </w:rPr>
        <w:t>，</w:t>
      </w:r>
      <w:r>
        <w:rPr>
          <w:rFonts w:hint="eastAsia" w:ascii="Times New Roman" w:hAnsi="Times New Roman" w:eastAsia="仿宋" w:cs="Times New Roman"/>
          <w:color w:val="000000"/>
          <w:sz w:val="32"/>
          <w:szCs w:val="32"/>
          <w:lang w:val="en-US" w:eastAsia="zh-CN"/>
        </w:rPr>
        <w:t>中心汇编</w:t>
      </w:r>
      <w:r>
        <w:rPr>
          <w:rFonts w:hint="eastAsia" w:ascii="Times New Roman" w:hAnsi="Times New Roman" w:eastAsia="仿宋" w:cs="Times New Roman"/>
          <w:color w:val="000000"/>
          <w:sz w:val="32"/>
          <w:szCs w:val="32"/>
          <w:lang w:val="en-US" w:eastAsia="en-US"/>
        </w:rPr>
        <w:t>了《中共湖南省种子质量检测与南繁中心支部委员会2022年度党建材料汇编》，</w:t>
      </w:r>
      <w:r>
        <w:rPr>
          <w:rFonts w:hint="eastAsia" w:ascii="Times New Roman" w:hAnsi="Times New Roman" w:eastAsia="仿宋" w:cs="Times New Roman"/>
          <w:color w:val="000000"/>
          <w:sz w:val="32"/>
          <w:szCs w:val="32"/>
          <w:lang w:val="en-US" w:eastAsia="zh-CN"/>
        </w:rPr>
        <w:t>内容包括</w:t>
      </w:r>
      <w:r>
        <w:rPr>
          <w:rFonts w:hint="eastAsia" w:ascii="Times New Roman" w:hAnsi="Times New Roman" w:eastAsia="仿宋" w:cs="Times New Roman"/>
          <w:color w:val="000000"/>
          <w:sz w:val="32"/>
          <w:szCs w:val="32"/>
          <w:lang w:val="en-US" w:eastAsia="en-US"/>
        </w:rPr>
        <w:t>支部工作计划、思想建设、党建活动、学习心得等方面，</w:t>
      </w:r>
      <w:r>
        <w:rPr>
          <w:rFonts w:hint="eastAsia" w:ascii="Times New Roman" w:hAnsi="Times New Roman" w:eastAsia="仿宋" w:cs="Times New Roman"/>
          <w:color w:val="000000"/>
          <w:sz w:val="32"/>
          <w:szCs w:val="32"/>
          <w:lang w:val="en-US" w:eastAsia="zh-CN"/>
        </w:rPr>
        <w:t>受到了厅机关党委和站总支的肯定</w:t>
      </w:r>
      <w:r>
        <w:rPr>
          <w:rFonts w:hint="eastAsia" w:ascii="Times New Roman" w:hAnsi="Times New Roman" w:eastAsia="仿宋" w:cs="Times New Roman"/>
          <w:color w:val="000000"/>
          <w:sz w:val="32"/>
          <w:szCs w:val="32"/>
          <w:lang w:val="en-US" w:eastAsia="en-US"/>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（二）规范管理，南繁工作成效显著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zh-CN"/>
        </w:rPr>
      </w:pPr>
      <w:r>
        <w:rPr>
          <w:rFonts w:hint="eastAsia" w:ascii="Times New Roman" w:hAnsi="Times New Roman" w:eastAsia="仿宋" w:cs="Times New Roman"/>
          <w:color w:val="000000"/>
          <w:sz w:val="32"/>
          <w:szCs w:val="32"/>
          <w:highlight w:val="none"/>
          <w:lang w:val="en-US" w:eastAsia="zh-CN"/>
        </w:rPr>
        <w:t>1、认真</w:t>
      </w:r>
      <w:r>
        <w:rPr>
          <w:rFonts w:hint="eastAsia" w:ascii="Times New Roman" w:hAnsi="Times New Roman" w:eastAsia="仿宋" w:cs="Times New Roman"/>
          <w:color w:val="000000"/>
          <w:sz w:val="32"/>
          <w:szCs w:val="32"/>
          <w:highlight w:val="none"/>
          <w:lang w:val="en-US" w:eastAsia="en-US"/>
        </w:rPr>
        <w:t>编</w:t>
      </w:r>
      <w:r>
        <w:rPr>
          <w:rFonts w:hint="eastAsia" w:ascii="Times New Roman" w:hAnsi="Times New Roman" w:eastAsia="仿宋" w:cs="Times New Roman"/>
          <w:color w:val="000000"/>
          <w:sz w:val="32"/>
          <w:szCs w:val="32"/>
          <w:highlight w:val="none"/>
          <w:lang w:val="en-US" w:eastAsia="zh-CN"/>
        </w:rPr>
        <w:t>写</w:t>
      </w:r>
      <w:r>
        <w:rPr>
          <w:rFonts w:hint="eastAsia" w:ascii="Times New Roman" w:hAnsi="Times New Roman" w:eastAsia="仿宋" w:cs="Times New Roman"/>
          <w:color w:val="000000"/>
          <w:sz w:val="32"/>
          <w:szCs w:val="32"/>
          <w:highlight w:val="none"/>
          <w:lang w:val="en-US" w:eastAsia="en-US"/>
        </w:rPr>
        <w:t>了南繁工作指南</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为了让各南繁单位</w:t>
      </w:r>
      <w:r>
        <w:rPr>
          <w:rFonts w:hint="eastAsia" w:ascii="Times New Roman" w:hAnsi="Times New Roman" w:eastAsia="仿宋" w:cs="Times New Roman"/>
          <w:color w:val="000000"/>
          <w:sz w:val="32"/>
          <w:szCs w:val="32"/>
          <w:highlight w:val="none"/>
          <w:lang w:val="en-US" w:eastAsia="zh-CN"/>
        </w:rPr>
        <w:t>依</w:t>
      </w:r>
      <w:r>
        <w:rPr>
          <w:rFonts w:hint="eastAsia" w:ascii="Times New Roman" w:hAnsi="Times New Roman" w:eastAsia="仿宋" w:cs="Times New Roman"/>
          <w:color w:val="000000"/>
          <w:sz w:val="32"/>
          <w:szCs w:val="32"/>
          <w:highlight w:val="none"/>
          <w:lang w:val="en-US" w:eastAsia="en-US"/>
        </w:rPr>
        <w:t>法</w:t>
      </w:r>
      <w:r>
        <w:rPr>
          <w:rFonts w:hint="eastAsia" w:ascii="Times New Roman" w:hAnsi="Times New Roman" w:eastAsia="仿宋" w:cs="Times New Roman"/>
          <w:color w:val="000000"/>
          <w:sz w:val="32"/>
          <w:szCs w:val="32"/>
          <w:highlight w:val="none"/>
          <w:lang w:val="en-US" w:eastAsia="zh-CN"/>
        </w:rPr>
        <w:t>依</w:t>
      </w:r>
      <w:r>
        <w:rPr>
          <w:rFonts w:hint="eastAsia" w:ascii="Times New Roman" w:hAnsi="Times New Roman" w:eastAsia="仿宋" w:cs="Times New Roman"/>
          <w:color w:val="000000"/>
          <w:sz w:val="32"/>
          <w:szCs w:val="32"/>
          <w:highlight w:val="none"/>
          <w:lang w:val="en-US" w:eastAsia="en-US"/>
        </w:rPr>
        <w:t>规的从事南繁作业，中心整理编</w:t>
      </w:r>
      <w:r>
        <w:rPr>
          <w:rFonts w:hint="eastAsia" w:ascii="Times New Roman" w:hAnsi="Times New Roman" w:eastAsia="仿宋" w:cs="Times New Roman"/>
          <w:color w:val="000000"/>
          <w:sz w:val="32"/>
          <w:szCs w:val="32"/>
          <w:highlight w:val="none"/>
          <w:lang w:val="en-US" w:eastAsia="zh-CN"/>
        </w:rPr>
        <w:t>写</w:t>
      </w:r>
      <w:r>
        <w:rPr>
          <w:rFonts w:hint="eastAsia" w:ascii="Times New Roman" w:hAnsi="Times New Roman" w:eastAsia="仿宋" w:cs="Times New Roman"/>
          <w:color w:val="000000"/>
          <w:sz w:val="32"/>
          <w:szCs w:val="32"/>
          <w:highlight w:val="none"/>
          <w:lang w:val="en-US" w:eastAsia="en-US"/>
        </w:rPr>
        <w:t>了《南繁工作指南》，</w:t>
      </w:r>
      <w:r>
        <w:rPr>
          <w:rFonts w:hint="eastAsia" w:ascii="Times New Roman" w:hAnsi="Times New Roman" w:eastAsia="仿宋" w:cs="Times New Roman"/>
          <w:color w:val="000000"/>
          <w:sz w:val="32"/>
          <w:szCs w:val="32"/>
          <w:highlight w:val="none"/>
          <w:lang w:val="en-US" w:eastAsia="zh-CN"/>
        </w:rPr>
        <w:t>内容包括</w:t>
      </w:r>
      <w:r>
        <w:rPr>
          <w:rFonts w:hint="eastAsia" w:ascii="Times New Roman" w:hAnsi="Times New Roman" w:eastAsia="仿宋" w:cs="Times New Roman"/>
          <w:color w:val="000000"/>
          <w:sz w:val="32"/>
          <w:szCs w:val="32"/>
          <w:highlight w:val="none"/>
          <w:lang w:val="en-US" w:eastAsia="en-US"/>
        </w:rPr>
        <w:t>南繁规划、法律法规、南繁工作流程和我省南繁基本情况，</w:t>
      </w:r>
      <w:r>
        <w:rPr>
          <w:rFonts w:hint="eastAsia" w:ascii="Times New Roman" w:hAnsi="Times New Roman" w:eastAsia="仿宋" w:cs="Times New Roman"/>
          <w:color w:val="000000"/>
          <w:sz w:val="32"/>
          <w:szCs w:val="32"/>
          <w:highlight w:val="none"/>
          <w:lang w:val="en-US" w:eastAsia="zh-CN"/>
        </w:rPr>
        <w:t>是</w:t>
      </w:r>
      <w:r>
        <w:rPr>
          <w:rFonts w:hint="eastAsia" w:ascii="Times New Roman" w:hAnsi="Times New Roman" w:eastAsia="仿宋" w:cs="Times New Roman"/>
          <w:color w:val="000000"/>
          <w:sz w:val="32"/>
          <w:szCs w:val="32"/>
          <w:highlight w:val="none"/>
          <w:lang w:val="en-US" w:eastAsia="en-US"/>
        </w:rPr>
        <w:t>南繁工作</w:t>
      </w:r>
      <w:r>
        <w:rPr>
          <w:rFonts w:hint="eastAsia" w:ascii="Times New Roman" w:hAnsi="Times New Roman" w:eastAsia="仿宋" w:cs="Times New Roman"/>
          <w:color w:val="000000"/>
          <w:sz w:val="32"/>
          <w:szCs w:val="32"/>
          <w:highlight w:val="none"/>
          <w:lang w:val="en-US" w:eastAsia="zh-CN"/>
        </w:rPr>
        <w:t>者的工具书和参考书。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2</w:t>
      </w:r>
      <w:r>
        <w:rPr>
          <w:rFonts w:hint="eastAsia" w:ascii="Times New Roman" w:hAnsi="Times New Roman" w:eastAsia="仿宋" w:cs="Times New Roman"/>
          <w:color w:val="000000"/>
          <w:sz w:val="32"/>
          <w:szCs w:val="32"/>
          <w:highlight w:val="none"/>
          <w:lang w:val="en-US" w:eastAsia="en-US"/>
        </w:rPr>
        <w:t>、高效使用科研用地</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今年有</w:t>
      </w:r>
      <w:r>
        <w:rPr>
          <w:rFonts w:hint="eastAsia" w:ascii="Times New Roman" w:hAnsi="Times New Roman" w:eastAsia="仿宋" w:cs="Times New Roman"/>
          <w:color w:val="000000"/>
          <w:sz w:val="32"/>
          <w:szCs w:val="32"/>
          <w:highlight w:val="none"/>
          <w:lang w:val="en-US" w:eastAsia="zh-CN"/>
        </w:rPr>
        <w:t>40多</w:t>
      </w:r>
      <w:r>
        <w:rPr>
          <w:rFonts w:hint="eastAsia" w:ascii="Times New Roman" w:hAnsi="Times New Roman" w:eastAsia="仿宋" w:cs="Times New Roman"/>
          <w:color w:val="000000"/>
          <w:sz w:val="32"/>
          <w:szCs w:val="32"/>
          <w:highlight w:val="none"/>
          <w:lang w:val="en-US" w:eastAsia="en-US"/>
        </w:rPr>
        <w:t>家单位进驻湖南省南繁科研育种园开展南繁育制种作业，常驻单位的科研用地使用率为100%，机动土地大部分已出租使用，园区土地综合使用率达96%，园区内科研用地得到高效利用，成</w:t>
      </w:r>
      <w:r>
        <w:rPr>
          <w:rFonts w:hint="eastAsia" w:ascii="Times New Roman" w:hAnsi="Times New Roman" w:eastAsia="仿宋" w:cs="Times New Roman"/>
          <w:color w:val="000000"/>
          <w:sz w:val="32"/>
          <w:szCs w:val="32"/>
          <w:highlight w:val="none"/>
          <w:lang w:val="en-US" w:eastAsia="zh-CN"/>
        </w:rPr>
        <w:t>效</w:t>
      </w:r>
      <w:r>
        <w:rPr>
          <w:rFonts w:hint="eastAsia" w:ascii="Times New Roman" w:hAnsi="Times New Roman" w:eastAsia="仿宋" w:cs="Times New Roman"/>
          <w:color w:val="000000"/>
          <w:sz w:val="32"/>
          <w:szCs w:val="32"/>
          <w:highlight w:val="none"/>
          <w:lang w:val="en-US" w:eastAsia="en-US"/>
        </w:rPr>
        <w:t>显著。</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3</w:t>
      </w:r>
      <w:r>
        <w:rPr>
          <w:rFonts w:hint="eastAsia" w:ascii="Times New Roman" w:hAnsi="Times New Roman" w:eastAsia="仿宋" w:cs="Times New Roman"/>
          <w:color w:val="000000"/>
          <w:sz w:val="32"/>
          <w:szCs w:val="32"/>
          <w:highlight w:val="none"/>
          <w:lang w:val="en-US" w:eastAsia="en-US"/>
        </w:rPr>
        <w:t>、成功举办了首届南繁科研育种工作交流会</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为</w:t>
      </w:r>
      <w:r>
        <w:rPr>
          <w:rFonts w:hint="eastAsia" w:ascii="Times New Roman" w:hAnsi="Times New Roman" w:eastAsia="仿宋" w:cs="Times New Roman"/>
          <w:color w:val="000000"/>
          <w:sz w:val="32"/>
          <w:szCs w:val="32"/>
          <w:highlight w:val="none"/>
          <w:lang w:val="en-US" w:eastAsia="zh-CN"/>
        </w:rPr>
        <w:t>了提升南繁育种效率、提高育种水平</w:t>
      </w:r>
      <w:r>
        <w:rPr>
          <w:rFonts w:hint="eastAsia" w:ascii="Times New Roman" w:hAnsi="Times New Roman" w:eastAsia="仿宋" w:cs="Times New Roman"/>
          <w:color w:val="000000"/>
          <w:sz w:val="32"/>
          <w:szCs w:val="32"/>
          <w:highlight w:val="none"/>
          <w:lang w:val="en-US" w:eastAsia="en-US"/>
        </w:rPr>
        <w:t>，今年4月</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中心在陵水组织召开了首届南繁科研育种工作交流会，</w:t>
      </w:r>
      <w:r>
        <w:rPr>
          <w:rFonts w:hint="eastAsia" w:ascii="Times New Roman" w:hAnsi="Times New Roman" w:eastAsia="仿宋" w:cs="Times New Roman"/>
          <w:color w:val="000000"/>
          <w:sz w:val="32"/>
          <w:szCs w:val="32"/>
          <w:highlight w:val="none"/>
          <w:lang w:val="en-US" w:eastAsia="zh-CN"/>
        </w:rPr>
        <w:t>全省40多</w:t>
      </w:r>
      <w:r>
        <w:rPr>
          <w:rFonts w:hint="eastAsia" w:ascii="Times New Roman" w:hAnsi="Times New Roman" w:eastAsia="仿宋" w:cs="Times New Roman"/>
          <w:color w:val="000000"/>
          <w:sz w:val="32"/>
          <w:szCs w:val="32"/>
          <w:highlight w:val="none"/>
          <w:lang w:val="en-US" w:eastAsia="en-US"/>
        </w:rPr>
        <w:t>家单位</w:t>
      </w:r>
      <w:r>
        <w:rPr>
          <w:rFonts w:hint="eastAsia" w:ascii="Times New Roman" w:hAnsi="Times New Roman" w:eastAsia="仿宋" w:cs="Times New Roman"/>
          <w:color w:val="000000"/>
          <w:sz w:val="32"/>
          <w:szCs w:val="32"/>
          <w:highlight w:val="none"/>
          <w:lang w:val="en-US" w:eastAsia="zh-CN"/>
        </w:rPr>
        <w:t>近百</w:t>
      </w:r>
      <w:r>
        <w:rPr>
          <w:rFonts w:hint="eastAsia" w:ascii="Times New Roman" w:hAnsi="Times New Roman" w:eastAsia="仿宋" w:cs="Times New Roman"/>
          <w:color w:val="000000"/>
          <w:sz w:val="32"/>
          <w:szCs w:val="32"/>
          <w:highlight w:val="none"/>
          <w:lang w:val="en-US" w:eastAsia="en-US"/>
        </w:rPr>
        <w:t>名南繁育种专家参会</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亚华科学院杨远柱院长</w:t>
      </w:r>
      <w:r>
        <w:rPr>
          <w:rFonts w:hint="eastAsia" w:ascii="Times New Roman" w:hAnsi="Times New Roman" w:eastAsia="仿宋" w:cs="Times New Roman"/>
          <w:color w:val="000000"/>
          <w:sz w:val="32"/>
          <w:szCs w:val="32"/>
          <w:highlight w:val="none"/>
          <w:lang w:val="en-US" w:eastAsia="zh-CN"/>
        </w:rPr>
        <w:t>讲授</w:t>
      </w:r>
      <w:r>
        <w:rPr>
          <w:rFonts w:hint="eastAsia" w:ascii="Times New Roman" w:hAnsi="Times New Roman" w:eastAsia="仿宋" w:cs="Times New Roman"/>
          <w:color w:val="000000"/>
          <w:sz w:val="32"/>
          <w:szCs w:val="32"/>
          <w:highlight w:val="none"/>
          <w:lang w:val="en-US" w:eastAsia="en-US"/>
        </w:rPr>
        <w:t>“杂交水稻商业化育种方法与实践</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 xml:space="preserve"> 各南繁单位的专家就水稻南繁科研育种</w:t>
      </w:r>
      <w:r>
        <w:rPr>
          <w:rFonts w:hint="eastAsia" w:ascii="Times New Roman" w:hAnsi="Times New Roman" w:eastAsia="仿宋" w:cs="Times New Roman"/>
          <w:color w:val="000000"/>
          <w:sz w:val="32"/>
          <w:szCs w:val="32"/>
          <w:highlight w:val="none"/>
          <w:lang w:val="en-US" w:eastAsia="zh-CN"/>
        </w:rPr>
        <w:t>最新方法和进展</w:t>
      </w:r>
      <w:r>
        <w:rPr>
          <w:rFonts w:hint="eastAsia" w:ascii="Times New Roman" w:hAnsi="Times New Roman" w:eastAsia="仿宋" w:cs="Times New Roman"/>
          <w:color w:val="000000"/>
          <w:sz w:val="32"/>
          <w:szCs w:val="32"/>
          <w:highlight w:val="none"/>
          <w:lang w:val="en-US" w:eastAsia="en-US"/>
        </w:rPr>
        <w:t>进行了交流探讨，分享了工作经验</w:t>
      </w:r>
      <w:r>
        <w:rPr>
          <w:rFonts w:hint="eastAsia" w:ascii="Times New Roman" w:hAnsi="Times New Roman" w:eastAsia="仿宋" w:cs="Times New Roman"/>
          <w:color w:val="000000"/>
          <w:sz w:val="32"/>
          <w:szCs w:val="32"/>
          <w:highlight w:val="none"/>
          <w:lang w:val="en-US" w:eastAsia="zh-CN"/>
        </w:rPr>
        <w:t>。会议为南繁育种</w:t>
      </w:r>
      <w:r>
        <w:rPr>
          <w:rFonts w:hint="eastAsia" w:ascii="Times New Roman" w:hAnsi="Times New Roman" w:eastAsia="仿宋" w:cs="Times New Roman"/>
          <w:color w:val="000000"/>
          <w:sz w:val="32"/>
          <w:szCs w:val="32"/>
          <w:highlight w:val="none"/>
          <w:lang w:val="en-US" w:eastAsia="en-US"/>
        </w:rPr>
        <w:t>人员</w:t>
      </w:r>
      <w:r>
        <w:rPr>
          <w:rFonts w:hint="eastAsia" w:ascii="Times New Roman" w:hAnsi="Times New Roman" w:eastAsia="仿宋" w:cs="Times New Roman"/>
          <w:color w:val="000000"/>
          <w:sz w:val="32"/>
          <w:szCs w:val="32"/>
          <w:highlight w:val="none"/>
          <w:lang w:val="en-US" w:eastAsia="zh-CN"/>
        </w:rPr>
        <w:t>提供了思想碰撞的舞台，参会人员普遍反映收获颇丰。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4</w:t>
      </w:r>
      <w:r>
        <w:rPr>
          <w:rFonts w:hint="eastAsia" w:ascii="Times New Roman" w:hAnsi="Times New Roman" w:eastAsia="仿宋" w:cs="Times New Roman"/>
          <w:color w:val="000000"/>
          <w:sz w:val="32"/>
          <w:szCs w:val="32"/>
          <w:highlight w:val="none"/>
          <w:lang w:val="en-US" w:eastAsia="en-US"/>
        </w:rPr>
        <w:t>、协助完成了臻两优8612种子生产全过程监管</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为解决湖南大米镉超标问题，省政府决定在全省推广120万亩镉低积累水稻品种臻两优8612。亚华种业在海南安排了一万亩种子生产任务，在整个生产季节，中心多次派人到生产基地协调处理种子生产中存在问题，协助监管种子质量，共编写种子生产形势简报9期，确保120万公斤种子生产按质按量按时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5</w:t>
      </w:r>
      <w:r>
        <w:rPr>
          <w:rFonts w:hint="eastAsia" w:ascii="Times New Roman" w:hAnsi="Times New Roman" w:eastAsia="仿宋" w:cs="Times New Roman"/>
          <w:color w:val="000000"/>
          <w:sz w:val="32"/>
          <w:szCs w:val="32"/>
          <w:highlight w:val="none"/>
          <w:lang w:val="en-US" w:eastAsia="en-US"/>
        </w:rPr>
        <w:t>、建立了平安创建警务室</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为了进一步加强警民团结，密切警民关系，增进警民情谊，积极促进陵水黎族自治县精神文明建设，推动现代农业发展，着力打造“育种陵水”名片，维护湖南省南繁科研育种园及周边地区的政治稳定和治安安定，保障园区正常作业。经椰林镇派出所、椰林海岸派出所和湖南省农作物种子南繁中心共同商定，三方结成警民共建单位，在园区内主干道设立警务室一座，由椰林镇派出所和椰林海岸派出所派驻警务人员负责警务室的日常工作和园区巡视工作</w:t>
      </w:r>
      <w:r>
        <w:rPr>
          <w:rFonts w:hint="eastAsia" w:ascii="Times New Roman" w:hAnsi="Times New Roman" w:eastAsia="仿宋" w:cs="Times New Roman"/>
          <w:color w:val="000000"/>
          <w:sz w:val="32"/>
          <w:szCs w:val="32"/>
          <w:highlight w:val="none"/>
          <w:lang w:val="en-US" w:eastAsia="zh-CN"/>
        </w:rPr>
        <w:t>，园区育种材料更安全</w:t>
      </w:r>
      <w:r>
        <w:rPr>
          <w:rFonts w:hint="eastAsia" w:ascii="Times New Roman" w:hAnsi="Times New Roman" w:eastAsia="仿宋" w:cs="Times New Roman"/>
          <w:color w:val="000000"/>
          <w:sz w:val="32"/>
          <w:szCs w:val="32"/>
          <w:highlight w:val="none"/>
          <w:lang w:val="en-US" w:eastAsia="en-US"/>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6</w:t>
      </w:r>
      <w:r>
        <w:rPr>
          <w:rFonts w:hint="eastAsia" w:ascii="Times New Roman" w:hAnsi="Times New Roman" w:eastAsia="仿宋" w:cs="Times New Roman"/>
          <w:color w:val="000000"/>
          <w:sz w:val="32"/>
          <w:szCs w:val="32"/>
          <w:highlight w:val="none"/>
          <w:lang w:val="en-US" w:eastAsia="en-US"/>
        </w:rPr>
        <w:t>、</w:t>
      </w:r>
      <w:r>
        <w:rPr>
          <w:rFonts w:hint="eastAsia" w:ascii="Times New Roman" w:hAnsi="Times New Roman" w:eastAsia="仿宋" w:cs="Times New Roman"/>
          <w:color w:val="000000"/>
          <w:sz w:val="32"/>
          <w:szCs w:val="32"/>
          <w:highlight w:val="none"/>
          <w:lang w:val="en-US" w:eastAsia="zh-CN"/>
        </w:rPr>
        <w:t>及时进行</w:t>
      </w:r>
      <w:r>
        <w:rPr>
          <w:rFonts w:hint="eastAsia" w:ascii="Times New Roman" w:hAnsi="Times New Roman" w:eastAsia="仿宋" w:cs="Times New Roman"/>
          <w:color w:val="000000"/>
          <w:sz w:val="32"/>
          <w:szCs w:val="32"/>
          <w:highlight w:val="none"/>
          <w:lang w:val="en-US" w:eastAsia="en-US"/>
        </w:rPr>
        <w:t>了陵水园区围栏修复和水沟清理工作</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海南雨水充沛，空气盐分高，日照强度高，陵水园区围栏经过4年时间，部分有开裂和破皮现象，为了园区的美化和安全，中心聘请专业人员，通过全面检查，确定修复范围和标准，及时修复，延长了围栏使用寿命。非南繁季，田间杂草丛生，水沟内产生较多垃圾和淤泥，为了南繁季节能满足各单位用水需求，中心聘请人员割草和清理水沟水渠，保证水渠通畅。</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 w:cs="Times New Roman"/>
          <w:color w:val="000000"/>
          <w:sz w:val="32"/>
          <w:szCs w:val="32"/>
          <w:highlight w:val="none"/>
          <w:lang w:val="en-US" w:eastAsia="zh-CN"/>
        </w:rPr>
      </w:pPr>
      <w:r>
        <w:rPr>
          <w:rFonts w:hint="eastAsia" w:ascii="Times New Roman" w:hAnsi="Times New Roman" w:eastAsia="仿宋" w:cs="Times New Roman"/>
          <w:color w:val="000000"/>
          <w:sz w:val="32"/>
          <w:szCs w:val="32"/>
          <w:highlight w:val="none"/>
          <w:lang w:val="en-US" w:eastAsia="zh-CN"/>
        </w:rPr>
        <w:t>7、设法争取了海南省的项目建设资金。随着省南繁科研育种园影响力扩大，海南当地政府对我省南繁工作力度也在加大，今年陵水县安排了15万元维护资金，海南省财政计划安排100万元首批项目提升资金。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zh-CN"/>
        </w:rPr>
        <w:t>（三）对照标准、严格</w:t>
      </w:r>
      <w:r>
        <w:rPr>
          <w:rFonts w:hint="eastAsia" w:ascii="Times New Roman" w:hAnsi="Times New Roman" w:eastAsia="仿宋" w:cs="Times New Roman"/>
          <w:color w:val="000000"/>
          <w:sz w:val="32"/>
          <w:szCs w:val="32"/>
          <w:highlight w:val="none"/>
          <w:lang w:val="en-US" w:eastAsia="en-US"/>
        </w:rPr>
        <w:t>综合财务工作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en-US"/>
        </w:rPr>
        <w:t>1、全面开展各项综合工作。完成了中心的事业单位法人证书、银行基本账户等的年检工作；五险一金年检等各项工作按质按量适时完成。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10" w:leftChars="-100"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en-US"/>
        </w:rPr>
        <w:t>2、积极做好职工职称晋升和薪级工资的调薪晋级工作和每月工资按时发放工作，坚决在国家政策允许的情况下做好中心的福利工作,认真、仔细做好在职人员养老保险和事业年金的核算和缴纳工作，同时做好退休人员一般性事务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highlight w:val="none"/>
          <w:lang w:val="en-US" w:eastAsia="en-US"/>
        </w:rPr>
      </w:pPr>
      <w:r>
        <w:rPr>
          <w:rFonts w:hint="eastAsia" w:ascii="Times New Roman" w:hAnsi="Times New Roman" w:eastAsia="仿宋" w:cs="Times New Roman"/>
          <w:color w:val="000000"/>
          <w:sz w:val="32"/>
          <w:szCs w:val="32"/>
          <w:highlight w:val="none"/>
          <w:lang w:val="en-US" w:eastAsia="en-US"/>
        </w:rPr>
        <w:t>3、规范工作纪律。严格执行中心制定的《考勤制度》，要求职工都要按制度执行，严肃上班纪律和工作作风，并与个人年终考核和绩效工资挂钩，杜绝出现迟到早退和无故旷工等现象。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黑体" w:cs="黑体"/>
          <w:b/>
          <w:bCs/>
          <w:spacing w:val="-8"/>
          <w:sz w:val="31"/>
          <w:szCs w:val="31"/>
        </w:rPr>
      </w:pPr>
      <w:r>
        <w:rPr>
          <w:rFonts w:hint="eastAsia" w:ascii="Times New Roman" w:hAnsi="Times New Roman" w:eastAsia="仿宋" w:cs="Times New Roman"/>
          <w:color w:val="000000"/>
          <w:sz w:val="32"/>
          <w:szCs w:val="32"/>
          <w:highlight w:val="none"/>
          <w:lang w:val="en-US" w:eastAsia="en-US"/>
        </w:rPr>
        <w:t>4</w:t>
      </w:r>
      <w:r>
        <w:rPr>
          <w:rFonts w:hint="eastAsia" w:ascii="Times New Roman" w:hAnsi="Times New Roman" w:eastAsia="仿宋" w:cs="Times New Roman"/>
          <w:color w:val="000000"/>
          <w:sz w:val="32"/>
          <w:szCs w:val="32"/>
          <w:highlight w:val="none"/>
          <w:lang w:val="en-US" w:eastAsia="zh-CN"/>
        </w:rPr>
        <w:t>、</w:t>
      </w:r>
      <w:r>
        <w:rPr>
          <w:rFonts w:hint="eastAsia" w:ascii="Times New Roman" w:hAnsi="Times New Roman" w:eastAsia="仿宋" w:cs="Times New Roman"/>
          <w:color w:val="000000"/>
          <w:sz w:val="32"/>
          <w:szCs w:val="32"/>
          <w:highlight w:val="none"/>
          <w:lang w:val="en-US" w:eastAsia="en-US"/>
        </w:rPr>
        <w:t>节支增效，加强办公室水电管理，获得了2022年度省级公共机构节水型单位称号。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七、存在的问题及原因分析</w:t>
      </w:r>
    </w:p>
    <w:p>
      <w:pPr>
        <w:snapToGrid w:val="0"/>
        <w:spacing w:line="580" w:lineRule="exact"/>
        <w:ind w:firstLine="640" w:firstLineChars="200"/>
        <w:rPr>
          <w:rFonts w:hint="eastAsia" w:ascii="Times New Roman" w:hAnsi="Times New Roman" w:eastAsia="仿宋_GB2312" w:cs="仿宋_GB2312"/>
          <w:b/>
          <w:bCs/>
          <w:spacing w:val="-4"/>
          <w:sz w:val="32"/>
          <w:szCs w:val="32"/>
        </w:rPr>
      </w:pPr>
      <w:r>
        <w:rPr>
          <w:rFonts w:hint="eastAsia" w:ascii="Times New Roman" w:hAnsi="Times New Roman" w:eastAsia="仿宋" w:cs="Times New Roman"/>
          <w:color w:val="000000"/>
          <w:sz w:val="32"/>
          <w:szCs w:val="32"/>
          <w:lang w:val="en-US" w:eastAsia="zh-CN"/>
        </w:rPr>
        <w:t>绩效管理有待进一步加强。我中心部分项目绩效目标申报欠全面，未根据项目具体内容全面申报数量、质量、时效、成本、经济效益、社会效益、生态效益和可持续性发展指标。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八、下一步改进措施</w:t>
      </w: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val="en-US" w:eastAsia="zh-CN"/>
        </w:rPr>
      </w:pPr>
      <w:r>
        <w:rPr>
          <w:rFonts w:hint="eastAsia" w:ascii="Times New Roman" w:hAnsi="Times New Roman" w:eastAsia="楷体_GB2312" w:cs="楷体_GB2312"/>
          <w:b/>
          <w:bCs/>
          <w:color w:val="000000"/>
          <w:kern w:val="0"/>
          <w:sz w:val="32"/>
          <w:szCs w:val="32"/>
          <w:lang w:val="en-US" w:eastAsia="zh-CN"/>
        </w:rPr>
        <w:t>加强绩效申报管理，提升绩效管理水平。</w:t>
      </w:r>
    </w:p>
    <w:p>
      <w:pPr>
        <w:snapToGrid w:val="0"/>
        <w:spacing w:line="580" w:lineRule="exact"/>
        <w:ind w:firstLine="640" w:firstLineChars="200"/>
        <w:rPr>
          <w:rFonts w:ascii="Times New Roman" w:hAnsi="Times New Roman"/>
        </w:rPr>
      </w:pPr>
      <w:r>
        <w:rPr>
          <w:rFonts w:hint="eastAsia" w:ascii="Times New Roman" w:hAnsi="Times New Roman" w:eastAsia="仿宋" w:cs="Times New Roman"/>
          <w:color w:val="000000"/>
          <w:sz w:val="32"/>
          <w:szCs w:val="32"/>
          <w:lang w:val="en-US" w:eastAsia="zh-CN"/>
        </w:rPr>
        <w:t>我中心将</w:t>
      </w:r>
      <w:r>
        <w:rPr>
          <w:rFonts w:hint="eastAsia" w:ascii="Times New Roman" w:hAnsi="Times New Roman" w:eastAsia="仿宋" w:cs="Times New Roman"/>
          <w:color w:val="000000"/>
          <w:sz w:val="32"/>
          <w:szCs w:val="32"/>
          <w:highlight w:val="none"/>
          <w:lang w:val="en-US" w:eastAsia="zh-CN"/>
        </w:rPr>
        <w:t>对绩效目标申报进行全面规范，保证绩效目标申报的完整性、准确性，强化预算绩效管理责任落实，健全绩效管理机制和制度建设，切实提升绩效管理水平。</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sz w:val="32"/>
          <w:szCs w:val="32"/>
          <w:highlight w:val="none"/>
          <w:lang w:val="en-US" w:eastAsia="zh-CN"/>
        </w:rPr>
      </w:pPr>
      <w:r>
        <w:rPr>
          <w:rFonts w:hint="eastAsia" w:ascii="Times New Roman" w:hAnsi="Times New Roman" w:eastAsia="楷体_GB2312" w:cs="楷体_GB2312"/>
          <w:b/>
          <w:bCs/>
          <w:color w:val="000000"/>
          <w:sz w:val="32"/>
          <w:szCs w:val="32"/>
          <w:highlight w:val="none"/>
          <w:lang w:val="en-US" w:eastAsia="zh-CN"/>
        </w:rPr>
        <w:t>（二）加强内部控制管理。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s="Times New Roman"/>
          <w:color w:val="000000"/>
          <w:sz w:val="32"/>
          <w:szCs w:val="32"/>
          <w:lang w:eastAsia="zh-CN"/>
        </w:rPr>
      </w:pPr>
      <w:r>
        <w:rPr>
          <w:rFonts w:ascii="Times New Roman" w:hAnsi="Times New Roman" w:eastAsia="仿宋" w:cs="Times New Roman"/>
          <w:color w:val="000000"/>
          <w:sz w:val="32"/>
          <w:szCs w:val="32"/>
        </w:rPr>
        <w:t>通过</w:t>
      </w:r>
      <w:r>
        <w:rPr>
          <w:rFonts w:hint="eastAsia" w:ascii="Times New Roman" w:hAnsi="Times New Roman" w:eastAsia="仿宋" w:cs="Times New Roman"/>
          <w:color w:val="000000"/>
          <w:sz w:val="32"/>
          <w:szCs w:val="32"/>
        </w:rPr>
        <w:t>加强人员管理、规范财务管理、加强信息管理、建立风险管理机制、加强监督与督促和提升管理水平等措施，可以有效解决内部控制存在的问题，提高内部控制的有效性和适用性</w:t>
      </w:r>
      <w:r>
        <w:rPr>
          <w:rFonts w:hint="eastAsia" w:ascii="Times New Roman" w:hAnsi="Times New Roman" w:eastAsia="仿宋" w:cs="Times New Roman"/>
          <w:color w:val="00000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九、部门整体支出绩效自评结果拟应用和公开情况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eastAsia="zh-CN"/>
        </w:rPr>
      </w:pPr>
      <w:r>
        <w:rPr>
          <w:rFonts w:ascii="Times New Roman" w:hAnsi="Times New Roman" w:eastAsia="楷体_GB2312" w:cs="楷体_GB2312"/>
          <w:b/>
          <w:bCs/>
          <w:color w:val="000000"/>
          <w:kern w:val="0"/>
          <w:sz w:val="32"/>
          <w:szCs w:val="32"/>
        </w:rPr>
        <w:t>（一）绩效自评结果拟应用</w:t>
      </w:r>
      <w:r>
        <w:rPr>
          <w:rFonts w:hint="eastAsia" w:ascii="Times New Roman" w:hAnsi="Times New Roman" w:eastAsia="楷体_GB2312" w:cs="楷体_GB2312"/>
          <w:b/>
          <w:bCs/>
          <w:color w:val="000000"/>
          <w:kern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仿宋" w:cs="Times New Roman"/>
          <w:color w:val="000000"/>
          <w:sz w:val="32"/>
          <w:szCs w:val="32"/>
        </w:rPr>
      </w:pPr>
      <w:r>
        <w:rPr>
          <w:rFonts w:ascii="Times New Roman" w:hAnsi="Times New Roman" w:eastAsia="仿宋" w:cs="Times New Roman"/>
          <w:color w:val="000000"/>
          <w:sz w:val="32"/>
          <w:szCs w:val="32"/>
        </w:rPr>
        <w:t>通过绩效自评，进一步掌握了部门整体支出使用情况和取得的效果，总结了项目资金管理经验，发现了工作中存在的问题和不足，为下一年提高资金的使用效益、加强财政支出的规范化管理、健全和完善支出项目和资金使用管理办法、完善预算编制、加强绩效目标管理和绩效考核工作提供重要的参考依据。</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楷体_GB2312" w:cs="楷体_GB2312"/>
          <w:b/>
          <w:bCs/>
          <w:color w:val="000000"/>
          <w:kern w:val="0"/>
          <w:sz w:val="32"/>
          <w:szCs w:val="32"/>
          <w:lang w:eastAsia="zh-CN"/>
        </w:rPr>
      </w:pPr>
      <w:r>
        <w:rPr>
          <w:rFonts w:ascii="Times New Roman" w:hAnsi="Times New Roman" w:eastAsia="楷体_GB2312" w:cs="楷体_GB2312"/>
          <w:b/>
          <w:bCs/>
          <w:color w:val="000000"/>
          <w:kern w:val="0"/>
          <w:sz w:val="32"/>
          <w:szCs w:val="32"/>
        </w:rPr>
        <w:t>（二）绩效自评结果公开情况</w:t>
      </w:r>
      <w:r>
        <w:rPr>
          <w:rFonts w:hint="eastAsia" w:ascii="Times New Roman" w:hAnsi="Times New Roman" w:eastAsia="楷体_GB2312" w:cs="楷体_GB2312"/>
          <w:b/>
          <w:bCs/>
          <w:color w:val="000000"/>
          <w:kern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Times New Roman" w:hAnsi="Times New Roman" w:eastAsia="黑体" w:cs="黑体"/>
          <w:b/>
          <w:bCs/>
          <w:spacing w:val="-8"/>
          <w:sz w:val="31"/>
          <w:szCs w:val="31"/>
        </w:rPr>
      </w:pPr>
      <w:r>
        <w:rPr>
          <w:rFonts w:hint="eastAsia" w:ascii="Times New Roman" w:hAnsi="Times New Roman" w:eastAsia="仿宋"/>
          <w:color w:val="000000"/>
          <w:sz w:val="32"/>
          <w:szCs w:val="32"/>
          <w:lang w:eastAsia="zh-CN"/>
        </w:rPr>
        <w:t>本单位</w:t>
      </w:r>
      <w:r>
        <w:rPr>
          <w:rFonts w:ascii="Times New Roman" w:hAnsi="Times New Roman" w:eastAsia="仿宋"/>
          <w:color w:val="000000"/>
          <w:sz w:val="32"/>
          <w:szCs w:val="32"/>
        </w:rPr>
        <w:t>的绩效自评报告</w:t>
      </w:r>
      <w:r>
        <w:rPr>
          <w:rFonts w:hint="eastAsia" w:ascii="Times New Roman" w:hAnsi="Times New Roman" w:eastAsia="仿宋"/>
          <w:color w:val="000000"/>
          <w:sz w:val="32"/>
          <w:szCs w:val="32"/>
          <w:lang w:eastAsia="zh-CN"/>
        </w:rPr>
        <w:t>将</w:t>
      </w:r>
      <w:r>
        <w:rPr>
          <w:rFonts w:ascii="Times New Roman" w:hAnsi="Times New Roman" w:eastAsia="仿宋"/>
          <w:color w:val="000000"/>
          <w:sz w:val="32"/>
          <w:szCs w:val="32"/>
        </w:rPr>
        <w:t>在本单位官网或者政府门户网站上予以全文公布，向社会公开，广泛接受群众监督。</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textAlignment w:val="baseline"/>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十、 其他需要说明的情况</w:t>
      </w: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r>
        <w:rPr>
          <w:rFonts w:hint="eastAsia" w:ascii="Times New Roman" w:hAnsi="Times New Roman" w:eastAsia="仿宋_GB2312" w:cs="仿宋_GB2312"/>
          <w:b/>
          <w:bCs/>
          <w:spacing w:val="-3"/>
          <w:sz w:val="32"/>
          <w:szCs w:val="32"/>
          <w:lang w:val="en-US" w:eastAsia="zh-CN"/>
        </w:rPr>
        <w:t>无。</w:t>
      </w: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附件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1.2024年度部门整体支出绩效评价基础数据表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2.2024年度部门整体支出绩效自评表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3-1.2024年度项目支出绩效自评表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Times New Roman" w:hAnsi="Times New Roman" w:eastAsia="仿宋"/>
          <w:color w:val="000000"/>
          <w:sz w:val="32"/>
          <w:szCs w:val="32"/>
          <w:lang w:val="en-US" w:eastAsia="zh-CN"/>
        </w:rPr>
      </w:pPr>
      <w:r>
        <w:rPr>
          <w:rFonts w:hint="eastAsia" w:ascii="Times New Roman" w:hAnsi="Times New Roman" w:eastAsia="仿宋"/>
          <w:color w:val="000000"/>
          <w:sz w:val="32"/>
          <w:szCs w:val="32"/>
          <w:lang w:val="en-US" w:eastAsia="zh-CN"/>
        </w:rPr>
        <w:t>3-2.2024年度项目支出绩效自评表</w:t>
      </w: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rPr>
          <w:rFonts w:hint="eastAsia" w:ascii="Times New Roman" w:hAnsi="Times New Roman" w:eastAsia="仿宋_GB2312" w:cs="仿宋_GB2312"/>
          <w:b/>
          <w:bCs/>
          <w:spacing w:val="-3"/>
          <w:sz w:val="32"/>
          <w:szCs w:val="32"/>
          <w:lang w:val="en-US" w:eastAsia="zh-CN"/>
        </w:rPr>
      </w:pPr>
    </w:p>
    <w:tbl>
      <w:tblPr>
        <w:tblStyle w:val="9"/>
        <w:tblW w:w="89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78"/>
        <w:gridCol w:w="918"/>
        <w:gridCol w:w="807"/>
        <w:gridCol w:w="975"/>
        <w:gridCol w:w="1162"/>
        <w:gridCol w:w="956"/>
        <w:gridCol w:w="1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07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31"/>
                <w:szCs w:val="31"/>
                <w:u w:val="none"/>
              </w:rPr>
            </w:pPr>
            <w:r>
              <w:rPr>
                <w:rFonts w:hint="eastAsia" w:ascii="宋体" w:hAnsi="宋体" w:eastAsia="宋体" w:cs="宋体"/>
                <w:i w:val="0"/>
                <w:iCs w:val="0"/>
                <w:color w:val="000000"/>
                <w:kern w:val="0"/>
                <w:sz w:val="31"/>
                <w:szCs w:val="31"/>
                <w:u w:val="none"/>
                <w:lang w:val="en-US" w:eastAsia="zh-CN" w:bidi="ar"/>
              </w:rPr>
              <w:t>附件1</w:t>
            </w:r>
          </w:p>
        </w:tc>
        <w:tc>
          <w:tcPr>
            <w:tcW w:w="9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9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16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9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05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8948"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5"/>
                <w:szCs w:val="35"/>
                <w:u w:val="none"/>
              </w:rPr>
            </w:pPr>
            <w:r>
              <w:rPr>
                <w:rFonts w:hint="eastAsia" w:ascii="宋体" w:hAnsi="宋体" w:eastAsia="宋体" w:cs="宋体"/>
                <w:i w:val="0"/>
                <w:iCs w:val="0"/>
                <w:color w:val="000000"/>
                <w:kern w:val="0"/>
                <w:sz w:val="35"/>
                <w:szCs w:val="35"/>
                <w:u w:val="none"/>
                <w:lang w:val="en-US" w:eastAsia="zh-CN" w:bidi="ar"/>
              </w:rPr>
              <w:t>2024年度部门整体支出绩效评价基础数据表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财政供养人员情况（人）</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编制数</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2024年实际在职人数</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经费控制情况（万元）</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2023年决算数</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2024年预算数</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2024年决算数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三公经费: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0.40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0.40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1、公务用车购置和维护经费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其中：公车购置</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公车运行维护</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2、出国经费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3、公务接待</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0.40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0.40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335.41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115.84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115.18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1、其他事业发展资金</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245.41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35.84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35.84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2、省级专项资金-省级农作物、畜禽种业安全监管资金</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10.00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3、省级专项资金-农作物种子南繁基地管理</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80.00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80.00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79.34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35.21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14.38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14.09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其中：办公经费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1.68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1.17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0.06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水费、电费、差旅费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2.46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1.20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会议费、培训费</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1.34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政府采购金额</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81.71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部门基本支出预算调整</w:t>
            </w:r>
          </w:p>
        </w:tc>
        <w:tc>
          <w:tcPr>
            <w:tcW w:w="1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2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楼堂馆所控制情况（2024年完工项目）</w:t>
            </w:r>
          </w:p>
        </w:tc>
        <w:tc>
          <w:tcPr>
            <w:tcW w:w="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批复规模（㎡）</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实际规模（㎡）</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规模控制率</w:t>
            </w: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预算投资（万元）</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实际投资（万元）</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厉行节约保障措施</w:t>
            </w:r>
          </w:p>
        </w:tc>
        <w:tc>
          <w:tcPr>
            <w:tcW w:w="5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48"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说明：“项目支出”需要填报基本支出以外的所有项目支出情况，“公用经费”填报基本支出中的一般商品和服务支出。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8"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9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80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97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16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95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05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948"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填表人：             填报日期：           联系电话：         单位负责人签字：</w:t>
            </w:r>
          </w:p>
        </w:tc>
      </w:tr>
    </w:tbl>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tbl>
      <w:tblPr>
        <w:tblStyle w:val="9"/>
        <w:tblW w:w="89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6"/>
        <w:gridCol w:w="1155"/>
        <w:gridCol w:w="1065"/>
        <w:gridCol w:w="1365"/>
        <w:gridCol w:w="1155"/>
        <w:gridCol w:w="840"/>
        <w:gridCol w:w="720"/>
        <w:gridCol w:w="720"/>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948"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Fonts w:hint="eastAsia" w:ascii="黑体" w:hAnsi="宋体" w:eastAsia="黑体" w:cs="黑体"/>
                <w:i w:val="0"/>
                <w:iCs w:val="0"/>
                <w:color w:val="000000"/>
                <w:kern w:val="0"/>
                <w:sz w:val="31"/>
                <w:szCs w:val="31"/>
                <w:u w:val="none"/>
                <w:lang w:val="en-US" w:eastAsia="zh-CN" w:bidi="ar"/>
              </w:rPr>
              <w:t>附件2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48"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35"/>
                <w:szCs w:val="35"/>
                <w:u w:val="none"/>
              </w:rPr>
            </w:pPr>
            <w:r>
              <w:rPr>
                <w:rFonts w:hint="default" w:ascii="Times New Roman" w:hAnsi="Times New Roman" w:eastAsia="宋体" w:cs="Times New Roman"/>
                <w:i w:val="0"/>
                <w:iCs w:val="0"/>
                <w:color w:val="000000"/>
                <w:kern w:val="0"/>
                <w:sz w:val="35"/>
                <w:szCs w:val="35"/>
                <w:u w:val="none"/>
                <w:lang w:val="en-US" w:eastAsia="zh-CN" w:bidi="ar"/>
              </w:rPr>
              <w:t>2024</w:t>
            </w:r>
            <w:r>
              <w:rPr>
                <w:rStyle w:val="28"/>
                <w:lang w:val="en-US" w:eastAsia="zh-CN" w:bidi="ar"/>
              </w:rPr>
              <w:t>年度部门整体支出绩效自评表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2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省级预算部门、单位名称</w:t>
            </w:r>
          </w:p>
        </w:tc>
        <w:tc>
          <w:tcPr>
            <w:tcW w:w="5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湖南省农作物种子南繁中心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年度预算申请（万元）</w:t>
            </w:r>
          </w:p>
        </w:tc>
        <w:tc>
          <w:tcPr>
            <w:tcW w:w="22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229.35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237.35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224.19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10.00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0.94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按收入性质分：</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其中：一般公共预算：237.35</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其中：基本支出：109.01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政府性基金拨款：</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项目支出：115.18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纳入专户管理的非税收入拨款：</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7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0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20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进一步巩固我省杂交水稻种业科研优势 、提升湘米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品质，有效推进乡村振兴工作，打造湖南省种业创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新高地</w:t>
            </w:r>
          </w:p>
        </w:tc>
        <w:tc>
          <w:tcPr>
            <w:tcW w:w="32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进一步巩固我省杂交水稻种业科研优势 、提升湘米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品质，有效推进乡村振兴工作，打造湖南省种业创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新高地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省南繁科研育种园每年开展2次维护夏冬2 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公共区域维护率95%以上</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维护工作分别在5月和11月完成</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5月和11月</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费用节支总体支出不超过项目总预算金额</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Style w:val="29"/>
                <w:lang w:val="en-US" w:eastAsia="zh-CN" w:bidi="ar"/>
              </w:rPr>
              <w:t>618.6万元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提升育种水平，保障优良品种供给农作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物新品种审定20个以上、登记品种5个以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上</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农药用量稳步减少2022年新审定抗性品种5个以上</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主要农作物新品种更新换代2022年创制育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种新材料20万份以上</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服务对象满意度≥95%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5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99.45 </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948" w:type="dxa"/>
            <w:gridSpan w:val="9"/>
            <w:tcBorders>
              <w:top w:val="nil"/>
              <w:left w:val="nil"/>
              <w:bottom w:val="nil"/>
              <w:right w:val="nil"/>
            </w:tcBorders>
            <w:shd w:val="clear" w:color="auto" w:fill="auto"/>
            <w:noWrap/>
            <w:vAlign w:val="center"/>
          </w:tcPr>
          <w:p>
            <w:pPr>
              <w:rPr>
                <w:rFonts w:hint="default" w:ascii="Times New Roman" w:hAnsi="Times New Roman" w:eastAsia="宋体" w:cs="Times New Roman"/>
                <w:i w:val="0"/>
                <w:iCs w:val="0"/>
                <w:color w:val="000000"/>
                <w:sz w:val="24"/>
                <w:szCs w:val="24"/>
                <w:u w:val="none"/>
              </w:rPr>
            </w:pPr>
            <w:r>
              <w:rPr>
                <w:rStyle w:val="29"/>
                <w:lang w:val="en-US" w:eastAsia="zh-CN" w:bidi="ar"/>
              </w:rPr>
              <w:t xml:space="preserve">填表人：   </w:t>
            </w:r>
            <w:r>
              <w:rPr>
                <w:rStyle w:val="30"/>
                <w:rFonts w:eastAsia="宋体"/>
                <w:lang w:val="en-US" w:eastAsia="zh-CN" w:bidi="ar"/>
              </w:rPr>
              <w:t xml:space="preserve"> </w:t>
            </w:r>
            <w:r>
              <w:rPr>
                <w:rStyle w:val="30"/>
                <w:rFonts w:hint="eastAsia" w:eastAsia="宋体"/>
                <w:lang w:val="en-US" w:eastAsia="zh-CN" w:bidi="ar"/>
              </w:rPr>
              <w:t xml:space="preserve">  </w:t>
            </w:r>
            <w:r>
              <w:rPr>
                <w:rStyle w:val="30"/>
                <w:rFonts w:eastAsia="宋体"/>
                <w:lang w:val="en-US" w:eastAsia="zh-CN" w:bidi="ar"/>
              </w:rPr>
              <w:t xml:space="preserve">  </w:t>
            </w:r>
            <w:r>
              <w:rPr>
                <w:rStyle w:val="29"/>
                <w:lang w:val="en-US" w:eastAsia="zh-CN" w:bidi="ar"/>
              </w:rPr>
              <w:t>填报日期：</w:t>
            </w:r>
            <w:r>
              <w:rPr>
                <w:rStyle w:val="30"/>
                <w:rFonts w:eastAsia="宋体"/>
                <w:lang w:val="en-US" w:eastAsia="zh-CN" w:bidi="ar"/>
              </w:rPr>
              <w:t xml:space="preserve">          </w:t>
            </w:r>
            <w:r>
              <w:rPr>
                <w:rStyle w:val="30"/>
                <w:rFonts w:hint="eastAsia" w:eastAsia="宋体"/>
                <w:lang w:val="en-US" w:eastAsia="zh-CN" w:bidi="ar"/>
              </w:rPr>
              <w:t xml:space="preserve">  </w:t>
            </w:r>
            <w:r>
              <w:rPr>
                <w:rStyle w:val="30"/>
                <w:rFonts w:eastAsia="宋体"/>
                <w:lang w:val="en-US" w:eastAsia="zh-CN" w:bidi="ar"/>
              </w:rPr>
              <w:t xml:space="preserve">   </w:t>
            </w:r>
            <w:r>
              <w:rPr>
                <w:rStyle w:val="29"/>
                <w:lang w:val="en-US" w:eastAsia="zh-CN" w:bidi="ar"/>
              </w:rPr>
              <w:t>联系电话：</w:t>
            </w:r>
            <w:r>
              <w:rPr>
                <w:rStyle w:val="30"/>
                <w:rFonts w:eastAsia="宋体"/>
                <w:lang w:val="en-US" w:eastAsia="zh-CN" w:bidi="ar"/>
              </w:rPr>
              <w:t xml:space="preserve">    </w:t>
            </w:r>
            <w:r>
              <w:rPr>
                <w:rStyle w:val="30"/>
                <w:rFonts w:hint="eastAsia" w:eastAsia="宋体"/>
                <w:lang w:val="en-US" w:eastAsia="zh-CN" w:bidi="ar"/>
              </w:rPr>
              <w:t xml:space="preserve">    </w:t>
            </w:r>
            <w:r>
              <w:rPr>
                <w:rStyle w:val="30"/>
                <w:rFonts w:eastAsia="宋体"/>
                <w:lang w:val="en-US" w:eastAsia="zh-CN" w:bidi="ar"/>
              </w:rPr>
              <w:t xml:space="preserve"> </w:t>
            </w:r>
            <w:r>
              <w:rPr>
                <w:rStyle w:val="29"/>
                <w:lang w:val="en-US" w:eastAsia="zh-CN" w:bidi="ar"/>
              </w:rPr>
              <w:t>单位负责人签字：</w:t>
            </w:r>
          </w:p>
        </w:tc>
      </w:tr>
    </w:tbl>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tbl>
      <w:tblPr>
        <w:tblStyle w:val="9"/>
        <w:tblW w:w="89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1"/>
        <w:gridCol w:w="945"/>
        <w:gridCol w:w="1065"/>
        <w:gridCol w:w="1665"/>
        <w:gridCol w:w="945"/>
        <w:gridCol w:w="885"/>
        <w:gridCol w:w="660"/>
        <w:gridCol w:w="891"/>
        <w:gridCol w:w="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948"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Fonts w:hint="eastAsia" w:ascii="黑体" w:hAnsi="宋体" w:eastAsia="黑体" w:cs="黑体"/>
                <w:i w:val="0"/>
                <w:iCs w:val="0"/>
                <w:color w:val="000000"/>
                <w:kern w:val="0"/>
                <w:sz w:val="31"/>
                <w:szCs w:val="31"/>
                <w:u w:val="none"/>
                <w:lang w:val="en-US" w:eastAsia="zh-CN" w:bidi="ar"/>
              </w:rPr>
              <w:t>附件3-1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8948"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5"/>
                <w:szCs w:val="35"/>
                <w:u w:val="none"/>
              </w:rPr>
            </w:pPr>
            <w:r>
              <w:rPr>
                <w:rFonts w:hint="default" w:ascii="Times New Roman" w:hAnsi="Times New Roman" w:eastAsia="宋体" w:cs="Times New Roman"/>
                <w:b/>
                <w:bCs/>
                <w:i w:val="0"/>
                <w:iCs w:val="0"/>
                <w:color w:val="000000"/>
                <w:kern w:val="0"/>
                <w:sz w:val="35"/>
                <w:szCs w:val="35"/>
                <w:u w:val="none"/>
                <w:lang w:val="en-US" w:eastAsia="zh-CN" w:bidi="ar"/>
              </w:rPr>
              <w:t>2024</w:t>
            </w:r>
            <w:r>
              <w:rPr>
                <w:rFonts w:hint="eastAsia" w:ascii="宋体" w:hAnsi="宋体" w:eastAsia="宋体" w:cs="宋体"/>
                <w:b/>
                <w:bCs/>
                <w:i w:val="0"/>
                <w:iCs w:val="0"/>
                <w:color w:val="000000"/>
                <w:kern w:val="0"/>
                <w:sz w:val="35"/>
                <w:szCs w:val="35"/>
                <w:u w:val="none"/>
                <w:lang w:val="en-US" w:eastAsia="zh-CN" w:bidi="ar"/>
              </w:rPr>
              <w:t>年度项目支出绩效自评表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0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项目支出名称</w:t>
            </w:r>
          </w:p>
        </w:tc>
        <w:tc>
          <w:tcPr>
            <w:tcW w:w="58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其他事业发展资金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6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湖南省农业农村厅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3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湖南省农作物种子南繁中心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20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35.84 </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35.84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上年结转资金</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6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进一步巩固我省杂交水稻种业科研优势、提升湘米品质，有效推进乡村振兴工作，打造湖南省种业创新高地</w:t>
            </w:r>
          </w:p>
        </w:tc>
        <w:tc>
          <w:tcPr>
            <w:tcW w:w="3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进一步巩固我省杂交水稻种业科研优势、提升湘米品质，有效推进乡村振兴工作，打造湖南省种业创新高地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省南繁科研育种园每年开展2次</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公共区域维护率95%以上</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维护工作分别在5月和11月完成</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5月和11月</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总体支出不超过项目总预算金额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提升育种水平，保障优良品种供给农作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物新品种审定20个以上、登记品种5个以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上</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农药用量稳步减少2022年新审定抗性品种5个以上</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影响指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主要农作物新品种更新换代2022年创制育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种新材料20万份以上</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服务对象满意度≥95%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5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 </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948" w:type="dxa"/>
            <w:gridSpan w:val="9"/>
            <w:tcBorders>
              <w:top w:val="nil"/>
              <w:left w:val="nil"/>
              <w:bottom w:val="nil"/>
              <w:right w:val="nil"/>
            </w:tcBorders>
            <w:shd w:val="clear" w:color="auto" w:fill="auto"/>
            <w:noWrap/>
            <w:vAlign w:val="center"/>
          </w:tcPr>
          <w:p>
            <w:pP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填表人：   </w:t>
            </w:r>
            <w:r>
              <w:rPr>
                <w:rStyle w:val="31"/>
                <w:rFonts w:eastAsia="宋体"/>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填报日期：</w:t>
            </w:r>
            <w:r>
              <w:rPr>
                <w:rStyle w:val="31"/>
                <w:rFonts w:eastAsia="宋体"/>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联系电话：</w:t>
            </w:r>
            <w:r>
              <w:rPr>
                <w:rStyle w:val="31"/>
                <w:rFonts w:eastAsia="宋体"/>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单位负责人签字：</w:t>
            </w:r>
          </w:p>
        </w:tc>
      </w:tr>
    </w:tbl>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tbl>
      <w:tblPr>
        <w:tblStyle w:val="9"/>
        <w:tblW w:w="89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1"/>
        <w:gridCol w:w="1125"/>
        <w:gridCol w:w="1260"/>
        <w:gridCol w:w="855"/>
        <w:gridCol w:w="885"/>
        <w:gridCol w:w="840"/>
        <w:gridCol w:w="906"/>
        <w:gridCol w:w="9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8948" w:type="dxa"/>
            <w:gridSpan w:val="9"/>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Fonts w:hint="eastAsia" w:ascii="黑体" w:hAnsi="宋体" w:eastAsia="黑体" w:cs="黑体"/>
                <w:i w:val="0"/>
                <w:iCs w:val="0"/>
                <w:color w:val="000000"/>
                <w:kern w:val="0"/>
                <w:sz w:val="31"/>
                <w:szCs w:val="31"/>
                <w:u w:val="none"/>
                <w:lang w:val="en-US" w:eastAsia="zh-CN" w:bidi="ar"/>
              </w:rPr>
              <w:t>附件3-2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8948"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5"/>
                <w:szCs w:val="35"/>
                <w:u w:val="none"/>
              </w:rPr>
            </w:pPr>
            <w:r>
              <w:rPr>
                <w:rFonts w:hint="default" w:ascii="Times New Roman" w:hAnsi="Times New Roman" w:eastAsia="宋体" w:cs="Times New Roman"/>
                <w:b/>
                <w:bCs/>
                <w:i w:val="0"/>
                <w:iCs w:val="0"/>
                <w:color w:val="000000"/>
                <w:kern w:val="0"/>
                <w:sz w:val="35"/>
                <w:szCs w:val="35"/>
                <w:u w:val="none"/>
                <w:lang w:val="en-US" w:eastAsia="zh-CN" w:bidi="ar"/>
              </w:rPr>
              <w:t>2024</w:t>
            </w:r>
            <w:r>
              <w:rPr>
                <w:rFonts w:hint="eastAsia" w:ascii="宋体" w:hAnsi="宋体" w:eastAsia="宋体" w:cs="宋体"/>
                <w:b/>
                <w:bCs/>
                <w:i w:val="0"/>
                <w:iCs w:val="0"/>
                <w:color w:val="000000"/>
                <w:kern w:val="0"/>
                <w:sz w:val="35"/>
                <w:szCs w:val="35"/>
                <w:u w:val="none"/>
                <w:lang w:val="en-US" w:eastAsia="zh-CN" w:bidi="ar"/>
              </w:rPr>
              <w:t>年度项目支出绩效自评表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2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项目支出名称</w:t>
            </w:r>
          </w:p>
        </w:tc>
        <w:tc>
          <w:tcPr>
            <w:tcW w:w="56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省级专项资金-农作物种子南繁基地管理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3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湖南省农业农村厅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6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湖南省农作物种子南繁中心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22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88.00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79.34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88.00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上年结转资金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开展海南农作物种子南繁基地管理，做好南繁管理和服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务</w:t>
            </w:r>
          </w:p>
        </w:tc>
        <w:tc>
          <w:tcPr>
            <w:tcW w:w="35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开展海南农作物种子南繁基地管理，做好南繁管理和服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省南繁科研育种园每年开展2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次维护</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公共区域维护率95%以上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维护工作分别在5月和11月完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5月和11月</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总体支出不超过项目总预算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金额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80万元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提升育种水平，保障优良品种供给农作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物新品种审定20个以上、登记品种5个以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农药用量稳步减少,2024年新审定抗性品种5个以上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影响指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主要农作物新品种更新换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代,2024年创制育种新材料20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万份以上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2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948" w:type="dxa"/>
            <w:gridSpan w:val="9"/>
            <w:tcBorders>
              <w:top w:val="nil"/>
              <w:left w:val="nil"/>
              <w:bottom w:val="nil"/>
              <w:right w:val="nil"/>
            </w:tcBorders>
            <w:shd w:val="clear" w:color="auto" w:fill="auto"/>
            <w:noWrap/>
            <w:vAlign w:val="center"/>
          </w:tcPr>
          <w:p>
            <w:pP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 xml:space="preserve">填表人：       </w:t>
            </w: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填报日期：</w:t>
            </w: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 xml:space="preserve">联系电话：       </w:t>
            </w: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单位负责人签字：</w:t>
            </w:r>
          </w:p>
        </w:tc>
      </w:tr>
    </w:tbl>
    <w:p>
      <w:pPr>
        <w:spacing w:line="580" w:lineRule="exact"/>
        <w:ind w:firstLine="628" w:firstLineChars="200"/>
        <w:rPr>
          <w:rFonts w:hint="eastAsia" w:ascii="Times New Roman" w:hAnsi="Times New Roman" w:eastAsia="仿宋_GB2312" w:cs="仿宋_GB2312"/>
          <w:b/>
          <w:bCs/>
          <w:spacing w:val="-3"/>
          <w:sz w:val="32"/>
          <w:szCs w:val="32"/>
          <w:lang w:val="en-US" w:eastAsia="zh-CN"/>
        </w:rPr>
      </w:pPr>
    </w:p>
    <w:sectPr>
      <w:pgSz w:w="11906" w:h="16838"/>
      <w:pgMar w:top="1417" w:right="1587" w:bottom="1417" w:left="158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491FA"/>
    <w:multiLevelType w:val="singleLevel"/>
    <w:tmpl w:val="AE8491FA"/>
    <w:lvl w:ilvl="0" w:tentative="0">
      <w:start w:val="2"/>
      <w:numFmt w:val="chineseCounting"/>
      <w:suff w:val="space"/>
      <w:lvlText w:val="第%1部分"/>
      <w:lvlJc w:val="left"/>
      <w:rPr>
        <w:rFonts w:hint="eastAsia"/>
      </w:rPr>
    </w:lvl>
  </w:abstractNum>
  <w:abstractNum w:abstractNumId="1">
    <w:nsid w:val="B1668362"/>
    <w:multiLevelType w:val="singleLevel"/>
    <w:tmpl w:val="B1668362"/>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D68B4A"/>
    <w:multiLevelType w:val="singleLevel"/>
    <w:tmpl w:val="5AD68B4A"/>
    <w:lvl w:ilvl="0" w:tentative="0">
      <w:start w:val="1"/>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NzNlNjE2OGQ1NTc2ZTVkZTM3NzUyNTM1M2EzMWEifQ=="/>
  </w:docVars>
  <w:rsids>
    <w:rsidRoot w:val="00000000"/>
    <w:rsid w:val="00FC3E1B"/>
    <w:rsid w:val="03DA1EE8"/>
    <w:rsid w:val="0E1E3623"/>
    <w:rsid w:val="10264A11"/>
    <w:rsid w:val="11CB5870"/>
    <w:rsid w:val="15787ABD"/>
    <w:rsid w:val="159C17D7"/>
    <w:rsid w:val="24212153"/>
    <w:rsid w:val="2702368A"/>
    <w:rsid w:val="2D606B99"/>
    <w:rsid w:val="31FC7390"/>
    <w:rsid w:val="3995395B"/>
    <w:rsid w:val="3D0F0D6D"/>
    <w:rsid w:val="41250249"/>
    <w:rsid w:val="414D2532"/>
    <w:rsid w:val="49663097"/>
    <w:rsid w:val="4C3B6C1A"/>
    <w:rsid w:val="4E9C1F3F"/>
    <w:rsid w:val="4EA93383"/>
    <w:rsid w:val="5A9E4B1C"/>
    <w:rsid w:val="5B0D1CD0"/>
    <w:rsid w:val="5BC64A47"/>
    <w:rsid w:val="5E467ABB"/>
    <w:rsid w:val="61EE096E"/>
    <w:rsid w:val="66351D28"/>
    <w:rsid w:val="6DBB76BC"/>
    <w:rsid w:val="6ED6489C"/>
    <w:rsid w:val="71514EBF"/>
    <w:rsid w:val="74B33362"/>
    <w:rsid w:val="795703D8"/>
    <w:rsid w:val="7D68074E"/>
    <w:rsid w:val="7E9645F8"/>
    <w:rsid w:val="B6DD96E0"/>
    <w:rsid w:val="EFE908DC"/>
    <w:rsid w:val="EFF7E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7"/>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16">
    <w:name w:val="List Paragraph"/>
    <w:basedOn w:val="1"/>
    <w:qFormat/>
    <w:uiPriority w:val="34"/>
    <w:pPr>
      <w:ind w:firstLine="420" w:firstLineChars="200"/>
    </w:pPr>
  </w:style>
  <w:style w:type="character" w:customStyle="1" w:styleId="17">
    <w:name w:val="批注框文本 Char"/>
    <w:basedOn w:val="11"/>
    <w:link w:val="5"/>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character" w:customStyle="1" w:styleId="21">
    <w:name w:val="font41"/>
    <w:basedOn w:val="11"/>
    <w:qFormat/>
    <w:uiPriority w:val="0"/>
    <w:rPr>
      <w:rFonts w:hint="default" w:ascii="Times New Roman" w:hAnsi="Times New Roman" w:cs="Times New Roman"/>
      <w:color w:val="000000"/>
      <w:sz w:val="35"/>
      <w:szCs w:val="35"/>
      <w:u w:val="none"/>
    </w:rPr>
  </w:style>
  <w:style w:type="character" w:customStyle="1" w:styleId="22">
    <w:name w:val="font31"/>
    <w:basedOn w:val="11"/>
    <w:qFormat/>
    <w:uiPriority w:val="0"/>
    <w:rPr>
      <w:rFonts w:hint="eastAsia" w:ascii="宋体" w:hAnsi="宋体" w:eastAsia="宋体" w:cs="宋体"/>
      <w:color w:val="000000"/>
      <w:sz w:val="20"/>
      <w:szCs w:val="20"/>
      <w:u w:val="none"/>
    </w:rPr>
  </w:style>
  <w:style w:type="character" w:customStyle="1" w:styleId="23">
    <w:name w:val="font71"/>
    <w:basedOn w:val="11"/>
    <w:qFormat/>
    <w:uiPriority w:val="0"/>
    <w:rPr>
      <w:rFonts w:hint="default" w:ascii="Times New Roman" w:hAnsi="Times New Roman" w:cs="Times New Roman"/>
      <w:color w:val="000000"/>
      <w:sz w:val="20"/>
      <w:szCs w:val="20"/>
      <w:u w:val="none"/>
    </w:rPr>
  </w:style>
  <w:style w:type="character" w:customStyle="1" w:styleId="24">
    <w:name w:val="font61"/>
    <w:basedOn w:val="11"/>
    <w:qFormat/>
    <w:uiPriority w:val="0"/>
    <w:rPr>
      <w:rFonts w:hint="default" w:ascii="Times New Roman" w:hAnsi="Times New Roman" w:cs="Times New Roman"/>
      <w:color w:val="000000"/>
      <w:sz w:val="20"/>
      <w:szCs w:val="20"/>
      <w:u w:val="none"/>
    </w:rPr>
  </w:style>
  <w:style w:type="paragraph" w:customStyle="1" w:styleId="25">
    <w:name w:val="列出段落1"/>
    <w:basedOn w:val="1"/>
    <w:qFormat/>
    <w:uiPriority w:val="0"/>
    <w:pPr>
      <w:adjustRightInd/>
      <w:snapToGrid/>
      <w:spacing w:line="360" w:lineRule="auto"/>
      <w:ind w:firstLine="420"/>
    </w:pPr>
    <w:rPr>
      <w:rFonts w:ascii="Calibri" w:hAnsi="Calibri" w:eastAsia="宋体"/>
      <w:sz w:val="24"/>
    </w:rPr>
  </w:style>
  <w:style w:type="paragraph" w:customStyle="1" w:styleId="26">
    <w:name w:val="Body Text First Indent 21"/>
    <w:basedOn w:val="27"/>
    <w:qFormat/>
    <w:uiPriority w:val="0"/>
    <w:pPr>
      <w:ind w:firstLine="420" w:firstLineChars="200"/>
    </w:pPr>
  </w:style>
  <w:style w:type="paragraph" w:customStyle="1" w:styleId="27">
    <w:name w:val="Body Text Indent1"/>
    <w:basedOn w:val="1"/>
    <w:qFormat/>
    <w:uiPriority w:val="0"/>
    <w:pPr>
      <w:spacing w:after="120"/>
      <w:ind w:left="420" w:leftChars="200"/>
    </w:pPr>
  </w:style>
  <w:style w:type="character" w:customStyle="1" w:styleId="28">
    <w:name w:val="font91"/>
    <w:basedOn w:val="11"/>
    <w:qFormat/>
    <w:uiPriority w:val="0"/>
    <w:rPr>
      <w:rFonts w:hint="eastAsia" w:ascii="宋体" w:hAnsi="宋体" w:eastAsia="宋体" w:cs="宋体"/>
      <w:color w:val="000000"/>
      <w:sz w:val="35"/>
      <w:szCs w:val="35"/>
      <w:u w:val="none"/>
    </w:rPr>
  </w:style>
  <w:style w:type="character" w:customStyle="1" w:styleId="29">
    <w:name w:val="font51"/>
    <w:basedOn w:val="11"/>
    <w:qFormat/>
    <w:uiPriority w:val="0"/>
    <w:rPr>
      <w:rFonts w:hint="eastAsia" w:ascii="宋体" w:hAnsi="宋体" w:eastAsia="宋体" w:cs="宋体"/>
      <w:color w:val="000000"/>
      <w:sz w:val="20"/>
      <w:szCs w:val="20"/>
      <w:u w:val="none"/>
    </w:rPr>
  </w:style>
  <w:style w:type="character" w:customStyle="1" w:styleId="30">
    <w:name w:val="font101"/>
    <w:basedOn w:val="11"/>
    <w:qFormat/>
    <w:uiPriority w:val="0"/>
    <w:rPr>
      <w:rFonts w:hint="default" w:ascii="Times New Roman" w:hAnsi="Times New Roman" w:cs="Times New Roman"/>
      <w:color w:val="000000"/>
      <w:sz w:val="20"/>
      <w:szCs w:val="20"/>
      <w:u w:val="none"/>
    </w:rPr>
  </w:style>
  <w:style w:type="character" w:customStyle="1" w:styleId="31">
    <w:name w:val="font8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49</Pages>
  <Words>15433</Words>
  <Characters>19270</Characters>
  <Lines>63</Lines>
  <Paragraphs>18</Paragraphs>
  <TotalTime>7</TotalTime>
  <ScaleCrop>false</ScaleCrop>
  <LinksUpToDate>false</LinksUpToDate>
  <CharactersWithSpaces>20656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2020-07-12T02:32:00Z</dcterms:created>
  <dc:creator>李航 null</dc:creator>
  <cp:lastModifiedBy>greatwall</cp:lastModifiedBy>
  <cp:lastPrinted>2024-08-31T02:14:00Z</cp:lastPrinted>
  <dcterms:modified xsi:type="dcterms:W3CDTF">2025-09-17T12:56:16Z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017803CF2CC64BB8B018EC9A7DF1C3F2_13</vt:lpwstr>
  </property>
  <property fmtid="{D5CDD505-2E9C-101B-9397-08002B2CF9AE}" pid="4" name="KSOTemplateDocerSaveRecord">
    <vt:lpwstr>eyJoZGlkIjoiMGM1YmJkY2VlNWZmZDE3ODRiMjQxYzQ2MjRhZmY0MWYiLCJ1c2VySWQiOiI3ODM0NjIzNzEifQ==</vt:lpwstr>
  </property>
</Properties>
</file>