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ascii="Times New Roman" w:hAnsi="Times New Roman" w:cs="Times New Roman"/>
          <w:sz w:val="56"/>
          <w:szCs w:val="56"/>
        </w:rPr>
      </w:pPr>
    </w:p>
    <w:p>
      <w:pPr>
        <w:pStyle w:val="14"/>
        <w:jc w:val="center"/>
        <w:rPr>
          <w:rFonts w:ascii="Times New Roman" w:hAnsi="Times New Roman" w:cs="Times New Roman"/>
          <w:sz w:val="84"/>
          <w:szCs w:val="84"/>
        </w:rPr>
      </w:pPr>
    </w:p>
    <w:p>
      <w:pPr>
        <w:pStyle w:val="14"/>
        <w:jc w:val="center"/>
        <w:rPr>
          <w:rFonts w:ascii="Times New Roman" w:hAnsi="Times New Roman" w:cs="Times New Roman"/>
          <w:sz w:val="84"/>
          <w:szCs w:val="84"/>
        </w:rPr>
      </w:pPr>
    </w:p>
    <w:p>
      <w:pPr>
        <w:pStyle w:val="14"/>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4"/>
        <w:jc w:val="center"/>
        <w:rPr>
          <w:rFonts w:ascii="Times New Roman" w:hAnsi="Times New Roman" w:cs="Times New Roman"/>
          <w:b/>
          <w:sz w:val="36"/>
          <w:szCs w:val="28"/>
        </w:rPr>
        <w:sectPr>
          <w:pgSz w:w="11906" w:h="16838"/>
          <w:pgMar w:top="1417" w:right="1588" w:bottom="1417" w:left="1588" w:header="851" w:footer="992" w:gutter="0"/>
          <w:pgNumType w:start="1"/>
          <w:cols w:space="425" w:num="1"/>
          <w:docGrid w:type="lines" w:linePitch="312" w:charSpace="0"/>
        </w:sectPr>
      </w:pPr>
      <w:r>
        <w:rPr>
          <w:rFonts w:hint="eastAsia" w:ascii="Times New Roman" w:hAnsi="Times New Roman" w:eastAsia="方正小标宋简体" w:cs="Times New Roman"/>
          <w:sz w:val="72"/>
          <w:szCs w:val="72"/>
        </w:rPr>
        <w:t>湖南省农业机械化高科技 示范园部门决算</w:t>
      </w:r>
    </w:p>
    <w:p>
      <w:pPr>
        <w:pStyle w:val="14"/>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4"/>
        <w:spacing w:line="600" w:lineRule="exact"/>
        <w:jc w:val="center"/>
        <w:rPr>
          <w:rFonts w:ascii="Times New Roman" w:hAnsi="Times New Roman" w:cs="Times New Roman"/>
          <w:b/>
          <w:sz w:val="36"/>
          <w:szCs w:val="28"/>
        </w:rPr>
      </w:pPr>
    </w:p>
    <w:p>
      <w:pPr>
        <w:pStyle w:val="14"/>
        <w:spacing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rPr>
        <w:t>湖南省农业机械化高科技示范园</w:t>
      </w:r>
      <w:r>
        <w:rPr>
          <w:rFonts w:ascii="Times New Roman" w:hAnsi="Times New Roman" w:cs="Times New Roman"/>
          <w:bCs/>
          <w:sz w:val="32"/>
          <w:szCs w:val="32"/>
        </w:rPr>
        <w:t>概况</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4"/>
        <w:spacing w:beforeLines="50"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4"/>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4"/>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湖南省农业机械化高科技</w:t>
      </w:r>
    </w:p>
    <w:p>
      <w:pPr>
        <w:pStyle w:val="14"/>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示范园</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p>
    <w:p>
      <w:pPr>
        <w:pStyle w:val="15"/>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主要职能：我单位为财政补助公益二类事业单位，执行政府会计准则制度，宗旨和业务范围：</w:t>
      </w:r>
      <w:r>
        <w:rPr>
          <w:rFonts w:ascii="Times New Roman" w:hAnsi="Times New Roman" w:eastAsia="仿宋_GB2312" w:cs="仿宋_GB2312"/>
          <w:bCs/>
          <w:kern w:val="0"/>
          <w:sz w:val="32"/>
          <w:szCs w:val="32"/>
        </w:rPr>
        <w:t>推广农机新技术，促进农业发展。农业机械及农业工程技术试验示范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农机新机具、新设施、新技术推广、展示农机新产品新机具实验示范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相关技术服务、技术培训</w:t>
      </w:r>
      <w:r>
        <w:rPr>
          <w:rFonts w:hint="eastAsia" w:ascii="Times New Roman" w:hAnsi="Times New Roman" w:eastAsia="仿宋_GB2312" w:cs="仿宋_GB2312"/>
          <w:bCs/>
          <w:kern w:val="0"/>
          <w:sz w:val="32"/>
          <w:szCs w:val="32"/>
        </w:rPr>
        <w:t>。</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（一）内设机构设置。湖南省农业机械化高科技示范园</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（二）决算单位构成。湖南省农业机械化高科技示范园</w:t>
      </w:r>
      <w:r>
        <w:rPr>
          <w:rFonts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rPr>
        <w:t>24年部门决算汇总公开单位：湖南省农业机械化高科技示范园本级。</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p>
    <w:p>
      <w:pPr>
        <w:pStyle w:val="14"/>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both"/>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sz w:val="28"/>
          <w:szCs w:val="28"/>
        </w:rPr>
      </w:pPr>
      <w:r>
        <w:rPr>
          <w:rFonts w:ascii="Times New Roman" w:hAnsi="Times New Roman" w:eastAsia="黑体" w:cs="Times New Roman"/>
          <w:color w:val="000000"/>
          <w:kern w:val="0"/>
          <w:sz w:val="28"/>
          <w:szCs w:val="28"/>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湖南省农业机械化高科技示范园</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单位：万元</w:t>
      </w:r>
    </w:p>
    <w:tbl>
      <w:tblPr>
        <w:tblStyle w:val="10"/>
        <w:tblW w:w="14896" w:type="dxa"/>
        <w:jc w:val="center"/>
        <w:tblLayout w:type="autofit"/>
        <w:tblCellMar>
          <w:top w:w="0" w:type="dxa"/>
          <w:left w:w="108" w:type="dxa"/>
          <w:bottom w:w="0" w:type="dxa"/>
          <w:right w:w="108" w:type="dxa"/>
        </w:tblCellMar>
      </w:tblPr>
      <w:tblGrid>
        <w:gridCol w:w="5762"/>
        <w:gridCol w:w="850"/>
        <w:gridCol w:w="1291"/>
        <w:gridCol w:w="4851"/>
        <w:gridCol w:w="850"/>
        <w:gridCol w:w="1292"/>
      </w:tblGrid>
      <w:tr>
        <w:tblPrEx>
          <w:tblCellMar>
            <w:top w:w="0" w:type="dxa"/>
            <w:left w:w="108" w:type="dxa"/>
            <w:bottom w:w="0" w:type="dxa"/>
            <w:right w:w="108" w:type="dxa"/>
          </w:tblCellMar>
        </w:tblPrEx>
        <w:trPr>
          <w:trHeight w:val="312" w:hRule="exac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支出</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决算数</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135.40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11.50</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七、文化旅游体育与传媒支出</w:t>
            </w:r>
          </w:p>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12.92</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ascii="Times New Roman" w:hAnsi="Times New Roman" w:eastAsia="仿宋_GB2312" w:cs="Times New Roman"/>
                <w:color w:val="000000"/>
                <w:kern w:val="0"/>
                <w:sz w:val="22"/>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6.50</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91.72</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kern w:val="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kern w:val="0"/>
                <w:sz w:val="22"/>
              </w:rPr>
            </w:pPr>
            <w:r>
              <w:rPr>
                <w:rFonts w:hint="eastAsia" w:ascii="Times New Roman" w:hAnsi="Times New Roman" w:eastAsia="仿宋_GB2312" w:cs="Times New Roman"/>
                <w:color w:val="000000"/>
                <w:kern w:val="0"/>
                <w:sz w:val="22"/>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4.45</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127.09</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 xml:space="preserve">    使用非财政拨款结余（含专用结余）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 xml:space="preserve">                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 xml:space="preserve">         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 xml:space="preserve">                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9.86</w:t>
            </w:r>
          </w:p>
        </w:tc>
      </w:tr>
      <w:tr>
        <w:tblPrEx>
          <w:tblCellMar>
            <w:top w:w="0" w:type="dxa"/>
            <w:left w:w="108" w:type="dxa"/>
            <w:bottom w:w="0" w:type="dxa"/>
            <w:right w:w="108" w:type="dxa"/>
          </w:tblCellMar>
        </w:tblPrEx>
        <w:trPr>
          <w:trHeight w:val="312"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r>
              <w:rPr>
                <w:rFonts w:hint="eastAsia" w:ascii="Times New Roman" w:hAnsi="Times New Roman" w:eastAsia="仿宋_GB2312" w:cs="Times New Roman"/>
                <w:b/>
                <w:color w:val="000000"/>
                <w:sz w:val="22"/>
              </w:rPr>
              <w:t>136.95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仿宋_GB2312" w:cs="Times New Roman"/>
                <w:b/>
                <w:color w:val="000000"/>
                <w:sz w:val="22"/>
              </w:rPr>
            </w:pPr>
            <w:r>
              <w:rPr>
                <w:rFonts w:hint="eastAsia" w:ascii="Times New Roman" w:hAnsi="Times New Roman" w:eastAsia="仿宋_GB2312" w:cs="Times New Roman"/>
                <w:b/>
                <w:color w:val="000000"/>
                <w:sz w:val="22"/>
              </w:rPr>
              <w:t>136.95</w:t>
            </w:r>
          </w:p>
        </w:tc>
      </w:tr>
    </w:tbl>
    <w:p>
      <w:pPr>
        <w:widowControl/>
        <w:jc w:val="left"/>
        <w:textAlignment w:val="center"/>
        <w:rPr>
          <w:rFonts w:ascii="Times New Roman" w:hAnsi="Times New Roman" w:eastAsia="黑体" w:cs="Times New Roman"/>
          <w:color w:val="000000"/>
          <w:kern w:val="0"/>
          <w:sz w:val="32"/>
          <w:szCs w:val="32"/>
        </w:rPr>
      </w:pPr>
      <w:r>
        <w:rPr>
          <w:rFonts w:ascii="Times New Roman" w:hAnsi="Times New Roman" w:eastAsia="仿宋_GB2312" w:cs="Times New Roman"/>
          <w:color w:val="000000"/>
          <w:kern w:val="0"/>
          <w:sz w:val="24"/>
          <w:szCs w:val="24"/>
        </w:rPr>
        <w:t>注：1.本表反映部门本年度的总收支和年末结转结余情况。</w:t>
      </w:r>
      <w:r>
        <w:rPr>
          <w:rFonts w:ascii="Times New Roman" w:hAnsi="Times New Roman" w:eastAsia="仿宋_GB2312" w:cs="Times New Roman"/>
          <w:color w:val="000000"/>
          <w:kern w:val="0"/>
          <w:sz w:val="24"/>
          <w:szCs w:val="24"/>
        </w:rPr>
        <w:br w:type="textWrapping"/>
      </w:r>
      <w:r>
        <w:rPr>
          <w:rFonts w:ascii="Times New Roman" w:hAnsi="Times New Roman" w:eastAsia="仿宋_GB2312" w:cs="Times New Roman"/>
          <w:color w:val="000000"/>
          <w:kern w:val="0"/>
          <w:sz w:val="24"/>
          <w:szCs w:val="24"/>
        </w:rPr>
        <w:t xml:space="preserve">    2.本套报表金额单位转换时可能存在尾数误差。</w:t>
      </w: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Cs w:val="21"/>
        </w:rPr>
        <w:t>湖南省农业机械化高科技示范园</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hint="eastAsia" w:ascii="Times New Roman" w:hAnsi="Times New Roman" w:eastAsia="仿宋_GB2312" w:cs="Times New Roman"/>
          <w:sz w:val="24"/>
          <w:szCs w:val="24"/>
          <w:lang w:eastAsia="zh-CN"/>
        </w:rPr>
        <w:t>单位：</w:t>
      </w:r>
      <w:r>
        <w:rPr>
          <w:rFonts w:ascii="Times New Roman" w:hAnsi="Times New Roman" w:eastAsia="仿宋_GB2312" w:cs="Times New Roman"/>
          <w:color w:val="000000"/>
          <w:sz w:val="20"/>
          <w:szCs w:val="20"/>
        </w:rPr>
        <w:t>万元</w:t>
      </w:r>
    </w:p>
    <w:tbl>
      <w:tblPr>
        <w:tblStyle w:val="10"/>
        <w:tblW w:w="14666" w:type="dxa"/>
        <w:jc w:val="center"/>
        <w:tblLayout w:type="fixed"/>
        <w:tblCellMar>
          <w:top w:w="0" w:type="dxa"/>
          <w:left w:w="0" w:type="dxa"/>
          <w:bottom w:w="0" w:type="dxa"/>
          <w:right w:w="0" w:type="dxa"/>
        </w:tblCellMar>
      </w:tblPr>
      <w:tblGrid>
        <w:gridCol w:w="1183"/>
        <w:gridCol w:w="703"/>
        <w:gridCol w:w="1736"/>
        <w:gridCol w:w="1204"/>
        <w:gridCol w:w="1640"/>
        <w:gridCol w:w="1640"/>
        <w:gridCol w:w="1640"/>
        <w:gridCol w:w="1640"/>
        <w:gridCol w:w="1897"/>
        <w:gridCol w:w="1383"/>
      </w:tblGrid>
      <w:tr>
        <w:tblPrEx>
          <w:tblCellMar>
            <w:top w:w="0" w:type="dxa"/>
            <w:left w:w="0" w:type="dxa"/>
            <w:bottom w:w="0" w:type="dxa"/>
            <w:right w:w="0" w:type="dxa"/>
          </w:tblCellMar>
        </w:tblPrEx>
        <w:trPr>
          <w:trHeight w:val="340" w:hRule="atLeast"/>
          <w:jc w:val="center"/>
        </w:trPr>
        <w:tc>
          <w:tcPr>
            <w:tcW w:w="362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20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8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tblPrEx>
          <w:tblCellMar>
            <w:top w:w="0" w:type="dxa"/>
            <w:left w:w="0" w:type="dxa"/>
            <w:bottom w:w="0" w:type="dxa"/>
            <w:right w:w="0" w:type="dxa"/>
          </w:tblCellMar>
        </w:tblPrEx>
        <w:trPr>
          <w:trHeight w:val="340" w:hRule="atLeast"/>
          <w:jc w:val="center"/>
        </w:trPr>
        <w:tc>
          <w:tcPr>
            <w:tcW w:w="1886"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1736"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204"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40" w:hRule="atLeast"/>
          <w:jc w:val="center"/>
        </w:trPr>
        <w:tc>
          <w:tcPr>
            <w:tcW w:w="1886"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736" w:type="dxa"/>
            <w:vMerge w:val="continue"/>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204"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40" w:hRule="atLeast"/>
          <w:jc w:val="center"/>
        </w:trPr>
        <w:tc>
          <w:tcPr>
            <w:tcW w:w="36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2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38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tblPrEx>
          <w:tblCellMar>
            <w:top w:w="0" w:type="dxa"/>
            <w:left w:w="0" w:type="dxa"/>
            <w:bottom w:w="0" w:type="dxa"/>
            <w:right w:w="0" w:type="dxa"/>
          </w:tblCellMar>
        </w:tblPrEx>
        <w:trPr>
          <w:trHeight w:val="340" w:hRule="atLeast"/>
          <w:jc w:val="center"/>
        </w:trPr>
        <w:tc>
          <w:tcPr>
            <w:tcW w:w="36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135.45</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135.45</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ascii="Times New Roman" w:hAnsi="Times New Roman" w:eastAsia="仿宋_GB2312" w:cs="Times New Roman"/>
              </w:rPr>
              <w:t>　</w:t>
            </w: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205</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教育支出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b/>
                <w:bCs/>
                <w:sz w:val="24"/>
                <w:szCs w:val="24"/>
                <w:highlight w:val="none"/>
              </w:rPr>
            </w:pPr>
            <w:r>
              <w:rPr>
                <w:rFonts w:hint="eastAsia" w:ascii="Times New Roman" w:hAnsi="Times New Roman" w:eastAsia="仿宋_GB2312" w:cs="Times New Roman"/>
                <w:b/>
                <w:bCs/>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b/>
                <w:bCs/>
                <w:sz w:val="24"/>
                <w:szCs w:val="24"/>
                <w:highlight w:val="none"/>
              </w:rPr>
            </w:pPr>
            <w:r>
              <w:rPr>
                <w:rFonts w:hint="eastAsia" w:ascii="Times New Roman" w:hAnsi="Times New Roman" w:eastAsia="仿宋_GB2312" w:cs="Times New Roman"/>
                <w:b/>
                <w:bCs/>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20508</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进修及培训</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eastAsia="zh-CN"/>
              </w:rPr>
              <w:t>2050803</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eastAsia="zh-CN"/>
              </w:rPr>
              <w:t>培训支出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10.00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208</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社会保障和就业支出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sz w:val="24"/>
                <w:szCs w:val="24"/>
                <w:highlight w:val="none"/>
                <w:lang w:val="en-US" w:eastAsia="zh-CN"/>
              </w:rPr>
              <w:t>13.27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13.27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20805</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行政事业单位养老支出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13.27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13.27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2080505</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机关事业单位基本养老保险缴费支出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8.95</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8.95</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2080506</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机关事业单位职业年金缴费支出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4.32</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4.32</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210</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卫生健康支出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sz w:val="24"/>
                <w:szCs w:val="24"/>
                <w:highlight w:val="none"/>
                <w:lang w:val="en-US" w:eastAsia="zh-CN"/>
              </w:rPr>
            </w:pPr>
            <w:r>
              <w:rPr>
                <w:rFonts w:hint="eastAsia" w:ascii="Times New Roman" w:hAnsi="Times New Roman" w:eastAsia="仿宋_GB2312" w:cs="Times New Roman"/>
                <w:b/>
                <w:bCs/>
                <w:sz w:val="24"/>
                <w:szCs w:val="24"/>
                <w:highlight w:val="none"/>
                <w:lang w:val="en-US" w:eastAsia="zh-CN"/>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sz w:val="24"/>
                <w:szCs w:val="24"/>
                <w:highlight w:val="none"/>
                <w:lang w:val="en-US" w:eastAsia="zh-CN"/>
              </w:rPr>
            </w:pPr>
            <w:r>
              <w:rPr>
                <w:rFonts w:hint="eastAsia" w:ascii="Times New Roman" w:hAnsi="Times New Roman" w:eastAsia="仿宋_GB2312" w:cs="Times New Roman"/>
                <w:b/>
                <w:bCs/>
                <w:sz w:val="24"/>
                <w:szCs w:val="24"/>
                <w:highlight w:val="none"/>
                <w:lang w:val="en-US" w:eastAsia="zh-CN"/>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21011</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行政事业单位医疗</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2101102</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事业单位医疗</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6.50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213</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农林水支出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sz w:val="24"/>
                <w:szCs w:val="24"/>
                <w:highlight w:val="none"/>
                <w:lang w:val="en-US" w:eastAsia="zh-CN"/>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sz w:val="24"/>
                <w:szCs w:val="24"/>
                <w:highlight w:val="none"/>
                <w:lang w:val="en-US" w:eastAsia="zh-CN"/>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21301</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农村农村</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100.68</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100.68</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sz w:val="24"/>
                <w:szCs w:val="24"/>
                <w:highlight w:val="none"/>
                <w:lang w:val="en-US" w:eastAsia="zh-CN"/>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2130104</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事业运行</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89.08</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89.08</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eastAsia="zh-CN"/>
              </w:rPr>
              <w:t>2130199</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eastAsia="zh-CN"/>
              </w:rPr>
              <w:t>其他农业农村支出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11.60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11.60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221</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住房保障支出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sz w:val="24"/>
                <w:szCs w:val="24"/>
                <w:highlight w:val="none"/>
                <w:lang w:val="en-US" w:eastAsia="zh-CN"/>
              </w:rPr>
              <w:t>5.00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sz w:val="24"/>
                <w:szCs w:val="24"/>
                <w:highlight w:val="none"/>
                <w:lang w:val="en-US" w:eastAsia="zh-CN"/>
              </w:rPr>
              <w:t>5.00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22102</w:t>
            </w:r>
          </w:p>
        </w:tc>
        <w:tc>
          <w:tcPr>
            <w:tcW w:w="2439"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住房改革支出</w:t>
            </w:r>
          </w:p>
        </w:tc>
        <w:tc>
          <w:tcPr>
            <w:tcW w:w="12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5.00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5.00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r>
        <w:tblPrEx>
          <w:tblCellMar>
            <w:top w:w="0" w:type="dxa"/>
            <w:left w:w="0" w:type="dxa"/>
            <w:bottom w:w="0" w:type="dxa"/>
            <w:right w:w="0" w:type="dxa"/>
          </w:tblCellMar>
        </w:tblPrEx>
        <w:trPr>
          <w:trHeight w:val="312" w:hRule="atLeast"/>
          <w:jc w:val="center"/>
        </w:trPr>
        <w:tc>
          <w:tcPr>
            <w:tcW w:w="1183"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2210201</w:t>
            </w:r>
          </w:p>
        </w:tc>
        <w:tc>
          <w:tcPr>
            <w:tcW w:w="2439" w:type="dxa"/>
            <w:gridSpan w:val="2"/>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住房公积金</w:t>
            </w:r>
          </w:p>
        </w:tc>
        <w:tc>
          <w:tcPr>
            <w:tcW w:w="1204"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5.00</w:t>
            </w:r>
          </w:p>
        </w:tc>
        <w:tc>
          <w:tcPr>
            <w:tcW w:w="16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5.00</w:t>
            </w:r>
          </w:p>
        </w:tc>
        <w:tc>
          <w:tcPr>
            <w:tcW w:w="16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6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89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c>
          <w:tcPr>
            <w:tcW w:w="1383"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Times New Roman" w:hAnsi="Times New Roman" w:eastAsia="仿宋_GB2312" w:cs="Times New Roman"/>
                <w:sz w:val="24"/>
                <w:szCs w:val="24"/>
                <w:highlight w:val="none"/>
              </w:rPr>
            </w:pPr>
          </w:p>
        </w:tc>
      </w:tr>
    </w:tbl>
    <w:p>
      <w:pPr>
        <w:spacing w:before="120"/>
        <w:rPr>
          <w:rFonts w:ascii="Times New Roman" w:hAnsi="Times New Roman" w:eastAsia="仿宋_GB2312" w:cs="Times New Roman"/>
          <w:sz w:val="24"/>
          <w:szCs w:val="24"/>
          <w:highlight w:val="yellow"/>
        </w:rPr>
      </w:pPr>
      <w:r>
        <w:rPr>
          <w:rFonts w:ascii="Times New Roman" w:hAnsi="Times New Roman" w:eastAsia="仿宋_GB2312" w:cs="Times New Roman"/>
          <w:highlight w:val="none"/>
        </w:rPr>
        <w:t>注：本表反映部门本年度取得的各项收入情况。</w:t>
      </w:r>
    </w:p>
    <w:p>
      <w:pPr>
        <w:widowControl/>
        <w:jc w:val="left"/>
        <w:rPr>
          <w:rFonts w:ascii="Times New Roman" w:hAnsi="Times New Roman" w:eastAsia="黑体" w:cs="Times New Roman"/>
          <w:color w:val="000000"/>
          <w:kern w:val="0"/>
          <w:sz w:val="32"/>
          <w:szCs w:val="32"/>
          <w:highlight w:val="yellow"/>
        </w:rPr>
      </w:pPr>
      <w:r>
        <w:rPr>
          <w:rFonts w:ascii="Times New Roman" w:hAnsi="Times New Roman" w:eastAsia="黑体" w:cs="Times New Roman"/>
          <w:bCs/>
          <w:kern w:val="0"/>
          <w:sz w:val="32"/>
          <w:szCs w:val="32"/>
          <w:highlight w:val="yellow"/>
        </w:rPr>
        <w:br w:type="page"/>
      </w:r>
    </w:p>
    <w:p>
      <w:pPr>
        <w:widowControl/>
        <w:spacing w:afterLines="50"/>
        <w:jc w:val="center"/>
        <w:textAlignment w:val="center"/>
        <w:rPr>
          <w:rFonts w:ascii="Times New Roman" w:hAnsi="Times New Roman" w:eastAsia="黑体" w:cs="Times New Roman"/>
          <w:color w:val="000000"/>
          <w:kern w:val="0"/>
          <w:sz w:val="36"/>
          <w:szCs w:val="36"/>
          <w:highlight w:val="none"/>
        </w:rPr>
      </w:pPr>
      <w:r>
        <w:rPr>
          <w:rFonts w:ascii="Times New Roman" w:hAnsi="Times New Roman" w:eastAsia="黑体" w:cs="Times New Roman"/>
          <w:color w:val="000000"/>
          <w:kern w:val="0"/>
          <w:sz w:val="36"/>
          <w:szCs w:val="36"/>
          <w:highlight w:val="none"/>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Cs w:val="21"/>
          <w:highlight w:val="none"/>
        </w:rPr>
        <w:t>湖南省农业机械化高科技示范园</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　单位：万元</w:t>
      </w:r>
    </w:p>
    <w:tbl>
      <w:tblPr>
        <w:tblStyle w:val="10"/>
        <w:tblW w:w="4996" w:type="pct"/>
        <w:jc w:val="center"/>
        <w:tblLayout w:type="autofit"/>
        <w:tblCellMar>
          <w:top w:w="0" w:type="dxa"/>
          <w:left w:w="108" w:type="dxa"/>
          <w:bottom w:w="0" w:type="dxa"/>
          <w:right w:w="108" w:type="dxa"/>
        </w:tblCellMar>
      </w:tblPr>
      <w:tblGrid>
        <w:gridCol w:w="1293"/>
        <w:gridCol w:w="2220"/>
        <w:gridCol w:w="1839"/>
        <w:gridCol w:w="1700"/>
        <w:gridCol w:w="1273"/>
        <w:gridCol w:w="1319"/>
        <w:gridCol w:w="1373"/>
        <w:gridCol w:w="1211"/>
        <w:gridCol w:w="1979"/>
      </w:tblGrid>
      <w:tr>
        <w:tblPrEx>
          <w:tblCellMar>
            <w:top w:w="0" w:type="dxa"/>
            <w:left w:w="108" w:type="dxa"/>
            <w:bottom w:w="0" w:type="dxa"/>
            <w:right w:w="108" w:type="dxa"/>
          </w:tblCellMar>
        </w:tblPrEx>
        <w:trPr>
          <w:trHeight w:val="374" w:hRule="atLeast"/>
          <w:jc w:val="center"/>
        </w:trPr>
        <w:tc>
          <w:tcPr>
            <w:tcW w:w="1883" w:type="pct"/>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项    目</w:t>
            </w:r>
          </w:p>
        </w:tc>
        <w:tc>
          <w:tcPr>
            <w:tcW w:w="59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本年支出合计</w:t>
            </w:r>
          </w:p>
        </w:tc>
        <w:tc>
          <w:tcPr>
            <w:tcW w:w="448"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基本支出</w:t>
            </w:r>
          </w:p>
        </w:tc>
        <w:tc>
          <w:tcPr>
            <w:tcW w:w="464"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项目支出</w:t>
            </w:r>
          </w:p>
        </w:tc>
        <w:tc>
          <w:tcPr>
            <w:tcW w:w="483"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上缴上级支出</w:t>
            </w:r>
          </w:p>
        </w:tc>
        <w:tc>
          <w:tcPr>
            <w:tcW w:w="426"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经营支出</w:t>
            </w:r>
          </w:p>
        </w:tc>
        <w:tc>
          <w:tcPr>
            <w:tcW w:w="696"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对附属单位补助支出</w:t>
            </w:r>
          </w:p>
        </w:tc>
      </w:tr>
      <w:tr>
        <w:tblPrEx>
          <w:tblCellMar>
            <w:top w:w="0" w:type="dxa"/>
            <w:left w:w="108" w:type="dxa"/>
            <w:bottom w:w="0" w:type="dxa"/>
            <w:right w:w="108" w:type="dxa"/>
          </w:tblCellMar>
        </w:tblPrEx>
        <w:trPr>
          <w:trHeight w:val="374" w:hRule="atLeast"/>
          <w:jc w:val="center"/>
        </w:trPr>
        <w:tc>
          <w:tcPr>
            <w:tcW w:w="1236" w:type="pct"/>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功能分类科目编码</w:t>
            </w:r>
          </w:p>
        </w:tc>
        <w:tc>
          <w:tcPr>
            <w:tcW w:w="647"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highlight w:val="none"/>
              </w:rPr>
            </w:pPr>
            <w:r>
              <w:rPr>
                <w:rFonts w:ascii="Times New Roman" w:hAnsi="Times New Roman" w:eastAsia="仿宋_GB2312" w:cs="Times New Roman"/>
                <w:b/>
                <w:bCs/>
                <w:kern w:val="0"/>
                <w:sz w:val="24"/>
                <w:szCs w:val="24"/>
                <w:highlight w:val="none"/>
              </w:rPr>
              <w:t>科目名称</w:t>
            </w:r>
          </w:p>
        </w:tc>
        <w:tc>
          <w:tcPr>
            <w:tcW w:w="59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c>
          <w:tcPr>
            <w:tcW w:w="42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c>
          <w:tcPr>
            <w:tcW w:w="6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123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647"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59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42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c>
          <w:tcPr>
            <w:tcW w:w="6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1883"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栏次</w:t>
            </w:r>
          </w:p>
        </w:tc>
        <w:tc>
          <w:tcPr>
            <w:tcW w:w="59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1</w:t>
            </w:r>
          </w:p>
        </w:tc>
        <w:tc>
          <w:tcPr>
            <w:tcW w:w="448"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2</w:t>
            </w:r>
          </w:p>
        </w:tc>
        <w:tc>
          <w:tcPr>
            <w:tcW w:w="464"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3</w:t>
            </w:r>
          </w:p>
        </w:tc>
        <w:tc>
          <w:tcPr>
            <w:tcW w:w="483"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4</w:t>
            </w:r>
          </w:p>
        </w:tc>
        <w:tc>
          <w:tcPr>
            <w:tcW w:w="426"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5</w:t>
            </w:r>
          </w:p>
        </w:tc>
        <w:tc>
          <w:tcPr>
            <w:tcW w:w="696" w:type="pct"/>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6</w:t>
            </w:r>
          </w:p>
        </w:tc>
      </w:tr>
      <w:tr>
        <w:tblPrEx>
          <w:tblCellMar>
            <w:top w:w="0" w:type="dxa"/>
            <w:left w:w="108" w:type="dxa"/>
            <w:bottom w:w="0" w:type="dxa"/>
            <w:right w:w="108" w:type="dxa"/>
          </w:tblCellMar>
        </w:tblPrEx>
        <w:trPr>
          <w:trHeight w:val="374" w:hRule="atLeast"/>
          <w:jc w:val="center"/>
        </w:trPr>
        <w:tc>
          <w:tcPr>
            <w:tcW w:w="1883"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highlight w:val="none"/>
              </w:rPr>
            </w:pPr>
            <w:r>
              <w:rPr>
                <w:rFonts w:ascii="Times New Roman" w:hAnsi="Times New Roman" w:eastAsia="仿宋_GB2312" w:cs="Times New Roman"/>
                <w:kern w:val="0"/>
                <w:sz w:val="24"/>
                <w:szCs w:val="24"/>
                <w:highlight w:val="none"/>
              </w:rPr>
              <w:t>合计</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r>
              <w:rPr>
                <w:rFonts w:hint="eastAsia" w:ascii="Times New Roman" w:hAnsi="Times New Roman" w:eastAsia="仿宋_GB2312" w:cs="Times New Roman"/>
                <w:b/>
                <w:kern w:val="0"/>
                <w:sz w:val="24"/>
                <w:szCs w:val="24"/>
                <w:highlight w:val="none"/>
              </w:rPr>
              <w:t>127.09</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r>
              <w:rPr>
                <w:rFonts w:hint="eastAsia" w:ascii="Times New Roman" w:hAnsi="Times New Roman" w:eastAsia="仿宋_GB2312" w:cs="Times New Roman"/>
                <w:b/>
                <w:kern w:val="0"/>
                <w:sz w:val="24"/>
                <w:szCs w:val="24"/>
                <w:highlight w:val="none"/>
              </w:rPr>
              <w:t>103.99</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r>
              <w:rPr>
                <w:rFonts w:hint="eastAsia" w:ascii="Times New Roman" w:hAnsi="Times New Roman" w:eastAsia="仿宋_GB2312" w:cs="Times New Roman"/>
                <w:b/>
                <w:kern w:val="0"/>
                <w:sz w:val="24"/>
                <w:szCs w:val="24"/>
                <w:highlight w:val="none"/>
              </w:rPr>
              <w:t>23.10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205</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教育支出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11.50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4"/>
                <w:szCs w:val="24"/>
                <w:highlight w:val="none"/>
                <w:lang w:val="en-US" w:eastAsia="zh-CN" w:bidi="ar-SA"/>
              </w:rPr>
            </w:pP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11.50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20508</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进修及培训</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11.50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lang w:val="en-US" w:eastAsia="zh-CN" w:bidi="ar-SA"/>
              </w:rPr>
            </w:pP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11.50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2050803</w:t>
            </w:r>
          </w:p>
        </w:tc>
        <w:tc>
          <w:tcPr>
            <w:tcW w:w="1428" w:type="pct"/>
            <w:gridSpan w:val="2"/>
            <w:tcBorders>
              <w:top w:val="nil"/>
              <w:left w:val="nil"/>
              <w:bottom w:val="single" w:color="auto" w:sz="4" w:space="0"/>
              <w:right w:val="single" w:color="auto" w:sz="4" w:space="0"/>
            </w:tcBorders>
            <w:shd w:val="clear" w:color="000000" w:fill="FFFFFF"/>
            <w:noWrap/>
            <w:vAlign w:val="center"/>
          </w:tcPr>
          <w:p>
            <w:pPr>
              <w:widowControl/>
              <w:jc w:val="left"/>
              <w:rPr>
                <w:rFonts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培训支出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11.50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lang w:val="en-US" w:eastAsia="zh-CN" w:bidi="ar-SA"/>
              </w:rPr>
            </w:pP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11.50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208</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社会保障和就业支出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12.92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bidi="ar-SA"/>
              </w:rPr>
              <w:t>12.92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20805</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行政事业单位养老支出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12.92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lang w:val="en-US" w:eastAsia="zh-CN" w:bidi="ar-SA"/>
              </w:rPr>
              <w:t>12.92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2080505</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机关事业单位基本养老保险缴费支出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8.60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8.60</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2080506</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机关事业单位职业年金缴费支出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4.32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4.32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210</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卫生健康支出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6.50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6.50</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21011</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行政事业单位医疗</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2101102</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事业单位医疗</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213</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农林水支出</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91.72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80.12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11.60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21301</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农村农村</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91.72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80.12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11.60</w:t>
            </w: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2130104</w:t>
            </w:r>
          </w:p>
        </w:tc>
        <w:tc>
          <w:tcPr>
            <w:tcW w:w="1428" w:type="pct"/>
            <w:gridSpan w:val="2"/>
            <w:tcBorders>
              <w:top w:val="nil"/>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事业运行</w:t>
            </w:r>
          </w:p>
        </w:tc>
        <w:tc>
          <w:tcPr>
            <w:tcW w:w="59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80.12</w:t>
            </w:r>
          </w:p>
        </w:tc>
        <w:tc>
          <w:tcPr>
            <w:tcW w:w="448"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80.12</w:t>
            </w:r>
          </w:p>
        </w:tc>
        <w:tc>
          <w:tcPr>
            <w:tcW w:w="464"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2130199</w:t>
            </w:r>
          </w:p>
        </w:tc>
        <w:tc>
          <w:tcPr>
            <w:tcW w:w="1428" w:type="pct"/>
            <w:gridSpan w:val="2"/>
            <w:tcBorders>
              <w:top w:val="single" w:color="auto" w:sz="4" w:space="0"/>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其他农业农村支出</w:t>
            </w:r>
          </w:p>
        </w:tc>
        <w:tc>
          <w:tcPr>
            <w:tcW w:w="5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11.60</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6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11.60</w:t>
            </w:r>
          </w:p>
        </w:tc>
        <w:tc>
          <w:tcPr>
            <w:tcW w:w="48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221</w:t>
            </w:r>
          </w:p>
        </w:tc>
        <w:tc>
          <w:tcPr>
            <w:tcW w:w="1428" w:type="pct"/>
            <w:gridSpan w:val="2"/>
            <w:tcBorders>
              <w:top w:val="single" w:color="auto" w:sz="4" w:space="0"/>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住房保障支出</w:t>
            </w:r>
          </w:p>
        </w:tc>
        <w:tc>
          <w:tcPr>
            <w:tcW w:w="5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4.45</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4.45</w:t>
            </w:r>
          </w:p>
        </w:tc>
        <w:tc>
          <w:tcPr>
            <w:tcW w:w="46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p>
        </w:tc>
        <w:tc>
          <w:tcPr>
            <w:tcW w:w="48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22102</w:t>
            </w:r>
          </w:p>
        </w:tc>
        <w:tc>
          <w:tcPr>
            <w:tcW w:w="1428" w:type="pct"/>
            <w:gridSpan w:val="2"/>
            <w:tcBorders>
              <w:top w:val="single" w:color="auto" w:sz="4" w:space="0"/>
              <w:left w:val="nil"/>
              <w:bottom w:val="single" w:color="auto" w:sz="4" w:space="0"/>
              <w:right w:val="single" w:color="auto" w:sz="4" w:space="0"/>
            </w:tcBorders>
            <w:shd w:val="clear" w:color="000000" w:fill="FFFFFF"/>
            <w:noWrap/>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住房改革支出</w:t>
            </w:r>
          </w:p>
        </w:tc>
        <w:tc>
          <w:tcPr>
            <w:tcW w:w="5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4.45</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4.45</w:t>
            </w:r>
          </w:p>
        </w:tc>
        <w:tc>
          <w:tcPr>
            <w:tcW w:w="46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4"/>
                <w:szCs w:val="24"/>
                <w:highlight w:val="none"/>
              </w:rPr>
            </w:pPr>
          </w:p>
        </w:tc>
        <w:tc>
          <w:tcPr>
            <w:tcW w:w="48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74" w:hRule="atLeast"/>
          <w:jc w:val="center"/>
        </w:trPr>
        <w:tc>
          <w:tcPr>
            <w:tcW w:w="455"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2210201</w:t>
            </w:r>
          </w:p>
        </w:tc>
        <w:tc>
          <w:tcPr>
            <w:tcW w:w="1428" w:type="pct"/>
            <w:gridSpan w:val="2"/>
            <w:tcBorders>
              <w:top w:val="single" w:color="auto" w:sz="4" w:space="0"/>
              <w:left w:val="nil"/>
              <w:bottom w:val="single" w:color="auto" w:sz="4" w:space="0"/>
              <w:right w:val="single" w:color="auto" w:sz="4" w:space="0"/>
            </w:tcBorders>
            <w:shd w:val="clear" w:color="000000" w:fill="FFFFFF"/>
            <w:noWrap/>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住房公积金</w:t>
            </w:r>
          </w:p>
        </w:tc>
        <w:tc>
          <w:tcPr>
            <w:tcW w:w="5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4.45</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4.45</w:t>
            </w:r>
          </w:p>
        </w:tc>
        <w:tc>
          <w:tcPr>
            <w:tcW w:w="46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8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42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c>
          <w:tcPr>
            <w:tcW w:w="69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highlight w:val="none"/>
              </w:rPr>
            </w:pPr>
          </w:p>
        </w:tc>
      </w:tr>
    </w:tbl>
    <w:p>
      <w:pPr>
        <w:widowControl/>
        <w:spacing w:before="120"/>
        <w:jc w:val="left"/>
        <w:rPr>
          <w:rFonts w:ascii="Times New Roman" w:hAnsi="Times New Roman" w:eastAsia="宋体" w:cs="Times New Roman"/>
          <w:kern w:val="0"/>
          <w:sz w:val="24"/>
          <w:szCs w:val="24"/>
        </w:rPr>
      </w:pPr>
      <w:r>
        <w:rPr>
          <w:rFonts w:ascii="Times New Roman" w:hAnsi="Times New Roman" w:eastAsia="仿宋_GB2312" w:cs="Times New Roman"/>
          <w:kern w:val="0"/>
          <w:sz w:val="24"/>
          <w:szCs w:val="24"/>
        </w:rPr>
        <w:t>注：本表反映部门本年度各项支出情况。</w:t>
      </w:r>
      <w:bookmarkStart w:id="0" w:name="RANGE!A1:I22"/>
      <w:bookmarkEnd w:id="0"/>
      <w:bookmarkStart w:id="1" w:name="RANGE!A1:F16"/>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afterLines="50"/>
        <w:jc w:val="center"/>
        <w:textAlignment w:val="center"/>
        <w:rPr>
          <w:rFonts w:ascii="Times New Roman" w:hAnsi="Times New Roman" w:eastAsia="黑体" w:cs="Times New Roman"/>
          <w:color w:val="000000"/>
          <w:kern w:val="0"/>
          <w:sz w:val="28"/>
          <w:szCs w:val="28"/>
        </w:rPr>
      </w:pPr>
      <w:r>
        <w:rPr>
          <w:rFonts w:ascii="Times New Roman" w:hAnsi="Times New Roman" w:eastAsia="黑体" w:cs="Times New Roman"/>
          <w:color w:val="000000"/>
          <w:kern w:val="0"/>
          <w:sz w:val="28"/>
          <w:szCs w:val="28"/>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湖南省农业机械化高科技示范园</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0"/>
        <w:tblW w:w="0" w:type="auto"/>
        <w:jc w:val="center"/>
        <w:tblLayout w:type="autofit"/>
        <w:tblCellMar>
          <w:top w:w="0" w:type="dxa"/>
          <w:left w:w="108" w:type="dxa"/>
          <w:bottom w:w="0" w:type="dxa"/>
          <w:right w:w="108" w:type="dxa"/>
        </w:tblCellMar>
      </w:tblPr>
      <w:tblGrid>
        <w:gridCol w:w="3516"/>
        <w:gridCol w:w="616"/>
        <w:gridCol w:w="821"/>
        <w:gridCol w:w="3336"/>
        <w:gridCol w:w="616"/>
        <w:gridCol w:w="696"/>
        <w:gridCol w:w="1675"/>
        <w:gridCol w:w="1448"/>
        <w:gridCol w:w="1494"/>
      </w:tblGrid>
      <w:tr>
        <w:tblPrEx>
          <w:tblCellMar>
            <w:top w:w="0" w:type="dxa"/>
            <w:left w:w="108" w:type="dxa"/>
            <w:bottom w:w="0" w:type="dxa"/>
            <w:right w:w="108" w:type="dxa"/>
          </w:tblCellMar>
        </w:tblPrEx>
        <w:trPr>
          <w:cantSplit/>
          <w:trHeight w:val="284" w:hRule="exact"/>
          <w:jc w:val="center"/>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0" w:type="auto"/>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144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149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2"/>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135.40</w:t>
            </w: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26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二、外交支出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27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三、国防支出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28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四、公共安全支出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29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五、教育支出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11.50</w:t>
            </w: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六、科学技术支出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七、文化旅游体育与传媒支出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8</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八、社会保障和就业支出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12.92</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r>
              <w:rPr>
                <w:rFonts w:hint="eastAsia" w:ascii="Times New Roman" w:hAnsi="Times New Roman" w:eastAsia="仿宋_GB2312" w:cs="Times New Roman"/>
                <w:kern w:val="0"/>
                <w:sz w:val="22"/>
              </w:rPr>
              <w:t>九、卫生健康支出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6.50</w:t>
            </w: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十、节能环保支出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十一、城乡社区支出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十二、农林水支出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91.67</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十三、交通运输支出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十四、资源勘探工业信息等支出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39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15</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十五、商业服务业等支出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16</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十六、金融支出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17</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十七、援助其他地区支出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18</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十八、自然资源海洋气象等支出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十九、住房保障支出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4.45</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49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本年收入合计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20</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本年支出合计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r>
              <w:rPr>
                <w:rFonts w:hint="eastAsia" w:ascii="Times New Roman" w:hAnsi="Times New Roman" w:eastAsia="仿宋_GB2312" w:cs="Times New Roman"/>
                <w:kern w:val="0"/>
                <w:sz w:val="22"/>
              </w:rPr>
              <w:t>127.04</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年初财政拨款结转和结余</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21</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1.50</w:t>
            </w: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年末财政拨款结转和结余</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r>
              <w:rPr>
                <w:rFonts w:hint="eastAsia" w:ascii="Times New Roman" w:hAnsi="Times New Roman" w:eastAsia="仿宋_GB2312" w:cs="Times New Roman"/>
                <w:kern w:val="0"/>
                <w:sz w:val="22"/>
              </w:rPr>
              <w:t>9.86</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一般公共预算财政拨款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22</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政府性基金预算财政拨款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23</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国有资本经营预算财政拨款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24</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49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cantSplit/>
          <w:trHeight w:val="284" w:hRule="exact"/>
          <w:jc w:val="center"/>
        </w:trPr>
        <w:tc>
          <w:tcPr>
            <w:tcW w:w="0" w:type="auto"/>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25</w:t>
            </w:r>
          </w:p>
        </w:tc>
        <w:tc>
          <w:tcPr>
            <w:tcW w:w="0" w:type="auto"/>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136.90</w:t>
            </w: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rPr>
              <w:t>50</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r>
              <w:rPr>
                <w:rFonts w:hint="eastAsia" w:ascii="Times New Roman" w:hAnsi="Times New Roman" w:eastAsia="仿宋_GB2312" w:cs="Times New Roman"/>
                <w:kern w:val="0"/>
                <w:sz w:val="22"/>
              </w:rPr>
              <w:t>136.90</w:t>
            </w:r>
          </w:p>
        </w:tc>
        <w:tc>
          <w:tcPr>
            <w:tcW w:w="144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c>
          <w:tcPr>
            <w:tcW w:w="149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一般公共预算财政拨款支出决算表</w:t>
      </w:r>
      <w:bookmarkEnd w:id="1"/>
    </w:p>
    <w:p>
      <w:pPr>
        <w:widowControl/>
        <w:spacing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rPr>
        <w:t>湖南省农业机械化高科技示范园</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0"/>
        <w:tblW w:w="14219" w:type="dxa"/>
        <w:jc w:val="center"/>
        <w:tblLayout w:type="autofit"/>
        <w:tblCellMar>
          <w:top w:w="0" w:type="dxa"/>
          <w:left w:w="108" w:type="dxa"/>
          <w:bottom w:w="0" w:type="dxa"/>
          <w:right w:w="108" w:type="dxa"/>
        </w:tblCellMar>
      </w:tblPr>
      <w:tblGrid>
        <w:gridCol w:w="1200"/>
        <w:gridCol w:w="4254"/>
        <w:gridCol w:w="2925"/>
        <w:gridCol w:w="3105"/>
        <w:gridCol w:w="2735"/>
      </w:tblGrid>
      <w:tr>
        <w:tblPrEx>
          <w:tblCellMar>
            <w:top w:w="0" w:type="dxa"/>
            <w:left w:w="108" w:type="dxa"/>
            <w:bottom w:w="0" w:type="dxa"/>
            <w:right w:w="108" w:type="dxa"/>
          </w:tblCellMar>
        </w:tblPrEx>
        <w:trPr>
          <w:trHeight w:val="545" w:hRule="atLeast"/>
          <w:jc w:val="center"/>
        </w:trPr>
        <w:tc>
          <w:tcPr>
            <w:tcW w:w="5454"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 目</w:t>
            </w:r>
          </w:p>
        </w:tc>
        <w:tc>
          <w:tcPr>
            <w:tcW w:w="8765"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rPr>
            </w:pPr>
            <w:r>
              <w:rPr>
                <w:rFonts w:ascii="Times New Roman" w:hAnsi="Times New Roman" w:eastAsia="仿宋_GB2312" w:cs="Times New Roman"/>
                <w:b/>
                <w:kern w:val="0"/>
                <w:szCs w:val="21"/>
                <w:highlight w:val="none"/>
              </w:rPr>
              <w:t>功能分类科目编码</w:t>
            </w:r>
          </w:p>
        </w:tc>
        <w:tc>
          <w:tcPr>
            <w:tcW w:w="42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rPr>
            </w:pPr>
            <w:r>
              <w:rPr>
                <w:rFonts w:ascii="Times New Roman" w:hAnsi="Times New Roman" w:eastAsia="仿宋_GB2312" w:cs="Times New Roman"/>
                <w:b/>
                <w:kern w:val="0"/>
                <w:szCs w:val="21"/>
                <w:highlight w:val="none"/>
              </w:rPr>
              <w:t>科目名称</w:t>
            </w:r>
          </w:p>
        </w:tc>
        <w:tc>
          <w:tcPr>
            <w:tcW w:w="29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rPr>
            </w:pPr>
            <w:r>
              <w:rPr>
                <w:rFonts w:ascii="Times New Roman" w:hAnsi="Times New Roman" w:eastAsia="仿宋_GB2312" w:cs="Times New Roman"/>
                <w:b/>
                <w:kern w:val="0"/>
                <w:szCs w:val="21"/>
                <w:highlight w:val="none"/>
              </w:rPr>
              <w:t>小计</w:t>
            </w:r>
          </w:p>
        </w:tc>
        <w:tc>
          <w:tcPr>
            <w:tcW w:w="310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highlight w:val="none"/>
              </w:rPr>
            </w:pPr>
            <w:r>
              <w:rPr>
                <w:rFonts w:ascii="Times New Roman" w:hAnsi="Times New Roman" w:eastAsia="仿宋_GB2312" w:cs="Times New Roman"/>
                <w:b/>
                <w:kern w:val="0"/>
                <w:szCs w:val="21"/>
                <w:highlight w:val="none"/>
              </w:rPr>
              <w:t>基本支出</w:t>
            </w:r>
          </w:p>
        </w:tc>
        <w:tc>
          <w:tcPr>
            <w:tcW w:w="2735"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highlight w:val="none"/>
              </w:rPr>
            </w:pPr>
            <w:r>
              <w:rPr>
                <w:rFonts w:ascii="Times New Roman" w:hAnsi="Times New Roman" w:eastAsia="仿宋_GB2312" w:cs="Times New Roman"/>
                <w:b/>
                <w:kern w:val="0"/>
                <w:szCs w:val="21"/>
                <w:highlight w:val="none"/>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425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292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310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2735"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highlight w:val="none"/>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425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292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3105"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highlight w:val="none"/>
              </w:rPr>
            </w:pPr>
          </w:p>
        </w:tc>
        <w:tc>
          <w:tcPr>
            <w:tcW w:w="2735"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highlight w:val="none"/>
              </w:rPr>
            </w:pPr>
          </w:p>
        </w:tc>
      </w:tr>
      <w:tr>
        <w:tblPrEx>
          <w:tblCellMar>
            <w:top w:w="0" w:type="dxa"/>
            <w:left w:w="108" w:type="dxa"/>
            <w:bottom w:w="0" w:type="dxa"/>
            <w:right w:w="108" w:type="dxa"/>
          </w:tblCellMar>
        </w:tblPrEx>
        <w:trPr>
          <w:trHeight w:val="340" w:hRule="atLeast"/>
          <w:jc w:val="center"/>
        </w:trPr>
        <w:tc>
          <w:tcPr>
            <w:tcW w:w="545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highlight w:val="none"/>
              </w:rPr>
            </w:pPr>
            <w:r>
              <w:rPr>
                <w:rFonts w:ascii="Times New Roman" w:hAnsi="Times New Roman" w:eastAsia="仿宋_GB2312" w:cs="Times New Roman"/>
                <w:kern w:val="0"/>
                <w:szCs w:val="21"/>
                <w:highlight w:val="none"/>
              </w:rPr>
              <w:t>栏次</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highlight w:val="none"/>
              </w:rPr>
            </w:pPr>
            <w:r>
              <w:rPr>
                <w:rFonts w:ascii="Times New Roman" w:hAnsi="Times New Roman" w:eastAsia="仿宋_GB2312" w:cs="Times New Roman"/>
                <w:kern w:val="0"/>
                <w:szCs w:val="21"/>
                <w:highlight w:val="none"/>
              </w:rPr>
              <w:t>1</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highlight w:val="none"/>
              </w:rPr>
            </w:pPr>
            <w:r>
              <w:rPr>
                <w:rFonts w:ascii="Times New Roman" w:hAnsi="Times New Roman" w:eastAsia="仿宋_GB2312" w:cs="Times New Roman"/>
                <w:kern w:val="0"/>
                <w:szCs w:val="21"/>
                <w:highlight w:val="none"/>
              </w:rPr>
              <w:t>2</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highlight w:val="none"/>
              </w:rPr>
            </w:pPr>
            <w:r>
              <w:rPr>
                <w:rFonts w:ascii="Times New Roman" w:hAnsi="Times New Roman" w:eastAsia="仿宋_GB2312" w:cs="Times New Roman"/>
                <w:kern w:val="0"/>
                <w:szCs w:val="21"/>
                <w:highlight w:val="none"/>
              </w:rPr>
              <w:t>3</w:t>
            </w:r>
          </w:p>
        </w:tc>
      </w:tr>
      <w:tr>
        <w:tblPrEx>
          <w:tblCellMar>
            <w:top w:w="0" w:type="dxa"/>
            <w:left w:w="108" w:type="dxa"/>
            <w:bottom w:w="0" w:type="dxa"/>
            <w:right w:w="108" w:type="dxa"/>
          </w:tblCellMar>
        </w:tblPrEx>
        <w:trPr>
          <w:trHeight w:val="340" w:hRule="atLeast"/>
          <w:jc w:val="center"/>
        </w:trPr>
        <w:tc>
          <w:tcPr>
            <w:tcW w:w="5454"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highlight w:val="none"/>
              </w:rPr>
            </w:pPr>
            <w:r>
              <w:rPr>
                <w:rFonts w:ascii="Times New Roman" w:hAnsi="Times New Roman" w:eastAsia="仿宋_GB2312" w:cs="Times New Roman"/>
                <w:kern w:val="0"/>
                <w:szCs w:val="21"/>
                <w:highlight w:val="none"/>
              </w:rPr>
              <w:t>合计</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127.04</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eastAsia="zh-CN"/>
              </w:rPr>
            </w:pPr>
            <w:r>
              <w:rPr>
                <w:rFonts w:hint="eastAsia" w:ascii="Times New Roman" w:hAnsi="Times New Roman" w:eastAsia="仿宋_GB2312" w:cs="Times New Roman"/>
                <w:b/>
                <w:bCs/>
                <w:kern w:val="0"/>
                <w:sz w:val="24"/>
                <w:szCs w:val="24"/>
                <w:highlight w:val="none"/>
              </w:rPr>
              <w:t>103.9</w:t>
            </w:r>
            <w:r>
              <w:rPr>
                <w:rFonts w:hint="eastAsia" w:ascii="Times New Roman" w:hAnsi="Times New Roman" w:eastAsia="仿宋_GB2312" w:cs="Times New Roman"/>
                <w:b/>
                <w:bCs/>
                <w:kern w:val="0"/>
                <w:sz w:val="24"/>
                <w:szCs w:val="24"/>
                <w:highlight w:val="none"/>
                <w:lang w:val="en-US" w:eastAsia="zh-CN"/>
              </w:rPr>
              <w:t>4</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23.10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lang w:val="en-US" w:eastAsia="zh-CN"/>
              </w:rPr>
              <w:t>205</w:t>
            </w:r>
          </w:p>
        </w:tc>
        <w:tc>
          <w:tcPr>
            <w:tcW w:w="4254" w:type="dxa"/>
            <w:tcBorders>
              <w:top w:val="nil"/>
              <w:left w:val="nil"/>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lang w:val="en-US" w:eastAsia="zh-CN"/>
              </w:rPr>
              <w:t>教育支出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11.50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rPr>
            </w:pP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rPr>
            </w:pPr>
            <w:r>
              <w:rPr>
                <w:rFonts w:hint="eastAsia" w:ascii="Times New Roman" w:hAnsi="Times New Roman" w:eastAsia="仿宋_GB2312" w:cs="Times New Roman"/>
                <w:b/>
                <w:bCs/>
                <w:kern w:val="0"/>
                <w:sz w:val="24"/>
                <w:szCs w:val="24"/>
                <w:highlight w:val="none"/>
              </w:rPr>
              <w:t>11.50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20508</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进修及培训</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11.50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11.50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2050803</w:t>
            </w:r>
          </w:p>
        </w:tc>
        <w:tc>
          <w:tcPr>
            <w:tcW w:w="4254" w:type="dxa"/>
            <w:tcBorders>
              <w:top w:val="nil"/>
              <w:left w:val="nil"/>
              <w:bottom w:val="single" w:color="auto" w:sz="4" w:space="0"/>
              <w:right w:val="single" w:color="auto" w:sz="4" w:space="0"/>
            </w:tcBorders>
            <w:shd w:val="clear" w:color="auto" w:fill="auto"/>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rPr>
              <w:t>培训支出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11.50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11.50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208</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社会保障和就业支出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rPr>
            </w:pPr>
            <w:r>
              <w:rPr>
                <w:rFonts w:hint="eastAsia" w:ascii="Times New Roman" w:hAnsi="Times New Roman" w:eastAsia="仿宋_GB2312" w:cs="Times New Roman"/>
                <w:b/>
                <w:bCs/>
                <w:kern w:val="0"/>
                <w:sz w:val="24"/>
                <w:szCs w:val="24"/>
                <w:highlight w:val="none"/>
                <w:lang w:val="en-US" w:eastAsia="zh-CN"/>
              </w:rPr>
              <w:t>12.92</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kern w:val="0"/>
                <w:sz w:val="24"/>
                <w:szCs w:val="24"/>
                <w:highlight w:val="none"/>
                <w:lang w:val="en-US" w:eastAsia="zh-CN"/>
              </w:rPr>
            </w:pPr>
            <w:r>
              <w:rPr>
                <w:rFonts w:hint="eastAsia" w:ascii="Times New Roman" w:hAnsi="Times New Roman" w:eastAsia="仿宋_GB2312" w:cs="Times New Roman"/>
                <w:b/>
                <w:bCs/>
                <w:kern w:val="0"/>
                <w:sz w:val="24"/>
                <w:szCs w:val="24"/>
                <w:highlight w:val="none"/>
                <w:lang w:val="en-US" w:eastAsia="zh-CN"/>
              </w:rPr>
              <w:t>12.92</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20805</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行政事业单位养老支出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12.92</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12.92</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2080505</w:t>
            </w:r>
          </w:p>
        </w:tc>
        <w:tc>
          <w:tcPr>
            <w:tcW w:w="4254" w:type="dxa"/>
            <w:tcBorders>
              <w:top w:val="nil"/>
              <w:left w:val="nil"/>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机关事业单位基本养老保险缴费支出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8.60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8.60</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2080506</w:t>
            </w:r>
          </w:p>
        </w:tc>
        <w:tc>
          <w:tcPr>
            <w:tcW w:w="4254" w:type="dxa"/>
            <w:tcBorders>
              <w:top w:val="nil"/>
              <w:left w:val="nil"/>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机关事业单位职业年金缴费支出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4.32</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4.32</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210</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卫生健康支出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6.50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6.50</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21011</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行政事业单位医疗</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6.50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6.50</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2101102</w:t>
            </w:r>
          </w:p>
        </w:tc>
        <w:tc>
          <w:tcPr>
            <w:tcW w:w="4254" w:type="dxa"/>
            <w:tcBorders>
              <w:top w:val="nil"/>
              <w:left w:val="nil"/>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事业单位医疗</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6.50</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213</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农林水支出</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91.67</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80.07</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lang w:val="en-US" w:eastAsia="zh-CN"/>
              </w:rPr>
              <w:t>11.60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21301</w:t>
            </w:r>
          </w:p>
        </w:tc>
        <w:tc>
          <w:tcPr>
            <w:tcW w:w="4254" w:type="dxa"/>
            <w:tcBorders>
              <w:top w:val="nil"/>
              <w:left w:val="nil"/>
              <w:bottom w:val="single" w:color="auto" w:sz="4"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农村农村</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91.67</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80.07</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lang w:val="en-US" w:eastAsia="zh-CN"/>
              </w:rPr>
              <w:t>11.60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2130104</w:t>
            </w:r>
          </w:p>
        </w:tc>
        <w:tc>
          <w:tcPr>
            <w:tcW w:w="4254" w:type="dxa"/>
            <w:tcBorders>
              <w:top w:val="nil"/>
              <w:left w:val="nil"/>
              <w:bottom w:val="single" w:color="auto" w:sz="4"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事业运行</w:t>
            </w:r>
          </w:p>
        </w:tc>
        <w:tc>
          <w:tcPr>
            <w:tcW w:w="292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80.</w:t>
            </w:r>
            <w:r>
              <w:rPr>
                <w:rFonts w:hint="eastAsia" w:ascii="Times New Roman" w:hAnsi="Times New Roman" w:eastAsia="仿宋_GB2312" w:cs="Times New Roman"/>
                <w:kern w:val="0"/>
                <w:sz w:val="24"/>
                <w:szCs w:val="24"/>
                <w:highlight w:val="none"/>
                <w:lang w:val="en-US" w:eastAsia="zh-CN"/>
              </w:rPr>
              <w:t>07</w:t>
            </w:r>
          </w:p>
        </w:tc>
        <w:tc>
          <w:tcPr>
            <w:tcW w:w="310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kern w:val="0"/>
                <w:sz w:val="24"/>
                <w:szCs w:val="24"/>
                <w:highlight w:val="none"/>
              </w:rPr>
              <w:t>80.</w:t>
            </w:r>
            <w:r>
              <w:rPr>
                <w:rFonts w:hint="eastAsia" w:ascii="Times New Roman" w:hAnsi="Times New Roman" w:eastAsia="仿宋_GB2312" w:cs="Times New Roman"/>
                <w:kern w:val="0"/>
                <w:sz w:val="24"/>
                <w:szCs w:val="24"/>
                <w:highlight w:val="none"/>
                <w:lang w:val="en-US" w:eastAsia="zh-CN"/>
              </w:rPr>
              <w:t>07</w:t>
            </w:r>
          </w:p>
        </w:tc>
        <w:tc>
          <w:tcPr>
            <w:tcW w:w="2735" w:type="dxa"/>
            <w:tcBorders>
              <w:top w:val="nil"/>
              <w:left w:val="nil"/>
              <w:bottom w:val="single" w:color="auto" w:sz="4"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2130199</w:t>
            </w:r>
          </w:p>
        </w:tc>
        <w:tc>
          <w:tcPr>
            <w:tcW w:w="4254" w:type="dxa"/>
            <w:tcBorders>
              <w:top w:val="nil"/>
              <w:left w:val="nil"/>
              <w:bottom w:val="single" w:color="auto" w:sz="8"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其他农业农村支出</w:t>
            </w:r>
          </w:p>
        </w:tc>
        <w:tc>
          <w:tcPr>
            <w:tcW w:w="292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11.60</w:t>
            </w:r>
          </w:p>
        </w:tc>
        <w:tc>
          <w:tcPr>
            <w:tcW w:w="310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c>
          <w:tcPr>
            <w:tcW w:w="2735" w:type="dxa"/>
            <w:tcBorders>
              <w:top w:val="nil"/>
              <w:left w:val="nil"/>
              <w:bottom w:val="single" w:color="auto" w:sz="8"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11.60</w:t>
            </w: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8"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221</w:t>
            </w:r>
          </w:p>
        </w:tc>
        <w:tc>
          <w:tcPr>
            <w:tcW w:w="4254" w:type="dxa"/>
            <w:tcBorders>
              <w:top w:val="nil"/>
              <w:left w:val="nil"/>
              <w:bottom w:val="single" w:color="auto" w:sz="8"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住房保障支出</w:t>
            </w:r>
          </w:p>
        </w:tc>
        <w:tc>
          <w:tcPr>
            <w:tcW w:w="292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4.45</w:t>
            </w:r>
          </w:p>
        </w:tc>
        <w:tc>
          <w:tcPr>
            <w:tcW w:w="310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b/>
                <w:bCs/>
                <w:kern w:val="0"/>
                <w:sz w:val="24"/>
                <w:szCs w:val="24"/>
                <w:highlight w:val="none"/>
                <w:lang w:val="en-US" w:eastAsia="zh-CN" w:bidi="ar-SA"/>
              </w:rPr>
            </w:pPr>
            <w:r>
              <w:rPr>
                <w:rFonts w:hint="eastAsia" w:ascii="Times New Roman" w:hAnsi="Times New Roman" w:eastAsia="仿宋_GB2312" w:cs="Times New Roman"/>
                <w:b/>
                <w:bCs/>
                <w:kern w:val="0"/>
                <w:sz w:val="24"/>
                <w:szCs w:val="24"/>
                <w:highlight w:val="none"/>
              </w:rPr>
              <w:t>4.45</w:t>
            </w:r>
          </w:p>
        </w:tc>
        <w:tc>
          <w:tcPr>
            <w:tcW w:w="2735" w:type="dxa"/>
            <w:tcBorders>
              <w:top w:val="nil"/>
              <w:left w:val="nil"/>
              <w:bottom w:val="single" w:color="auto" w:sz="8"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8"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22102</w:t>
            </w:r>
          </w:p>
        </w:tc>
        <w:tc>
          <w:tcPr>
            <w:tcW w:w="4254" w:type="dxa"/>
            <w:tcBorders>
              <w:top w:val="nil"/>
              <w:left w:val="nil"/>
              <w:bottom w:val="single" w:color="auto" w:sz="8" w:space="0"/>
              <w:right w:val="single" w:color="auto" w:sz="4" w:space="0"/>
            </w:tcBorders>
            <w:shd w:val="clear" w:color="000000" w:fill="FFFFFF"/>
            <w:vAlign w:val="center"/>
          </w:tcPr>
          <w:p>
            <w:pPr>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eastAsia="zh-CN"/>
              </w:rPr>
              <w:t>住房改革支出</w:t>
            </w:r>
          </w:p>
        </w:tc>
        <w:tc>
          <w:tcPr>
            <w:tcW w:w="292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4.45</w:t>
            </w:r>
          </w:p>
        </w:tc>
        <w:tc>
          <w:tcPr>
            <w:tcW w:w="310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lang w:val="en-US" w:eastAsia="zh-CN" w:bidi="ar-SA"/>
              </w:rPr>
            </w:pPr>
            <w:r>
              <w:rPr>
                <w:rFonts w:hint="eastAsia" w:ascii="Times New Roman" w:hAnsi="Times New Roman" w:eastAsia="仿宋_GB2312" w:cs="Times New Roman"/>
                <w:kern w:val="0"/>
                <w:sz w:val="24"/>
                <w:szCs w:val="24"/>
                <w:highlight w:val="none"/>
              </w:rPr>
              <w:t>4.45</w:t>
            </w:r>
          </w:p>
        </w:tc>
        <w:tc>
          <w:tcPr>
            <w:tcW w:w="2735" w:type="dxa"/>
            <w:tcBorders>
              <w:top w:val="nil"/>
              <w:left w:val="nil"/>
              <w:bottom w:val="single" w:color="auto" w:sz="8"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r>
        <w:tblPrEx>
          <w:tblCellMar>
            <w:top w:w="0" w:type="dxa"/>
            <w:left w:w="108" w:type="dxa"/>
            <w:bottom w:w="0" w:type="dxa"/>
            <w:right w:w="108" w:type="dxa"/>
          </w:tblCellMar>
        </w:tblPrEx>
        <w:trPr>
          <w:trHeight w:val="34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2210201</w:t>
            </w:r>
          </w:p>
        </w:tc>
        <w:tc>
          <w:tcPr>
            <w:tcW w:w="4254" w:type="dxa"/>
            <w:tcBorders>
              <w:top w:val="nil"/>
              <w:left w:val="nil"/>
              <w:bottom w:val="single" w:color="auto" w:sz="8" w:space="0"/>
              <w:right w:val="single" w:color="auto" w:sz="4" w:space="0"/>
            </w:tcBorders>
            <w:shd w:val="clear" w:color="auto" w:fill="auto"/>
            <w:vAlign w:val="center"/>
          </w:tcPr>
          <w:p>
            <w:pPr>
              <w:jc w:val="left"/>
              <w:rPr>
                <w:rFonts w:ascii="Times New Roman" w:hAnsi="Times New Roman" w:eastAsia="仿宋_GB2312" w:cs="Times New Roman"/>
                <w:sz w:val="24"/>
                <w:szCs w:val="24"/>
                <w:highlight w:val="none"/>
              </w:rPr>
            </w:pPr>
            <w:r>
              <w:rPr>
                <w:rFonts w:hint="eastAsia" w:ascii="Times New Roman" w:hAnsi="Times New Roman" w:eastAsia="仿宋_GB2312" w:cs="Times New Roman"/>
                <w:sz w:val="24"/>
                <w:szCs w:val="24"/>
                <w:highlight w:val="none"/>
              </w:rPr>
              <w:t>住房公积金</w:t>
            </w:r>
          </w:p>
        </w:tc>
        <w:tc>
          <w:tcPr>
            <w:tcW w:w="292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4.45</w:t>
            </w:r>
          </w:p>
        </w:tc>
        <w:tc>
          <w:tcPr>
            <w:tcW w:w="3105"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r>
              <w:rPr>
                <w:rFonts w:hint="eastAsia" w:ascii="Times New Roman" w:hAnsi="Times New Roman" w:eastAsia="仿宋_GB2312" w:cs="Times New Roman"/>
                <w:kern w:val="0"/>
                <w:sz w:val="24"/>
                <w:szCs w:val="24"/>
                <w:highlight w:val="none"/>
              </w:rPr>
              <w:t>4.45</w:t>
            </w:r>
          </w:p>
        </w:tc>
        <w:tc>
          <w:tcPr>
            <w:tcW w:w="2735" w:type="dxa"/>
            <w:tcBorders>
              <w:top w:val="nil"/>
              <w:left w:val="nil"/>
              <w:bottom w:val="single" w:color="auto" w:sz="8"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 w:val="24"/>
                <w:szCs w:val="24"/>
                <w:highlight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rPr>
      </w:pPr>
      <w:bookmarkStart w:id="2" w:name="RANGE!A1:I34"/>
      <w:r>
        <w:rPr>
          <w:rFonts w:ascii="Times New Roman" w:hAnsi="Times New Roman" w:eastAsia="黑体" w:cs="Times New Roman"/>
          <w:color w:val="000000"/>
          <w:kern w:val="0"/>
          <w:sz w:val="36"/>
          <w:szCs w:val="36"/>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rPr>
        <w:t>湖南省农业机械化高科技示范园</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0"/>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b/>
                <w:color w:val="000000"/>
                <w:kern w:val="0"/>
                <w:szCs w:val="20"/>
                <w:highlight w:val="none"/>
                <w:lang w:val="en-US" w:eastAsia="zh-CN"/>
              </w:rPr>
            </w:pPr>
            <w:r>
              <w:rPr>
                <w:rFonts w:ascii="Times New Roman" w:hAnsi="Times New Roman" w:eastAsia="仿宋_GB2312" w:cs="Times New Roman"/>
                <w:b/>
                <w:color w:val="000000"/>
                <w:kern w:val="0"/>
                <w:szCs w:val="20"/>
                <w:highlight w:val="none"/>
              </w:rPr>
              <w:t>　</w:t>
            </w:r>
            <w:r>
              <w:rPr>
                <w:rFonts w:hint="eastAsia" w:ascii="Times New Roman" w:hAnsi="Times New Roman" w:eastAsia="仿宋_GB2312" w:cs="Times New Roman"/>
                <w:b/>
                <w:color w:val="000000"/>
                <w:kern w:val="0"/>
                <w:szCs w:val="20"/>
                <w:highlight w:val="none"/>
                <w:lang w:val="en-US" w:eastAsia="zh-CN"/>
              </w:rPr>
              <w:t>59.08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highlight w:val="none"/>
              </w:rPr>
            </w:pPr>
            <w:r>
              <w:rPr>
                <w:rFonts w:ascii="Times New Roman" w:hAnsi="Times New Roman" w:eastAsia="仿宋_GB2312" w:cs="Times New Roman"/>
                <w:color w:val="000000"/>
                <w:kern w:val="0"/>
                <w:szCs w:val="20"/>
                <w:highlight w:val="none"/>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仿宋_GB2312" w:cs="Times New Roman"/>
                <w:color w:val="000000"/>
                <w:kern w:val="0"/>
                <w:szCs w:val="20"/>
                <w:highlight w:val="none"/>
                <w:lang w:val="en-US" w:eastAsia="zh-CN"/>
              </w:rPr>
            </w:pPr>
            <w:r>
              <w:rPr>
                <w:rFonts w:ascii="Times New Roman" w:hAnsi="Times New Roman" w:eastAsia="仿宋_GB2312" w:cs="Times New Roman"/>
                <w:color w:val="000000"/>
                <w:kern w:val="0"/>
                <w:szCs w:val="20"/>
                <w:highlight w:val="none"/>
              </w:rPr>
              <w:t>　</w:t>
            </w:r>
            <w:r>
              <w:rPr>
                <w:rFonts w:hint="eastAsia" w:ascii="Times New Roman" w:hAnsi="Times New Roman" w:eastAsia="仿宋_GB2312" w:cs="Times New Roman"/>
                <w:b/>
                <w:bCs/>
                <w:color w:val="000000"/>
                <w:kern w:val="0"/>
                <w:szCs w:val="20"/>
                <w:highlight w:val="none"/>
                <w:lang w:val="en-US" w:eastAsia="zh-CN"/>
              </w:rPr>
              <w:t>44.86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23.89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hint="eastAsia" w:ascii="Times New Roman" w:hAnsi="Times New Roman" w:eastAsia="仿宋_GB2312" w:cs="Times New Roman"/>
                <w:color w:val="000000"/>
                <w:kern w:val="0"/>
                <w:szCs w:val="20"/>
              </w:rPr>
              <w:t>2.28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8.52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1.35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8.60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3.50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4.32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6.50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3.22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4.45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3.50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1.45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0.10</w:t>
            </w:r>
          </w:p>
          <w:p>
            <w:pPr>
              <w:pStyle w:val="2"/>
            </w:pP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18.00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2.30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0.41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3.50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7.05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393"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color w:val="000000"/>
                <w:kern w:val="0"/>
                <w:szCs w:val="20"/>
              </w:rPr>
            </w:pPr>
            <w:r>
              <w:rPr>
                <w:rFonts w:ascii="Times New Roman" w:hAnsi="Times New Roman" w:eastAsia="仿宋_GB2312" w:cs="Times New Roman"/>
                <w:b/>
                <w:color w:val="000000"/>
                <w:kern w:val="0"/>
                <w:szCs w:val="20"/>
              </w:rPr>
              <w:t>　</w:t>
            </w:r>
            <w:r>
              <w:rPr>
                <w:rFonts w:hint="eastAsia" w:ascii="Times New Roman" w:hAnsi="Times New Roman" w:eastAsia="仿宋_GB2312" w:cs="Times New Roman"/>
                <w:b/>
                <w:color w:val="000000"/>
                <w:kern w:val="0"/>
                <w:szCs w:val="20"/>
              </w:rPr>
              <w:t>59.08</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color w:val="000000"/>
                <w:kern w:val="0"/>
                <w:szCs w:val="18"/>
              </w:rPr>
            </w:pPr>
            <w:r>
              <w:rPr>
                <w:rFonts w:ascii="Times New Roman" w:hAnsi="Times New Roman" w:eastAsia="仿宋_GB2312" w:cs="Times New Roman"/>
                <w:b/>
                <w:color w:val="000000"/>
                <w:kern w:val="0"/>
                <w:szCs w:val="18"/>
              </w:rPr>
              <w:t>　</w:t>
            </w:r>
            <w:r>
              <w:rPr>
                <w:rFonts w:hint="eastAsia" w:ascii="Times New Roman" w:hAnsi="Times New Roman" w:eastAsia="仿宋_GB2312" w:cs="Times New Roman"/>
                <w:b/>
                <w:color w:val="000000"/>
                <w:kern w:val="0"/>
                <w:szCs w:val="18"/>
              </w:rPr>
              <w:t>44.86</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楷体_GB2312" w:cs="Times New Roman"/>
          <w:color w:val="000000"/>
          <w:kern w:val="0"/>
          <w:sz w:val="20"/>
          <w:szCs w:val="20"/>
        </w:rPr>
        <w:t>湖南省农业机械化高科技示范园</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Style w:val="18"/>
                <w:rFonts w:hint="default" w:ascii="Times New Roman" w:hAnsi="Times New Roman" w:eastAsia="仿宋_GB2312" w:cs="Times New Roman"/>
                <w:b/>
                <w:bCs/>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rPr>
      </w:pPr>
    </w:p>
    <w:p>
      <w:pPr>
        <w:widowControl/>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b/>
          <w:bCs/>
          <w:kern w:val="0"/>
          <w:sz w:val="24"/>
          <w:szCs w:val="24"/>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楷体_GB2312" w:cs="Times New Roman"/>
          <w:color w:val="000000"/>
          <w:kern w:val="0"/>
          <w:sz w:val="20"/>
          <w:szCs w:val="20"/>
        </w:rPr>
        <w:t>湖南省农业机械化高科技示范园</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10"/>
        <w:tblW w:w="4999" w:type="pct"/>
        <w:tblInd w:w="0" w:type="dxa"/>
        <w:tblLayout w:type="autofit"/>
        <w:tblCellMar>
          <w:top w:w="0" w:type="dxa"/>
          <w:left w:w="108" w:type="dxa"/>
          <w:bottom w:w="0" w:type="dxa"/>
          <w:right w:w="108" w:type="dxa"/>
        </w:tblCellMar>
      </w:tblPr>
      <w:tblGrid>
        <w:gridCol w:w="3093"/>
        <w:gridCol w:w="3097"/>
        <w:gridCol w:w="1831"/>
        <w:gridCol w:w="3097"/>
        <w:gridCol w:w="3097"/>
      </w:tblGrid>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Style w:val="19"/>
                <w:rFonts w:hint="default" w:ascii="Times New Roman" w:hAnsi="Times New Roman" w:eastAsia="仿宋_GB2312" w:cs="Times New Roman"/>
                <w:b/>
                <w:bCs/>
              </w:rPr>
              <w:t>目</w:t>
            </w:r>
          </w:p>
        </w:tc>
        <w:tc>
          <w:tcPr>
            <w:tcW w:w="28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r>
      <w:tr>
        <w:tblPrEx>
          <w:tblCellMar>
            <w:top w:w="0" w:type="dxa"/>
            <w:left w:w="108" w:type="dxa"/>
            <w:bottom w:w="0" w:type="dxa"/>
            <w:right w:w="108" w:type="dxa"/>
          </w:tblCellMar>
        </w:tblPrEx>
        <w:trPr>
          <w:trHeight w:val="312" w:hRule="exact"/>
        </w:trPr>
        <w:tc>
          <w:tcPr>
            <w:tcW w:w="10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6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合计</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r>
      <w:tr>
        <w:tblPrEx>
          <w:tblCellMar>
            <w:top w:w="0" w:type="dxa"/>
            <w:left w:w="108" w:type="dxa"/>
            <w:bottom w:w="0" w:type="dxa"/>
            <w:right w:w="108" w:type="dxa"/>
          </w:tblCellMar>
        </w:tblPrEx>
        <w:trPr>
          <w:trHeight w:val="312" w:hRule="exac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r>
      <w:tr>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rPr>
      </w:pPr>
    </w:p>
    <w:p>
      <w:pPr>
        <w:widowControl/>
        <w:jc w:val="left"/>
        <w:textAlignment w:val="center"/>
        <w:rPr>
          <w:rFonts w:ascii="Times New Roman" w:hAnsi="Times New Roman" w:eastAsia="楷体_GB2312" w:cs="Times New Roman"/>
          <w:color w:val="000000"/>
          <w:kern w:val="0"/>
          <w:sz w:val="24"/>
          <w:szCs w:val="24"/>
        </w:rPr>
      </w:pPr>
      <w:r>
        <w:rPr>
          <w:rFonts w:ascii="Times New Roman" w:hAnsi="Times New Roman" w:eastAsia="楷体_GB2312" w:cs="Times New Roman"/>
          <w:b/>
          <w:bCs/>
          <w:kern w:val="0"/>
          <w:sz w:val="24"/>
          <w:szCs w:val="24"/>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rPr>
      </w:pPr>
    </w:p>
    <w:p>
      <w:pPr>
        <w:widowControl/>
        <w:spacing w:afterLines="50"/>
        <w:jc w:val="center"/>
        <w:textAlignment w:val="center"/>
        <w:rPr>
          <w:rFonts w:ascii="Times New Roman" w:hAnsi="Times New Roman" w:eastAsia="黑体" w:cs="Times New Roman"/>
          <w:color w:val="000000"/>
          <w:kern w:val="0"/>
          <w:sz w:val="36"/>
          <w:szCs w:val="36"/>
        </w:rPr>
      </w:pPr>
    </w:p>
    <w:p>
      <w:pPr>
        <w:widowControl/>
        <w:spacing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rPr>
        <w:t>部门：</w:t>
      </w:r>
      <w:r>
        <w:rPr>
          <w:rFonts w:hint="eastAsia" w:ascii="Times New Roman" w:hAnsi="Times New Roman" w:eastAsia="楷体_GB2312" w:cs="Times New Roman"/>
          <w:color w:val="000000"/>
          <w:kern w:val="0"/>
          <w:sz w:val="20"/>
          <w:szCs w:val="20"/>
        </w:rPr>
        <w:t>湖南省农业机械化高科技示范园</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rPr>
        <w:t>单位：万元</w:t>
      </w:r>
    </w:p>
    <w:tbl>
      <w:tblPr>
        <w:tblStyle w:val="10"/>
        <w:tblW w:w="5114" w:type="pct"/>
        <w:jc w:val="center"/>
        <w:tblLayout w:type="autofit"/>
        <w:tblCellMar>
          <w:top w:w="0" w:type="dxa"/>
          <w:left w:w="108" w:type="dxa"/>
          <w:bottom w:w="0" w:type="dxa"/>
          <w:right w:w="108" w:type="dxa"/>
        </w:tblCellMar>
      </w:tblPr>
      <w:tblGrid>
        <w:gridCol w:w="934"/>
        <w:gridCol w:w="1227"/>
        <w:gridCol w:w="1085"/>
        <w:gridCol w:w="1187"/>
        <w:gridCol w:w="1425"/>
        <w:gridCol w:w="1379"/>
        <w:gridCol w:w="1050"/>
        <w:gridCol w:w="1166"/>
        <w:gridCol w:w="1166"/>
        <w:gridCol w:w="1166"/>
        <w:gridCol w:w="1358"/>
        <w:gridCol w:w="1399"/>
      </w:tblGrid>
      <w:tr>
        <w:tblPrEx>
          <w:tblCellMar>
            <w:top w:w="0" w:type="dxa"/>
            <w:left w:w="108" w:type="dxa"/>
            <w:bottom w:w="0" w:type="dxa"/>
            <w:right w:w="108" w:type="dxa"/>
          </w:tblCellMar>
        </w:tblPrEx>
        <w:trPr>
          <w:trHeight w:val="606" w:hRule="atLeast"/>
          <w:jc w:val="center"/>
        </w:trPr>
        <w:tc>
          <w:tcPr>
            <w:tcW w:w="248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预算数</w:t>
            </w:r>
          </w:p>
        </w:tc>
        <w:tc>
          <w:tcPr>
            <w:tcW w:w="25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决算数</w:t>
            </w:r>
          </w:p>
        </w:tc>
      </w:tr>
      <w:tr>
        <w:tblPrEx>
          <w:tblCellMar>
            <w:top w:w="0" w:type="dxa"/>
            <w:left w:w="108" w:type="dxa"/>
            <w:bottom w:w="0" w:type="dxa"/>
            <w:right w:w="108" w:type="dxa"/>
          </w:tblCellMar>
        </w:tblPrEx>
        <w:trPr>
          <w:trHeight w:val="495"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合计</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因公出国（境）费</w:t>
            </w:r>
          </w:p>
        </w:tc>
        <w:tc>
          <w:tcPr>
            <w:tcW w:w="12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公务用车购置及运行维护费</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公务接待费</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合计</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因公出国（境）费</w:t>
            </w:r>
          </w:p>
        </w:tc>
        <w:tc>
          <w:tcPr>
            <w:tcW w:w="12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公务用车购置及运行维护费</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公务接待费</w:t>
            </w:r>
          </w:p>
        </w:tc>
      </w:tr>
      <w:tr>
        <w:tblPrEx>
          <w:tblCellMar>
            <w:top w:w="0" w:type="dxa"/>
            <w:left w:w="108" w:type="dxa"/>
            <w:bottom w:w="0" w:type="dxa"/>
            <w:right w:w="108" w:type="dxa"/>
          </w:tblCellMar>
        </w:tblPrEx>
        <w:trPr>
          <w:trHeight w:val="864"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小计</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购置费</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运行维护费</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小计</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购置费</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运行维护费</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2</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5</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6</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7</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8</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9</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12</w:t>
            </w:r>
          </w:p>
        </w:tc>
      </w:tr>
      <w:tr>
        <w:tblPrEx>
          <w:tblCellMar>
            <w:top w:w="0" w:type="dxa"/>
            <w:left w:w="108" w:type="dxa"/>
            <w:bottom w:w="0" w:type="dxa"/>
            <w:right w:w="108" w:type="dxa"/>
          </w:tblCellMar>
        </w:tblPrEx>
        <w:trPr>
          <w:trHeight w:val="579"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4.00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3.50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3.50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0.50</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3.60</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3.50</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rPr>
              <w:t>0.10</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238" w:right="1418" w:bottom="244" w:left="1418" w:header="851" w:footer="992" w:gutter="0"/>
          <w:cols w:space="425" w:num="1"/>
          <w:docGrid w:type="lines" w:linePitch="312" w:charSpace="0"/>
        </w:sectPr>
      </w:pPr>
      <w:r>
        <w:rPr>
          <w:rFonts w:ascii="Times New Roman" w:hAnsi="Times New Roman" w:eastAsia="黑体" w:cs="Times New Roman"/>
          <w:szCs w:val="21"/>
        </w:rPr>
        <w:br w:type="page"/>
      </w: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rPr>
        <w:t>136.95</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rPr>
        <w:t>8.99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6.16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人员经费减少。</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136.95</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135.40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98.87</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rPr>
        <w:t>0.05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0.04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；年初结转1.50万元，占1.09%。</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127.09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103.99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81.82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23.10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18.18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135.40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rPr>
        <w:t>10.45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7.16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人员经费减少。</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127.04</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rPr>
        <w:t>99.96</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rPr>
        <w:t>7.54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rPr>
        <w:t>6.30</w:t>
      </w:r>
      <w:r>
        <w:rPr>
          <w:rFonts w:ascii="Times New Roman" w:hAnsi="Times New Roman" w:eastAsia="仿宋_GB2312" w:cs="Times New Roman"/>
          <w:sz w:val="32"/>
          <w:szCs w:val="32"/>
        </w:rPr>
        <w:t>%，主要</w:t>
      </w:r>
      <w:r>
        <w:rPr>
          <w:rFonts w:ascii="Times New Roman" w:hAnsi="Times New Roman" w:eastAsia="仿宋_GB2312" w:cs="Times New Roman"/>
          <w:sz w:val="32"/>
          <w:szCs w:val="32"/>
          <w:highlight w:val="none"/>
        </w:rPr>
        <w:t>是因为</w:t>
      </w:r>
      <w:r>
        <w:rPr>
          <w:rFonts w:hint="eastAsia" w:ascii="Times New Roman" w:hAnsi="Times New Roman" w:eastAsia="仿宋_GB2312" w:cs="Times New Roman"/>
          <w:sz w:val="32"/>
          <w:szCs w:val="32"/>
          <w:highlight w:val="none"/>
          <w:lang w:eastAsia="zh-CN"/>
        </w:rPr>
        <w:t>业务工作任务增加</w:t>
      </w:r>
      <w:r>
        <w:rPr>
          <w:rFonts w:hint="eastAsia" w:ascii="Times New Roman" w:hAnsi="Times New Roman" w:eastAsia="仿宋_GB2312" w:cs="Times New Roman"/>
          <w:sz w:val="32"/>
          <w:szCs w:val="32"/>
          <w:highlight w:val="none"/>
        </w:rPr>
        <w:t>。</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4"/>
        <w:spacing w:line="600" w:lineRule="exact"/>
        <w:ind w:firstLine="640" w:firstLineChars="200"/>
        <w:rPr>
          <w:rFonts w:ascii="Times New Roman" w:hAnsi="Times New Roman" w:eastAsia="仿宋_GB2312"/>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127.04</w:t>
      </w:r>
      <w:r>
        <w:rPr>
          <w:rFonts w:ascii="Times New Roman" w:hAnsi="Times New Roman" w:eastAsia="仿宋_GB2312" w:cs="Times New Roman"/>
          <w:sz w:val="32"/>
          <w:szCs w:val="32"/>
        </w:rPr>
        <w:t>万元，主要用于以下方面：</w:t>
      </w:r>
      <w:r>
        <w:rPr>
          <w:rFonts w:hint="eastAsia" w:ascii="Times New Roman" w:hAnsi="Times New Roman" w:eastAsia="仿宋_GB2312"/>
          <w:sz w:val="32"/>
          <w:szCs w:val="32"/>
        </w:rPr>
        <w:t>社会保障和就业（类）支出19.42万元，占15.29%；农林水（类）支出91.67万元，占72.16%，教育（类）支出11.50万元，占9.05%；住房保障（类）支出4.45万元，占3.50%。</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rPr>
        <w:t>136.90</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rPr>
        <w:t>127.04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rPr>
        <w:t>92.80</w:t>
      </w:r>
      <w:r>
        <w:rPr>
          <w:rFonts w:ascii="Times New Roman" w:hAnsi="Times New Roman" w:eastAsia="仿宋_GB2312" w:cs="Times New Roman"/>
          <w:sz w:val="32"/>
          <w:szCs w:val="32"/>
        </w:rPr>
        <w:t>%，其中：</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1、教育支出（类）进修及培训（款）培训支出（项）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年初预算为11.50万元，支出决算为11.50万元，完成年初预算的100%。</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2、社会保障和就业（类）行政事业单位养老支出（款）机关事业单位基本养老保险缴费支出（项）。</w:t>
      </w:r>
    </w:p>
    <w:p>
      <w:pPr>
        <w:pStyle w:val="14"/>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rPr>
        <w:t>年初预算为19.77万元，支出决算为19.42万元，完成年初预算的98.23%，决算数小于年初预算数的主要原因</w:t>
      </w:r>
      <w:r>
        <w:rPr>
          <w:rFonts w:hint="eastAsia" w:ascii="Times New Roman" w:hAnsi="Times New Roman" w:eastAsia="仿宋_GB2312"/>
          <w:sz w:val="32"/>
          <w:szCs w:val="32"/>
          <w:lang w:eastAsia="zh-CN"/>
        </w:rPr>
        <w:t>是</w:t>
      </w:r>
      <w:r>
        <w:rPr>
          <w:rFonts w:hint="eastAsia" w:ascii="Times New Roman" w:hAnsi="Times New Roman" w:eastAsia="仿宋_GB2312"/>
          <w:sz w:val="32"/>
          <w:szCs w:val="32"/>
          <w:highlight w:val="none"/>
        </w:rPr>
        <w:t>机关事业单位基本养老保险缴费</w:t>
      </w:r>
      <w:r>
        <w:rPr>
          <w:rFonts w:hint="eastAsia" w:ascii="Times New Roman" w:hAnsi="Times New Roman" w:eastAsia="仿宋_GB2312"/>
          <w:sz w:val="32"/>
          <w:szCs w:val="32"/>
          <w:highlight w:val="none"/>
          <w:lang w:eastAsia="zh-CN"/>
        </w:rPr>
        <w:t>年末有结余</w:t>
      </w:r>
      <w:r>
        <w:rPr>
          <w:rFonts w:hint="eastAsia" w:ascii="Times New Roman" w:hAnsi="Times New Roman" w:eastAsia="仿宋_GB2312"/>
          <w:sz w:val="32"/>
          <w:szCs w:val="32"/>
          <w:highlight w:val="none"/>
        </w:rPr>
        <w:t>。</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color w:val="auto"/>
          <w:sz w:val="32"/>
          <w:szCs w:val="32"/>
        </w:rPr>
        <w:t>3、</w:t>
      </w:r>
      <w:r>
        <w:rPr>
          <w:rFonts w:hint="eastAsia" w:ascii="Times New Roman" w:hAnsi="Times New Roman" w:eastAsia="仿宋_GB2312"/>
          <w:sz w:val="32"/>
          <w:szCs w:val="32"/>
        </w:rPr>
        <w:t>农林水（类）农业农村（款）事业运行（项）。</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sz w:val="32"/>
          <w:szCs w:val="32"/>
        </w:rPr>
        <w:t>年初预算为100.63万元，支出决算为91.67万元，完成年初预算的91.10%，决算数小于年初预算数的主要原因是</w:t>
      </w:r>
      <w:r>
        <w:rPr>
          <w:rFonts w:hint="eastAsia" w:ascii="Times New Roman" w:hAnsi="Times New Roman" w:eastAsia="仿宋_GB2312"/>
          <w:color w:val="auto"/>
          <w:sz w:val="32"/>
          <w:szCs w:val="32"/>
        </w:rPr>
        <w:t>：本年度人员经费</w:t>
      </w:r>
      <w:r>
        <w:rPr>
          <w:rFonts w:hint="eastAsia" w:ascii="Times New Roman" w:hAnsi="Times New Roman" w:eastAsia="仿宋_GB2312"/>
          <w:color w:val="auto"/>
          <w:sz w:val="32"/>
          <w:szCs w:val="32"/>
          <w:lang w:eastAsia="zh-CN"/>
        </w:rPr>
        <w:t>减少</w:t>
      </w:r>
      <w:r>
        <w:rPr>
          <w:rFonts w:hint="eastAsia" w:ascii="Times New Roman" w:hAnsi="Times New Roman" w:eastAsia="仿宋_GB2312"/>
          <w:color w:val="auto"/>
          <w:sz w:val="32"/>
          <w:szCs w:val="32"/>
        </w:rPr>
        <w:t>。</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4、住房保障（类）住房改革支出（款）住房公积金（项）</w:t>
      </w:r>
    </w:p>
    <w:p>
      <w:pPr>
        <w:pStyle w:val="14"/>
        <w:spacing w:line="600" w:lineRule="exact"/>
        <w:ind w:firstLine="800" w:firstLineChars="250"/>
        <w:rPr>
          <w:rFonts w:ascii="Times New Roman" w:hAnsi="Times New Roman" w:eastAsia="仿宋_GB2312"/>
          <w:color w:val="FF0000"/>
          <w:sz w:val="32"/>
          <w:szCs w:val="32"/>
          <w:highlight w:val="none"/>
        </w:rPr>
      </w:pPr>
      <w:r>
        <w:rPr>
          <w:rFonts w:hint="eastAsia" w:ascii="Times New Roman" w:hAnsi="Times New Roman" w:eastAsia="仿宋_GB2312"/>
          <w:sz w:val="32"/>
          <w:szCs w:val="32"/>
        </w:rPr>
        <w:t>年初预算为5.00万元，支出决算为4.45万元，完成年初预算的89.00%，决算数小于年初预算数的主要原因是：</w:t>
      </w:r>
      <w:r>
        <w:rPr>
          <w:rFonts w:hint="eastAsia" w:ascii="Times New Roman" w:hAnsi="Times New Roman" w:eastAsia="仿宋_GB2312"/>
          <w:color w:val="auto"/>
          <w:sz w:val="32"/>
          <w:szCs w:val="32"/>
          <w:highlight w:val="none"/>
        </w:rPr>
        <w:t>住房公积金</w:t>
      </w:r>
      <w:r>
        <w:rPr>
          <w:rFonts w:hint="eastAsia" w:ascii="Times New Roman" w:hAnsi="Times New Roman" w:eastAsia="仿宋_GB2312"/>
          <w:color w:val="auto"/>
          <w:sz w:val="32"/>
          <w:szCs w:val="32"/>
          <w:highlight w:val="none"/>
          <w:lang w:eastAsia="zh-CN"/>
        </w:rPr>
        <w:t>年末有结余</w:t>
      </w:r>
      <w:r>
        <w:rPr>
          <w:rFonts w:hint="eastAsia" w:ascii="Times New Roman" w:hAnsi="Times New Roman" w:eastAsia="仿宋_GB2312"/>
          <w:color w:val="auto"/>
          <w:sz w:val="32"/>
          <w:szCs w:val="32"/>
          <w:highlight w:val="none"/>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rPr>
        <w:t>103.94</w:t>
      </w:r>
      <w:r>
        <w:rPr>
          <w:rFonts w:ascii="Times New Roman" w:hAnsi="Times New Roman" w:eastAsia="仿宋_GB2312" w:cs="Times New Roman"/>
          <w:sz w:val="32"/>
          <w:szCs w:val="32"/>
        </w:rPr>
        <w:t>万元，其中：</w:t>
      </w:r>
    </w:p>
    <w:p>
      <w:pPr>
        <w:pStyle w:val="14"/>
        <w:spacing w:line="600" w:lineRule="exact"/>
        <w:ind w:firstLine="640" w:firstLineChars="200"/>
        <w:rPr>
          <w:rFonts w:ascii="Times New Roman" w:hAnsi="Times New Roman" w:eastAsia="仿宋_GB2312"/>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59.08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rPr>
        <w:t>56.85</w:t>
      </w:r>
      <w:r>
        <w:rPr>
          <w:rFonts w:ascii="Times New Roman" w:hAnsi="Times New Roman" w:eastAsia="仿宋_GB2312" w:cs="Times New Roman"/>
          <w:sz w:val="32"/>
          <w:szCs w:val="32"/>
        </w:rPr>
        <w:t>%,</w:t>
      </w:r>
      <w:r>
        <w:rPr>
          <w:rFonts w:hint="eastAsia" w:ascii="Times New Roman" w:hAnsi="Times New Roman" w:eastAsia="仿宋_GB2312"/>
          <w:sz w:val="32"/>
          <w:szCs w:val="32"/>
        </w:rPr>
        <w:t xml:space="preserve">主要包括基本工资、津贴补贴、奖金、伙食补助费机关事业单位基本养老保险缴费、职业年金缴费、职工基本医疗保险缴费、其他社会保障缴费、住房公积金、其他工资福利支出等。 </w:t>
      </w:r>
    </w:p>
    <w:p>
      <w:pPr>
        <w:pStyle w:val="14"/>
        <w:overflowPunct w:val="0"/>
        <w:autoSpaceDE/>
        <w:autoSpaceDN/>
        <w:spacing w:line="600" w:lineRule="exact"/>
        <w:ind w:firstLine="640" w:firstLineChars="200"/>
        <w:jc w:val="both"/>
        <w:rPr>
          <w:rFonts w:asciiTheme="minorEastAsia" w:hAnsiTheme="minorEastAsia" w:eastAsiaTheme="minorEastAsia"/>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rPr>
        <w:t>44.86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rPr>
        <w:t>43.16</w:t>
      </w:r>
      <w:r>
        <w:rPr>
          <w:rFonts w:ascii="Times New Roman" w:hAnsi="Times New Roman" w:eastAsia="仿宋_GB2312" w:cs="Times New Roman"/>
          <w:sz w:val="32"/>
          <w:szCs w:val="32"/>
        </w:rPr>
        <w:t>%，</w:t>
      </w:r>
      <w:r>
        <w:rPr>
          <w:rFonts w:hint="eastAsia" w:ascii="Times New Roman" w:hAnsi="Times New Roman" w:eastAsia="仿宋_GB2312"/>
          <w:sz w:val="32"/>
          <w:szCs w:val="32"/>
        </w:rPr>
        <w:t>主要包括办公费、电费、水费、物业管理费、劳务费、会议费、培训费、差旅费、公务接待费、劳务费、工会经费、福利费、公务用车运行维护费、其他商品和服务支出等</w:t>
      </w:r>
      <w:r>
        <w:rPr>
          <w:rFonts w:hint="eastAsia" w:asciiTheme="minorEastAsia" w:hAnsiTheme="minorEastAsia" w:eastAsiaTheme="minorEastAsia"/>
          <w:sz w:val="32"/>
          <w:szCs w:val="32"/>
        </w:rPr>
        <w:t>。</w:t>
      </w:r>
    </w:p>
    <w:p>
      <w:pPr>
        <w:pStyle w:val="14"/>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rPr>
        <w:t>4.0</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3.60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90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0.40</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rPr>
        <w:t>12.5</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rPr>
        <w:t>厉行节约</w:t>
      </w:r>
      <w:r>
        <w:rPr>
          <w:rFonts w:hint="eastAsia" w:ascii="Times New Roman" w:hAnsi="Times New Roman" w:eastAsia="仿宋_GB2312" w:cs="Times New Roman"/>
          <w:sz w:val="32"/>
          <w:szCs w:val="32"/>
          <w:highlight w:val="none"/>
          <w:lang w:eastAsia="zh-CN"/>
        </w:rPr>
        <w:t>，严控经费支出</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公务用车的维修及保养费用增加</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万元；与上年相比</w:t>
      </w:r>
      <w:r>
        <w:rPr>
          <w:rFonts w:hint="eastAsia" w:ascii="Times New Roman" w:hAnsi="Times New Roman" w:eastAsia="仿宋_GB2312" w:cs="Times New Roman"/>
          <w:sz w:val="32"/>
          <w:szCs w:val="32"/>
          <w:highlight w:val="none"/>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rPr>
        <w:t>3.50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3.50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0.50</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rPr>
        <w:t>16.67</w:t>
      </w:r>
      <w:r>
        <w:rPr>
          <w:rFonts w:ascii="Times New Roman" w:hAnsi="Times New Roman" w:eastAsia="仿宋_GB2312" w:cs="Times New Roman"/>
          <w:sz w:val="32"/>
          <w:szCs w:val="32"/>
        </w:rPr>
        <w:t>%。其中：</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万元；与上年相比</w:t>
      </w:r>
      <w:r>
        <w:rPr>
          <w:rFonts w:hint="eastAsia" w:ascii="Times New Roman" w:hAnsi="Times New Roman" w:eastAsia="仿宋_GB2312" w:cs="Times New Roman"/>
          <w:sz w:val="32"/>
          <w:szCs w:val="32"/>
          <w:highlight w:val="none"/>
        </w:rPr>
        <w:t>持平</w:t>
      </w:r>
      <w:r>
        <w:rPr>
          <w:rFonts w:hint="eastAsia" w:ascii="Times New Roman" w:hAnsi="Times New Roman" w:eastAsia="仿宋_GB2312" w:cs="Times New Roman"/>
          <w:sz w:val="32"/>
          <w:szCs w:val="32"/>
          <w:highlight w:val="none"/>
          <w:lang w:eastAsia="zh-CN"/>
        </w:rPr>
        <w:t>。湖南省农业机械化高科技示范园</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rPr>
        <w:t>3.50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3.50</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公务用车维修及保养</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0.50</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rPr>
        <w:t>16.77</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公务用车的维修及保养费用增加</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辆。</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0.10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rPr>
        <w:t>0.10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rPr>
        <w:t>50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厉行节约，严控经费支出</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决算数小于上年数的主要原因是</w:t>
      </w:r>
      <w:r>
        <w:rPr>
          <w:rFonts w:hint="eastAsia" w:ascii="仿宋" w:hAnsi="仿宋" w:eastAsia="仿宋" w:cs="仿宋"/>
          <w:sz w:val="32"/>
          <w:szCs w:val="32"/>
          <w:highlight w:val="none"/>
        </w:rPr>
        <w:t>接待活动减少</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rPr>
        <w:t>接待吐鲁番市农机发展中心交流学习</w:t>
      </w:r>
      <w:r>
        <w:rPr>
          <w:rFonts w:ascii="Times New Roman" w:hAnsi="Times New Roman" w:eastAsia="仿宋_GB2312" w:cs="Times New Roman"/>
          <w:sz w:val="32"/>
          <w:szCs w:val="32"/>
        </w:rPr>
        <w:t>发生的接待支出。</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本单位2024年无政府性基金收支。</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4"/>
        <w:spacing w:line="600" w:lineRule="exact"/>
        <w:ind w:firstLine="640" w:firstLineChars="200"/>
        <w:rPr>
          <w:rFonts w:hint="eastAsia" w:ascii="Times New Roman" w:hAnsi="Times New Roman" w:eastAsia="仿宋_GB2312"/>
          <w:b/>
          <w:sz w:val="32"/>
          <w:szCs w:val="32"/>
          <w:highlight w:val="none"/>
          <w:lang w:eastAsia="zh-CN"/>
        </w:rPr>
      </w:pPr>
      <w:r>
        <w:rPr>
          <w:rFonts w:hint="eastAsia" w:ascii="Times New Roman" w:hAnsi="Times New Roman" w:eastAsia="仿宋_GB2312"/>
          <w:sz w:val="32"/>
          <w:szCs w:val="32"/>
        </w:rPr>
        <w:t>本单位2024年度机关运行经费支出0万元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lang w:eastAsia="zh-CN"/>
        </w:rPr>
        <w:t>与上年决算数持平。</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万元，人数</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人；开支培训费</w:t>
      </w:r>
      <w:r>
        <w:rPr>
          <w:rFonts w:hint="eastAsia" w:ascii="Times New Roman" w:hAnsi="Times New Roman" w:eastAsia="仿宋_GB2312" w:cs="Times New Roman"/>
          <w:sz w:val="32"/>
          <w:szCs w:val="32"/>
        </w:rPr>
        <w:t>11.50</w:t>
      </w:r>
      <w:r>
        <w:rPr>
          <w:rFonts w:ascii="Times New Roman" w:hAnsi="Times New Roman" w:eastAsia="仿宋_GB2312" w:cs="Times New Roman"/>
          <w:sz w:val="32"/>
          <w:szCs w:val="32"/>
        </w:rPr>
        <w:t>万元，用于开展</w:t>
      </w:r>
      <w:r>
        <w:rPr>
          <w:rFonts w:hint="eastAsia" w:ascii="Times New Roman" w:hAnsi="Times New Roman" w:eastAsia="仿宋_GB2312"/>
          <w:sz w:val="32"/>
          <w:szCs w:val="32"/>
        </w:rPr>
        <w:t>召开经作林果业生产机械化</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rPr>
        <w:t>120</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rPr>
        <w:t>植保无人驾驶航空器操作技术培训</w:t>
      </w:r>
      <w:r>
        <w:rPr>
          <w:rFonts w:ascii="Times New Roman" w:hAnsi="Times New Roman" w:eastAsia="仿宋_GB2312" w:cs="Times New Roman"/>
          <w:sz w:val="32"/>
          <w:szCs w:val="32"/>
        </w:rPr>
        <w:t>；</w:t>
      </w:r>
      <w:r>
        <w:rPr>
          <w:rFonts w:hint="eastAsia" w:ascii="Times New Roman" w:hAnsi="Times New Roman" w:eastAsia="仿宋_GB2312"/>
          <w:sz w:val="32"/>
          <w:szCs w:val="32"/>
        </w:rPr>
        <w:t>未举办节庆、晚会、论坛、赛事活动。</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rPr>
        <w:t>7.03</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rPr>
        <w:t>7.03</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rPr>
        <w:t>7.03</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rPr>
        <w:t>7.03</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rPr>
        <w:t>100</w:t>
      </w:r>
      <w:r>
        <w:rPr>
          <w:rFonts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highlight w:val="none"/>
        </w:rPr>
        <w:t>服务采购授予中小企业合同金额占服务支出金额的</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color w:val="auto"/>
          <w:sz w:val="32"/>
          <w:szCs w:val="32"/>
        </w:rPr>
        <w:t>单位业务用车</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rPr>
        <w:t>0</w:t>
      </w:r>
      <w:r>
        <w:rPr>
          <w:rFonts w:ascii="Times New Roman" w:hAnsi="Times New Roman" w:eastAsia="仿宋_GB2312" w:cs="Times New Roman"/>
          <w:color w:val="auto"/>
          <w:sz w:val="32"/>
          <w:szCs w:val="32"/>
        </w:rPr>
        <w:t>（套）。</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jc w:val="left"/>
        <w:rPr>
          <w:rFonts w:hint="eastAsia" w:ascii="Times New Roman" w:hAnsi="Times New Roman" w:eastAsia="仿宋_GB2312" w:cs="Times New Roman"/>
          <w:b/>
          <w:bCs/>
          <w:sz w:val="32"/>
          <w:szCs w:val="32"/>
          <w:highlight w:val="yellow"/>
          <w:lang w:eastAsia="zh-CN"/>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w:t>
      </w:r>
      <w:r>
        <w:rPr>
          <w:rFonts w:ascii="Times New Roman" w:hAnsi="Times New Roman" w:eastAsia="仿宋_GB2312" w:cs="Times New Roman"/>
          <w:kern w:val="0"/>
          <w:sz w:val="32"/>
          <w:szCs w:val="32"/>
        </w:rPr>
        <w:t>2024年度本单位整体支出开展绩效自评，涉及项目</w:t>
      </w: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rPr>
        <w:t>23.10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rPr>
        <w:t>23.10</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rPr>
        <w:t>22.22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highlight w:val="none"/>
        </w:rPr>
        <w:t>社会保险基金预算支出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kern w:val="0"/>
          <w:sz w:val="32"/>
          <w:szCs w:val="32"/>
          <w:highlight w:val="none"/>
        </w:rPr>
        <w:t>万元</w:t>
      </w:r>
      <w:r>
        <w:rPr>
          <w:rFonts w:hint="eastAsia" w:ascii="Times New Roman" w:hAnsi="Times New Roman" w:eastAsia="仿宋_GB2312" w:cs="Times New Roman"/>
          <w:kern w:val="0"/>
          <w:sz w:val="32"/>
          <w:szCs w:val="32"/>
          <w:highlight w:val="none"/>
          <w:lang w:eastAsia="zh-CN"/>
        </w:rPr>
        <w:t>。</w:t>
      </w:r>
    </w:p>
    <w:p>
      <w:pPr>
        <w:overflowPunct w:val="0"/>
        <w:spacing w:line="600" w:lineRule="exact"/>
        <w:ind w:firstLine="640" w:firstLineChars="200"/>
        <w:rPr>
          <w:rFonts w:ascii="Times New Roman" w:hAnsi="Times New Roman" w:eastAsia="仿宋_GB2312" w:cs="Times New Roman"/>
          <w:b/>
          <w:bCs/>
          <w:kern w:val="0"/>
          <w:sz w:val="32"/>
          <w:szCs w:val="32"/>
        </w:rPr>
      </w:pPr>
      <w:r>
        <w:rPr>
          <w:rFonts w:ascii="Times New Roman" w:hAnsi="Times New Roman" w:eastAsia="楷体_GB2312" w:cs="Times New Roman"/>
          <w:b/>
          <w:bCs/>
          <w:sz w:val="32"/>
          <w:szCs w:val="32"/>
        </w:rPr>
        <w:t>（二）绩效评价结果。</w:t>
      </w:r>
    </w:p>
    <w:p>
      <w:pPr>
        <w:spacing w:line="560" w:lineRule="exact"/>
        <w:ind w:firstLine="640"/>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2024年度本单位整体支出全年预算数</w:t>
      </w:r>
      <w:r>
        <w:rPr>
          <w:rFonts w:hint="eastAsia" w:ascii="Times New Roman" w:hAnsi="Times New Roman" w:eastAsia="仿宋_GB2312" w:cs="Times New Roman"/>
          <w:sz w:val="32"/>
          <w:szCs w:val="32"/>
        </w:rPr>
        <w:t>136.95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127.09</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完成预算的</w:t>
      </w:r>
      <w:r>
        <w:rPr>
          <w:rFonts w:hint="eastAsia" w:ascii="Times New Roman" w:hAnsi="Times New Roman" w:eastAsia="仿宋_GB2312" w:cs="Times New Roman"/>
          <w:sz w:val="32"/>
          <w:szCs w:val="32"/>
          <w:highlight w:val="none"/>
        </w:rPr>
        <w:t>92.80</w:t>
      </w:r>
      <w:r>
        <w:rPr>
          <w:rFonts w:ascii="Times New Roman" w:hAnsi="Times New Roman" w:eastAsia="仿宋_GB2312" w:cs="Times New Roman"/>
          <w:sz w:val="32"/>
          <w:szCs w:val="32"/>
          <w:highlight w:val="none"/>
        </w:rPr>
        <w:t>%，绩效自评得分</w:t>
      </w:r>
      <w:r>
        <w:rPr>
          <w:rFonts w:hint="eastAsia" w:ascii="Times New Roman" w:hAnsi="Times New Roman" w:eastAsia="仿宋_GB2312" w:cs="Times New Roman"/>
          <w:sz w:val="32"/>
          <w:szCs w:val="32"/>
          <w:highlight w:val="none"/>
          <w:lang w:val="en-US" w:eastAsia="zh-CN"/>
        </w:rPr>
        <w:t>9</w:t>
      </w:r>
      <w:r>
        <w:rPr>
          <w:rFonts w:hint="eastAsia" w:ascii="Times New Roman" w:hAnsi="Times New Roman" w:eastAsia="仿宋_GB2312" w:cs="Times New Roman"/>
          <w:sz w:val="32"/>
          <w:szCs w:val="32"/>
          <w:highlight w:val="none"/>
        </w:rPr>
        <w:t>0</w:t>
      </w:r>
      <w:r>
        <w:rPr>
          <w:rFonts w:ascii="Times New Roman" w:hAnsi="Times New Roman" w:eastAsia="仿宋_GB2312" w:cs="Times New Roman"/>
          <w:sz w:val="32"/>
          <w:szCs w:val="32"/>
          <w:highlight w:val="none"/>
        </w:rPr>
        <w:t>分</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ascii="Times New Roman" w:hAnsi="Times New Roman" w:eastAsia="仿宋_GB2312" w:cs="Times New Roman"/>
          <w:sz w:val="32"/>
          <w:szCs w:val="32"/>
          <w:highlight w:val="none"/>
        </w:rPr>
        <w:t>一是</w:t>
      </w:r>
      <w:r>
        <w:rPr>
          <w:rFonts w:hint="eastAsia" w:ascii="Times New Roman" w:hAnsi="Times New Roman" w:eastAsia="仿宋_GB2312" w:cs="Times New Roman"/>
          <w:sz w:val="32"/>
          <w:szCs w:val="32"/>
          <w:highlight w:val="none"/>
        </w:rPr>
        <w:t>按时完成单位的名项委托业务以及预算的执行，培训经作林果业机械化技术人员，提升林果业机械化水平，提高生产效率，培训对象满意度达到90%以上</w:t>
      </w:r>
      <w:r>
        <w:rPr>
          <w:rFonts w:ascii="Times New Roman" w:hAnsi="Times New Roman" w:eastAsia="仿宋_GB2312" w:cs="Times New Roman"/>
          <w:sz w:val="32"/>
          <w:szCs w:val="32"/>
          <w:highlight w:val="none"/>
        </w:rPr>
        <w:t>；二是</w:t>
      </w:r>
      <w:r>
        <w:rPr>
          <w:rFonts w:hint="eastAsia" w:ascii="Times New Roman" w:hAnsi="Times New Roman" w:eastAsia="仿宋_GB2312" w:cs="黑体"/>
          <w:color w:val="000000"/>
          <w:kern w:val="0"/>
          <w:sz w:val="32"/>
          <w:szCs w:val="32"/>
        </w:rPr>
        <w:t>为提升农机化操作水平，助力粮食生产，我园于7月1日至7月6日举办两期植保无人驾驶航空器操作技术(怀化)培训班。参训学员主要为农业生产大户及一线农技人员，两期学员共109人，考试合格率为93.8%。</w:t>
      </w:r>
      <w:r>
        <w:rPr>
          <w:rFonts w:hint="eastAsia" w:ascii="Times New Roman" w:hAnsi="Times New Roman" w:eastAsia="仿宋_GB2312" w:cs="黑体"/>
          <w:color w:val="000000"/>
          <w:kern w:val="0"/>
          <w:sz w:val="32"/>
          <w:szCs w:val="32"/>
          <w:lang w:eastAsia="zh-CN"/>
        </w:rPr>
        <w:t>三是</w:t>
      </w:r>
      <w:r>
        <w:rPr>
          <w:rFonts w:hint="eastAsia" w:ascii="Times New Roman" w:hAnsi="Times New Roman" w:eastAsia="仿宋_GB2312" w:cs="黑体"/>
          <w:color w:val="000000"/>
          <w:kern w:val="0"/>
          <w:sz w:val="32"/>
          <w:szCs w:val="32"/>
        </w:rPr>
        <w:t>配合中心其它部门完成各项重大业务活动工作，先后赴怀化、湘西等地开展农机报废更新补贴政策宣讲；赴郴州苏仙区、桂阳县等地对机插机抛、教育培训、安全生产、报废更新等调研指导；完成了省人大代表建议和省政协委员提案的答复；积极协调督促处理省优质农产品产销对接中心步步高公司撤店可能带来的遗留问题和审计指出的其管理运营、绩效考核、资产闲置等方面整改事项；陪同南京农机化研究所调研组到宁乡市、岳阳县、安仁县调研农机手培育支持政策及典型做法；完成中心统一部署的党纪教育、意识形态、法制建设、以案促改等工作。</w:t>
      </w:r>
    </w:p>
    <w:p>
      <w:pPr>
        <w:pStyle w:val="14"/>
        <w:numPr>
          <w:ilvl w:val="0"/>
          <w:numId w:val="1"/>
        </w:numPr>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评价结果应用情况。</w:t>
      </w:r>
    </w:p>
    <w:p>
      <w:pPr>
        <w:pStyle w:val="14"/>
        <w:overflowPunct w:val="0"/>
        <w:autoSpaceDE/>
        <w:autoSpaceDN/>
        <w:spacing w:line="600" w:lineRule="exact"/>
        <w:ind w:firstLine="640" w:firstLineChars="200"/>
        <w:jc w:val="both"/>
        <w:rPr>
          <w:rFonts w:ascii="Times New Roman" w:hAnsi="Times New Roman" w:eastAsia="仿宋_GB2312"/>
          <w:color w:val="auto"/>
          <w:sz w:val="32"/>
          <w:szCs w:val="32"/>
        </w:rPr>
      </w:pPr>
      <w:r>
        <w:rPr>
          <w:rFonts w:ascii="Times New Roman" w:hAnsi="Times New Roman" w:eastAsia="仿宋_GB2312" w:cs="Times New Roman"/>
          <w:color w:val="auto"/>
          <w:sz w:val="32"/>
          <w:szCs w:val="32"/>
        </w:rPr>
        <w:t>根据2024年度绩效自评结果</w:t>
      </w:r>
      <w:r>
        <w:rPr>
          <w:rFonts w:hint="eastAsia" w:ascii="Times New Roman" w:hAnsi="Times New Roman" w:eastAsia="仿宋_GB2312" w:cs="Times New Roman"/>
          <w:color w:val="auto"/>
          <w:sz w:val="32"/>
          <w:szCs w:val="32"/>
        </w:rPr>
        <w:t>,针</w:t>
      </w:r>
      <w:r>
        <w:rPr>
          <w:rFonts w:ascii="Times New Roman" w:hAnsi="Times New Roman" w:eastAsia="仿宋_GB2312" w:cs="Times New Roman"/>
          <w:color w:val="auto"/>
          <w:sz w:val="32"/>
          <w:szCs w:val="32"/>
        </w:rPr>
        <w:t>对本部门2025年度预算安排</w:t>
      </w:r>
      <w:r>
        <w:rPr>
          <w:rFonts w:hint="eastAsia" w:ascii="Times New Roman" w:hAnsi="Times New Roman" w:eastAsia="仿宋_GB2312" w:cs="Times New Roman"/>
          <w:color w:val="auto"/>
          <w:sz w:val="32"/>
          <w:szCs w:val="32"/>
        </w:rPr>
        <w:t>，我单位下一步拟进行以下措施：</w:t>
      </w:r>
      <w:r>
        <w:rPr>
          <w:rFonts w:hint="eastAsia" w:ascii="Times New Roman" w:hAnsi="Times New Roman" w:eastAsia="仿宋_GB2312"/>
          <w:sz w:val="32"/>
          <w:szCs w:val="32"/>
        </w:rPr>
        <w:t>一是</w:t>
      </w:r>
      <w:r>
        <w:rPr>
          <w:rFonts w:hint="eastAsia" w:ascii="Times New Roman" w:hAnsi="Times New Roman" w:eastAsia="仿宋_GB2312"/>
          <w:color w:val="auto"/>
          <w:sz w:val="32"/>
          <w:szCs w:val="32"/>
        </w:rPr>
        <w:t>提高年初预算编制准确性，编制预算时，严格根据事业单位人员工资和绩效工资发放标准做人员经费的预算，提高预算编制的准确度。二是提高预算资金使用执行率，定期对资金执行率情况进行分析，落实到具体情况，从而提高单位整体预算执行率。</w:t>
      </w: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both"/>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pStyle w:val="14"/>
        <w:spacing w:line="600" w:lineRule="exact"/>
        <w:ind w:firstLine="640" w:firstLineChars="200"/>
        <w:rPr>
          <w:rFonts w:hint="eastAsia" w:ascii="Times New Roman" w:hAnsi="Times New Roman" w:eastAsia="仿宋_GB2312"/>
          <w:sz w:val="32"/>
          <w:szCs w:val="32"/>
        </w:rPr>
      </w:pPr>
    </w:p>
    <w:p>
      <w:pPr>
        <w:pStyle w:val="14"/>
        <w:spacing w:line="600" w:lineRule="exact"/>
        <w:ind w:firstLine="640" w:firstLineChars="200"/>
        <w:rPr>
          <w:rFonts w:hint="eastAsia" w:ascii="Times New Roman" w:hAnsi="Times New Roman" w:eastAsia="仿宋_GB2312"/>
          <w:sz w:val="32"/>
          <w:szCs w:val="32"/>
        </w:rPr>
      </w:pP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both"/>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p>
    <w:p>
      <w:pPr>
        <w:pStyle w:val="14"/>
        <w:spacing w:line="600" w:lineRule="exact"/>
        <w:ind w:firstLine="880" w:firstLineChars="200"/>
        <w:jc w:val="center"/>
        <w:rPr>
          <w:rFonts w:ascii="Times New Roman" w:hAnsi="Times New Roman" w:eastAsia="仿宋_GB2312" w:cs="Times New Roman"/>
          <w:sz w:val="44"/>
          <w:szCs w:val="44"/>
        </w:rPr>
      </w:pPr>
      <w:bookmarkStart w:id="3" w:name="_GoBack"/>
      <w:bookmarkEnd w:id="3"/>
    </w:p>
    <w:p>
      <w:pPr>
        <w:pStyle w:val="14"/>
        <w:spacing w:line="600" w:lineRule="exact"/>
        <w:ind w:firstLine="880" w:firstLineChars="200"/>
        <w:jc w:val="center"/>
        <w:rPr>
          <w:rFonts w:ascii="Times New Roman" w:hAnsi="Times New Roman" w:eastAsia="仿宋_GB2312" w:cs="Times New Roman"/>
          <w:sz w:val="44"/>
          <w:szCs w:val="44"/>
        </w:rPr>
      </w:pPr>
      <w:r>
        <w:rPr>
          <w:rFonts w:ascii="Times New Roman" w:hAnsi="Times New Roman" w:eastAsia="仿宋_GB2312" w:cs="Times New Roman"/>
          <w:sz w:val="44"/>
          <w:szCs w:val="44"/>
        </w:rPr>
        <w:t>2024年度单位整体支出绩效自评</w:t>
      </w:r>
      <w:r>
        <w:rPr>
          <w:rFonts w:hint="eastAsia" w:ascii="Times New Roman" w:hAnsi="Times New Roman" w:eastAsia="仿宋_GB2312" w:cs="Times New Roman"/>
          <w:sz w:val="44"/>
          <w:szCs w:val="44"/>
        </w:rPr>
        <w:t>报</w:t>
      </w:r>
    </w:p>
    <w:p>
      <w:pPr>
        <w:pStyle w:val="6"/>
        <w:spacing w:line="570" w:lineRule="atLeast"/>
        <w:ind w:firstLine="640"/>
      </w:pPr>
    </w:p>
    <w:p>
      <w:pPr>
        <w:pStyle w:val="6"/>
        <w:spacing w:line="570" w:lineRule="atLeast"/>
        <w:ind w:firstLine="640"/>
      </w:pPr>
      <w:r>
        <w:t>一、基本情况</w:t>
      </w:r>
    </w:p>
    <w:p>
      <w:pPr>
        <w:spacing w:line="570" w:lineRule="atLeast"/>
        <w:ind w:firstLine="643"/>
        <w:rPr>
          <w:rFonts w:ascii="楷体" w:hAnsi="楷体" w:eastAsia="楷体"/>
          <w:b/>
          <w:sz w:val="32"/>
          <w:szCs w:val="32"/>
        </w:rPr>
      </w:pPr>
      <w:r>
        <w:rPr>
          <w:rFonts w:ascii="楷体" w:hAnsi="楷体" w:eastAsia="楷体"/>
          <w:b/>
          <w:sz w:val="32"/>
          <w:szCs w:val="32"/>
        </w:rPr>
        <w:t>（一）单位基本情况</w:t>
      </w:r>
    </w:p>
    <w:p>
      <w:pPr>
        <w:ind w:firstLine="320" w:firstLineChars="1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主要职能：我单位为财政补助公益二类事业单位，执行政府会计准则制度，宗旨和业务范围为：</w:t>
      </w:r>
      <w:r>
        <w:rPr>
          <w:rFonts w:ascii="Times New Roman" w:hAnsi="Times New Roman" w:eastAsia="仿宋_GB2312" w:cs="Times New Roman"/>
          <w:color w:val="000000"/>
          <w:kern w:val="0"/>
          <w:sz w:val="32"/>
          <w:szCs w:val="32"/>
        </w:rPr>
        <w:t>推广农机新技术，促进农业发展。 农业机械及农业工程技术试验示范 农机新机具、新设施、新技术推广、展示 农机新产品新机具实验示范 相关技术服务、技术培训</w:t>
      </w:r>
      <w:r>
        <w:rPr>
          <w:rFonts w:hint="eastAsia" w:ascii="Times New Roman" w:hAnsi="Times New Roman" w:eastAsia="仿宋_GB2312" w:cs="Times New Roman"/>
          <w:color w:val="000000"/>
          <w:kern w:val="0"/>
          <w:sz w:val="32"/>
          <w:szCs w:val="32"/>
        </w:rPr>
        <w:t>。</w:t>
      </w:r>
    </w:p>
    <w:p>
      <w:pPr>
        <w:numPr>
          <w:ilvl w:val="0"/>
          <w:numId w:val="2"/>
        </w:numPr>
        <w:adjustRightInd w:val="0"/>
        <w:snapToGrid w:val="0"/>
        <w:spacing w:line="570" w:lineRule="atLeast"/>
        <w:ind w:firstLine="640" w:firstLineChars="200"/>
        <w:rPr>
          <w:rFonts w:eastAsia="楷体_GB2312"/>
          <w:b/>
          <w:sz w:val="32"/>
          <w:szCs w:val="32"/>
        </w:rPr>
      </w:pPr>
      <w:r>
        <w:rPr>
          <w:rFonts w:eastAsia="楷体_GB2312"/>
          <w:b/>
          <w:sz w:val="32"/>
          <w:szCs w:val="32"/>
        </w:rPr>
        <w:t>单位年度整体支出绩效目标</w:t>
      </w:r>
    </w:p>
    <w:p>
      <w:pPr>
        <w:ind w:firstLine="320" w:firstLineChars="1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 xml:space="preserve"> 按时完成单位的名项委托业务以及预算的执行，培训经作林果业机械化技术人员，提升林果业机械化水平，提高生产效率，培训对象满意度达到90%以上。</w:t>
      </w:r>
    </w:p>
    <w:p>
      <w:pPr>
        <w:numPr>
          <w:ilvl w:val="0"/>
          <w:numId w:val="2"/>
        </w:numPr>
        <w:adjustRightInd w:val="0"/>
        <w:snapToGrid w:val="0"/>
        <w:spacing w:line="570" w:lineRule="atLeast"/>
        <w:ind w:firstLine="640" w:firstLineChars="200"/>
        <w:rPr>
          <w:rFonts w:eastAsia="楷体_GB2312"/>
          <w:b/>
          <w:sz w:val="32"/>
          <w:szCs w:val="32"/>
        </w:rPr>
      </w:pPr>
      <w:r>
        <w:rPr>
          <w:rFonts w:eastAsia="楷体_GB2312"/>
          <w:b/>
          <w:sz w:val="32"/>
          <w:szCs w:val="32"/>
        </w:rPr>
        <w:t>项目支出绩效目标</w:t>
      </w:r>
    </w:p>
    <w:p>
      <w:pPr>
        <w:ind w:firstLine="320" w:firstLineChars="1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在规定时间内完成经作林果业机械化培训和各项业务委托，提升丘陵地区生产机械化水平，通过示范带动林果业种植机械化水平提高，培训对象满意度达到90%以上。</w:t>
      </w:r>
    </w:p>
    <w:p>
      <w:pPr>
        <w:pStyle w:val="21"/>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21"/>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2024年度财政拨款基本支出103.94万元，其中：</w:t>
      </w:r>
    </w:p>
    <w:p>
      <w:pPr>
        <w:spacing w:line="560" w:lineRule="atLeast"/>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人员经费59.08万元，公用经费44.86万元，</w:t>
      </w:r>
      <w:r>
        <w:rPr>
          <w:rFonts w:ascii="Times New Roman" w:hAnsi="Times New Roman" w:eastAsia="仿宋_GB2312" w:cs="黑体"/>
          <w:color w:val="000000"/>
          <w:kern w:val="0"/>
          <w:sz w:val="32"/>
          <w:szCs w:val="32"/>
        </w:rPr>
        <w:t>主要</w:t>
      </w:r>
      <w:r>
        <w:rPr>
          <w:rFonts w:hint="eastAsia" w:ascii="Times New Roman" w:hAnsi="Times New Roman" w:eastAsia="仿宋_GB2312" w:cs="黑体"/>
          <w:color w:val="000000"/>
          <w:kern w:val="0"/>
          <w:sz w:val="32"/>
          <w:szCs w:val="32"/>
        </w:rPr>
        <w:t>用于</w:t>
      </w:r>
      <w:r>
        <w:rPr>
          <w:rFonts w:ascii="Times New Roman" w:hAnsi="Times New Roman" w:eastAsia="仿宋_GB2312" w:cs="黑体"/>
          <w:color w:val="000000"/>
          <w:kern w:val="0"/>
          <w:sz w:val="32"/>
          <w:szCs w:val="32"/>
        </w:rPr>
        <w:t>保障</w:t>
      </w:r>
      <w:r>
        <w:rPr>
          <w:rFonts w:hint="eastAsia" w:ascii="Times New Roman" w:hAnsi="Times New Roman" w:eastAsia="仿宋_GB2312" w:cs="黑体"/>
          <w:color w:val="000000"/>
          <w:kern w:val="0"/>
          <w:sz w:val="32"/>
          <w:szCs w:val="32"/>
        </w:rPr>
        <w:t>单位</w:t>
      </w:r>
      <w:r>
        <w:rPr>
          <w:rFonts w:ascii="Times New Roman" w:hAnsi="Times New Roman" w:eastAsia="仿宋_GB2312" w:cs="黑体"/>
          <w:color w:val="000000"/>
          <w:kern w:val="0"/>
          <w:sz w:val="32"/>
          <w:szCs w:val="32"/>
        </w:rPr>
        <w:t>正常运转、完成日常工作任务而发生的各项支出，包括用于基本工资、津贴补贴等人员经费以及办公费、水电费、</w:t>
      </w:r>
      <w:r>
        <w:rPr>
          <w:rFonts w:hint="eastAsia" w:ascii="Times New Roman" w:hAnsi="Times New Roman" w:eastAsia="仿宋_GB2312" w:cs="黑体"/>
          <w:color w:val="000000"/>
          <w:kern w:val="0"/>
          <w:sz w:val="32"/>
          <w:szCs w:val="32"/>
        </w:rPr>
        <w:t>差旅费、劳务费</w:t>
      </w:r>
      <w:r>
        <w:rPr>
          <w:rFonts w:ascii="Times New Roman" w:hAnsi="Times New Roman" w:eastAsia="仿宋_GB2312" w:cs="黑体"/>
          <w:color w:val="000000"/>
          <w:kern w:val="0"/>
          <w:sz w:val="32"/>
          <w:szCs w:val="32"/>
        </w:rPr>
        <w:t>等公用经费。</w:t>
      </w:r>
    </w:p>
    <w:p>
      <w:pPr>
        <w:widowControl/>
        <w:spacing w:line="600" w:lineRule="exact"/>
        <w:ind w:firstLine="480" w:firstLineChars="15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建立健全财务管理制度、内控制度，资金使用符合国家财经法规和财务管理制度规定。各项经费支出按财务制度实行审批，切实降低运行成本。</w:t>
      </w:r>
    </w:p>
    <w:p>
      <w:pPr>
        <w:pStyle w:val="21"/>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2024</w:t>
      </w:r>
      <w:r>
        <w:rPr>
          <w:rFonts w:ascii="Times New Roman" w:hAnsi="Times New Roman" w:eastAsia="仿宋_GB2312" w:cs="黑体"/>
          <w:color w:val="000000"/>
          <w:kern w:val="0"/>
          <w:sz w:val="32"/>
          <w:szCs w:val="32"/>
        </w:rPr>
        <w:t>年</w:t>
      </w:r>
      <w:r>
        <w:rPr>
          <w:rFonts w:hint="eastAsia" w:ascii="Times New Roman" w:hAnsi="Times New Roman" w:eastAsia="仿宋_GB2312" w:cs="黑体"/>
          <w:color w:val="000000"/>
          <w:kern w:val="0"/>
          <w:sz w:val="32"/>
          <w:szCs w:val="32"/>
        </w:rPr>
        <w:t>度</w:t>
      </w:r>
      <w:r>
        <w:rPr>
          <w:rFonts w:ascii="Times New Roman" w:hAnsi="Times New Roman" w:eastAsia="仿宋_GB2312" w:cs="黑体"/>
          <w:color w:val="000000"/>
          <w:kern w:val="0"/>
          <w:sz w:val="32"/>
          <w:szCs w:val="32"/>
        </w:rPr>
        <w:t>项目支出</w:t>
      </w:r>
      <w:r>
        <w:rPr>
          <w:rFonts w:hint="eastAsia" w:ascii="Times New Roman" w:hAnsi="Times New Roman" w:eastAsia="仿宋_GB2312" w:cs="黑体"/>
          <w:color w:val="000000"/>
          <w:kern w:val="0"/>
          <w:sz w:val="32"/>
          <w:szCs w:val="32"/>
        </w:rPr>
        <w:t>:</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1、业务工作经费培训支出11.50</w:t>
      </w:r>
      <w:r>
        <w:rPr>
          <w:rFonts w:ascii="Times New Roman" w:hAnsi="Times New Roman" w:eastAsia="仿宋_GB2312" w:cs="黑体"/>
          <w:color w:val="000000"/>
          <w:kern w:val="0"/>
          <w:sz w:val="32"/>
          <w:szCs w:val="32"/>
        </w:rPr>
        <w:t>万元</w:t>
      </w:r>
      <w:r>
        <w:rPr>
          <w:rFonts w:hint="eastAsia" w:ascii="Times New Roman" w:hAnsi="Times New Roman" w:eastAsia="仿宋_GB2312" w:cs="黑体"/>
          <w:color w:val="000000"/>
          <w:kern w:val="0"/>
          <w:sz w:val="32"/>
          <w:szCs w:val="32"/>
        </w:rPr>
        <w:t>，用于经作林果业机械化培训， 2024年7月1日至 6日举办两期植保无人驾驶航空器操作技术(怀化)培训班。参训学员主要为农业生产大户及一线农技人员，两期学员共109人，考试合格率为93.8%。本次培训对农机化新机具新技术的应用推广具有良好的示范带动作用。</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2、其他事业发展资金业务委托费用11.60万元，完成我单位2项业务委托办理事项。</w:t>
      </w:r>
    </w:p>
    <w:p>
      <w:pPr>
        <w:pStyle w:val="15"/>
        <w:ind w:firstLine="640"/>
        <w:jc w:val="left"/>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15"/>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21"/>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四、国有资本经营预算支出情况</w:t>
      </w:r>
    </w:p>
    <w:p>
      <w:pPr>
        <w:pStyle w:val="15"/>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21"/>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pStyle w:val="15"/>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70" w:lineRule="atLeast"/>
        <w:ind w:firstLine="640"/>
        <w:rPr>
          <w:rFonts w:ascii="Times New Roman" w:hAnsi="Times New Roman" w:eastAsia="黑体" w:cs="Times New Roman"/>
          <w:sz w:val="32"/>
          <w:szCs w:val="32"/>
        </w:rPr>
      </w:pPr>
      <w:r>
        <w:rPr>
          <w:rFonts w:ascii="Times New Roman" w:hAnsi="Times New Roman" w:eastAsia="黑体" w:cs="Times New Roman"/>
          <w:sz w:val="32"/>
          <w:szCs w:val="32"/>
        </w:rPr>
        <w:t>六、部门整体支出绩效情况</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1、严控运行成本</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2024年“三公”经费支出3.60万元。其中公务接待费0.1万元、公务用车运行维护费3.5万元。2024年基本支出中办公费、水费、电费、福利费和差旅费年初预算为9.5万元，决算数为9.41万元，节约比为0.95%，合理控制在预算以内；项目经费运行成本根据预算资金合理安排使用，经作林果业生产机械化培训经费运行成本严格控制。</w:t>
      </w:r>
    </w:p>
    <w:p>
      <w:pPr>
        <w:pStyle w:val="14"/>
        <w:spacing w:line="600" w:lineRule="exact"/>
        <w:ind w:left="480" w:firstLine="320" w:firstLineChars="100"/>
        <w:rPr>
          <w:rFonts w:ascii="Times New Roman" w:hAnsi="Times New Roman" w:eastAsia="仿宋_GB2312"/>
          <w:sz w:val="32"/>
          <w:szCs w:val="32"/>
        </w:rPr>
      </w:pPr>
      <w:r>
        <w:rPr>
          <w:rFonts w:hint="eastAsia" w:ascii="Times New Roman" w:hAnsi="Times New Roman" w:eastAsia="仿宋_GB2312"/>
          <w:sz w:val="32"/>
          <w:szCs w:val="32"/>
        </w:rPr>
        <w:t>2、提高管理效率</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为提升农机化操作水平，助力粮食生产，我园于7月1日至7月6日举办两期植保无人驾驶航空器操作技术(怀化)培训班。参训学员主要为农业生产大户及一线农技人员，两期学员共109人，考试合格率为93.8%。</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3、提高履效职能</w:t>
      </w:r>
    </w:p>
    <w:p>
      <w:pPr>
        <w:spacing w:line="560" w:lineRule="exact"/>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配合中心其它部门完成各项重大业务活动工作，先后赴怀化、湘西等地开展农机报废更新补贴政策宣讲；赴郴州苏仙区、桂阳县等地对机插机抛、教育培训、安全生产、报废更新等调研指导；完成了省人大代表建议和省政协委员提案的答复；积极协调督促处理省优质农产品产销对接中心步步高公司撤店可能带来的遗留问题和审计指出的其管理运营、绩效考核、资产闲置等方面整改事项；陪同南京农机化研究所调研组到宁乡市、岳阳县、安仁县调研农机手培育支持政策及典型做法；完成中心统一部署的党纪教育、意识形态、法制建设、以案促改等工作。</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4、促进良好社会效应</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示范园2024年度总体支出绩效目标完成92.80%,其中项目支出绩效目标实现产出数量指标培训植保无人驾驶航空器操作技术人员数量109人，机械化从业技术人员93.8%达到合格标准；促进良好效益，节约成本，提高机械化技术人员操作水平，促进节本增数。</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5、加强可持续发展能力</w:t>
      </w:r>
    </w:p>
    <w:p>
      <w:pPr>
        <w:pStyle w:val="22"/>
        <w:ind w:firstLine="640" w:firstLineChars="200"/>
        <w:jc w:val="left"/>
        <w:rPr>
          <w:rFonts w:eastAsia="仿宋_GB2312"/>
          <w:sz w:val="32"/>
          <w:szCs w:val="32"/>
        </w:rPr>
      </w:pPr>
      <w:r>
        <w:rPr>
          <w:rFonts w:hint="eastAsia" w:eastAsia="仿宋_GB2312" w:cs="黑体"/>
          <w:color w:val="000000"/>
          <w:kern w:val="0"/>
          <w:sz w:val="32"/>
          <w:szCs w:val="32"/>
        </w:rPr>
        <w:t>本次培训聘请具有丰富的一线生产经验和对市场应用现状熟悉的人士为培训师，培训方式更接地气，更能解决参培人员的需求痛点，是一次改变以往请偏理论研究的大学教授授课的有效尝试。本次培训对农机化新机具新技术的应用推广具有良好的示范带动作用。</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6、提高服务对象满意度</w:t>
      </w:r>
    </w:p>
    <w:p>
      <w:pPr>
        <w:ind w:firstLine="64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通过实地访问的方式进行满意度调查，培训技术人员达到合格标准，带动周边市县实现生产机械化，服务对象满意度达到了95%。</w:t>
      </w:r>
    </w:p>
    <w:p>
      <w:pPr>
        <w:pStyle w:val="21"/>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pStyle w:val="14"/>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执行率有待提高：2024年一般公共预算基本支出总预算113.8万元，预算执行103.99万元，预算执行率91.37%。其中人员经费预算执行率低于90%。按支出性质和经济分类，人员经费预算68.45万元，实际使用59.08万元，预算执行率86.31%。</w:t>
      </w:r>
    </w:p>
    <w:p>
      <w:pPr>
        <w:pStyle w:val="14"/>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rPr>
        <w:t>原因分析：2024年</w:t>
      </w:r>
      <w:r>
        <w:rPr>
          <w:rFonts w:hint="eastAsia" w:ascii="Times New Roman" w:hAnsi="Times New Roman" w:eastAsia="仿宋_GB2312"/>
          <w:sz w:val="32"/>
          <w:szCs w:val="32"/>
        </w:rPr>
        <w:t>按政策未发放本年度在职人员绩效工资。</w:t>
      </w:r>
    </w:p>
    <w:p>
      <w:pPr>
        <w:spacing w:line="600" w:lineRule="exact"/>
        <w:ind w:firstLine="640"/>
        <w:rPr>
          <w:rFonts w:ascii="Times New Roman" w:hAnsi="Times New Roman" w:eastAsia="仿宋_GB2312" w:cs="黑体"/>
          <w:kern w:val="0"/>
          <w:sz w:val="32"/>
          <w:szCs w:val="32"/>
        </w:rPr>
      </w:pPr>
      <w:r>
        <w:rPr>
          <w:rFonts w:ascii="Times New Roman" w:hAnsi="Times New Roman" w:eastAsia="仿宋_GB2312" w:cs="黑体"/>
          <w:kern w:val="0"/>
          <w:sz w:val="32"/>
          <w:szCs w:val="32"/>
        </w:rPr>
        <w:t>八、下一步改进措施</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整改措施：一是</w:t>
      </w:r>
      <w:r>
        <w:rPr>
          <w:rFonts w:hint="eastAsia" w:ascii="Times New Roman" w:hAnsi="Times New Roman" w:eastAsia="仿宋_GB2312"/>
          <w:color w:val="auto"/>
          <w:sz w:val="32"/>
          <w:szCs w:val="32"/>
        </w:rPr>
        <w:t>提高年初预算编制准确性，编制预算时，严格根据事业单位人员工资和绩效工资发放标准做人员经费的预算，提高预算编制的准确度。二是提高预算资金使用执行率，定期对资金执行率情况进行分析，落实到具体情况，从而提高单位整体预算执行率。</w:t>
      </w: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6"/>
        <w:ind w:firstLine="0" w:firstLineChars="0"/>
      </w:pPr>
    </w:p>
    <w:p>
      <w:pPr>
        <w:pStyle w:val="6"/>
        <w:ind w:firstLine="0" w:firstLineChars="0"/>
      </w:pPr>
    </w:p>
    <w:p>
      <w:pPr>
        <w:pStyle w:val="6"/>
        <w:ind w:firstLine="0" w:firstLineChars="0"/>
      </w:pPr>
    </w:p>
    <w:p>
      <w:pPr>
        <w:pStyle w:val="6"/>
        <w:ind w:firstLine="0" w:firstLineChars="0"/>
      </w:pPr>
    </w:p>
    <w:p>
      <w:pPr>
        <w:pStyle w:val="6"/>
        <w:ind w:firstLine="0" w:firstLineChars="0"/>
      </w:pPr>
    </w:p>
    <w:p>
      <w:pPr>
        <w:pStyle w:val="6"/>
        <w:ind w:firstLine="0" w:firstLineChars="0"/>
      </w:pPr>
      <w:r>
        <w:t>附件1</w:t>
      </w:r>
    </w:p>
    <w:p>
      <w:pPr>
        <w:pStyle w:val="6"/>
        <w:ind w:firstLine="0" w:firstLineChars="0"/>
        <w:jc w:val="center"/>
      </w:pPr>
      <w:r>
        <w:rPr>
          <w:sz w:val="36"/>
          <w:szCs w:val="36"/>
        </w:rPr>
        <w:t>部门整体支出绩效评价基础数据表</w:t>
      </w:r>
    </w:p>
    <w:tbl>
      <w:tblPr>
        <w:tblStyle w:val="10"/>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4</w:t>
            </w: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3</w:t>
            </w: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
                <w:bCs/>
                <w:kern w:val="0"/>
                <w:szCs w:val="21"/>
              </w:rPr>
            </w:pPr>
            <w:r>
              <w:rPr>
                <w:b/>
                <w:bCs/>
                <w:kern w:val="0"/>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3.20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4.00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3.00</w:t>
            </w: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3.50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3.00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3.50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0.20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0.50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8.50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23.10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8.50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23.10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23.10</w:t>
            </w: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420"/>
              <w:jc w:val="left"/>
              <w:rPr>
                <w:kern w:val="0"/>
                <w:szCs w:val="21"/>
              </w:rPr>
            </w:pPr>
            <w:r>
              <w:rPr>
                <w:kern w:val="0"/>
                <w:szCs w:val="21"/>
              </w:rPr>
              <w:t>3、省级专项资金</w:t>
            </w:r>
          </w:p>
          <w:p>
            <w:pPr>
              <w:widowControl/>
              <w:spacing w:line="280" w:lineRule="exact"/>
              <w:ind w:firstLine="630" w:firstLineChars="300"/>
              <w:jc w:val="left"/>
              <w:rPr>
                <w:kern w:val="0"/>
                <w:szCs w:val="21"/>
              </w:rPr>
            </w:pPr>
            <w:r>
              <w:rPr>
                <w:kern w:val="0"/>
                <w:szCs w:val="21"/>
              </w:rPr>
              <w:t>（一个专项一行）</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420"/>
              <w:jc w:val="left"/>
              <w:rPr>
                <w:kern w:val="0"/>
                <w:szCs w:val="21"/>
              </w:rPr>
            </w:pPr>
            <w:r>
              <w:rPr>
                <w:kern w:val="0"/>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44.14</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45.35</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44.86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3.00</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2.50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rFonts w:hint="eastAsia"/>
                <w:kern w:val="0"/>
                <w:szCs w:val="21"/>
              </w:rPr>
              <w:t>6.62</w:t>
            </w:r>
            <w:r>
              <w:rPr>
                <w:kern w:val="0"/>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6.50</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r>
              <w:rPr>
                <w:rFonts w:hint="eastAsia"/>
                <w:kern w:val="0"/>
                <w:szCs w:val="21"/>
              </w:rP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楼堂馆所控制情况</w:t>
            </w:r>
            <w:r>
              <w:rPr>
                <w:kern w:val="0"/>
                <w:szCs w:val="21"/>
              </w:rPr>
              <w:br w:type="textWrapping"/>
            </w:r>
            <w:r>
              <w:rPr>
                <w:kern w:val="0"/>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批复规模</w:t>
            </w:r>
            <w:r>
              <w:rPr>
                <w:bCs/>
                <w:kern w:val="0"/>
                <w:szCs w:val="21"/>
              </w:rPr>
              <w:br w:type="textWrapping"/>
            </w:r>
            <w:r>
              <w:rPr>
                <w:bCs/>
                <w:kern w:val="0"/>
                <w:szCs w:val="21"/>
              </w:rPr>
              <w:t>（</w:t>
            </w:r>
            <w:r>
              <w:rPr>
                <w:rFonts w:eastAsia="Batang"/>
                <w:bCs/>
                <w:kern w:val="0"/>
                <w:szCs w:val="21"/>
              </w:rPr>
              <w:t>㎡</w:t>
            </w:r>
            <w:r>
              <w:rPr>
                <w:bCs/>
                <w:kern w:val="0"/>
                <w:szCs w:val="21"/>
              </w:rPr>
              <w:t>）</w:t>
            </w:r>
          </w:p>
        </w:tc>
        <w:tc>
          <w:tcPr>
            <w:tcW w:w="99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实际</w:t>
            </w:r>
          </w:p>
          <w:p>
            <w:pPr>
              <w:widowControl/>
              <w:spacing w:line="280" w:lineRule="exact"/>
              <w:jc w:val="center"/>
              <w:rPr>
                <w:bCs/>
                <w:kern w:val="0"/>
                <w:szCs w:val="21"/>
              </w:rPr>
            </w:pPr>
            <w:r>
              <w:rPr>
                <w:bCs/>
                <w:kern w:val="0"/>
                <w:szCs w:val="21"/>
              </w:rPr>
              <w:t>规模</w:t>
            </w:r>
          </w:p>
          <w:p>
            <w:pPr>
              <w:widowControl/>
              <w:spacing w:line="280" w:lineRule="exact"/>
              <w:jc w:val="center"/>
              <w:rPr>
                <w:bCs/>
                <w:kern w:val="0"/>
                <w:szCs w:val="21"/>
              </w:rPr>
            </w:pPr>
            <w:r>
              <w:rPr>
                <w:bCs/>
                <w:kern w:val="0"/>
                <w:szCs w:val="21"/>
              </w:rPr>
              <w:t>（</w:t>
            </w:r>
            <w:r>
              <w:rPr>
                <w:rFonts w:eastAsia="Batang"/>
                <w:bCs/>
                <w:kern w:val="0"/>
                <w:szCs w:val="21"/>
              </w:rPr>
              <w:t>㎡</w:t>
            </w:r>
            <w:r>
              <w:rPr>
                <w:bCs/>
                <w:kern w:val="0"/>
                <w:szCs w:val="21"/>
              </w:rPr>
              <w:t>）</w:t>
            </w:r>
          </w:p>
        </w:tc>
        <w:tc>
          <w:tcPr>
            <w:tcW w:w="110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规模</w:t>
            </w:r>
          </w:p>
          <w:p>
            <w:pPr>
              <w:widowControl/>
              <w:spacing w:line="280" w:lineRule="exact"/>
              <w:jc w:val="center"/>
              <w:rPr>
                <w:bCs/>
                <w:kern w:val="0"/>
                <w:szCs w:val="21"/>
              </w:rPr>
            </w:pPr>
            <w:r>
              <w:rPr>
                <w:bCs/>
                <w:kern w:val="0"/>
                <w:szCs w:val="21"/>
              </w:rPr>
              <w:t>控制率</w:t>
            </w:r>
          </w:p>
        </w:tc>
        <w:tc>
          <w:tcPr>
            <w:tcW w:w="11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实际</w:t>
            </w:r>
          </w:p>
          <w:p>
            <w:pPr>
              <w:widowControl/>
              <w:spacing w:line="280" w:lineRule="exact"/>
              <w:jc w:val="center"/>
              <w:rPr>
                <w:bCs/>
                <w:kern w:val="0"/>
                <w:szCs w:val="21"/>
              </w:rPr>
            </w:pPr>
            <w:r>
              <w:rPr>
                <w:bCs/>
                <w:kern w:val="0"/>
                <w:szCs w:val="21"/>
              </w:rPr>
              <w:t>投资</w:t>
            </w:r>
          </w:p>
          <w:p>
            <w:pPr>
              <w:widowControl/>
              <w:spacing w:line="280" w:lineRule="exact"/>
              <w:jc w:val="center"/>
              <w:rPr>
                <w:bCs/>
                <w:kern w:val="0"/>
                <w:szCs w:val="21"/>
              </w:rPr>
            </w:pPr>
            <w:r>
              <w:rPr>
                <w:bCs/>
                <w:kern w:val="0"/>
                <w:szCs w:val="21"/>
              </w:rPr>
              <w:t>（万元）</w:t>
            </w:r>
          </w:p>
        </w:tc>
        <w:tc>
          <w:tcPr>
            <w:tcW w:w="106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bCs/>
                <w:kern w:val="0"/>
                <w:szCs w:val="21"/>
              </w:rPr>
            </w:pPr>
            <w:r>
              <w:rPr>
                <w:bCs/>
                <w:kern w:val="0"/>
                <w:szCs w:val="21"/>
              </w:rPr>
              <w:t>投资</w:t>
            </w:r>
          </w:p>
          <w:p>
            <w:pPr>
              <w:widowControl/>
              <w:spacing w:line="280" w:lineRule="exact"/>
              <w:jc w:val="center"/>
              <w:rPr>
                <w:bCs/>
                <w:kern w:val="0"/>
                <w:szCs w:val="21"/>
              </w:rPr>
            </w:pPr>
            <w:r>
              <w:rPr>
                <w:bCs/>
                <w:kern w:val="0"/>
                <w:szCs w:val="21"/>
              </w:rPr>
              <w:t>概算</w:t>
            </w:r>
          </w:p>
          <w:p>
            <w:pPr>
              <w:widowControl/>
              <w:spacing w:line="280" w:lineRule="exact"/>
              <w:jc w:val="center"/>
              <w:rPr>
                <w:bCs/>
                <w:kern w:val="0"/>
                <w:szCs w:val="21"/>
              </w:rPr>
            </w:pPr>
            <w:r>
              <w:rPr>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c>
          <w:tcPr>
            <w:tcW w:w="99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w:t>
            </w:r>
          </w:p>
        </w:tc>
        <w:tc>
          <w:tcPr>
            <w:tcW w:w="110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w:t>
            </w:r>
          </w:p>
        </w:tc>
        <w:tc>
          <w:tcPr>
            <w:tcW w:w="11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w:t>
            </w:r>
          </w:p>
        </w:tc>
        <w:tc>
          <w:tcPr>
            <w:tcW w:w="969"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w:t>
            </w:r>
          </w:p>
        </w:tc>
        <w:tc>
          <w:tcPr>
            <w:tcW w:w="106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kern w:val="0"/>
                <w:szCs w:val="21"/>
              </w:rPr>
            </w:pPr>
            <w:r>
              <w:rPr>
                <w:kern w:val="0"/>
                <w:szCs w:val="21"/>
              </w:rPr>
              <w:t>　</w:t>
            </w:r>
          </w:p>
        </w:tc>
      </w:tr>
    </w:tbl>
    <w:p>
      <w:pPr>
        <w:spacing w:line="360" w:lineRule="exact"/>
        <w:rPr>
          <w:kern w:val="0"/>
          <w:sz w:val="22"/>
        </w:rPr>
      </w:pPr>
      <w:r>
        <w:rPr>
          <w:kern w:val="0"/>
          <w:sz w:val="22"/>
        </w:rPr>
        <w:t>说明：“项目支出”需要填报基本支出以外的所有项目支出情况，“公用经费”填报基本支出中的一般商品和服务支出。</w:t>
      </w:r>
    </w:p>
    <w:p>
      <w:pPr>
        <w:pStyle w:val="6"/>
        <w:ind w:firstLine="0" w:firstLineChars="0"/>
      </w:pPr>
    </w:p>
    <w:p>
      <w:pPr>
        <w:pStyle w:val="6"/>
        <w:ind w:firstLine="0" w:firstLineChars="0"/>
      </w:pPr>
    </w:p>
    <w:p>
      <w:pPr>
        <w:pStyle w:val="6"/>
        <w:ind w:firstLine="0" w:firstLineChars="0"/>
      </w:pPr>
    </w:p>
    <w:p>
      <w:pPr>
        <w:pStyle w:val="6"/>
        <w:ind w:firstLine="0" w:firstLineChars="0"/>
      </w:pPr>
      <w:r>
        <w:t>附件2</w:t>
      </w:r>
    </w:p>
    <w:p>
      <w:pPr>
        <w:pStyle w:val="6"/>
        <w:ind w:firstLine="0" w:firstLineChars="0"/>
        <w:jc w:val="center"/>
      </w:pPr>
      <w:r>
        <w:rPr>
          <w:sz w:val="36"/>
          <w:szCs w:val="36"/>
        </w:rPr>
        <w:t>部门整体支出绩效自评表</w:t>
      </w:r>
    </w:p>
    <w:p>
      <w:pPr>
        <w:widowControl/>
        <w:jc w:val="center"/>
        <w:rPr>
          <w:color w:val="000000"/>
          <w:kern w:val="0"/>
          <w:szCs w:val="21"/>
        </w:rPr>
      </w:pPr>
      <w:r>
        <w:rPr>
          <w:color w:val="000000"/>
          <w:kern w:val="0"/>
          <w:szCs w:val="21"/>
        </w:rPr>
        <w:t>（</w:t>
      </w:r>
      <w:r>
        <w:rPr>
          <w:rFonts w:hint="eastAsia"/>
          <w:color w:val="000000"/>
          <w:kern w:val="0"/>
          <w:szCs w:val="21"/>
        </w:rPr>
        <w:t>2024</w:t>
      </w:r>
      <w:r>
        <w:rPr>
          <w:color w:val="000000"/>
          <w:kern w:val="0"/>
          <w:szCs w:val="21"/>
        </w:rPr>
        <w:t>年度）</w:t>
      </w:r>
      <w:r>
        <w:rPr>
          <w:rFonts w:hint="eastAsia"/>
          <w:color w:val="000000"/>
          <w:kern w:val="0"/>
          <w:szCs w:val="21"/>
        </w:rPr>
        <w:t>单位：万元</w:t>
      </w:r>
    </w:p>
    <w:tbl>
      <w:tblPr>
        <w:tblStyle w:val="10"/>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370"/>
        <w:gridCol w:w="1224"/>
        <w:gridCol w:w="1109"/>
        <w:gridCol w:w="198"/>
        <w:gridCol w:w="1246"/>
        <w:gridCol w:w="1100"/>
        <w:gridCol w:w="703"/>
        <w:gridCol w:w="897"/>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省级预算部门名称</w:t>
            </w:r>
          </w:p>
        </w:tc>
        <w:tc>
          <w:tcPr>
            <w:tcW w:w="9258" w:type="dxa"/>
            <w:gridSpan w:val="9"/>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　</w:t>
            </w:r>
            <w:r>
              <w:rPr>
                <w:rFonts w:hint="eastAsia"/>
                <w:color w:val="000000"/>
                <w:kern w:val="0"/>
                <w:szCs w:val="21"/>
              </w:rPr>
              <w:t>湖南省农业机械化高科技示范园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65"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年度预</w:t>
            </w:r>
          </w:p>
          <w:p>
            <w:pPr>
              <w:widowControl/>
              <w:spacing w:line="280" w:lineRule="exact"/>
              <w:jc w:val="center"/>
              <w:rPr>
                <w:color w:val="000000"/>
                <w:kern w:val="0"/>
                <w:szCs w:val="21"/>
              </w:rPr>
            </w:pPr>
            <w:r>
              <w:rPr>
                <w:color w:val="000000"/>
                <w:kern w:val="0"/>
                <w:szCs w:val="21"/>
              </w:rPr>
              <w:t>算申请</w:t>
            </w:r>
            <w:r>
              <w:rPr>
                <w:color w:val="000000"/>
                <w:kern w:val="0"/>
                <w:szCs w:val="21"/>
              </w:rPr>
              <w:br w:type="textWrapping"/>
            </w:r>
            <w:r>
              <w:rPr>
                <w:color w:val="000000"/>
                <w:kern w:val="0"/>
                <w:szCs w:val="21"/>
              </w:rPr>
              <w:t>（万元）</w:t>
            </w:r>
          </w:p>
        </w:tc>
        <w:tc>
          <w:tcPr>
            <w:tcW w:w="2594" w:type="dxa"/>
            <w:gridSpan w:val="2"/>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p>
        </w:tc>
        <w:tc>
          <w:tcPr>
            <w:tcW w:w="1109"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年初</w:t>
            </w:r>
          </w:p>
          <w:p>
            <w:pPr>
              <w:spacing w:line="280" w:lineRule="exact"/>
              <w:jc w:val="center"/>
              <w:rPr>
                <w:szCs w:val="21"/>
              </w:rPr>
            </w:pPr>
            <w:r>
              <w:rPr>
                <w:szCs w:val="21"/>
              </w:rPr>
              <w:t>预算数</w:t>
            </w:r>
          </w:p>
        </w:tc>
        <w:tc>
          <w:tcPr>
            <w:tcW w:w="1444" w:type="dxa"/>
            <w:gridSpan w:val="2"/>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全年预算数</w:t>
            </w:r>
          </w:p>
        </w:tc>
        <w:tc>
          <w:tcPr>
            <w:tcW w:w="1100"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全年</w:t>
            </w:r>
          </w:p>
          <w:p>
            <w:pPr>
              <w:spacing w:line="280" w:lineRule="exact"/>
              <w:jc w:val="center"/>
              <w:rPr>
                <w:szCs w:val="21"/>
              </w:rPr>
            </w:pPr>
            <w:r>
              <w:rPr>
                <w:szCs w:val="21"/>
              </w:rPr>
              <w:t>执行数</w:t>
            </w:r>
          </w:p>
        </w:tc>
        <w:tc>
          <w:tcPr>
            <w:tcW w:w="703"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分值</w:t>
            </w:r>
          </w:p>
        </w:tc>
        <w:tc>
          <w:tcPr>
            <w:tcW w:w="897"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执行率</w:t>
            </w:r>
          </w:p>
        </w:tc>
        <w:tc>
          <w:tcPr>
            <w:tcW w:w="1411"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2594" w:type="dxa"/>
            <w:gridSpan w:val="2"/>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color w:val="000000"/>
                <w:kern w:val="0"/>
                <w:szCs w:val="21"/>
              </w:rPr>
              <w:t>年度资金总额</w:t>
            </w:r>
          </w:p>
        </w:tc>
        <w:tc>
          <w:tcPr>
            <w:tcW w:w="1109"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rFonts w:hint="eastAsia"/>
                <w:szCs w:val="21"/>
              </w:rPr>
              <w:t>136.90</w:t>
            </w:r>
          </w:p>
        </w:tc>
        <w:tc>
          <w:tcPr>
            <w:tcW w:w="1444" w:type="dxa"/>
            <w:gridSpan w:val="2"/>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rFonts w:hint="eastAsia"/>
                <w:szCs w:val="21"/>
              </w:rPr>
              <w:t>136.90</w:t>
            </w:r>
          </w:p>
        </w:tc>
        <w:tc>
          <w:tcPr>
            <w:tcW w:w="1100"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rFonts w:hint="eastAsia"/>
                <w:szCs w:val="21"/>
              </w:rPr>
              <w:t>127.04</w:t>
            </w:r>
          </w:p>
        </w:tc>
        <w:tc>
          <w:tcPr>
            <w:tcW w:w="703"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rFonts w:hint="eastAsia" w:eastAsiaTheme="minorEastAsia"/>
                <w:szCs w:val="21"/>
                <w:lang w:val="en-US" w:eastAsia="zh-CN"/>
              </w:rPr>
            </w:pPr>
            <w:r>
              <w:rPr>
                <w:szCs w:val="21"/>
              </w:rPr>
              <w:t>10</w:t>
            </w:r>
            <w:r>
              <w:rPr>
                <w:rFonts w:hint="eastAsia"/>
                <w:szCs w:val="21"/>
                <w:lang w:val="en-US" w:eastAsia="zh-CN"/>
              </w:rPr>
              <w:t>0</w:t>
            </w:r>
          </w:p>
        </w:tc>
        <w:tc>
          <w:tcPr>
            <w:tcW w:w="897"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szCs w:val="21"/>
              </w:rPr>
            </w:pPr>
            <w:r>
              <w:rPr>
                <w:rFonts w:hint="eastAsia"/>
                <w:szCs w:val="21"/>
              </w:rPr>
              <w:t>92.80%</w:t>
            </w:r>
          </w:p>
        </w:tc>
        <w:tc>
          <w:tcPr>
            <w:tcW w:w="1411"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rPr>
                <w:rFonts w:hint="default" w:eastAsiaTheme="minorEastAsia"/>
                <w:szCs w:val="21"/>
                <w:lang w:val="en-US" w:eastAsia="zh-CN"/>
              </w:rPr>
            </w:pPr>
            <w:r>
              <w:rPr>
                <w:rFonts w:hint="eastAsia"/>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按收入性质分：</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 xml:space="preserve">  其中：  一般公共预算：</w:t>
            </w:r>
            <w:r>
              <w:rPr>
                <w:rFonts w:hint="eastAsia"/>
                <w:color w:val="000000"/>
                <w:kern w:val="0"/>
                <w:szCs w:val="21"/>
              </w:rPr>
              <w:t>136.90</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其中：基本支出：</w:t>
            </w:r>
            <w:r>
              <w:rPr>
                <w:rFonts w:hint="eastAsia"/>
                <w:color w:val="000000"/>
                <w:kern w:val="0"/>
                <w:szCs w:val="21"/>
              </w:rPr>
              <w:t>103.94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840" w:firstLineChars="400"/>
              <w:jc w:val="left"/>
              <w:rPr>
                <w:color w:val="000000"/>
                <w:kern w:val="0"/>
                <w:szCs w:val="21"/>
              </w:rPr>
            </w:pPr>
            <w:r>
              <w:rPr>
                <w:color w:val="000000"/>
                <w:kern w:val="0"/>
                <w:szCs w:val="21"/>
              </w:rPr>
              <w:t>政府性基金拨款：</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630" w:firstLineChars="300"/>
              <w:jc w:val="left"/>
              <w:rPr>
                <w:color w:val="000000"/>
                <w:kern w:val="0"/>
                <w:szCs w:val="21"/>
              </w:rPr>
            </w:pPr>
            <w:r>
              <w:rPr>
                <w:color w:val="000000"/>
                <w:kern w:val="0"/>
                <w:szCs w:val="21"/>
              </w:rPr>
              <w:t>项目支出：</w:t>
            </w:r>
            <w:r>
              <w:rPr>
                <w:rFonts w:hint="eastAsia"/>
                <w:color w:val="000000"/>
                <w:kern w:val="0"/>
                <w:szCs w:val="21"/>
              </w:rPr>
              <w:t>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纳入专户管理的非税收入拨款：</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1470" w:firstLineChars="700"/>
              <w:jc w:val="left"/>
              <w:rPr>
                <w:color w:val="000000"/>
                <w:kern w:val="0"/>
                <w:szCs w:val="21"/>
              </w:rPr>
            </w:pPr>
            <w:r>
              <w:rPr>
                <w:color w:val="000000"/>
                <w:kern w:val="0"/>
                <w:szCs w:val="21"/>
              </w:rPr>
              <w:t>其他资金：</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65"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年度总体目标</w:t>
            </w: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预期目标</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5147"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　</w:t>
            </w:r>
            <w:r>
              <w:rPr>
                <w:rFonts w:hint="eastAsia"/>
                <w:color w:val="000000"/>
                <w:kern w:val="0"/>
                <w:szCs w:val="21"/>
              </w:rPr>
              <w:t xml:space="preserve"> 按时完成单位的各项委托业务及预算的执行，培训经作林果业机械化操作人员技术水平，培训人员满意度达到90%以上。</w:t>
            </w:r>
          </w:p>
        </w:tc>
        <w:tc>
          <w:tcPr>
            <w:tcW w:w="411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　</w:t>
            </w:r>
            <w:r>
              <w:rPr>
                <w:rFonts w:hint="eastAsia"/>
                <w:color w:val="000000"/>
                <w:kern w:val="0"/>
                <w:szCs w:val="21"/>
              </w:rPr>
              <w:t>已按要求完成预期目标。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65"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绩</w:t>
            </w:r>
          </w:p>
          <w:p>
            <w:pPr>
              <w:widowControl/>
              <w:spacing w:line="280" w:lineRule="exact"/>
              <w:jc w:val="center"/>
              <w:rPr>
                <w:color w:val="000000"/>
                <w:kern w:val="0"/>
                <w:szCs w:val="21"/>
              </w:rPr>
            </w:pPr>
            <w:r>
              <w:rPr>
                <w:color w:val="000000"/>
                <w:kern w:val="0"/>
                <w:szCs w:val="21"/>
              </w:rPr>
              <w:t>效</w:t>
            </w:r>
          </w:p>
          <w:p>
            <w:pPr>
              <w:widowControl/>
              <w:spacing w:line="280" w:lineRule="exact"/>
              <w:jc w:val="center"/>
              <w:rPr>
                <w:color w:val="000000"/>
                <w:kern w:val="0"/>
                <w:szCs w:val="21"/>
              </w:rPr>
            </w:pPr>
            <w:r>
              <w:rPr>
                <w:color w:val="000000"/>
                <w:kern w:val="0"/>
                <w:szCs w:val="21"/>
              </w:rPr>
              <w:t>指</w:t>
            </w:r>
          </w:p>
          <w:p>
            <w:pPr>
              <w:widowControl/>
              <w:spacing w:line="280" w:lineRule="exact"/>
              <w:jc w:val="center"/>
              <w:rPr>
                <w:color w:val="000000"/>
                <w:kern w:val="0"/>
                <w:szCs w:val="21"/>
              </w:rPr>
            </w:pPr>
            <w:r>
              <w:rPr>
                <w:color w:val="000000"/>
                <w:kern w:val="0"/>
                <w:szCs w:val="21"/>
              </w:rPr>
              <w:t>标</w:t>
            </w:r>
          </w:p>
        </w:tc>
        <w:tc>
          <w:tcPr>
            <w:tcW w:w="137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一级指标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三级指标</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年度</w:t>
            </w:r>
          </w:p>
          <w:p>
            <w:pPr>
              <w:widowControl/>
              <w:spacing w:line="280" w:lineRule="exact"/>
              <w:jc w:val="center"/>
              <w:rPr>
                <w:color w:val="000000"/>
                <w:kern w:val="0"/>
                <w:szCs w:val="21"/>
              </w:rPr>
            </w:pPr>
            <w:r>
              <w:rPr>
                <w:color w:val="000000"/>
                <w:kern w:val="0"/>
                <w:szCs w:val="21"/>
              </w:rPr>
              <w:t>指标值</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实际</w:t>
            </w:r>
          </w:p>
          <w:p>
            <w:pPr>
              <w:widowControl/>
              <w:spacing w:line="280" w:lineRule="exact"/>
              <w:jc w:val="center"/>
              <w:rPr>
                <w:color w:val="000000"/>
                <w:kern w:val="0"/>
                <w:szCs w:val="21"/>
              </w:rPr>
            </w:pPr>
            <w:r>
              <w:rPr>
                <w:color w:val="000000"/>
                <w:kern w:val="0"/>
                <w:szCs w:val="21"/>
              </w:rPr>
              <w:t>完成值</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分值</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得分</w:t>
            </w:r>
          </w:p>
        </w:tc>
        <w:tc>
          <w:tcPr>
            <w:tcW w:w="1411" w:type="dxa"/>
            <w:tcBorders>
              <w:top w:val="single" w:color="auto" w:sz="4" w:space="0"/>
              <w:left w:val="single" w:color="auto" w:sz="4" w:space="0"/>
              <w:bottom w:val="single" w:color="auto" w:sz="4" w:space="0"/>
              <w:right w:val="single" w:color="auto" w:sz="4" w:space="0"/>
            </w:tcBorders>
            <w:noWrap/>
          </w:tcPr>
          <w:p>
            <w:pPr>
              <w:widowControl/>
              <w:spacing w:line="280" w:lineRule="exact"/>
              <w:jc w:val="center"/>
              <w:rPr>
                <w:color w:val="000000"/>
                <w:kern w:val="0"/>
                <w:szCs w:val="21"/>
              </w:rPr>
            </w:pPr>
            <w:r>
              <w:rPr>
                <w:color w:val="000000"/>
                <w:kern w:val="0"/>
                <w:szCs w:val="21"/>
              </w:rPr>
              <w:t>偏差原因</w:t>
            </w:r>
          </w:p>
          <w:p>
            <w:pPr>
              <w:widowControl/>
              <w:spacing w:line="280" w:lineRule="exact"/>
              <w:jc w:val="center"/>
              <w:rPr>
                <w:color w:val="000000"/>
                <w:kern w:val="0"/>
                <w:szCs w:val="21"/>
              </w:rPr>
            </w:pPr>
            <w:r>
              <w:rPr>
                <w:color w:val="000000"/>
                <w:kern w:val="0"/>
                <w:szCs w:val="21"/>
              </w:rPr>
              <w:t>分析及</w:t>
            </w:r>
          </w:p>
          <w:p>
            <w:pPr>
              <w:widowControl/>
              <w:spacing w:line="280" w:lineRule="exact"/>
              <w:jc w:val="center"/>
              <w:rPr>
                <w:color w:val="000000"/>
                <w:kern w:val="0"/>
                <w:szCs w:val="21"/>
              </w:rPr>
            </w:pPr>
            <w:r>
              <w:rPr>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7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产出指标</w:t>
            </w:r>
          </w:p>
          <w:p>
            <w:pPr>
              <w:widowControl/>
              <w:spacing w:line="280" w:lineRule="exact"/>
              <w:jc w:val="center"/>
              <w:rPr>
                <w:color w:val="000000"/>
                <w:kern w:val="0"/>
                <w:szCs w:val="21"/>
              </w:rPr>
            </w:pPr>
            <w:r>
              <w:rPr>
                <w:color w:val="000000"/>
                <w:kern w:val="0"/>
                <w:szCs w:val="21"/>
              </w:rPr>
              <w:t>(50分)</w:t>
            </w: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数量</w:t>
            </w:r>
          </w:p>
          <w:p>
            <w:pPr>
              <w:widowControl/>
              <w:spacing w:line="280" w:lineRule="exact"/>
              <w:jc w:val="center"/>
              <w:rPr>
                <w:color w:val="000000"/>
                <w:kern w:val="0"/>
                <w:szCs w:val="21"/>
              </w:rPr>
            </w:pPr>
            <w:r>
              <w:rPr>
                <w:color w:val="000000"/>
                <w:kern w:val="0"/>
                <w:szCs w:val="21"/>
              </w:rPr>
              <w:t>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spacing w:line="330" w:lineRule="atLeast"/>
              <w:jc w:val="center"/>
              <w:rPr>
                <w:rFonts w:ascii="宋体" w:hAnsi="宋体" w:eastAsia="宋体" w:cs="宋体"/>
                <w:color w:val="000000"/>
                <w:szCs w:val="21"/>
              </w:rPr>
            </w:pPr>
            <w:r>
              <w:rPr>
                <w:rFonts w:hint="eastAsia"/>
                <w:color w:val="000000"/>
                <w:szCs w:val="21"/>
              </w:rPr>
              <w:t>培训机械化技术人员</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120人</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109人</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14</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14</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质量</w:t>
            </w:r>
          </w:p>
          <w:p>
            <w:pPr>
              <w:widowControl/>
              <w:spacing w:line="280" w:lineRule="exact"/>
              <w:jc w:val="center"/>
              <w:rPr>
                <w:color w:val="000000"/>
                <w:kern w:val="0"/>
                <w:szCs w:val="21"/>
              </w:rPr>
            </w:pPr>
            <w:r>
              <w:rPr>
                <w:color w:val="000000"/>
                <w:kern w:val="0"/>
                <w:szCs w:val="21"/>
              </w:rPr>
              <w:t>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培训人员达到合格标准</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90 %</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93.8%</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时效</w:t>
            </w:r>
          </w:p>
          <w:p>
            <w:pPr>
              <w:widowControl/>
              <w:spacing w:line="280" w:lineRule="exact"/>
              <w:jc w:val="center"/>
              <w:rPr>
                <w:color w:val="000000"/>
                <w:kern w:val="0"/>
                <w:szCs w:val="21"/>
              </w:rPr>
            </w:pPr>
            <w:r>
              <w:rPr>
                <w:color w:val="000000"/>
                <w:kern w:val="0"/>
                <w:szCs w:val="21"/>
              </w:rPr>
              <w:t>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按培训和业务委托要求完成</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2024年12月前完成</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2024年7月已完成</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成本</w:t>
            </w:r>
          </w:p>
          <w:p>
            <w:pPr>
              <w:widowControl/>
              <w:spacing w:line="280" w:lineRule="exact"/>
              <w:jc w:val="center"/>
              <w:rPr>
                <w:color w:val="000000"/>
                <w:kern w:val="0"/>
                <w:szCs w:val="21"/>
              </w:rPr>
            </w:pPr>
            <w:r>
              <w:rPr>
                <w:color w:val="000000"/>
                <w:kern w:val="0"/>
                <w:szCs w:val="21"/>
              </w:rPr>
              <w:t>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各项业务的支出预算</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23.103</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23.10</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7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效益指标</w:t>
            </w:r>
          </w:p>
          <w:p>
            <w:pPr>
              <w:widowControl/>
              <w:spacing w:line="280" w:lineRule="exact"/>
              <w:ind w:firstLine="210" w:firstLineChars="100"/>
              <w:jc w:val="left"/>
              <w:rPr>
                <w:color w:val="000000"/>
                <w:kern w:val="0"/>
                <w:szCs w:val="21"/>
              </w:rPr>
            </w:pPr>
            <w:r>
              <w:rPr>
                <w:color w:val="000000"/>
                <w:kern w:val="0"/>
                <w:szCs w:val="21"/>
              </w:rPr>
              <w:t>（30分）　</w:t>
            </w: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经济效</w:t>
            </w:r>
          </w:p>
          <w:p>
            <w:pPr>
              <w:widowControl/>
              <w:spacing w:line="280" w:lineRule="exact"/>
              <w:jc w:val="center"/>
              <w:rPr>
                <w:color w:val="000000"/>
                <w:kern w:val="0"/>
                <w:szCs w:val="21"/>
              </w:rPr>
            </w:pPr>
            <w:r>
              <w:rPr>
                <w:color w:val="000000"/>
                <w:kern w:val="0"/>
                <w:szCs w:val="21"/>
              </w:rPr>
              <w:t>益指标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社会效</w:t>
            </w:r>
          </w:p>
          <w:p>
            <w:pPr>
              <w:widowControl/>
              <w:spacing w:line="280" w:lineRule="exact"/>
              <w:jc w:val="center"/>
              <w:rPr>
                <w:color w:val="000000"/>
                <w:kern w:val="0"/>
                <w:szCs w:val="21"/>
              </w:rPr>
            </w:pPr>
            <w:r>
              <w:rPr>
                <w:color w:val="000000"/>
                <w:kern w:val="0"/>
                <w:szCs w:val="21"/>
              </w:rPr>
              <w:t>益指标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提高技术人员操作水平</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合格</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考试合格</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生态效</w:t>
            </w:r>
          </w:p>
          <w:p>
            <w:pPr>
              <w:widowControl/>
              <w:spacing w:line="280" w:lineRule="exact"/>
              <w:jc w:val="center"/>
              <w:rPr>
                <w:color w:val="000000"/>
                <w:kern w:val="0"/>
                <w:szCs w:val="21"/>
              </w:rPr>
            </w:pPr>
            <w:r>
              <w:rPr>
                <w:color w:val="000000"/>
                <w:kern w:val="0"/>
                <w:szCs w:val="21"/>
              </w:rPr>
              <w:t>益指标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56"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可持续影响指标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049"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p>
        </w:tc>
        <w:tc>
          <w:tcPr>
            <w:tcW w:w="137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满意度</w:t>
            </w:r>
          </w:p>
          <w:p>
            <w:pPr>
              <w:widowControl/>
              <w:spacing w:line="280" w:lineRule="exact"/>
              <w:jc w:val="center"/>
              <w:rPr>
                <w:color w:val="000000"/>
                <w:kern w:val="0"/>
                <w:szCs w:val="21"/>
              </w:rPr>
            </w:pPr>
            <w:r>
              <w:rPr>
                <w:color w:val="000000"/>
                <w:kern w:val="0"/>
                <w:szCs w:val="21"/>
              </w:rPr>
              <w:t>指标</w:t>
            </w:r>
          </w:p>
          <w:p>
            <w:pPr>
              <w:widowControl/>
              <w:spacing w:line="280" w:lineRule="exact"/>
              <w:jc w:val="center"/>
              <w:rPr>
                <w:color w:val="000000"/>
                <w:kern w:val="0"/>
                <w:szCs w:val="21"/>
              </w:rPr>
            </w:pPr>
            <w:r>
              <w:rPr>
                <w:color w:val="000000"/>
                <w:kern w:val="0"/>
                <w:szCs w:val="21"/>
              </w:rPr>
              <w:t>（10分）</w:t>
            </w:r>
          </w:p>
        </w:tc>
        <w:tc>
          <w:tcPr>
            <w:tcW w:w="1224"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服务对象满意度指标</w:t>
            </w:r>
          </w:p>
        </w:tc>
        <w:tc>
          <w:tcPr>
            <w:tcW w:w="1307"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培训对象满意度达到90%</w:t>
            </w:r>
          </w:p>
        </w:tc>
        <w:tc>
          <w:tcPr>
            <w:tcW w:w="1246"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90%</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95%</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10</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10</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312" w:type="dxa"/>
            <w:gridSpan w:val="7"/>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color w:val="000000"/>
                <w:kern w:val="0"/>
                <w:szCs w:val="21"/>
              </w:rPr>
              <w:t>总分</w:t>
            </w:r>
          </w:p>
        </w:tc>
        <w:tc>
          <w:tcPr>
            <w:tcW w:w="70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90</w:t>
            </w:r>
          </w:p>
        </w:tc>
        <w:tc>
          <w:tcPr>
            <w:tcW w:w="89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　</w:t>
            </w:r>
            <w:r>
              <w:rPr>
                <w:rFonts w:hint="eastAsia"/>
                <w:color w:val="000000"/>
                <w:kern w:val="0"/>
                <w:szCs w:val="21"/>
              </w:rPr>
              <w:t>90</w:t>
            </w:r>
          </w:p>
        </w:tc>
        <w:tc>
          <w:tcPr>
            <w:tcW w:w="141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rPr>
                <w:color w:val="000000"/>
                <w:kern w:val="0"/>
                <w:szCs w:val="21"/>
              </w:rPr>
            </w:pPr>
            <w:r>
              <w:rPr>
                <w:color w:val="000000"/>
                <w:kern w:val="0"/>
                <w:szCs w:val="21"/>
              </w:rPr>
              <w:t>　</w:t>
            </w:r>
          </w:p>
        </w:tc>
      </w:tr>
    </w:tbl>
    <w:p>
      <w:pPr>
        <w:pStyle w:val="6"/>
        <w:ind w:firstLine="0" w:firstLineChars="0"/>
      </w:pPr>
    </w:p>
    <w:p>
      <w:pPr>
        <w:pStyle w:val="6"/>
        <w:ind w:firstLine="0" w:firstLineChars="0"/>
      </w:pPr>
      <w:r>
        <w:t>附件3</w:t>
      </w:r>
    </w:p>
    <w:p>
      <w:pPr>
        <w:pStyle w:val="6"/>
        <w:ind w:firstLine="0" w:firstLineChars="0"/>
        <w:jc w:val="center"/>
      </w:pPr>
      <w:r>
        <w:rPr>
          <w:sz w:val="36"/>
          <w:szCs w:val="36"/>
        </w:rPr>
        <w:t>项目支出绩效自评表</w:t>
      </w:r>
    </w:p>
    <w:p>
      <w:pPr>
        <w:widowControl/>
        <w:jc w:val="center"/>
        <w:rPr>
          <w:color w:val="000000"/>
          <w:kern w:val="0"/>
          <w:szCs w:val="21"/>
        </w:rPr>
      </w:pPr>
      <w:r>
        <w:rPr>
          <w:color w:val="000000"/>
          <w:kern w:val="0"/>
          <w:szCs w:val="21"/>
        </w:rPr>
        <w:t>（</w:t>
      </w:r>
      <w:r>
        <w:rPr>
          <w:rFonts w:hint="eastAsia"/>
          <w:color w:val="000000"/>
          <w:kern w:val="0"/>
          <w:szCs w:val="21"/>
        </w:rPr>
        <w:t>2024</w:t>
      </w:r>
      <w:r>
        <w:rPr>
          <w:color w:val="000000"/>
          <w:kern w:val="0"/>
          <w:szCs w:val="21"/>
        </w:rPr>
        <w:t>年度）</w:t>
      </w:r>
      <w:r>
        <w:rPr>
          <w:rFonts w:hint="eastAsia"/>
          <w:color w:val="000000"/>
          <w:kern w:val="0"/>
          <w:szCs w:val="21"/>
        </w:rPr>
        <w:t>单位：万元</w:t>
      </w:r>
    </w:p>
    <w:tbl>
      <w:tblPr>
        <w:tblStyle w:val="10"/>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47"/>
        <w:gridCol w:w="1252"/>
        <w:gridCol w:w="1080"/>
        <w:gridCol w:w="641"/>
        <w:gridCol w:w="977"/>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项目支</w:t>
            </w:r>
          </w:p>
          <w:p>
            <w:pPr>
              <w:widowControl/>
              <w:spacing w:line="280" w:lineRule="exact"/>
              <w:jc w:val="center"/>
              <w:textAlignment w:val="center"/>
              <w:rPr>
                <w:color w:val="000000"/>
                <w:kern w:val="0"/>
                <w:szCs w:val="21"/>
              </w:rPr>
            </w:pPr>
            <w:r>
              <w:rPr>
                <w:color w:val="000000"/>
                <w:kern w:val="0"/>
                <w:szCs w:val="21"/>
              </w:rPr>
              <w:t>出名称</w:t>
            </w:r>
          </w:p>
        </w:tc>
        <w:tc>
          <w:tcPr>
            <w:tcW w:w="9097"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业务工作经费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主管部门</w:t>
            </w:r>
          </w:p>
        </w:tc>
        <w:tc>
          <w:tcPr>
            <w:tcW w:w="475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湖南省农业农村厅</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实施单位</w:t>
            </w:r>
          </w:p>
        </w:tc>
        <w:tc>
          <w:tcPr>
            <w:tcW w:w="325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湖南省农业机械化高科技示范园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项目资金</w:t>
            </w:r>
            <w:r>
              <w:rPr>
                <w:color w:val="000000"/>
                <w:kern w:val="0"/>
                <w:szCs w:val="21"/>
              </w:rPr>
              <w:br w:type="textWrapping"/>
            </w:r>
            <w:r>
              <w:rPr>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年初</w:t>
            </w:r>
          </w:p>
          <w:p>
            <w:pPr>
              <w:widowControl/>
              <w:spacing w:line="280" w:lineRule="exact"/>
              <w:jc w:val="center"/>
              <w:textAlignment w:val="center"/>
              <w:rPr>
                <w:color w:val="000000"/>
                <w:kern w:val="0"/>
                <w:szCs w:val="21"/>
              </w:rPr>
            </w:pPr>
            <w:r>
              <w:rPr>
                <w:color w:val="000000"/>
                <w:kern w:val="0"/>
                <w:szCs w:val="21"/>
              </w:rPr>
              <w:t>预算数</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全年</w:t>
            </w:r>
          </w:p>
          <w:p>
            <w:pPr>
              <w:widowControl/>
              <w:spacing w:line="280" w:lineRule="exact"/>
              <w:jc w:val="center"/>
              <w:textAlignment w:val="center"/>
              <w:rPr>
                <w:color w:val="000000"/>
                <w:kern w:val="0"/>
                <w:szCs w:val="21"/>
              </w:rPr>
            </w:pPr>
            <w:r>
              <w:rPr>
                <w:color w:val="000000"/>
                <w:kern w:val="0"/>
                <w:szCs w:val="21"/>
              </w:rPr>
              <w:t>预算数</w:t>
            </w:r>
          </w:p>
        </w:tc>
        <w:tc>
          <w:tcPr>
            <w:tcW w:w="1080"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全年</w:t>
            </w:r>
          </w:p>
          <w:p>
            <w:pPr>
              <w:spacing w:line="280" w:lineRule="exact"/>
              <w:jc w:val="center"/>
              <w:textAlignment w:val="center"/>
              <w:rPr>
                <w:szCs w:val="21"/>
              </w:rPr>
            </w:pPr>
            <w:r>
              <w:rPr>
                <w:szCs w:val="21"/>
              </w:rPr>
              <w:t>执行数</w:t>
            </w:r>
          </w:p>
        </w:tc>
        <w:tc>
          <w:tcPr>
            <w:tcW w:w="641"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分值</w:t>
            </w:r>
          </w:p>
        </w:tc>
        <w:tc>
          <w:tcPr>
            <w:tcW w:w="977"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执行率</w:t>
            </w:r>
          </w:p>
        </w:tc>
        <w:tc>
          <w:tcPr>
            <w:tcW w:w="1640"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年度资金总额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rFonts w:hint="eastAsia"/>
                <w:color w:val="000000"/>
                <w:kern w:val="0"/>
                <w:szCs w:val="21"/>
              </w:rPr>
              <w:t>11.50</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rFonts w:hint="eastAsia"/>
                <w:color w:val="000000"/>
                <w:kern w:val="0"/>
                <w:szCs w:val="21"/>
              </w:rPr>
              <w:t>11.50</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11.50</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rFonts w:hint="eastAsia" w:eastAsiaTheme="minorEastAsia"/>
                <w:color w:val="000000"/>
                <w:kern w:val="0"/>
                <w:szCs w:val="21"/>
                <w:lang w:val="en-US" w:eastAsia="zh-CN"/>
              </w:rPr>
            </w:pPr>
            <w:r>
              <w:rPr>
                <w:color w:val="000000"/>
                <w:kern w:val="0"/>
                <w:szCs w:val="21"/>
              </w:rPr>
              <w:t>10</w:t>
            </w:r>
            <w:r>
              <w:rPr>
                <w:rFonts w:hint="eastAsia"/>
                <w:color w:val="000000"/>
                <w:kern w:val="0"/>
                <w:szCs w:val="21"/>
                <w:lang w:val="en-US" w:eastAsia="zh-CN"/>
              </w:rPr>
              <w:t>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100%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其中：当年财政拨款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10.00</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rFonts w:hint="eastAsia"/>
                <w:color w:val="000000"/>
                <w:kern w:val="0"/>
                <w:szCs w:val="21"/>
              </w:rPr>
              <w:t>10.00</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10.00</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630" w:firstLineChars="300"/>
              <w:jc w:val="left"/>
              <w:textAlignment w:val="center"/>
              <w:rPr>
                <w:color w:val="000000"/>
                <w:kern w:val="0"/>
                <w:szCs w:val="21"/>
              </w:rPr>
            </w:pPr>
            <w:r>
              <w:rPr>
                <w:color w:val="000000"/>
                <w:kern w:val="0"/>
                <w:szCs w:val="21"/>
              </w:rPr>
              <w:t>上年结转资金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1.50</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1.50</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1.50</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630" w:firstLineChars="300"/>
              <w:jc w:val="left"/>
              <w:textAlignment w:val="center"/>
              <w:rPr>
                <w:color w:val="000000"/>
                <w:kern w:val="0"/>
                <w:szCs w:val="21"/>
              </w:rPr>
            </w:pPr>
            <w:r>
              <w:rPr>
                <w:color w:val="000000"/>
                <w:kern w:val="0"/>
                <w:szCs w:val="21"/>
              </w:rPr>
              <w:t>其他资金</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年度总体目标</w:t>
            </w:r>
          </w:p>
        </w:tc>
        <w:tc>
          <w:tcPr>
            <w:tcW w:w="475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预期目标</w:t>
            </w:r>
          </w:p>
        </w:tc>
        <w:tc>
          <w:tcPr>
            <w:tcW w:w="4338"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475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按时完成经作林果业培训及各项委托业务。</w:t>
            </w:r>
          </w:p>
        </w:tc>
        <w:tc>
          <w:tcPr>
            <w:tcW w:w="4338"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绩</w:t>
            </w:r>
          </w:p>
          <w:p>
            <w:pPr>
              <w:widowControl/>
              <w:spacing w:line="280" w:lineRule="exact"/>
              <w:jc w:val="center"/>
              <w:textAlignment w:val="center"/>
              <w:rPr>
                <w:color w:val="000000"/>
                <w:kern w:val="0"/>
                <w:szCs w:val="21"/>
              </w:rPr>
            </w:pPr>
            <w:r>
              <w:rPr>
                <w:color w:val="000000"/>
                <w:kern w:val="0"/>
                <w:szCs w:val="21"/>
              </w:rPr>
              <w:t>效</w:t>
            </w:r>
          </w:p>
          <w:p>
            <w:pPr>
              <w:widowControl/>
              <w:spacing w:line="280" w:lineRule="exact"/>
              <w:jc w:val="center"/>
              <w:textAlignment w:val="center"/>
              <w:rPr>
                <w:color w:val="000000"/>
                <w:kern w:val="0"/>
                <w:szCs w:val="21"/>
              </w:rPr>
            </w:pPr>
            <w:r>
              <w:rPr>
                <w:color w:val="000000"/>
                <w:kern w:val="0"/>
                <w:szCs w:val="21"/>
              </w:rPr>
              <w:t>指</w:t>
            </w:r>
          </w:p>
          <w:p>
            <w:pPr>
              <w:widowControl/>
              <w:spacing w:line="280" w:lineRule="exact"/>
              <w:jc w:val="center"/>
              <w:textAlignment w:val="center"/>
              <w:rPr>
                <w:color w:val="000000"/>
                <w:kern w:val="0"/>
                <w:szCs w:val="21"/>
              </w:rPr>
            </w:pPr>
            <w:r>
              <w:rPr>
                <w:color w:val="000000"/>
                <w:kern w:val="0"/>
                <w:szCs w:val="21"/>
              </w:rPr>
              <w:t>标</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二级指标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三级指标</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年度</w:t>
            </w:r>
          </w:p>
          <w:p>
            <w:pPr>
              <w:widowControl/>
              <w:spacing w:line="280" w:lineRule="exact"/>
              <w:jc w:val="center"/>
              <w:textAlignment w:val="center"/>
              <w:rPr>
                <w:color w:val="000000"/>
                <w:kern w:val="0"/>
                <w:szCs w:val="21"/>
              </w:rPr>
            </w:pPr>
            <w:r>
              <w:rPr>
                <w:color w:val="000000"/>
                <w:kern w:val="0"/>
                <w:szCs w:val="21"/>
              </w:rPr>
              <w:t>指标值</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实际</w:t>
            </w:r>
          </w:p>
          <w:p>
            <w:pPr>
              <w:widowControl/>
              <w:spacing w:line="280" w:lineRule="exact"/>
              <w:jc w:val="center"/>
              <w:textAlignment w:val="center"/>
              <w:rPr>
                <w:color w:val="000000"/>
                <w:kern w:val="0"/>
                <w:szCs w:val="21"/>
              </w:rPr>
            </w:pPr>
            <w:r>
              <w:rPr>
                <w:color w:val="000000"/>
                <w:kern w:val="0"/>
                <w:szCs w:val="21"/>
              </w:rPr>
              <w:t>完成值</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分值</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得分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偏差原因</w:t>
            </w:r>
          </w:p>
          <w:p>
            <w:pPr>
              <w:widowControl/>
              <w:spacing w:line="280" w:lineRule="exact"/>
              <w:jc w:val="center"/>
              <w:textAlignment w:val="center"/>
              <w:rPr>
                <w:color w:val="000000"/>
                <w:kern w:val="0"/>
                <w:szCs w:val="21"/>
              </w:rPr>
            </w:pPr>
            <w:r>
              <w:rPr>
                <w:color w:val="000000"/>
                <w:kern w:val="0"/>
                <w:szCs w:val="21"/>
              </w:rPr>
              <w:t>分析及</w:t>
            </w:r>
          </w:p>
          <w:p>
            <w:pPr>
              <w:widowControl/>
              <w:spacing w:line="280" w:lineRule="exact"/>
              <w:jc w:val="center"/>
              <w:textAlignment w:val="center"/>
              <w:rPr>
                <w:color w:val="000000"/>
                <w:kern w:val="0"/>
                <w:szCs w:val="21"/>
              </w:rPr>
            </w:pPr>
            <w:r>
              <w:rPr>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产出指标</w:t>
            </w:r>
          </w:p>
          <w:p>
            <w:pPr>
              <w:widowControl/>
              <w:spacing w:line="280" w:lineRule="exact"/>
              <w:jc w:val="center"/>
              <w:textAlignment w:val="center"/>
              <w:rPr>
                <w:color w:val="000000"/>
                <w:kern w:val="0"/>
                <w:szCs w:val="21"/>
              </w:rPr>
            </w:pPr>
            <w:r>
              <w:rPr>
                <w:color w:val="000000"/>
                <w:kern w:val="0"/>
                <w:szCs w:val="21"/>
              </w:rPr>
              <w:t>(50分)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数量指标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szCs w:val="21"/>
              </w:rPr>
              <w:t>培训机械化技术人员</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120人</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109人</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14</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14</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质量指标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培训人员达到合格标准</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90 %</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93.8%</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时效指标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按培训和业务委托要求完成</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2024年12月前</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已完成</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成本指标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控制经作林果业培训支出预算</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11.50</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11.50</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效益指标</w:t>
            </w:r>
          </w:p>
          <w:p>
            <w:pPr>
              <w:widowControl/>
              <w:spacing w:line="280" w:lineRule="exact"/>
              <w:jc w:val="left"/>
              <w:textAlignment w:val="center"/>
              <w:rPr>
                <w:color w:val="000000"/>
                <w:kern w:val="0"/>
                <w:szCs w:val="21"/>
              </w:rPr>
            </w:pPr>
            <w:r>
              <w:rPr>
                <w:color w:val="000000"/>
                <w:kern w:val="0"/>
                <w:szCs w:val="21"/>
              </w:rPr>
              <w:t>（30分）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经济效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社会效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提高技术人员操作水平</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合格</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考试合格</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生态效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可持续影响指标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满意度</w:t>
            </w:r>
          </w:p>
          <w:p>
            <w:pPr>
              <w:widowControl/>
              <w:spacing w:line="280" w:lineRule="exact"/>
              <w:jc w:val="center"/>
              <w:textAlignment w:val="center"/>
              <w:rPr>
                <w:color w:val="000000"/>
                <w:kern w:val="0"/>
                <w:szCs w:val="21"/>
              </w:rPr>
            </w:pPr>
            <w:r>
              <w:rPr>
                <w:color w:val="000000"/>
                <w:kern w:val="0"/>
                <w:szCs w:val="21"/>
              </w:rPr>
              <w:t>指标</w:t>
            </w:r>
          </w:p>
          <w:p>
            <w:pPr>
              <w:widowControl/>
              <w:spacing w:line="280" w:lineRule="exact"/>
              <w:jc w:val="center"/>
              <w:textAlignment w:val="center"/>
              <w:rPr>
                <w:color w:val="000000"/>
                <w:kern w:val="0"/>
                <w:szCs w:val="21"/>
              </w:rPr>
            </w:pPr>
            <w:r>
              <w:rPr>
                <w:color w:val="000000"/>
                <w:kern w:val="0"/>
                <w:szCs w:val="21"/>
              </w:rPr>
              <w:t>（</w:t>
            </w:r>
            <w:r>
              <w:rPr>
                <w:rFonts w:hint="eastAsia"/>
                <w:color w:val="000000"/>
                <w:kern w:val="0"/>
                <w:szCs w:val="21"/>
                <w:lang w:val="en-US" w:eastAsia="zh-CN"/>
              </w:rPr>
              <w:t>1</w:t>
            </w:r>
            <w:r>
              <w:rPr>
                <w:color w:val="000000"/>
                <w:kern w:val="0"/>
                <w:szCs w:val="21"/>
              </w:rPr>
              <w:t>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服务对象满意度指标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培训对象满意度达到90%</w:t>
            </w:r>
          </w:p>
        </w:tc>
        <w:tc>
          <w:tcPr>
            <w:tcW w:w="125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90%</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95%</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lang w:val="en-US" w:eastAsia="zh-CN"/>
              </w:rPr>
              <w:t>1</w:t>
            </w:r>
            <w:r>
              <w:rPr>
                <w:rFonts w:hint="eastAsia"/>
                <w:color w:val="000000"/>
                <w:kern w:val="0"/>
                <w:szCs w:val="21"/>
              </w:rPr>
              <w:t>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lang w:val="en-US" w:eastAsia="zh-CN"/>
              </w:rPr>
              <w:t>1</w:t>
            </w:r>
            <w:r>
              <w:rPr>
                <w:rFonts w:hint="eastAsia"/>
                <w:color w:val="000000"/>
                <w:kern w:val="0"/>
                <w:szCs w:val="21"/>
              </w:rPr>
              <w:t>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19"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总分</w:t>
            </w:r>
          </w:p>
        </w:tc>
        <w:tc>
          <w:tcPr>
            <w:tcW w:w="641"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90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90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bl>
    <w:p>
      <w:pPr>
        <w:pStyle w:val="6"/>
        <w:ind w:firstLine="0" w:firstLineChars="0"/>
      </w:pPr>
    </w:p>
    <w:p>
      <w:pPr>
        <w:pStyle w:val="6"/>
        <w:ind w:firstLine="0" w:firstLineChars="0"/>
      </w:pPr>
    </w:p>
    <w:p>
      <w:pPr>
        <w:pStyle w:val="6"/>
        <w:ind w:firstLine="0" w:firstLineChars="0"/>
      </w:pPr>
    </w:p>
    <w:p>
      <w:pPr>
        <w:pStyle w:val="6"/>
        <w:ind w:firstLine="0" w:firstLineChars="0"/>
      </w:pPr>
      <w:r>
        <w:t>附件</w:t>
      </w:r>
      <w:r>
        <w:rPr>
          <w:rFonts w:hint="eastAsia"/>
        </w:rPr>
        <w:t>4</w:t>
      </w:r>
    </w:p>
    <w:p>
      <w:pPr>
        <w:pStyle w:val="6"/>
        <w:ind w:firstLine="0" w:firstLineChars="0"/>
        <w:jc w:val="center"/>
      </w:pPr>
      <w:r>
        <w:rPr>
          <w:sz w:val="36"/>
          <w:szCs w:val="36"/>
        </w:rPr>
        <w:t>项目支出绩效自评表</w:t>
      </w:r>
    </w:p>
    <w:p>
      <w:pPr>
        <w:widowControl/>
        <w:jc w:val="center"/>
        <w:rPr>
          <w:color w:val="000000"/>
          <w:kern w:val="0"/>
          <w:szCs w:val="21"/>
        </w:rPr>
      </w:pPr>
      <w:r>
        <w:rPr>
          <w:color w:val="000000"/>
          <w:kern w:val="0"/>
          <w:szCs w:val="21"/>
        </w:rPr>
        <w:t>（</w:t>
      </w:r>
      <w:r>
        <w:rPr>
          <w:rFonts w:hint="eastAsia"/>
          <w:color w:val="000000"/>
          <w:kern w:val="0"/>
          <w:szCs w:val="21"/>
        </w:rPr>
        <w:t>2024</w:t>
      </w:r>
      <w:r>
        <w:rPr>
          <w:color w:val="000000"/>
          <w:kern w:val="0"/>
          <w:szCs w:val="21"/>
        </w:rPr>
        <w:t>年度）</w:t>
      </w:r>
      <w:r>
        <w:rPr>
          <w:rFonts w:hint="eastAsia"/>
          <w:color w:val="000000"/>
          <w:kern w:val="0"/>
          <w:szCs w:val="21"/>
        </w:rPr>
        <w:t>单位：万元</w:t>
      </w:r>
    </w:p>
    <w:tbl>
      <w:tblPr>
        <w:tblStyle w:val="10"/>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47"/>
        <w:gridCol w:w="1222"/>
        <w:gridCol w:w="1033"/>
        <w:gridCol w:w="718"/>
        <w:gridCol w:w="977"/>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项目支</w:t>
            </w:r>
          </w:p>
          <w:p>
            <w:pPr>
              <w:widowControl/>
              <w:spacing w:line="280" w:lineRule="exact"/>
              <w:jc w:val="center"/>
              <w:textAlignment w:val="center"/>
              <w:rPr>
                <w:color w:val="000000"/>
                <w:kern w:val="0"/>
                <w:szCs w:val="21"/>
              </w:rPr>
            </w:pPr>
            <w:r>
              <w:rPr>
                <w:color w:val="000000"/>
                <w:kern w:val="0"/>
                <w:szCs w:val="21"/>
              </w:rPr>
              <w:t>出名称</w:t>
            </w:r>
          </w:p>
        </w:tc>
        <w:tc>
          <w:tcPr>
            <w:tcW w:w="9097"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其他事业发展资金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主管部门</w:t>
            </w:r>
          </w:p>
        </w:tc>
        <w:tc>
          <w:tcPr>
            <w:tcW w:w="472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湖南省农业农村厅</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实施单位</w:t>
            </w:r>
          </w:p>
        </w:tc>
        <w:tc>
          <w:tcPr>
            <w:tcW w:w="333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湖南省农业机械化高科技示范园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项目资金</w:t>
            </w:r>
            <w:r>
              <w:rPr>
                <w:color w:val="000000"/>
                <w:kern w:val="0"/>
                <w:szCs w:val="21"/>
              </w:rPr>
              <w:br w:type="textWrapping"/>
            </w:r>
            <w:r>
              <w:rPr>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年初</w:t>
            </w:r>
          </w:p>
          <w:p>
            <w:pPr>
              <w:widowControl/>
              <w:spacing w:line="280" w:lineRule="exact"/>
              <w:jc w:val="center"/>
              <w:textAlignment w:val="center"/>
              <w:rPr>
                <w:color w:val="000000"/>
                <w:kern w:val="0"/>
                <w:szCs w:val="21"/>
              </w:rPr>
            </w:pPr>
            <w:r>
              <w:rPr>
                <w:color w:val="000000"/>
                <w:kern w:val="0"/>
                <w:szCs w:val="21"/>
              </w:rPr>
              <w:t>预算数</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全年</w:t>
            </w:r>
          </w:p>
          <w:p>
            <w:pPr>
              <w:widowControl/>
              <w:spacing w:line="280" w:lineRule="exact"/>
              <w:jc w:val="center"/>
              <w:textAlignment w:val="center"/>
              <w:rPr>
                <w:color w:val="000000"/>
                <w:kern w:val="0"/>
                <w:szCs w:val="21"/>
              </w:rPr>
            </w:pPr>
            <w:r>
              <w:rPr>
                <w:color w:val="000000"/>
                <w:kern w:val="0"/>
                <w:szCs w:val="21"/>
              </w:rPr>
              <w:t>预算数</w:t>
            </w:r>
          </w:p>
        </w:tc>
        <w:tc>
          <w:tcPr>
            <w:tcW w:w="1033"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全年</w:t>
            </w:r>
          </w:p>
          <w:p>
            <w:pPr>
              <w:spacing w:line="280" w:lineRule="exact"/>
              <w:jc w:val="center"/>
              <w:textAlignment w:val="center"/>
              <w:rPr>
                <w:szCs w:val="21"/>
              </w:rPr>
            </w:pPr>
            <w:r>
              <w:rPr>
                <w:szCs w:val="21"/>
              </w:rPr>
              <w:t>执行数</w:t>
            </w:r>
          </w:p>
        </w:tc>
        <w:tc>
          <w:tcPr>
            <w:tcW w:w="718"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分值</w:t>
            </w:r>
          </w:p>
        </w:tc>
        <w:tc>
          <w:tcPr>
            <w:tcW w:w="977"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执行率</w:t>
            </w:r>
          </w:p>
        </w:tc>
        <w:tc>
          <w:tcPr>
            <w:tcW w:w="1640" w:type="dxa"/>
            <w:tcBorders>
              <w:top w:val="single" w:color="auto" w:sz="4" w:space="0"/>
              <w:left w:val="single" w:color="auto" w:sz="4" w:space="0"/>
              <w:bottom w:val="single" w:color="auto" w:sz="4" w:space="0"/>
              <w:right w:val="single" w:color="auto" w:sz="4" w:space="0"/>
            </w:tcBorders>
            <w:noWrap/>
            <w:vAlign w:val="center"/>
          </w:tcPr>
          <w:p>
            <w:pPr>
              <w:spacing w:line="280" w:lineRule="exact"/>
              <w:jc w:val="center"/>
              <w:textAlignment w:val="center"/>
              <w:rPr>
                <w:szCs w:val="21"/>
              </w:rPr>
            </w:pPr>
            <w:r>
              <w:rPr>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年度资金总额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11.60</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11.60</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11.60</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eastAsia" w:eastAsiaTheme="minorEastAsia"/>
                <w:color w:val="000000"/>
                <w:kern w:val="0"/>
                <w:szCs w:val="21"/>
                <w:lang w:val="en-US" w:eastAsia="zh-CN"/>
              </w:rPr>
            </w:pPr>
            <w:r>
              <w:rPr>
                <w:color w:val="000000"/>
                <w:kern w:val="0"/>
                <w:szCs w:val="21"/>
              </w:rPr>
              <w:t>10</w:t>
            </w:r>
            <w:r>
              <w:rPr>
                <w:rFonts w:hint="eastAsia"/>
                <w:color w:val="000000"/>
                <w:kern w:val="0"/>
                <w:szCs w:val="21"/>
                <w:lang w:val="en-US" w:eastAsia="zh-CN"/>
              </w:rPr>
              <w:t>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100%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其中：当年财政拨款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11.60</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630" w:firstLineChars="300"/>
              <w:jc w:val="left"/>
              <w:textAlignment w:val="center"/>
              <w:rPr>
                <w:color w:val="000000"/>
                <w:kern w:val="0"/>
                <w:szCs w:val="21"/>
              </w:rPr>
            </w:pPr>
            <w:r>
              <w:rPr>
                <w:color w:val="000000"/>
                <w:kern w:val="0"/>
                <w:szCs w:val="21"/>
              </w:rPr>
              <w:t>上年结转资金　</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80" w:lineRule="exact"/>
              <w:ind w:firstLine="630" w:firstLineChars="300"/>
              <w:jc w:val="left"/>
              <w:textAlignment w:val="center"/>
              <w:rPr>
                <w:color w:val="000000"/>
                <w:kern w:val="0"/>
                <w:szCs w:val="21"/>
              </w:rPr>
            </w:pPr>
            <w:r>
              <w:rPr>
                <w:color w:val="000000"/>
                <w:kern w:val="0"/>
                <w:szCs w:val="21"/>
              </w:rPr>
              <w:t>其他资金</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年度总体目标</w:t>
            </w:r>
          </w:p>
        </w:tc>
        <w:tc>
          <w:tcPr>
            <w:tcW w:w="472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预期目标</w:t>
            </w:r>
          </w:p>
        </w:tc>
        <w:tc>
          <w:tcPr>
            <w:tcW w:w="4368"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4729"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按时完成各项委托业务。</w:t>
            </w:r>
          </w:p>
        </w:tc>
        <w:tc>
          <w:tcPr>
            <w:tcW w:w="4368"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绩</w:t>
            </w:r>
          </w:p>
          <w:p>
            <w:pPr>
              <w:widowControl/>
              <w:spacing w:line="280" w:lineRule="exact"/>
              <w:jc w:val="center"/>
              <w:textAlignment w:val="center"/>
              <w:rPr>
                <w:color w:val="000000"/>
                <w:kern w:val="0"/>
                <w:szCs w:val="21"/>
              </w:rPr>
            </w:pPr>
            <w:r>
              <w:rPr>
                <w:color w:val="000000"/>
                <w:kern w:val="0"/>
                <w:szCs w:val="21"/>
              </w:rPr>
              <w:t>效</w:t>
            </w:r>
          </w:p>
          <w:p>
            <w:pPr>
              <w:widowControl/>
              <w:spacing w:line="280" w:lineRule="exact"/>
              <w:jc w:val="center"/>
              <w:textAlignment w:val="center"/>
              <w:rPr>
                <w:color w:val="000000"/>
                <w:kern w:val="0"/>
                <w:szCs w:val="21"/>
              </w:rPr>
            </w:pPr>
            <w:r>
              <w:rPr>
                <w:color w:val="000000"/>
                <w:kern w:val="0"/>
                <w:szCs w:val="21"/>
              </w:rPr>
              <w:t>指</w:t>
            </w:r>
          </w:p>
          <w:p>
            <w:pPr>
              <w:widowControl/>
              <w:spacing w:line="280" w:lineRule="exact"/>
              <w:jc w:val="center"/>
              <w:textAlignment w:val="center"/>
              <w:rPr>
                <w:color w:val="000000"/>
                <w:kern w:val="0"/>
                <w:szCs w:val="21"/>
              </w:rPr>
            </w:pPr>
            <w:r>
              <w:rPr>
                <w:color w:val="000000"/>
                <w:kern w:val="0"/>
                <w:szCs w:val="21"/>
              </w:rPr>
              <w:t>标</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二级指标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三级指标</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年度</w:t>
            </w:r>
          </w:p>
          <w:p>
            <w:pPr>
              <w:widowControl/>
              <w:spacing w:line="280" w:lineRule="exact"/>
              <w:jc w:val="center"/>
              <w:textAlignment w:val="center"/>
              <w:rPr>
                <w:color w:val="000000"/>
                <w:kern w:val="0"/>
                <w:szCs w:val="21"/>
              </w:rPr>
            </w:pPr>
            <w:r>
              <w:rPr>
                <w:color w:val="000000"/>
                <w:kern w:val="0"/>
                <w:szCs w:val="21"/>
              </w:rPr>
              <w:t>指标值</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实际</w:t>
            </w:r>
          </w:p>
          <w:p>
            <w:pPr>
              <w:widowControl/>
              <w:spacing w:line="280" w:lineRule="exact"/>
              <w:jc w:val="center"/>
              <w:textAlignment w:val="center"/>
              <w:rPr>
                <w:color w:val="000000"/>
                <w:kern w:val="0"/>
                <w:szCs w:val="21"/>
              </w:rPr>
            </w:pPr>
            <w:r>
              <w:rPr>
                <w:color w:val="000000"/>
                <w:kern w:val="0"/>
                <w:szCs w:val="21"/>
              </w:rPr>
              <w:t>完成值</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分值</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得分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偏差原因</w:t>
            </w:r>
          </w:p>
          <w:p>
            <w:pPr>
              <w:widowControl/>
              <w:spacing w:line="280" w:lineRule="exact"/>
              <w:jc w:val="center"/>
              <w:textAlignment w:val="center"/>
              <w:rPr>
                <w:color w:val="000000"/>
                <w:kern w:val="0"/>
                <w:szCs w:val="21"/>
              </w:rPr>
            </w:pPr>
            <w:r>
              <w:rPr>
                <w:color w:val="000000"/>
                <w:kern w:val="0"/>
                <w:szCs w:val="21"/>
              </w:rPr>
              <w:t>分析及</w:t>
            </w:r>
          </w:p>
          <w:p>
            <w:pPr>
              <w:widowControl/>
              <w:spacing w:line="280" w:lineRule="exact"/>
              <w:jc w:val="center"/>
              <w:textAlignment w:val="center"/>
              <w:rPr>
                <w:color w:val="000000"/>
                <w:kern w:val="0"/>
                <w:szCs w:val="21"/>
              </w:rPr>
            </w:pPr>
            <w:r>
              <w:rPr>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产出指标</w:t>
            </w:r>
          </w:p>
          <w:p>
            <w:pPr>
              <w:widowControl/>
              <w:spacing w:line="280" w:lineRule="exact"/>
              <w:jc w:val="left"/>
              <w:textAlignment w:val="center"/>
              <w:rPr>
                <w:color w:val="000000"/>
                <w:kern w:val="0"/>
                <w:szCs w:val="21"/>
              </w:rPr>
            </w:pPr>
            <w:r>
              <w:rPr>
                <w:color w:val="000000"/>
                <w:kern w:val="0"/>
                <w:szCs w:val="21"/>
              </w:rPr>
              <w:t>(50分)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数量指标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完成委托业务</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2项</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2项</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color w:val="000000"/>
                <w:kern w:val="0"/>
                <w:szCs w:val="21"/>
              </w:rPr>
              <w:t>1</w:t>
            </w:r>
            <w:r>
              <w:rPr>
                <w:rFonts w:hint="eastAsia"/>
                <w:color w:val="000000"/>
                <w:kern w:val="0"/>
                <w:szCs w:val="21"/>
                <w:lang w:val="en-US" w:eastAsia="zh-CN"/>
              </w:rPr>
              <w:t>4</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color w:val="000000"/>
                <w:kern w:val="0"/>
                <w:szCs w:val="21"/>
              </w:rPr>
              <w:t>1</w:t>
            </w:r>
            <w:r>
              <w:rPr>
                <w:rFonts w:hint="eastAsia"/>
                <w:color w:val="000000"/>
                <w:kern w:val="0"/>
                <w:szCs w:val="21"/>
                <w:lang w:val="en-US" w:eastAsia="zh-CN"/>
              </w:rPr>
              <w:t>4</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质量指标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按业务委托要求完成</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高质量完成</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已完成</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时效指标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按业务委托要求完成</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2024年12月前</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已完成</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成本指标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控制委托业务费用预算</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textAlignment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11.60</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11.60</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rFonts w:hint="eastAsia"/>
                <w:color w:val="000000"/>
                <w:kern w:val="0"/>
                <w:szCs w:val="21"/>
              </w:rPr>
              <w:t>12</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r>
              <w:rPr>
                <w:color w:val="000000"/>
                <w:kern w:val="0"/>
                <w:szCs w:val="21"/>
              </w:rPr>
              <w:t>效益指标</w:t>
            </w:r>
          </w:p>
          <w:p>
            <w:pPr>
              <w:widowControl/>
              <w:spacing w:line="280" w:lineRule="exact"/>
              <w:jc w:val="left"/>
              <w:textAlignment w:val="center"/>
              <w:rPr>
                <w:color w:val="000000"/>
                <w:kern w:val="0"/>
                <w:szCs w:val="21"/>
              </w:rPr>
            </w:pPr>
            <w:r>
              <w:rPr>
                <w:color w:val="000000"/>
                <w:kern w:val="0"/>
                <w:szCs w:val="21"/>
              </w:rPr>
              <w:t>（30分）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经济效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社会效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按业务委托要求完成</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合格</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已完成</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30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生态效</w:t>
            </w:r>
          </w:p>
          <w:p>
            <w:pPr>
              <w:widowControl/>
              <w:spacing w:line="280" w:lineRule="exact"/>
              <w:jc w:val="center"/>
              <w:textAlignment w:val="center"/>
              <w:rPr>
                <w:color w:val="000000"/>
                <w:kern w:val="0"/>
                <w:szCs w:val="21"/>
              </w:rPr>
            </w:pPr>
            <w:r>
              <w:rPr>
                <w:color w:val="000000"/>
                <w:kern w:val="0"/>
                <w:szCs w:val="21"/>
              </w:rPr>
              <w:t>益指标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可持续影响指标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满意度</w:t>
            </w:r>
          </w:p>
          <w:p>
            <w:pPr>
              <w:widowControl/>
              <w:spacing w:line="280" w:lineRule="exact"/>
              <w:jc w:val="center"/>
              <w:textAlignment w:val="center"/>
              <w:rPr>
                <w:color w:val="000000"/>
                <w:kern w:val="0"/>
                <w:szCs w:val="21"/>
              </w:rPr>
            </w:pPr>
            <w:r>
              <w:rPr>
                <w:color w:val="000000"/>
                <w:kern w:val="0"/>
                <w:szCs w:val="21"/>
              </w:rPr>
              <w:t>指标</w:t>
            </w:r>
          </w:p>
          <w:p>
            <w:pPr>
              <w:widowControl/>
              <w:spacing w:line="280" w:lineRule="exact"/>
              <w:jc w:val="center"/>
              <w:textAlignment w:val="center"/>
              <w:rPr>
                <w:color w:val="000000"/>
                <w:kern w:val="0"/>
                <w:szCs w:val="21"/>
              </w:rPr>
            </w:pPr>
            <w:r>
              <w:rPr>
                <w:color w:val="000000"/>
                <w:kern w:val="0"/>
                <w:szCs w:val="21"/>
              </w:rPr>
              <w:t>（</w:t>
            </w:r>
            <w:r>
              <w:rPr>
                <w:rFonts w:hint="eastAsia"/>
                <w:color w:val="000000"/>
                <w:kern w:val="0"/>
                <w:szCs w:val="21"/>
                <w:lang w:val="en-US" w:eastAsia="zh-CN"/>
              </w:rPr>
              <w:t>1</w:t>
            </w:r>
            <w:r>
              <w:rPr>
                <w:color w:val="000000"/>
                <w:kern w:val="0"/>
                <w:szCs w:val="21"/>
              </w:rPr>
              <w:t>0分）</w:t>
            </w:r>
          </w:p>
        </w:tc>
        <w:tc>
          <w:tcPr>
            <w:tcW w:w="1080" w:type="dxa"/>
            <w:tcBorders>
              <w:top w:val="nil"/>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服务对象满意度指标</w:t>
            </w:r>
          </w:p>
        </w:tc>
        <w:tc>
          <w:tcPr>
            <w:tcW w:w="134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满意度达到90%</w:t>
            </w:r>
          </w:p>
        </w:tc>
        <w:tc>
          <w:tcPr>
            <w:tcW w:w="122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ascii="宋体" w:hAnsi="宋体" w:eastAsia="宋体" w:cs="宋体"/>
                <w:color w:val="000000"/>
                <w:kern w:val="0"/>
                <w:szCs w:val="21"/>
              </w:rPr>
              <w:t>≧</w:t>
            </w:r>
            <w:r>
              <w:rPr>
                <w:rFonts w:hint="eastAsia"/>
                <w:color w:val="000000"/>
                <w:kern w:val="0"/>
                <w:szCs w:val="21"/>
              </w:rPr>
              <w:t>90%</w:t>
            </w:r>
          </w:p>
        </w:tc>
        <w:tc>
          <w:tcPr>
            <w:tcW w:w="1033"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rPr>
              <w:t>95%</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lang w:val="en-US" w:eastAsia="zh-CN"/>
              </w:rPr>
              <w:t>1</w:t>
            </w:r>
            <w:r>
              <w:rPr>
                <w:rFonts w:hint="eastAsia"/>
                <w:color w:val="000000"/>
                <w:kern w:val="0"/>
                <w:szCs w:val="21"/>
              </w:rPr>
              <w:t>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color w:val="000000"/>
                <w:kern w:val="0"/>
                <w:szCs w:val="21"/>
              </w:rPr>
            </w:pPr>
            <w:r>
              <w:rPr>
                <w:rFonts w:hint="eastAsia"/>
                <w:color w:val="000000"/>
                <w:kern w:val="0"/>
                <w:szCs w:val="21"/>
                <w:lang w:val="en-US" w:eastAsia="zh-CN"/>
              </w:rPr>
              <w:t>1</w:t>
            </w:r>
            <w:r>
              <w:rPr>
                <w:rFonts w:hint="eastAsia"/>
                <w:color w:val="000000"/>
                <w:kern w:val="0"/>
                <w:szCs w:val="21"/>
              </w:rPr>
              <w:t>0</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4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r>
              <w:rPr>
                <w:color w:val="000000"/>
                <w:kern w:val="0"/>
                <w:szCs w:val="21"/>
              </w:rPr>
              <w:t>总分</w:t>
            </w:r>
          </w:p>
        </w:tc>
        <w:tc>
          <w:tcPr>
            <w:tcW w:w="718"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90</w:t>
            </w:r>
          </w:p>
        </w:tc>
        <w:tc>
          <w:tcPr>
            <w:tcW w:w="977"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textAlignment w:val="center"/>
              <w:rPr>
                <w:color w:val="000000"/>
                <w:kern w:val="0"/>
                <w:szCs w:val="21"/>
              </w:rPr>
            </w:pPr>
          </w:p>
        </w:tc>
      </w:tr>
    </w:tbl>
    <w:p/>
    <w:p>
      <w:pPr>
        <w:pStyle w:val="14"/>
        <w:spacing w:line="600" w:lineRule="exact"/>
        <w:ind w:firstLine="640" w:firstLineChars="200"/>
        <w:rPr>
          <w:rFonts w:ascii="Times New Roman" w:hAnsi="Times New Roman" w:eastAsia="仿宋_GB2312" w:cs="Times New Roman"/>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4008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j/2E3xwCAAAnBAAADgAAAAAAAAABACAAAAA1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BF0A9"/>
    <w:multiLevelType w:val="singleLevel"/>
    <w:tmpl w:val="881BF0A9"/>
    <w:lvl w:ilvl="0" w:tentative="0">
      <w:start w:val="3"/>
      <w:numFmt w:val="chineseCounting"/>
      <w:suff w:val="nothing"/>
      <w:lvlText w:val="（%1）"/>
      <w:lvlJc w:val="left"/>
      <w:rPr>
        <w:rFonts w:hint="eastAsia"/>
      </w:rPr>
    </w:lvl>
  </w:abstractNum>
  <w:abstractNum w:abstractNumId="1">
    <w:nsid w:val="BB18E610"/>
    <w:multiLevelType w:val="singleLevel"/>
    <w:tmpl w:val="BB18E610"/>
    <w:lvl w:ilvl="0" w:tentative="0">
      <w:start w:val="2"/>
      <w:numFmt w:val="chineseCounting"/>
      <w:suff w:val="nothing"/>
      <w:lvlText w:val="（%1）"/>
      <w:lvlJc w:val="left"/>
      <w:rPr>
        <w:rFonts w:hint="eastAsia"/>
        <w:lang w:val="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HorizontalSpacing w:val="105"/>
  <w:drawingGridVerticalSpacing w:val="156"/>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0089"/>
    <w:rsid w:val="000A1877"/>
    <w:rsid w:val="000A3F69"/>
    <w:rsid w:val="000B20F1"/>
    <w:rsid w:val="000C5742"/>
    <w:rsid w:val="000F211F"/>
    <w:rsid w:val="00103957"/>
    <w:rsid w:val="00152C6D"/>
    <w:rsid w:val="00162D39"/>
    <w:rsid w:val="001678BD"/>
    <w:rsid w:val="00182373"/>
    <w:rsid w:val="001A67DB"/>
    <w:rsid w:val="001B1F6B"/>
    <w:rsid w:val="001B67D1"/>
    <w:rsid w:val="001C3C29"/>
    <w:rsid w:val="001D2B79"/>
    <w:rsid w:val="001D51E5"/>
    <w:rsid w:val="001E080D"/>
    <w:rsid w:val="001E53D0"/>
    <w:rsid w:val="001F0C3B"/>
    <w:rsid w:val="001F1A87"/>
    <w:rsid w:val="00202C82"/>
    <w:rsid w:val="00203CAD"/>
    <w:rsid w:val="00214427"/>
    <w:rsid w:val="00220689"/>
    <w:rsid w:val="00221AFD"/>
    <w:rsid w:val="00223CEE"/>
    <w:rsid w:val="00226CB7"/>
    <w:rsid w:val="00252450"/>
    <w:rsid w:val="00264552"/>
    <w:rsid w:val="00264EF9"/>
    <w:rsid w:val="00265724"/>
    <w:rsid w:val="0027219D"/>
    <w:rsid w:val="0027426B"/>
    <w:rsid w:val="00296D60"/>
    <w:rsid w:val="002E0A30"/>
    <w:rsid w:val="0030077D"/>
    <w:rsid w:val="003130C4"/>
    <w:rsid w:val="00316C4B"/>
    <w:rsid w:val="0032192B"/>
    <w:rsid w:val="003222EB"/>
    <w:rsid w:val="0033283E"/>
    <w:rsid w:val="003479BD"/>
    <w:rsid w:val="0037197D"/>
    <w:rsid w:val="003768D5"/>
    <w:rsid w:val="003878E2"/>
    <w:rsid w:val="003926B9"/>
    <w:rsid w:val="003C2E17"/>
    <w:rsid w:val="003C47E6"/>
    <w:rsid w:val="003C4FC2"/>
    <w:rsid w:val="003D532A"/>
    <w:rsid w:val="00401F9A"/>
    <w:rsid w:val="00416E61"/>
    <w:rsid w:val="0042790C"/>
    <w:rsid w:val="004506F9"/>
    <w:rsid w:val="00462315"/>
    <w:rsid w:val="004717A2"/>
    <w:rsid w:val="00473DF3"/>
    <w:rsid w:val="00487911"/>
    <w:rsid w:val="00490F48"/>
    <w:rsid w:val="00491741"/>
    <w:rsid w:val="004B0CEE"/>
    <w:rsid w:val="004C2A0A"/>
    <w:rsid w:val="004F5EFB"/>
    <w:rsid w:val="0050030C"/>
    <w:rsid w:val="00500E5F"/>
    <w:rsid w:val="0050742B"/>
    <w:rsid w:val="005122EF"/>
    <w:rsid w:val="0051441A"/>
    <w:rsid w:val="00517C33"/>
    <w:rsid w:val="00517D5F"/>
    <w:rsid w:val="00523644"/>
    <w:rsid w:val="0054069E"/>
    <w:rsid w:val="00544866"/>
    <w:rsid w:val="00552A3D"/>
    <w:rsid w:val="00574CC8"/>
    <w:rsid w:val="005767CC"/>
    <w:rsid w:val="00590D9F"/>
    <w:rsid w:val="00595D26"/>
    <w:rsid w:val="005A74E6"/>
    <w:rsid w:val="005B0B6C"/>
    <w:rsid w:val="005B404E"/>
    <w:rsid w:val="005C6C03"/>
    <w:rsid w:val="005D4D55"/>
    <w:rsid w:val="005E0E6C"/>
    <w:rsid w:val="005E2CFB"/>
    <w:rsid w:val="005F2103"/>
    <w:rsid w:val="005F3D1C"/>
    <w:rsid w:val="005F4189"/>
    <w:rsid w:val="00603B32"/>
    <w:rsid w:val="00603CEB"/>
    <w:rsid w:val="006112FD"/>
    <w:rsid w:val="006171EE"/>
    <w:rsid w:val="0062378F"/>
    <w:rsid w:val="00641842"/>
    <w:rsid w:val="00651EEC"/>
    <w:rsid w:val="00686673"/>
    <w:rsid w:val="00691E8C"/>
    <w:rsid w:val="006A22C4"/>
    <w:rsid w:val="006A351B"/>
    <w:rsid w:val="006B0422"/>
    <w:rsid w:val="006C1B53"/>
    <w:rsid w:val="006D7730"/>
    <w:rsid w:val="006E5284"/>
    <w:rsid w:val="006F3EB5"/>
    <w:rsid w:val="006F56C8"/>
    <w:rsid w:val="006F6D2C"/>
    <w:rsid w:val="00702E34"/>
    <w:rsid w:val="00704395"/>
    <w:rsid w:val="00710FE7"/>
    <w:rsid w:val="00717621"/>
    <w:rsid w:val="00720FF1"/>
    <w:rsid w:val="00727A53"/>
    <w:rsid w:val="00731B30"/>
    <w:rsid w:val="007502DE"/>
    <w:rsid w:val="00781E6C"/>
    <w:rsid w:val="00787B42"/>
    <w:rsid w:val="0079639A"/>
    <w:rsid w:val="007A5846"/>
    <w:rsid w:val="007C4539"/>
    <w:rsid w:val="007F3657"/>
    <w:rsid w:val="00810F0C"/>
    <w:rsid w:val="00811AA2"/>
    <w:rsid w:val="00812ED5"/>
    <w:rsid w:val="008277D9"/>
    <w:rsid w:val="0084478C"/>
    <w:rsid w:val="00851A67"/>
    <w:rsid w:val="008638E8"/>
    <w:rsid w:val="0086638C"/>
    <w:rsid w:val="008678E2"/>
    <w:rsid w:val="008764FA"/>
    <w:rsid w:val="00887418"/>
    <w:rsid w:val="008A1079"/>
    <w:rsid w:val="008A3E8D"/>
    <w:rsid w:val="008A5055"/>
    <w:rsid w:val="008D17F4"/>
    <w:rsid w:val="009237C4"/>
    <w:rsid w:val="00944C48"/>
    <w:rsid w:val="00950252"/>
    <w:rsid w:val="00967F5D"/>
    <w:rsid w:val="009A0F95"/>
    <w:rsid w:val="009B3ADF"/>
    <w:rsid w:val="009C31C5"/>
    <w:rsid w:val="009C3B52"/>
    <w:rsid w:val="009E6817"/>
    <w:rsid w:val="009E6935"/>
    <w:rsid w:val="009E6E9A"/>
    <w:rsid w:val="00A01D2B"/>
    <w:rsid w:val="00A1392A"/>
    <w:rsid w:val="00A42218"/>
    <w:rsid w:val="00A70249"/>
    <w:rsid w:val="00A70B02"/>
    <w:rsid w:val="00A71D9F"/>
    <w:rsid w:val="00A80669"/>
    <w:rsid w:val="00A92E9F"/>
    <w:rsid w:val="00AA19B7"/>
    <w:rsid w:val="00AB18FF"/>
    <w:rsid w:val="00AF08EB"/>
    <w:rsid w:val="00B26269"/>
    <w:rsid w:val="00B33BEA"/>
    <w:rsid w:val="00B57C9F"/>
    <w:rsid w:val="00B63572"/>
    <w:rsid w:val="00B70904"/>
    <w:rsid w:val="00B845B3"/>
    <w:rsid w:val="00B85D8B"/>
    <w:rsid w:val="00BB4A40"/>
    <w:rsid w:val="00BD6022"/>
    <w:rsid w:val="00BD6C3E"/>
    <w:rsid w:val="00BE3674"/>
    <w:rsid w:val="00C10681"/>
    <w:rsid w:val="00C10822"/>
    <w:rsid w:val="00C15C89"/>
    <w:rsid w:val="00C27C0D"/>
    <w:rsid w:val="00C3049A"/>
    <w:rsid w:val="00C31B1E"/>
    <w:rsid w:val="00C32F2E"/>
    <w:rsid w:val="00C54F2D"/>
    <w:rsid w:val="00C73888"/>
    <w:rsid w:val="00C77645"/>
    <w:rsid w:val="00CC257C"/>
    <w:rsid w:val="00CE04C3"/>
    <w:rsid w:val="00CE30C4"/>
    <w:rsid w:val="00CE34BE"/>
    <w:rsid w:val="00CE76A0"/>
    <w:rsid w:val="00D148C6"/>
    <w:rsid w:val="00D17A8A"/>
    <w:rsid w:val="00D415BA"/>
    <w:rsid w:val="00D574BC"/>
    <w:rsid w:val="00D63780"/>
    <w:rsid w:val="00D644EE"/>
    <w:rsid w:val="00D73C00"/>
    <w:rsid w:val="00DD06FF"/>
    <w:rsid w:val="00DD5FE9"/>
    <w:rsid w:val="00E00C7A"/>
    <w:rsid w:val="00E0564D"/>
    <w:rsid w:val="00E21EC6"/>
    <w:rsid w:val="00E37D6C"/>
    <w:rsid w:val="00E55B68"/>
    <w:rsid w:val="00E561AE"/>
    <w:rsid w:val="00E67BE6"/>
    <w:rsid w:val="00E8683C"/>
    <w:rsid w:val="00EA2B72"/>
    <w:rsid w:val="00F27419"/>
    <w:rsid w:val="00F5533D"/>
    <w:rsid w:val="00F74360"/>
    <w:rsid w:val="00FB462F"/>
    <w:rsid w:val="00FE16FA"/>
    <w:rsid w:val="00FE328A"/>
    <w:rsid w:val="00FE6269"/>
    <w:rsid w:val="00FF5CD6"/>
    <w:rsid w:val="0FB11686"/>
    <w:rsid w:val="1D97DEFF"/>
    <w:rsid w:val="1DFF72E5"/>
    <w:rsid w:val="1ED16D1D"/>
    <w:rsid w:val="1EFC6F07"/>
    <w:rsid w:val="206423B6"/>
    <w:rsid w:val="2FDF85B8"/>
    <w:rsid w:val="2FFFEE04"/>
    <w:rsid w:val="32812E6C"/>
    <w:rsid w:val="34DF85B0"/>
    <w:rsid w:val="39A62C24"/>
    <w:rsid w:val="3B8F36BC"/>
    <w:rsid w:val="3BAA5C47"/>
    <w:rsid w:val="44223781"/>
    <w:rsid w:val="47DA3F38"/>
    <w:rsid w:val="491FF225"/>
    <w:rsid w:val="4A570604"/>
    <w:rsid w:val="4DFF9515"/>
    <w:rsid w:val="4EF33B32"/>
    <w:rsid w:val="4FFD214C"/>
    <w:rsid w:val="5777D4F5"/>
    <w:rsid w:val="59DD8326"/>
    <w:rsid w:val="5A3E73C0"/>
    <w:rsid w:val="5DEF592A"/>
    <w:rsid w:val="5EAC3562"/>
    <w:rsid w:val="5EF41B8A"/>
    <w:rsid w:val="5FA47E5B"/>
    <w:rsid w:val="5FB7503A"/>
    <w:rsid w:val="5FC6BB1E"/>
    <w:rsid w:val="5FF720F1"/>
    <w:rsid w:val="63C75D56"/>
    <w:rsid w:val="66162066"/>
    <w:rsid w:val="67FF5C0B"/>
    <w:rsid w:val="6B8F00D0"/>
    <w:rsid w:val="6DC67B7D"/>
    <w:rsid w:val="6EFC0924"/>
    <w:rsid w:val="6FB74722"/>
    <w:rsid w:val="6FEF8B7E"/>
    <w:rsid w:val="71A6591B"/>
    <w:rsid w:val="737D59BA"/>
    <w:rsid w:val="73DF52BC"/>
    <w:rsid w:val="77C37683"/>
    <w:rsid w:val="77F7F3BE"/>
    <w:rsid w:val="79D19834"/>
    <w:rsid w:val="79FF515B"/>
    <w:rsid w:val="7E9E1962"/>
    <w:rsid w:val="7E9F11B4"/>
    <w:rsid w:val="7F37EC1E"/>
    <w:rsid w:val="7F7DCD9D"/>
    <w:rsid w:val="7F970A6F"/>
    <w:rsid w:val="7FC1FFF3"/>
    <w:rsid w:val="7FC69637"/>
    <w:rsid w:val="7FDF8620"/>
    <w:rsid w:val="7FE8C8F7"/>
    <w:rsid w:val="7FF1BF96"/>
    <w:rsid w:val="7FFB242F"/>
    <w:rsid w:val="7FFDB408"/>
    <w:rsid w:val="7FFE4EEB"/>
    <w:rsid w:val="95FB2B98"/>
    <w:rsid w:val="9A639BC2"/>
    <w:rsid w:val="9FF7D786"/>
    <w:rsid w:val="ABBFB23D"/>
    <w:rsid w:val="BFBE2B31"/>
    <w:rsid w:val="C3B4DA5A"/>
    <w:rsid w:val="CBFF70E0"/>
    <w:rsid w:val="CFF50B82"/>
    <w:rsid w:val="CFFFAD89"/>
    <w:rsid w:val="DFFE359E"/>
    <w:rsid w:val="DFFE4FFD"/>
    <w:rsid w:val="E54FAEF1"/>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BF2CE4"/>
    <w:rsid w:val="FFCF21CB"/>
    <w:rsid w:val="FFFF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0"/>
    <w:qFormat/>
    <w:uiPriority w:val="0"/>
    <w:pPr>
      <w:adjustRightInd w:val="0"/>
      <w:snapToGrid w:val="0"/>
      <w:spacing w:line="579" w:lineRule="atLeast"/>
      <w:ind w:firstLine="200" w:firstLineChars="200"/>
      <w:outlineLvl w:val="1"/>
    </w:pPr>
    <w:rPr>
      <w:rFonts w:ascii="Times New Roman" w:hAnsi="Times New Roman" w:eastAsia="黑体" w:cs="Times New Roman"/>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6"/>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7"/>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character" w:customStyle="1" w:styleId="20">
    <w:name w:val="标题 2 Char"/>
    <w:basedOn w:val="11"/>
    <w:link w:val="6"/>
    <w:qFormat/>
    <w:uiPriority w:val="0"/>
    <w:rPr>
      <w:rFonts w:eastAsia="黑体"/>
      <w:bCs/>
      <w:kern w:val="2"/>
      <w:sz w:val="32"/>
      <w:szCs w:val="32"/>
    </w:rPr>
  </w:style>
  <w:style w:type="paragraph" w:customStyle="1" w:styleId="21">
    <w:name w:val="列出段落1"/>
    <w:basedOn w:val="1"/>
    <w:qFormat/>
    <w:uiPriority w:val="0"/>
    <w:pPr>
      <w:spacing w:line="360" w:lineRule="auto"/>
      <w:ind w:firstLine="420" w:firstLineChars="200"/>
    </w:pPr>
    <w:rPr>
      <w:rFonts w:ascii="Calibri" w:hAnsi="Calibri" w:eastAsia="宋体" w:cs="Times New Roman"/>
      <w:sz w:val="24"/>
      <w:szCs w:val="24"/>
    </w:rPr>
  </w:style>
  <w:style w:type="paragraph" w:customStyle="1" w:styleId="22">
    <w:name w:val="无间隔1"/>
    <w:qFormat/>
    <w:uiPriority w:val="0"/>
    <w:pPr>
      <w:widowControl w:val="0"/>
      <w:spacing w:line="80" w:lineRule="atLeast"/>
      <w:ind w:firstLine="403"/>
      <w:jc w:val="center"/>
    </w:pPr>
    <w:rPr>
      <w:rFonts w:ascii="Times New Roman" w:hAnsi="Times New Roman" w:eastAsia="宋体" w:cs="Times New Roman"/>
      <w:kern w:val="2"/>
      <w:sz w:val="21"/>
      <w:szCs w:val="22"/>
      <w:lang w:val="en-US" w:eastAsia="zh-CN" w:bidi="ar-SA"/>
    </w:rPr>
  </w:style>
  <w:style w:type="character" w:customStyle="1" w:styleId="23">
    <w:name w:val="标题 1 Char"/>
    <w:basedOn w:val="11"/>
    <w:link w:val="5"/>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725</Words>
  <Characters>735</Characters>
  <Lines>108</Lines>
  <Paragraphs>30</Paragraphs>
  <TotalTime>2</TotalTime>
  <ScaleCrop>false</ScaleCrop>
  <LinksUpToDate>false</LinksUpToDate>
  <CharactersWithSpaces>765</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2025-08-20T02:17:00Z</dcterms:created>
  <dc:creator>李航 null</dc:creator>
  <cp:lastModifiedBy>greatwall</cp:lastModifiedBy>
  <cp:lastPrinted>2024-08-10T10:20:00Z</cp:lastPrinted>
  <dcterms:modified xsi:type="dcterms:W3CDTF">2025-09-16T12:37:32Z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FB5D96C5F32146ECB285904664651BAA_13</vt:lpwstr>
  </property>
  <property fmtid="{D5CDD505-2E9C-101B-9397-08002B2CF9AE}" pid="4" name="KSOTemplateDocerSaveRecord">
    <vt:lpwstr>eyJoZGlkIjoiMjEyNDdmNTE3M2M1MmUxMTVjZGE3YzE4OGFhZDkzYWIiLCJ1c2VySWQiOiI0NTkxMzg5MDQifQ==</vt:lpwstr>
  </property>
</Properties>
</file>