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both"/>
        <w:rPr>
          <w:rFonts w:ascii="Times New Roman" w:hAnsi="Times New Roman" w:cs="Times New Roman"/>
          <w:sz w:val="56"/>
          <w:szCs w:val="56"/>
        </w:rPr>
      </w:pPr>
    </w:p>
    <w:p>
      <w:pPr>
        <w:pStyle w:val="15"/>
        <w:jc w:val="center"/>
        <w:rPr>
          <w:rFonts w:ascii="Times New Roman" w:hAnsi="Times New Roman" w:cs="Times New Roman"/>
          <w:sz w:val="84"/>
          <w:szCs w:val="84"/>
        </w:rPr>
      </w:pPr>
    </w:p>
    <w:p>
      <w:pPr>
        <w:pStyle w:val="15"/>
        <w:jc w:val="center"/>
        <w:rPr>
          <w:rFonts w:ascii="Times New Roman" w:hAnsi="Times New Roman" w:cs="Times New Roman"/>
          <w:sz w:val="84"/>
          <w:szCs w:val="84"/>
        </w:rPr>
      </w:pP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5"/>
        <w:jc w:val="center"/>
        <w:rPr>
          <w:rFonts w:hint="eastAsia" w:ascii="Times New Roman" w:hAnsi="Times New Roman" w:eastAsia="方正小标宋简体" w:cs="Times New Roman"/>
          <w:sz w:val="72"/>
          <w:szCs w:val="72"/>
          <w:lang w:eastAsia="zh-CN"/>
        </w:rPr>
      </w:pPr>
      <w:r>
        <w:rPr>
          <w:rFonts w:hint="eastAsia" w:ascii="Times New Roman" w:hAnsi="Times New Roman" w:eastAsia="方正小标宋简体" w:cs="Times New Roman"/>
          <w:sz w:val="72"/>
          <w:szCs w:val="72"/>
          <w:lang w:eastAsia="zh-CN"/>
        </w:rPr>
        <w:t>湖南省农机事务中心</w:t>
      </w:r>
    </w:p>
    <w:p>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部门决算</w:t>
      </w:r>
    </w:p>
    <w:p>
      <w:pPr>
        <w:pStyle w:val="15"/>
        <w:jc w:val="center"/>
        <w:rPr>
          <w:rFonts w:ascii="Times New Roman" w:hAnsi="Times New Roman" w:eastAsia="方正小标宋_GBK" w:cs="Times New Roman"/>
          <w:sz w:val="56"/>
          <w:szCs w:val="56"/>
        </w:rPr>
      </w:pPr>
    </w:p>
    <w:p>
      <w:pPr>
        <w:pStyle w:val="15"/>
        <w:jc w:val="center"/>
        <w:rPr>
          <w:rFonts w:ascii="Times New Roman" w:hAnsi="Times New Roman" w:cs="Times New Roman"/>
          <w:sz w:val="56"/>
          <w:szCs w:val="56"/>
        </w:rPr>
      </w:pPr>
    </w:p>
    <w:p>
      <w:pPr>
        <w:pStyle w:val="15"/>
        <w:rPr>
          <w:rFonts w:ascii="Times New Roman" w:hAnsi="Times New Roman" w:cs="Times New Roman"/>
          <w:sz w:val="56"/>
          <w:szCs w:val="56"/>
        </w:rPr>
      </w:pPr>
    </w:p>
    <w:p>
      <w:pPr>
        <w:pStyle w:val="15"/>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5"/>
        <w:spacing w:line="600" w:lineRule="exact"/>
        <w:jc w:val="center"/>
        <w:rPr>
          <w:rFonts w:ascii="Times New Roman" w:hAnsi="Times New Roman" w:cs="Times New Roman"/>
          <w:b/>
          <w:sz w:val="36"/>
          <w:szCs w:val="28"/>
        </w:rPr>
      </w:pPr>
    </w:p>
    <w:p>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湖南省农机事务中心</w:t>
      </w:r>
      <w:r>
        <w:rPr>
          <w:rFonts w:ascii="Times New Roman" w:hAnsi="Times New Roman" w:cs="Times New Roman"/>
          <w:bCs/>
          <w:sz w:val="32"/>
          <w:szCs w:val="32"/>
        </w:rPr>
        <w:t>概况</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5"/>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9"/>
        <w:rPr>
          <w:rFonts w:ascii="Times New Roman" w:hAnsi="Times New Roman" w:cs="Times New Roman"/>
        </w:rPr>
        <w:sectPr>
          <w:footerReference r:id="rId5"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5"/>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湖南省农机事务中心</w:t>
      </w:r>
      <w:r>
        <w:rPr>
          <w:rFonts w:ascii="Times New Roman" w:hAnsi="Times New Roman" w:eastAsia="方正小标宋_GBK" w:cs="Times New Roman"/>
          <w:sz w:val="52"/>
          <w:szCs w:val="52"/>
        </w:rPr>
        <w:t>概况</w:t>
      </w:r>
    </w:p>
    <w:p>
      <w:pPr>
        <w:pStyle w:val="5"/>
        <w:ind w:left="0" w:leftChars="0" w:firstLine="0" w:firstLineChars="0"/>
        <w:rPr>
          <w:rFonts w:ascii="Times New Roman" w:hAnsi="Times New Roman" w:cs="Times New Roman"/>
        </w:rPr>
      </w:pPr>
    </w:p>
    <w:p>
      <w:pPr>
        <w:pStyle w:val="16"/>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（一）为全省农业机械化生产、农机社会化服务、农机维修、农机抗灾救灾、农机安全生产监管等相关工作提供技术支持、服务保障和相关公益服务。承担农业机械从业人员教育培训和职业技能开发工作。</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（二）承担农业机械补贴政策实施相关事务性工作。</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（三）承担农业机械化信息网络建设运行、农业机械化生产信息统计工作。</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（四）承担农业机械新机具、新技术的引进和示范推广等相关技术性、事务性工作。承担省级支持推广的农业机械产品目录制定相关技术性、事务性工作。</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（五）承担农业机械试验鉴定相关技术性工作。</w:t>
      </w:r>
    </w:p>
    <w:p>
      <w:pPr>
        <w:widowControl/>
        <w:spacing w:line="600" w:lineRule="exact"/>
        <w:ind w:firstLine="640" w:firstLineChars="200"/>
        <w:rPr>
          <w:rFonts w:ascii="Times New Roman" w:hAnsi="Times New Roman" w:eastAsia="仿宋_GB2312" w:cs="Times New Roman"/>
          <w:bCs/>
          <w:kern w:val="0"/>
          <w:sz w:val="32"/>
          <w:szCs w:val="32"/>
        </w:rPr>
      </w:pPr>
      <w:r>
        <w:rPr>
          <w:rFonts w:hint="eastAsia" w:ascii="Times New Roman" w:hAnsi="Times New Roman" w:eastAsia="仿宋_GB2312" w:cs="Times New Roman"/>
          <w:bCs/>
          <w:kern w:val="0"/>
          <w:sz w:val="32"/>
          <w:szCs w:val="32"/>
        </w:rPr>
        <w:t>（六）对市县农机事务中心进行业务和技术指导。联系农机行业相关学会、协会。</w:t>
      </w:r>
    </w:p>
    <w:p>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color w:val="auto"/>
          <w:kern w:val="0"/>
          <w:sz w:val="32"/>
          <w:szCs w:val="32"/>
          <w:lang w:eastAsia="zh-CN"/>
        </w:rPr>
        <w:t>湖南</w:t>
      </w:r>
      <w:r>
        <w:rPr>
          <w:rFonts w:hint="eastAsia" w:ascii="Times New Roman" w:hAnsi="Times New Roman" w:eastAsia="仿宋_GB2312" w:cs="Times New Roman"/>
          <w:bCs/>
          <w:kern w:val="0"/>
          <w:sz w:val="32"/>
          <w:szCs w:val="32"/>
          <w:lang w:eastAsia="zh-CN"/>
        </w:rPr>
        <w:t>省</w:t>
      </w:r>
      <w:r>
        <w:rPr>
          <w:rFonts w:hint="eastAsia" w:ascii="Times New Roman" w:hAnsi="Times New Roman" w:eastAsia="仿宋_GB2312" w:cs="Times New Roman"/>
          <w:bCs/>
          <w:kern w:val="0"/>
          <w:sz w:val="32"/>
          <w:szCs w:val="32"/>
        </w:rPr>
        <w:t>农机事务中心</w:t>
      </w:r>
      <w:r>
        <w:rPr>
          <w:rFonts w:ascii="Times New Roman" w:hAnsi="Times New Roman" w:eastAsia="仿宋_GB2312" w:cs="Times New Roman"/>
          <w:bCs/>
          <w:kern w:val="0"/>
          <w:sz w:val="32"/>
          <w:szCs w:val="32"/>
        </w:rPr>
        <w:t>内设机构包括：</w:t>
      </w:r>
      <w:r>
        <w:rPr>
          <w:rFonts w:hint="eastAsia" w:ascii="Times New Roman" w:hAnsi="Times New Roman" w:eastAsia="仿宋_GB2312" w:cs="Times New Roman"/>
          <w:bCs/>
          <w:kern w:val="0"/>
          <w:sz w:val="32"/>
          <w:szCs w:val="32"/>
        </w:rPr>
        <w:t>综合部、党群人事部、生产服务部、产业发展部、科技推广部、安全监理部、试验鉴定部。</w:t>
      </w:r>
    </w:p>
    <w:p>
      <w:pPr>
        <w:widowControl/>
        <w:spacing w:line="600" w:lineRule="exact"/>
        <w:ind w:firstLine="640" w:firstLineChars="200"/>
        <w:rPr>
          <w:rFonts w:hint="eastAsia"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Times New Roman"/>
          <w:bCs/>
          <w:color w:val="auto"/>
          <w:kern w:val="0"/>
          <w:sz w:val="32"/>
          <w:szCs w:val="32"/>
          <w:lang w:eastAsia="zh-CN"/>
        </w:rPr>
        <w:t>湖南</w:t>
      </w:r>
      <w:r>
        <w:rPr>
          <w:rFonts w:hint="eastAsia" w:ascii="Times New Roman" w:hAnsi="Times New Roman" w:eastAsia="仿宋_GB2312" w:cs="Times New Roman"/>
          <w:bCs/>
          <w:color w:val="auto"/>
          <w:kern w:val="0"/>
          <w:sz w:val="32"/>
          <w:szCs w:val="32"/>
        </w:rPr>
        <w:t>省农机事务中心202</w:t>
      </w:r>
      <w:r>
        <w:rPr>
          <w:rFonts w:hint="eastAsia" w:ascii="Times New Roman" w:hAnsi="Times New Roman" w:eastAsia="仿宋_GB2312" w:cs="Times New Roman"/>
          <w:bCs/>
          <w:color w:val="auto"/>
          <w:kern w:val="0"/>
          <w:sz w:val="32"/>
          <w:szCs w:val="32"/>
          <w:lang w:val="en-US" w:eastAsia="zh-CN"/>
        </w:rPr>
        <w:t>4</w:t>
      </w:r>
      <w:r>
        <w:rPr>
          <w:rFonts w:hint="eastAsia" w:ascii="Times New Roman" w:hAnsi="Times New Roman" w:eastAsia="仿宋_GB2312" w:cs="Times New Roman"/>
          <w:bCs/>
          <w:color w:val="auto"/>
          <w:kern w:val="0"/>
          <w:sz w:val="32"/>
          <w:szCs w:val="32"/>
        </w:rPr>
        <w:t>年部门决算汇总公开单位构成包括：</w:t>
      </w:r>
      <w:r>
        <w:rPr>
          <w:rFonts w:hint="eastAsia" w:ascii="Times New Roman" w:hAnsi="Times New Roman" w:eastAsia="仿宋_GB2312" w:cs="Times New Roman"/>
          <w:bCs/>
          <w:color w:val="auto"/>
          <w:kern w:val="0"/>
          <w:sz w:val="32"/>
          <w:szCs w:val="32"/>
          <w:lang w:eastAsia="zh-CN"/>
        </w:rPr>
        <w:t>湖南</w:t>
      </w:r>
      <w:r>
        <w:rPr>
          <w:rFonts w:hint="eastAsia" w:ascii="Times New Roman" w:hAnsi="Times New Roman" w:eastAsia="仿宋_GB2312" w:cs="Times New Roman"/>
          <w:bCs/>
          <w:color w:val="auto"/>
          <w:kern w:val="0"/>
          <w:sz w:val="32"/>
          <w:szCs w:val="32"/>
        </w:rPr>
        <w:t>省</w:t>
      </w:r>
      <w:r>
        <w:rPr>
          <w:rFonts w:hint="eastAsia" w:ascii="Times New Roman" w:hAnsi="Times New Roman" w:eastAsia="仿宋_GB2312" w:cs="Times New Roman"/>
          <w:bCs/>
          <w:kern w:val="0"/>
          <w:sz w:val="32"/>
          <w:szCs w:val="32"/>
        </w:rPr>
        <w:t>农机事务中心本级。</w:t>
      </w:r>
    </w:p>
    <w:p>
      <w:pPr>
        <w:widowControl/>
        <w:spacing w:line="600" w:lineRule="exact"/>
        <w:ind w:firstLine="640" w:firstLineChars="200"/>
        <w:rPr>
          <w:rFonts w:ascii="Times New Roman" w:hAnsi="Times New Roman" w:eastAsia="仿宋_GB2312" w:cs="Times New Roman"/>
          <w:bCs/>
          <w:kern w:val="0"/>
          <w:sz w:val="32"/>
          <w:szCs w:val="32"/>
        </w:rPr>
      </w:pP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9"/>
        <w:rPr>
          <w:rFonts w:ascii="Times New Roman" w:hAnsi="Times New Roman" w:cs="Times New Roman"/>
        </w:rPr>
        <w:sectPr>
          <w:footerReference r:id="rId6"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0"/>
        <w:tblW w:w="14896" w:type="dxa"/>
        <w:jc w:val="center"/>
        <w:tblLayout w:type="fixed"/>
        <w:tblCellMar>
          <w:top w:w="0" w:type="dxa"/>
          <w:left w:w="108" w:type="dxa"/>
          <w:bottom w:w="0" w:type="dxa"/>
          <w:right w:w="108" w:type="dxa"/>
        </w:tblCellMar>
      </w:tblPr>
      <w:tblGrid>
        <w:gridCol w:w="5343"/>
        <w:gridCol w:w="995"/>
        <w:gridCol w:w="1291"/>
        <w:gridCol w:w="4852"/>
        <w:gridCol w:w="1005"/>
        <w:gridCol w:w="1410"/>
      </w:tblGrid>
      <w:tr>
        <w:tblPrEx>
          <w:tblCellMar>
            <w:top w:w="0" w:type="dxa"/>
            <w:left w:w="108" w:type="dxa"/>
            <w:bottom w:w="0" w:type="dxa"/>
            <w:right w:w="108" w:type="dxa"/>
          </w:tblCellMar>
        </w:tblPrEx>
        <w:trPr>
          <w:trHeight w:val="340" w:hRule="exact"/>
          <w:jc w:val="center"/>
        </w:trPr>
        <w:tc>
          <w:tcPr>
            <w:tcW w:w="7629"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收入</w:t>
            </w:r>
          </w:p>
        </w:tc>
        <w:tc>
          <w:tcPr>
            <w:tcW w:w="726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支出</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项    目</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行次</w:t>
            </w: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决算数</w:t>
            </w:r>
          </w:p>
        </w:tc>
        <w:tc>
          <w:tcPr>
            <w:tcW w:w="48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项    目</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行次</w:t>
            </w:r>
          </w:p>
        </w:tc>
        <w:tc>
          <w:tcPr>
            <w:tcW w:w="1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决算数</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栏    次</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CESI仿宋-GB2312" w:hAnsi="CESI仿宋-GB2312" w:eastAsia="CESI仿宋-GB2312" w:cs="CESI仿宋-GB2312"/>
                <w:color w:val="000000"/>
                <w:sz w:val="24"/>
                <w:szCs w:val="24"/>
              </w:rPr>
            </w:pPr>
          </w:p>
        </w:tc>
        <w:tc>
          <w:tcPr>
            <w:tcW w:w="129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1</w:t>
            </w:r>
          </w:p>
        </w:tc>
        <w:tc>
          <w:tcPr>
            <w:tcW w:w="48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栏    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CESI仿宋-GB2312" w:hAnsi="CESI仿宋-GB2312" w:eastAsia="CESI仿宋-GB2312" w:cs="CESI仿宋-GB2312"/>
                <w:color w:val="000000"/>
                <w:sz w:val="24"/>
                <w:szCs w:val="24"/>
              </w:rPr>
            </w:pPr>
          </w:p>
        </w:tc>
        <w:tc>
          <w:tcPr>
            <w:tcW w:w="141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CESI仿宋-GB2312" w:hAnsi="CESI仿宋-GB2312" w:eastAsia="CESI仿宋-GB2312" w:cs="CESI仿宋-GB2312"/>
                <w:color w:val="000000"/>
                <w:sz w:val="24"/>
                <w:szCs w:val="24"/>
              </w:rPr>
            </w:pPr>
            <w:r>
              <w:rPr>
                <w:rFonts w:hint="eastAsia" w:ascii="CESI仿宋-GB2312" w:hAnsi="CESI仿宋-GB2312" w:eastAsia="CESI仿宋-GB2312" w:cs="CESI仿宋-GB2312"/>
                <w:color w:val="000000"/>
                <w:kern w:val="0"/>
                <w:sz w:val="24"/>
                <w:szCs w:val="24"/>
                <w:lang w:bidi="ar"/>
              </w:rPr>
              <w:t>2</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一、一般公共预算财政拨款收入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4,613.71</w:t>
            </w: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一、一般公共服务支出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32</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ascii="Times New Roman" w:hAnsi="Times New Roman" w:eastAsia="仿宋_GB2312" w:cs="Times New Roman"/>
                <w:color w:val="000000"/>
                <w:sz w:val="22"/>
                <w:shd w:val="clear" w:color="auto" w:fill="auto"/>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二、政府性基金预算财政拨款收入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二、外交支出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ascii="Times New Roman" w:hAnsi="Times New Roman" w:eastAsia="仿宋_GB2312" w:cs="Times New Roman"/>
                <w:color w:val="000000"/>
                <w:sz w:val="22"/>
                <w:shd w:val="clear" w:color="auto" w:fill="auto"/>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三、国有资本经营预算财政拨款收入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三、国防支出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34</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ascii="Times New Roman" w:hAnsi="Times New Roman" w:eastAsia="仿宋_GB2312" w:cs="Times New Roman"/>
                <w:color w:val="000000"/>
                <w:sz w:val="22"/>
                <w:shd w:val="clear" w:color="auto" w:fill="auto"/>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四、上级补助收入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四、公共安全支出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35</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ascii="Times New Roman" w:hAnsi="Times New Roman" w:eastAsia="仿宋_GB2312" w:cs="Times New Roman"/>
                <w:color w:val="000000"/>
                <w:sz w:val="22"/>
                <w:shd w:val="clear" w:color="auto" w:fill="auto"/>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五、事业收入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五、教育支出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36</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135.00</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六、经营收入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六、科学技术支出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37</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七、附属单位上缴收入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0.00</w:t>
            </w: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kern w:val="0"/>
                <w:sz w:val="22"/>
                <w:szCs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七、文化旅游体育与传媒支出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38</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八、其他收入</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65.76</w:t>
            </w: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kern w:val="0"/>
                <w:sz w:val="22"/>
                <w:szCs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八、社会保障和就业支出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39</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691.00</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ascii="Times New Roman" w:hAnsi="Times New Roman" w:eastAsia="仿宋_GB2312" w:cs="Times New Roman"/>
                <w:color w:val="000000"/>
                <w:kern w:val="0"/>
                <w:sz w:val="22"/>
                <w:szCs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九、卫生健康支出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shd w:val="clear" w:color="auto" w:fill="auto"/>
              </w:rPr>
            </w:pPr>
            <w:r>
              <w:rPr>
                <w:rFonts w:hint="eastAsia" w:ascii="宋体" w:hAnsi="宋体" w:eastAsia="宋体" w:cs="宋体"/>
                <w:i w:val="0"/>
                <w:iCs w:val="0"/>
                <w:color w:val="000000"/>
                <w:kern w:val="0"/>
                <w:sz w:val="22"/>
                <w:szCs w:val="22"/>
                <w:u w:val="none"/>
                <w:shd w:val="clear" w:color="auto" w:fill="auto"/>
                <w:lang w:val="en-US" w:eastAsia="zh-CN" w:bidi="ar"/>
              </w:rPr>
              <w:t>40</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223.59</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十、节能环保支出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41</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十一、城乡社区支出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42</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十二、农林水支出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4,369.89</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十三、交通运输支出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44</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十四、资源勘探工业信息等支出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45</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十五、商业服务业等支出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46</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十六、金融支出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47</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十七、援助其他地区支出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48</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十八、自然资源海洋气象等支出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49</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19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十九、住房保障支出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50</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190.00</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20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二十、粮油物资储备支出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51</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21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二十一、国有资本经营预算支出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52</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22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二十二、灾害防治及应急管理支出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53</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23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二十三、其他支出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54</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24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二十四、债务还本支出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55</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25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二十五、债务付息支出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56</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left"/>
              <w:rPr>
                <w:rFonts w:ascii="Times New Roman" w:hAnsi="Times New Roman" w:eastAsia="仿宋_GB2312" w:cs="Times New Roman"/>
                <w:color w:val="000000"/>
                <w:sz w:val="20"/>
                <w:szCs w:val="20"/>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lang w:bidi="ar"/>
              </w:rPr>
            </w:pPr>
            <w:r>
              <w:rPr>
                <w:rFonts w:hint="eastAsia" w:ascii="宋体" w:hAnsi="宋体" w:eastAsia="宋体" w:cs="宋体"/>
                <w:i w:val="0"/>
                <w:iCs w:val="0"/>
                <w:color w:val="000000"/>
                <w:kern w:val="0"/>
                <w:sz w:val="22"/>
                <w:szCs w:val="22"/>
                <w:u w:val="none"/>
                <w:lang w:val="en-US" w:eastAsia="zh-CN" w:bidi="ar"/>
              </w:rPr>
              <w:t>26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c>
          <w:tcPr>
            <w:tcW w:w="4852"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 w:val="22"/>
                <w:shd w:val="clear" w:color="auto" w:fill="auto"/>
                <w:lang w:val="en-US" w:eastAsia="zh-CN" w:bidi="ar"/>
              </w:rPr>
            </w:pPr>
            <w:r>
              <w:rPr>
                <w:rFonts w:hint="eastAsia" w:ascii="宋体" w:hAnsi="宋体" w:eastAsia="宋体" w:cs="宋体"/>
                <w:i w:val="0"/>
                <w:iCs w:val="0"/>
                <w:color w:val="000000"/>
                <w:kern w:val="0"/>
                <w:sz w:val="22"/>
                <w:szCs w:val="22"/>
                <w:u w:val="none"/>
                <w:shd w:val="clear" w:color="auto" w:fill="auto"/>
                <w:lang w:val="en-US" w:eastAsia="zh-CN" w:bidi="ar"/>
              </w:rPr>
              <w:t>二十六、抗疫特别国债安排的支出</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keepNext w:val="0"/>
              <w:keepLines w:val="0"/>
              <w:widowControl/>
              <w:suppressLineNumbers w:val="0"/>
              <w:jc w:val="center"/>
              <w:textAlignment w:val="center"/>
              <w:rPr>
                <w:rFonts w:ascii="Times New Roman" w:hAnsi="Times New Roman" w:eastAsia="仿宋_GB2312" w:cs="Times New Roman"/>
                <w:color w:val="000000"/>
                <w:kern w:val="0"/>
                <w:sz w:val="22"/>
                <w:shd w:val="clear" w:color="auto" w:fill="auto"/>
                <w:lang w:bidi="ar"/>
              </w:rPr>
            </w:pPr>
            <w:r>
              <w:rPr>
                <w:rFonts w:hint="eastAsia" w:ascii="宋体" w:hAnsi="宋体" w:eastAsia="宋体" w:cs="宋体"/>
                <w:i w:val="0"/>
                <w:iCs w:val="0"/>
                <w:color w:val="000000"/>
                <w:kern w:val="0"/>
                <w:sz w:val="22"/>
                <w:szCs w:val="22"/>
                <w:u w:val="none"/>
                <w:shd w:val="clear" w:color="auto" w:fill="auto"/>
                <w:lang w:val="en-US" w:eastAsia="zh-CN" w:bidi="ar"/>
              </w:rPr>
              <w:t>57</w:t>
            </w:r>
          </w:p>
        </w:tc>
        <w:tc>
          <w:tcPr>
            <w:tcW w:w="14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pPr>
              <w:jc w:val="right"/>
              <w:rPr>
                <w:rFonts w:hint="eastAsia" w:ascii="宋体" w:hAnsi="宋体" w:eastAsia="宋体" w:cs="宋体"/>
                <w:i w:val="0"/>
                <w:iCs w:val="0"/>
                <w:color w:val="000000"/>
                <w:kern w:val="0"/>
                <w:sz w:val="22"/>
                <w:szCs w:val="22"/>
                <w:u w:val="none"/>
                <w:shd w:val="clear" w:color="auto" w:fill="auto"/>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本年收入合计</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27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4679.47</w:t>
            </w:r>
          </w:p>
        </w:tc>
        <w:tc>
          <w:tcPr>
            <w:tcW w:w="4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本年支出合计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color w:val="000000"/>
                <w:sz w:val="22"/>
                <w:lang w:val="en-US"/>
              </w:rPr>
            </w:pPr>
            <w:r>
              <w:rPr>
                <w:rFonts w:hint="eastAsia" w:ascii="宋体" w:hAnsi="宋体" w:eastAsia="宋体" w:cs="宋体"/>
                <w:i w:val="0"/>
                <w:iCs w:val="0"/>
                <w:color w:val="000000"/>
                <w:kern w:val="0"/>
                <w:sz w:val="22"/>
                <w:szCs w:val="22"/>
                <w:u w:val="none"/>
                <w:lang w:val="en-US" w:eastAsia="zh-CN" w:bidi="ar"/>
              </w:rPr>
              <w:t>58</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4666.73</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使用非财政拨款结余（含专用结余）</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28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p>
        </w:tc>
        <w:tc>
          <w:tcPr>
            <w:tcW w:w="4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结余分配</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color w:val="000000"/>
                <w:sz w:val="22"/>
                <w:lang w:val="en-US"/>
              </w:rPr>
            </w:pPr>
            <w:r>
              <w:rPr>
                <w:rFonts w:hint="eastAsia" w:ascii="宋体" w:hAnsi="宋体" w:eastAsia="宋体" w:cs="宋体"/>
                <w:i w:val="0"/>
                <w:iCs w:val="0"/>
                <w:color w:val="000000"/>
                <w:kern w:val="0"/>
                <w:sz w:val="22"/>
                <w:szCs w:val="22"/>
                <w:u w:val="none"/>
                <w:lang w:val="en-US" w:eastAsia="zh-CN" w:bidi="ar"/>
              </w:rPr>
              <w:t>59</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right"/>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年初结转和结余</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29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1162.62</w:t>
            </w:r>
          </w:p>
        </w:tc>
        <w:tc>
          <w:tcPr>
            <w:tcW w:w="4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年末结转和结余</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color w:val="000000"/>
                <w:sz w:val="22"/>
                <w:lang w:val="en-US"/>
              </w:rPr>
            </w:pPr>
            <w:r>
              <w:rPr>
                <w:rFonts w:hint="eastAsia" w:ascii="宋体" w:hAnsi="宋体" w:eastAsia="宋体" w:cs="宋体"/>
                <w:i w:val="0"/>
                <w:iCs w:val="0"/>
                <w:color w:val="000000"/>
                <w:kern w:val="0"/>
                <w:sz w:val="22"/>
                <w:szCs w:val="22"/>
                <w:u w:val="none"/>
                <w:lang w:val="en-US" w:eastAsia="zh-CN" w:bidi="ar"/>
              </w:rPr>
              <w:t>60</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1175.36</w:t>
            </w: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color w:val="000000"/>
                <w:kern w:val="0"/>
                <w:sz w:val="22"/>
                <w:lang w:bidi="ar"/>
              </w:rPr>
            </w:pP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p>
        </w:tc>
        <w:tc>
          <w:tcPr>
            <w:tcW w:w="48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color w:val="000000"/>
                <w:kern w:val="0"/>
                <w:sz w:val="22"/>
                <w:lang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color w:val="000000"/>
                <w:kern w:val="0"/>
                <w:sz w:val="22"/>
                <w:lang w:val="en-US" w:bidi="ar"/>
              </w:rPr>
            </w:pPr>
            <w:r>
              <w:rPr>
                <w:rFonts w:hint="eastAsia" w:ascii="宋体" w:hAnsi="宋体" w:eastAsia="宋体" w:cs="宋体"/>
                <w:i w:val="0"/>
                <w:iCs w:val="0"/>
                <w:color w:val="000000"/>
                <w:kern w:val="0"/>
                <w:sz w:val="22"/>
                <w:szCs w:val="22"/>
                <w:u w:val="none"/>
                <w:lang w:val="en-US" w:eastAsia="zh-CN" w:bidi="ar"/>
              </w:rPr>
              <w:t>61</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340" w:hRule="exact"/>
          <w:jc w:val="center"/>
        </w:trPr>
        <w:tc>
          <w:tcPr>
            <w:tcW w:w="534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w:t>
            </w:r>
            <w:r>
              <w:rPr>
                <w:rFonts w:hint="eastAsia" w:ascii="Times New Roman" w:hAnsi="Times New Roman" w:eastAsia="仿宋_GB2312" w:cs="Times New Roman"/>
                <w:b/>
                <w:color w:val="000000"/>
                <w:kern w:val="0"/>
                <w:sz w:val="22"/>
                <w:lang w:val="en-US" w:eastAsia="zh-CN" w:bidi="ar"/>
              </w:rPr>
              <w:t xml:space="preserve">   </w:t>
            </w:r>
            <w:r>
              <w:rPr>
                <w:rFonts w:ascii="Times New Roman" w:hAnsi="Times New Roman" w:eastAsia="仿宋_GB2312" w:cs="Times New Roman"/>
                <w:b/>
                <w:color w:val="000000"/>
                <w:kern w:val="0"/>
                <w:sz w:val="22"/>
                <w:lang w:bidi="ar"/>
              </w:rPr>
              <w:t>计</w:t>
            </w:r>
          </w:p>
        </w:tc>
        <w:tc>
          <w:tcPr>
            <w:tcW w:w="99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Times New Roman" w:hAnsi="Times New Roman" w:eastAsia="仿宋_GB2312" w:cs="Times New Roman"/>
                <w:color w:val="000000"/>
                <w:sz w:val="22"/>
              </w:rPr>
            </w:pPr>
            <w:r>
              <w:rPr>
                <w:rFonts w:hint="eastAsia" w:ascii="宋体" w:hAnsi="宋体" w:eastAsia="宋体" w:cs="宋体"/>
                <w:i w:val="0"/>
                <w:iCs w:val="0"/>
                <w:color w:val="000000"/>
                <w:kern w:val="0"/>
                <w:sz w:val="22"/>
                <w:szCs w:val="22"/>
                <w:u w:val="none"/>
                <w:lang w:val="en-US" w:eastAsia="zh-CN" w:bidi="ar"/>
              </w:rPr>
              <w:t>31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5842.09</w:t>
            </w:r>
          </w:p>
        </w:tc>
        <w:tc>
          <w:tcPr>
            <w:tcW w:w="485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ascii="Times New Roman" w:hAnsi="Times New Roman" w:eastAsia="仿宋_GB2312" w:cs="Times New Roman"/>
                <w:b/>
                <w:color w:val="000000"/>
                <w:sz w:val="22"/>
              </w:rPr>
            </w:pPr>
            <w:r>
              <w:rPr>
                <w:rFonts w:ascii="Times New Roman" w:hAnsi="Times New Roman" w:eastAsia="仿宋_GB2312" w:cs="Times New Roman"/>
                <w:b/>
                <w:color w:val="000000"/>
                <w:kern w:val="0"/>
                <w:sz w:val="22"/>
                <w:lang w:bidi="ar"/>
              </w:rPr>
              <w:t>总</w:t>
            </w:r>
            <w:r>
              <w:rPr>
                <w:rFonts w:hint="eastAsia" w:ascii="Times New Roman" w:hAnsi="Times New Roman" w:eastAsia="仿宋_GB2312" w:cs="Times New Roman"/>
                <w:b/>
                <w:color w:val="000000"/>
                <w:kern w:val="0"/>
                <w:sz w:val="22"/>
                <w:lang w:val="en-US" w:eastAsia="zh-CN" w:bidi="ar"/>
              </w:rPr>
              <w:t xml:space="preserve">  </w:t>
            </w:r>
            <w:r>
              <w:rPr>
                <w:rFonts w:ascii="Times New Roman" w:hAnsi="Times New Roman" w:eastAsia="仿宋_GB2312" w:cs="Times New Roman"/>
                <w:b/>
                <w:color w:val="000000"/>
                <w:kern w:val="0"/>
                <w:sz w:val="22"/>
                <w:lang w:bidi="ar"/>
              </w:rPr>
              <w:t>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Times New Roman" w:hAnsi="Times New Roman" w:eastAsia="仿宋_GB2312" w:cs="Times New Roman"/>
                <w:color w:val="000000"/>
                <w:sz w:val="22"/>
                <w:lang w:val="en-US"/>
              </w:rPr>
            </w:pPr>
            <w:r>
              <w:rPr>
                <w:rFonts w:hint="eastAsia" w:ascii="宋体" w:hAnsi="宋体" w:eastAsia="宋体" w:cs="宋体"/>
                <w:i w:val="0"/>
                <w:iCs w:val="0"/>
                <w:color w:val="000000"/>
                <w:kern w:val="0"/>
                <w:sz w:val="22"/>
                <w:szCs w:val="22"/>
                <w:u w:val="none"/>
                <w:lang w:val="en-US" w:eastAsia="zh-CN" w:bidi="ar"/>
              </w:rPr>
              <w:t>62</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5842.09</w:t>
            </w:r>
          </w:p>
        </w:tc>
      </w:tr>
    </w:tbl>
    <w:p>
      <w:pPr>
        <w:keepNext w:val="0"/>
        <w:keepLines w:val="0"/>
        <w:pageBreakBefore w:val="0"/>
        <w:widowControl/>
        <w:kinsoku/>
        <w:wordWrap/>
        <w:overflowPunct/>
        <w:topLinePunct w:val="0"/>
        <w:autoSpaceDE/>
        <w:autoSpaceDN/>
        <w:bidi w:val="0"/>
        <w:adjustRightInd/>
        <w:snapToGrid/>
        <w:spacing w:line="520" w:lineRule="exact"/>
        <w:jc w:val="left"/>
        <w:textAlignment w:val="center"/>
        <w:rPr>
          <w:rFonts w:ascii="Times New Roman" w:hAnsi="Times New Roman" w:eastAsia="宋体" w:cs="Times New Roman"/>
          <w:color w:val="000000"/>
          <w:kern w:val="0"/>
          <w:sz w:val="24"/>
          <w:szCs w:val="24"/>
          <w:lang w:bidi="ar"/>
        </w:rPr>
      </w:pPr>
    </w:p>
    <w:p>
      <w:pPr>
        <w:keepNext w:val="0"/>
        <w:keepLines w:val="0"/>
        <w:pageBreakBefore w:val="0"/>
        <w:widowControl/>
        <w:kinsoku/>
        <w:wordWrap/>
        <w:overflowPunct/>
        <w:topLinePunct w:val="0"/>
        <w:autoSpaceDE/>
        <w:autoSpaceDN/>
        <w:bidi w:val="0"/>
        <w:adjustRightInd/>
        <w:snapToGrid/>
        <w:spacing w:line="520" w:lineRule="exact"/>
        <w:jc w:val="left"/>
        <w:textAlignment w:val="center"/>
        <w:rPr>
          <w:rFonts w:ascii="Times New Roman" w:hAnsi="Times New Roman" w:eastAsia="黑体" w:cs="Times New Roman"/>
          <w:color w:val="000000"/>
          <w:kern w:val="0"/>
          <w:sz w:val="32"/>
          <w:szCs w:val="32"/>
          <w:lang w:bidi="ar"/>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r>
        <w:rPr>
          <w:rFonts w:ascii="Times New Roman" w:hAnsi="Times New Roman" w:eastAsia="华文中宋" w:cs="Times New Roman"/>
          <w:color w:val="00000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0"/>
        <w:tblW w:w="14666" w:type="dxa"/>
        <w:jc w:val="center"/>
        <w:tblLayout w:type="fixed"/>
        <w:tblCellMar>
          <w:top w:w="0" w:type="dxa"/>
          <w:left w:w="0" w:type="dxa"/>
          <w:bottom w:w="0" w:type="dxa"/>
          <w:right w:w="0" w:type="dxa"/>
        </w:tblCellMar>
      </w:tblPr>
      <w:tblGrid>
        <w:gridCol w:w="1733"/>
        <w:gridCol w:w="3530"/>
        <w:gridCol w:w="1343"/>
        <w:gridCol w:w="1343"/>
        <w:gridCol w:w="1343"/>
        <w:gridCol w:w="1343"/>
        <w:gridCol w:w="1343"/>
        <w:gridCol w:w="1344"/>
        <w:gridCol w:w="1344"/>
      </w:tblGrid>
      <w:tr>
        <w:tblPrEx>
          <w:tblCellMar>
            <w:top w:w="0" w:type="dxa"/>
            <w:left w:w="0" w:type="dxa"/>
            <w:bottom w:w="0" w:type="dxa"/>
            <w:right w:w="0" w:type="dxa"/>
          </w:tblCellMar>
        </w:tblPrEx>
        <w:trPr>
          <w:trHeight w:val="397" w:hRule="exact"/>
          <w:jc w:val="center"/>
        </w:trPr>
        <w:tc>
          <w:tcPr>
            <w:tcW w:w="5263" w:type="dxa"/>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Times New Roman" w:hAnsi="Times New Roman" w:eastAsia="仿宋_GB2312" w:cs="Times New Roman"/>
                <w:b/>
                <w:bCs/>
                <w:sz w:val="24"/>
                <w:szCs w:val="24"/>
              </w:rPr>
            </w:pPr>
            <w:r>
              <w:rPr>
                <w:rFonts w:ascii="Times New Roman" w:hAnsi="Times New Roman" w:eastAsia="仿宋_GB2312" w:cs="Times New Roman"/>
                <w:b/>
                <w:bCs/>
              </w:rPr>
              <w:t>项    目</w:t>
            </w:r>
          </w:p>
        </w:tc>
        <w:tc>
          <w:tcPr>
            <w:tcW w:w="134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本年收入合计</w:t>
            </w:r>
          </w:p>
        </w:tc>
        <w:tc>
          <w:tcPr>
            <w:tcW w:w="1343"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财政拨款收入</w:t>
            </w:r>
          </w:p>
        </w:tc>
        <w:tc>
          <w:tcPr>
            <w:tcW w:w="134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上级补助收入</w:t>
            </w:r>
          </w:p>
        </w:tc>
        <w:tc>
          <w:tcPr>
            <w:tcW w:w="134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事业收入</w:t>
            </w:r>
          </w:p>
        </w:tc>
        <w:tc>
          <w:tcPr>
            <w:tcW w:w="134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经营收入</w:t>
            </w:r>
          </w:p>
        </w:tc>
        <w:tc>
          <w:tcPr>
            <w:tcW w:w="134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附属单位上缴收入</w:t>
            </w:r>
          </w:p>
        </w:tc>
        <w:tc>
          <w:tcPr>
            <w:tcW w:w="134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其他收入</w:t>
            </w:r>
          </w:p>
        </w:tc>
      </w:tr>
      <w:tr>
        <w:tblPrEx>
          <w:tblCellMar>
            <w:top w:w="0" w:type="dxa"/>
            <w:left w:w="0" w:type="dxa"/>
            <w:bottom w:w="0" w:type="dxa"/>
            <w:right w:w="0" w:type="dxa"/>
          </w:tblCellMar>
        </w:tblPrEx>
        <w:trPr>
          <w:trHeight w:val="397" w:hRule="exact"/>
          <w:jc w:val="center"/>
        </w:trPr>
        <w:tc>
          <w:tcPr>
            <w:tcW w:w="173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功能分类科目编码</w:t>
            </w:r>
          </w:p>
        </w:tc>
        <w:tc>
          <w:tcPr>
            <w:tcW w:w="3530"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b/>
                <w:bCs/>
                <w:sz w:val="24"/>
                <w:szCs w:val="24"/>
              </w:rPr>
            </w:pPr>
            <w:r>
              <w:rPr>
                <w:rFonts w:ascii="Times New Roman" w:hAnsi="Times New Roman" w:eastAsia="仿宋_GB2312" w:cs="Times New Roman"/>
                <w:b/>
                <w:bCs/>
              </w:rPr>
              <w:t>科目名称</w:t>
            </w: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97" w:hRule="exact"/>
          <w:jc w:val="center"/>
        </w:trPr>
        <w:tc>
          <w:tcPr>
            <w:tcW w:w="173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p>
        </w:tc>
        <w:tc>
          <w:tcPr>
            <w:tcW w:w="353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c>
          <w:tcPr>
            <w:tcW w:w="134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440" w:lineRule="exact"/>
              <w:jc w:val="left"/>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97" w:hRule="exact"/>
          <w:jc w:val="center"/>
        </w:trPr>
        <w:tc>
          <w:tcPr>
            <w:tcW w:w="526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栏次</w:t>
            </w:r>
          </w:p>
        </w:tc>
        <w:tc>
          <w:tcPr>
            <w:tcW w:w="134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1</w:t>
            </w:r>
          </w:p>
        </w:tc>
        <w:tc>
          <w:tcPr>
            <w:tcW w:w="134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2</w:t>
            </w:r>
          </w:p>
        </w:tc>
        <w:tc>
          <w:tcPr>
            <w:tcW w:w="134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3</w:t>
            </w:r>
          </w:p>
        </w:tc>
        <w:tc>
          <w:tcPr>
            <w:tcW w:w="134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4</w:t>
            </w:r>
          </w:p>
        </w:tc>
        <w:tc>
          <w:tcPr>
            <w:tcW w:w="134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5</w:t>
            </w:r>
          </w:p>
        </w:tc>
        <w:tc>
          <w:tcPr>
            <w:tcW w:w="134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6</w:t>
            </w:r>
          </w:p>
        </w:tc>
        <w:tc>
          <w:tcPr>
            <w:tcW w:w="134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7</w:t>
            </w:r>
          </w:p>
        </w:tc>
      </w:tr>
      <w:tr>
        <w:tblPrEx>
          <w:tblCellMar>
            <w:top w:w="0" w:type="dxa"/>
            <w:left w:w="0" w:type="dxa"/>
            <w:bottom w:w="0" w:type="dxa"/>
            <w:right w:w="0" w:type="dxa"/>
          </w:tblCellMar>
        </w:tblPrEx>
        <w:trPr>
          <w:trHeight w:val="397" w:hRule="exact"/>
          <w:jc w:val="center"/>
        </w:trPr>
        <w:tc>
          <w:tcPr>
            <w:tcW w:w="526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pageBreakBefore w:val="0"/>
              <w:kinsoku/>
              <w:wordWrap/>
              <w:overflowPunct/>
              <w:topLinePunct w:val="0"/>
              <w:autoSpaceDE/>
              <w:autoSpaceDN/>
              <w:bidi w:val="0"/>
              <w:adjustRightInd/>
              <w:snapToGrid/>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rPr>
              <w:t>合计</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4,679.47</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4,613.71</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65.76</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3530" w:type="dxa"/>
            <w:tcBorders>
              <w:top w:val="nil"/>
              <w:left w:val="nil"/>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教育支出</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135.00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135.00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20508</w:t>
            </w:r>
          </w:p>
        </w:tc>
        <w:tc>
          <w:tcPr>
            <w:tcW w:w="3530" w:type="dxa"/>
            <w:tcBorders>
              <w:top w:val="nil"/>
              <w:left w:val="nil"/>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进修及培训</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135.00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135.00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2050803</w:t>
            </w:r>
          </w:p>
        </w:tc>
        <w:tc>
          <w:tcPr>
            <w:tcW w:w="3530" w:type="dxa"/>
            <w:tcBorders>
              <w:top w:val="nil"/>
              <w:left w:val="nil"/>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培训支出</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135.00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135.00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208</w:t>
            </w:r>
          </w:p>
        </w:tc>
        <w:tc>
          <w:tcPr>
            <w:tcW w:w="3530" w:type="dxa"/>
            <w:tcBorders>
              <w:top w:val="nil"/>
              <w:left w:val="nil"/>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742.63</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742.63</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20805</w:t>
            </w:r>
          </w:p>
        </w:tc>
        <w:tc>
          <w:tcPr>
            <w:tcW w:w="3530" w:type="dxa"/>
            <w:tcBorders>
              <w:top w:val="nil"/>
              <w:left w:val="nil"/>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676.00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676.00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24"/>
                <w:szCs w:val="24"/>
              </w:rPr>
            </w:pPr>
            <w:r>
              <w:rPr>
                <w:rFonts w:hint="eastAsia" w:ascii="宋体" w:hAnsi="宋体" w:eastAsia="宋体" w:cs="宋体"/>
                <w:i w:val="0"/>
                <w:iCs w:val="0"/>
                <w:color w:val="000000"/>
                <w:kern w:val="0"/>
                <w:sz w:val="22"/>
                <w:szCs w:val="22"/>
                <w:u w:val="none"/>
                <w:lang w:val="en-US" w:eastAsia="zh-CN" w:bidi="ar"/>
              </w:rPr>
              <w:t>2080502</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事业单位离退休</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456.00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456.00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2080505</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20808</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抚恤</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51.63</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51.63</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2080801</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死亡抚恤</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51.63</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51.63</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20899</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2089999</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2"/>
                <w:szCs w:val="22"/>
                <w:u w:val="none"/>
                <w:lang w:val="en-US" w:eastAsia="zh-CN" w:bidi="ar"/>
              </w:rPr>
              <w:t>210</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ascii="Times New Roman" w:hAnsi="Times New Roman" w:eastAsia="仿宋_GB2312" w:cs="Times New Roman"/>
                <w:sz w:val="18"/>
                <w:szCs w:val="18"/>
              </w:rPr>
            </w:pPr>
            <w:r>
              <w:rPr>
                <w:rFonts w:hint="eastAsia" w:ascii="宋体" w:hAnsi="宋体" w:eastAsia="宋体" w:cs="宋体"/>
                <w:i w:val="0"/>
                <w:iCs w:val="0"/>
                <w:color w:val="000000"/>
                <w:kern w:val="0"/>
                <w:sz w:val="22"/>
                <w:szCs w:val="22"/>
                <w:u w:val="none"/>
                <w:lang w:val="en-US" w:eastAsia="zh-CN" w:bidi="ar"/>
              </w:rPr>
              <w:t>卫生健康支出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行政事业单位医疗</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2101101</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行政单位医疗</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124.48</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124.48</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2101103</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公务员医疗补助</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99.11</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99.11</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农林水支出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3,388.25</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3,322.49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65.76</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农业农村</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3,388.25</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3,322.49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65.76</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2130101</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行政运行</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2,249.69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2,249.52</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0.17</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2130106</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310.17</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310.17</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2130122</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农业生产发展</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606.59</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541.00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65.59</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2130199</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其他农业农村支出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221.80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221.80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住房保障支出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住房改革支出</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r>
        <w:tblPrEx>
          <w:tblCellMar>
            <w:top w:w="0" w:type="dxa"/>
            <w:left w:w="0" w:type="dxa"/>
            <w:bottom w:w="0" w:type="dxa"/>
            <w:right w:w="0" w:type="dxa"/>
          </w:tblCellMar>
        </w:tblPrEx>
        <w:trPr>
          <w:trHeight w:val="397" w:hRule="exact"/>
          <w:jc w:val="center"/>
        </w:trPr>
        <w:tc>
          <w:tcPr>
            <w:tcW w:w="1733"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2210201</w:t>
            </w:r>
          </w:p>
        </w:tc>
        <w:tc>
          <w:tcPr>
            <w:tcW w:w="3530" w:type="dxa"/>
            <w:tcBorders>
              <w:top w:val="single" w:color="auto" w:sz="4" w:space="0"/>
              <w:left w:val="single" w:color="auto" w:sz="4" w:space="0"/>
              <w:bottom w:val="single" w:color="auto" w:sz="4" w:space="0"/>
              <w:right w:val="single" w:color="auto" w:sz="4" w:space="0"/>
            </w:tcBorders>
            <w:shd w:val="clear" w:color="000000" w:fill="auto"/>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2"/>
                <w:szCs w:val="22"/>
                <w:u w:val="none"/>
                <w:lang w:val="en-US" w:eastAsia="zh-CN" w:bidi="ar"/>
              </w:rPr>
              <w:t>住房公积金</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3"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40" w:lineRule="exact"/>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c>
          <w:tcPr>
            <w:tcW w:w="134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0"/>
        <w:tblW w:w="14209" w:type="dxa"/>
        <w:jc w:val="center"/>
        <w:tblLayout w:type="fixed"/>
        <w:tblCellMar>
          <w:top w:w="0" w:type="dxa"/>
          <w:left w:w="108" w:type="dxa"/>
          <w:bottom w:w="0" w:type="dxa"/>
          <w:right w:w="108" w:type="dxa"/>
        </w:tblCellMar>
      </w:tblPr>
      <w:tblGrid>
        <w:gridCol w:w="1519"/>
        <w:gridCol w:w="3786"/>
        <w:gridCol w:w="1700"/>
        <w:gridCol w:w="1392"/>
        <w:gridCol w:w="1453"/>
        <w:gridCol w:w="1693"/>
        <w:gridCol w:w="1213"/>
        <w:gridCol w:w="1453"/>
      </w:tblGrid>
      <w:tr>
        <w:tblPrEx>
          <w:tblCellMar>
            <w:top w:w="0" w:type="dxa"/>
            <w:left w:w="108" w:type="dxa"/>
            <w:bottom w:w="0" w:type="dxa"/>
            <w:right w:w="108" w:type="dxa"/>
          </w:tblCellMar>
        </w:tblPrEx>
        <w:trPr>
          <w:trHeight w:val="442" w:hRule="exact"/>
          <w:jc w:val="center"/>
        </w:trPr>
        <w:tc>
          <w:tcPr>
            <w:tcW w:w="5305"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    目</w:t>
            </w:r>
          </w:p>
        </w:tc>
        <w:tc>
          <w:tcPr>
            <w:tcW w:w="170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本年支出合计</w:t>
            </w:r>
          </w:p>
        </w:tc>
        <w:tc>
          <w:tcPr>
            <w:tcW w:w="1392"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基本支出</w:t>
            </w:r>
          </w:p>
        </w:tc>
        <w:tc>
          <w:tcPr>
            <w:tcW w:w="145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项目支出</w:t>
            </w:r>
          </w:p>
        </w:tc>
        <w:tc>
          <w:tcPr>
            <w:tcW w:w="169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上缴上级支出</w:t>
            </w:r>
          </w:p>
        </w:tc>
        <w:tc>
          <w:tcPr>
            <w:tcW w:w="121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经营支出</w:t>
            </w:r>
          </w:p>
        </w:tc>
        <w:tc>
          <w:tcPr>
            <w:tcW w:w="145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对附属单位补助支出</w:t>
            </w:r>
          </w:p>
        </w:tc>
      </w:tr>
      <w:tr>
        <w:tblPrEx>
          <w:tblCellMar>
            <w:top w:w="0" w:type="dxa"/>
            <w:left w:w="108" w:type="dxa"/>
            <w:bottom w:w="0" w:type="dxa"/>
            <w:right w:w="108" w:type="dxa"/>
          </w:tblCellMar>
        </w:tblPrEx>
        <w:trPr>
          <w:trHeight w:val="442" w:hRule="exact"/>
          <w:jc w:val="center"/>
        </w:trPr>
        <w:tc>
          <w:tcPr>
            <w:tcW w:w="151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功能分类科目编码</w:t>
            </w:r>
          </w:p>
        </w:tc>
        <w:tc>
          <w:tcPr>
            <w:tcW w:w="3786"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r>
              <w:rPr>
                <w:rFonts w:ascii="Times New Roman" w:hAnsi="Times New Roman" w:eastAsia="仿宋_GB2312" w:cs="Times New Roman"/>
                <w:b/>
                <w:bCs/>
                <w:kern w:val="0"/>
                <w:sz w:val="24"/>
                <w:szCs w:val="24"/>
              </w:rPr>
              <w:t>科目名称</w:t>
            </w:r>
          </w:p>
        </w:tc>
        <w:tc>
          <w:tcPr>
            <w:tcW w:w="17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p>
        </w:tc>
        <w:tc>
          <w:tcPr>
            <w:tcW w:w="14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p>
        </w:tc>
        <w:tc>
          <w:tcPr>
            <w:tcW w:w="169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p>
        </w:tc>
        <w:tc>
          <w:tcPr>
            <w:tcW w:w="121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p>
        </w:tc>
        <w:tc>
          <w:tcPr>
            <w:tcW w:w="14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b/>
                <w:bCs/>
                <w:kern w:val="0"/>
                <w:sz w:val="24"/>
                <w:szCs w:val="24"/>
              </w:rPr>
            </w:pPr>
          </w:p>
        </w:tc>
      </w:tr>
      <w:tr>
        <w:tblPrEx>
          <w:tblCellMar>
            <w:top w:w="0" w:type="dxa"/>
            <w:left w:w="108" w:type="dxa"/>
            <w:bottom w:w="0" w:type="dxa"/>
            <w:right w:w="108" w:type="dxa"/>
          </w:tblCellMar>
        </w:tblPrEx>
        <w:trPr>
          <w:trHeight w:val="442" w:hRule="exact"/>
          <w:jc w:val="center"/>
        </w:trPr>
        <w:tc>
          <w:tcPr>
            <w:tcW w:w="151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c>
          <w:tcPr>
            <w:tcW w:w="3786"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c>
          <w:tcPr>
            <w:tcW w:w="170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c>
          <w:tcPr>
            <w:tcW w:w="139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c>
          <w:tcPr>
            <w:tcW w:w="14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c>
          <w:tcPr>
            <w:tcW w:w="169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c>
          <w:tcPr>
            <w:tcW w:w="121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c>
          <w:tcPr>
            <w:tcW w:w="1453"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5305"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栏次</w:t>
            </w:r>
          </w:p>
        </w:tc>
        <w:tc>
          <w:tcPr>
            <w:tcW w:w="1700"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1392"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1453"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1693"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1213"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1453" w:type="dxa"/>
            <w:tcBorders>
              <w:top w:val="nil"/>
              <w:left w:val="nil"/>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6</w:t>
            </w:r>
          </w:p>
        </w:tc>
      </w:tr>
      <w:tr>
        <w:tblPrEx>
          <w:tblCellMar>
            <w:top w:w="0" w:type="dxa"/>
            <w:left w:w="108" w:type="dxa"/>
            <w:bottom w:w="0" w:type="dxa"/>
            <w:right w:w="108" w:type="dxa"/>
          </w:tblCellMar>
        </w:tblPrEx>
        <w:trPr>
          <w:trHeight w:val="442" w:hRule="exact"/>
          <w:jc w:val="center"/>
        </w:trPr>
        <w:tc>
          <w:tcPr>
            <w:tcW w:w="5305"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pageBreakBefore w:val="0"/>
              <w:widowControl/>
              <w:kinsoku/>
              <w:wordWrap/>
              <w:overflowPunct/>
              <w:topLinePunct w:val="0"/>
              <w:autoSpaceDE/>
              <w:autoSpaceDN/>
              <w:bidi w:val="0"/>
              <w:adjustRightInd/>
              <w:snapToGrid/>
              <w:spacing w:line="440" w:lineRule="exac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w:t>
            </w:r>
          </w:p>
        </w:tc>
        <w:tc>
          <w:tcPr>
            <w:tcW w:w="17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4,666.73</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3,060.67</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1,606.05</w:t>
            </w:r>
          </w:p>
        </w:tc>
        <w:tc>
          <w:tcPr>
            <w:tcW w:w="169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205</w:t>
            </w:r>
          </w:p>
        </w:tc>
        <w:tc>
          <w:tcPr>
            <w:tcW w:w="3786" w:type="dxa"/>
            <w:tcBorders>
              <w:top w:val="nil"/>
              <w:left w:val="nil"/>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教育支出</w:t>
            </w:r>
          </w:p>
        </w:tc>
        <w:tc>
          <w:tcPr>
            <w:tcW w:w="17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104.97</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99.97</w:t>
            </w:r>
          </w:p>
        </w:tc>
        <w:tc>
          <w:tcPr>
            <w:tcW w:w="169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20508</w:t>
            </w:r>
          </w:p>
        </w:tc>
        <w:tc>
          <w:tcPr>
            <w:tcW w:w="3786" w:type="dxa"/>
            <w:tcBorders>
              <w:top w:val="nil"/>
              <w:left w:val="nil"/>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进修及培训</w:t>
            </w:r>
          </w:p>
        </w:tc>
        <w:tc>
          <w:tcPr>
            <w:tcW w:w="17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104.97</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99.97</w:t>
            </w:r>
          </w:p>
        </w:tc>
        <w:tc>
          <w:tcPr>
            <w:tcW w:w="169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2050803</w:t>
            </w:r>
          </w:p>
        </w:tc>
        <w:tc>
          <w:tcPr>
            <w:tcW w:w="3786" w:type="dxa"/>
            <w:tcBorders>
              <w:top w:val="nil"/>
              <w:left w:val="nil"/>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培训支出</w:t>
            </w:r>
          </w:p>
        </w:tc>
        <w:tc>
          <w:tcPr>
            <w:tcW w:w="17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104.97</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5.00</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99.97</w:t>
            </w:r>
          </w:p>
        </w:tc>
        <w:tc>
          <w:tcPr>
            <w:tcW w:w="169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w:t>
            </w:r>
          </w:p>
        </w:tc>
        <w:tc>
          <w:tcPr>
            <w:tcW w:w="3786" w:type="dxa"/>
            <w:tcBorders>
              <w:top w:val="nil"/>
              <w:left w:val="nil"/>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17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742.63</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710.59</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32.04</w:t>
            </w:r>
          </w:p>
        </w:tc>
        <w:tc>
          <w:tcPr>
            <w:tcW w:w="169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20805</w:t>
            </w:r>
          </w:p>
        </w:tc>
        <w:tc>
          <w:tcPr>
            <w:tcW w:w="3786" w:type="dxa"/>
            <w:tcBorders>
              <w:top w:val="nil"/>
              <w:left w:val="nil"/>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170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676.00</w:t>
            </w:r>
          </w:p>
        </w:tc>
        <w:tc>
          <w:tcPr>
            <w:tcW w:w="139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676.00</w:t>
            </w:r>
          </w:p>
        </w:tc>
        <w:tc>
          <w:tcPr>
            <w:tcW w:w="1453"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53" w:type="dxa"/>
            <w:tcBorders>
              <w:top w:val="nil"/>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2080502</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事业单位离退休</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456.00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456.00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2080505</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220.00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20808</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抚恤</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51.63</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19.59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32.04</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2080801</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死亡抚恤</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51.63</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19.59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32.04</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20899</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2089999</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210</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ascii="Times New Roman" w:hAnsi="Times New Roman" w:eastAsia="仿宋_GB2312" w:cs="Times New Roman"/>
                <w:kern w:val="0"/>
                <w:sz w:val="24"/>
                <w:szCs w:val="24"/>
              </w:rPr>
            </w:pPr>
            <w:r>
              <w:rPr>
                <w:rFonts w:hint="eastAsia" w:ascii="宋体" w:hAnsi="宋体" w:eastAsia="宋体" w:cs="宋体"/>
                <w:i w:val="0"/>
                <w:iCs w:val="0"/>
                <w:color w:val="000000"/>
                <w:kern w:val="0"/>
                <w:sz w:val="22"/>
                <w:szCs w:val="22"/>
                <w:u w:val="none"/>
                <w:lang w:val="en-US" w:eastAsia="zh-CN" w:bidi="ar"/>
              </w:rPr>
              <w:t>卫生健康支出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行政事业单位医疗</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2101101</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行政单位医疗</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124.48</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124.48</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2101103</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公务员医疗补助</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99.11</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99.11</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农林水支出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3,405.54</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1,931.49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1,474.04</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农业农村</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3,405.54</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1,931.49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1,474.04</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2130101</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行政运行</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2,028.49</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1,931.49</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97.00</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2130106</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563.46</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563.46</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2130122</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农业生产发展</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579.60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579.60</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2130199</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其他农业农村支出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233.99</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233.99</w:t>
            </w: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住房保障支出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住房改革支出</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r>
        <w:tblPrEx>
          <w:tblCellMar>
            <w:top w:w="0" w:type="dxa"/>
            <w:left w:w="108" w:type="dxa"/>
            <w:bottom w:w="0" w:type="dxa"/>
            <w:right w:w="108" w:type="dxa"/>
          </w:tblCellMar>
        </w:tblPrEx>
        <w:trPr>
          <w:trHeight w:val="442" w:hRule="exact"/>
          <w:jc w:val="center"/>
        </w:trPr>
        <w:tc>
          <w:tcPr>
            <w:tcW w:w="1519"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2210201</w:t>
            </w:r>
          </w:p>
        </w:tc>
        <w:tc>
          <w:tcPr>
            <w:tcW w:w="3786" w:type="dxa"/>
            <w:tcBorders>
              <w:top w:val="single" w:color="auto" w:sz="4" w:space="0"/>
              <w:left w:val="single" w:color="auto" w:sz="4" w:space="0"/>
              <w:bottom w:val="single" w:color="auto" w:sz="4" w:space="0"/>
              <w:right w:val="single" w:color="auto" w:sz="4" w:space="0"/>
            </w:tcBorders>
            <w:shd w:val="clear" w:color="000000"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住房公积金</w:t>
            </w: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39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9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21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c>
          <w:tcPr>
            <w:tcW w:w="145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440" w:lineRule="exact"/>
              <w:jc w:val="right"/>
              <w:rPr>
                <w:rFonts w:ascii="Times New Roman" w:hAnsi="Times New Roman" w:eastAsia="仿宋_GB2312" w:cs="Times New Roman"/>
                <w:kern w:val="0"/>
                <w:sz w:val="24"/>
                <w:szCs w:val="24"/>
              </w:rPr>
            </w:pPr>
          </w:p>
        </w:tc>
      </w:tr>
    </w:tbl>
    <w:p>
      <w:pPr>
        <w:keepNext w:val="0"/>
        <w:keepLines w:val="0"/>
        <w:pageBreakBefore w:val="0"/>
        <w:widowControl/>
        <w:kinsoku/>
        <w:wordWrap/>
        <w:overflowPunct/>
        <w:topLinePunct w:val="0"/>
        <w:autoSpaceDE/>
        <w:autoSpaceDN/>
        <w:bidi w:val="0"/>
        <w:adjustRightInd/>
        <w:snapToGrid/>
        <w:spacing w:before="120" w:line="440" w:lineRule="exact"/>
        <w:jc w:val="left"/>
        <w:textAlignment w:val="auto"/>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6"/>
          <w:szCs w:val="36"/>
          <w:lang w:bidi="ar"/>
        </w:rPr>
      </w:pPr>
      <w:bookmarkStart w:id="0" w:name="RANGE!A1:I22"/>
      <w:bookmarkEnd w:id="0"/>
      <w:bookmarkStart w:id="1" w:name="RANGE!A1:F16"/>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6"/>
          <w:szCs w:val="36"/>
          <w:lang w:bidi="ar"/>
        </w:rPr>
      </w:pPr>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6"/>
          <w:szCs w:val="36"/>
          <w:lang w:bidi="ar"/>
        </w:rPr>
      </w:pPr>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6"/>
          <w:szCs w:val="36"/>
          <w:lang w:bidi="ar"/>
        </w:rPr>
      </w:pPr>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6"/>
          <w:szCs w:val="36"/>
          <w:lang w:bidi="ar"/>
        </w:rPr>
      </w:pPr>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6"/>
          <w:szCs w:val="36"/>
          <w:lang w:bidi="ar"/>
        </w:rPr>
      </w:pPr>
    </w:p>
    <w:p>
      <w:pPr>
        <w:widowControl/>
        <w:tabs>
          <w:tab w:val="left" w:pos="3595"/>
          <w:tab w:val="left" w:pos="4031"/>
          <w:tab w:val="left" w:pos="5605"/>
          <w:tab w:val="left" w:pos="9152"/>
          <w:tab w:val="left" w:pos="9587"/>
          <w:tab w:val="left" w:pos="11160"/>
          <w:tab w:val="left" w:pos="12554"/>
          <w:tab w:val="left" w:pos="13948"/>
        </w:tabs>
        <w:jc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0"/>
        <w:tblW w:w="14220" w:type="dxa"/>
        <w:jc w:val="center"/>
        <w:shd w:val="clear" w:color="auto" w:fill="auto"/>
        <w:tblLayout w:type="fixed"/>
        <w:tblCellMar>
          <w:top w:w="0" w:type="dxa"/>
          <w:left w:w="108" w:type="dxa"/>
          <w:bottom w:w="0" w:type="dxa"/>
          <w:right w:w="108" w:type="dxa"/>
        </w:tblCellMar>
      </w:tblPr>
      <w:tblGrid>
        <w:gridCol w:w="3348"/>
        <w:gridCol w:w="775"/>
        <w:gridCol w:w="1135"/>
        <w:gridCol w:w="2636"/>
        <w:gridCol w:w="616"/>
        <w:gridCol w:w="1126"/>
        <w:gridCol w:w="1678"/>
        <w:gridCol w:w="1406"/>
        <w:gridCol w:w="1500"/>
      </w:tblGrid>
      <w:tr>
        <w:tblPrEx>
          <w:tblCellMar>
            <w:top w:w="0" w:type="dxa"/>
            <w:left w:w="108" w:type="dxa"/>
            <w:bottom w:w="0" w:type="dxa"/>
            <w:right w:w="108" w:type="dxa"/>
          </w:tblCellMar>
        </w:tblPrEx>
        <w:trPr>
          <w:trHeight w:val="442" w:hRule="exact"/>
          <w:jc w:val="center"/>
        </w:trPr>
        <w:tc>
          <w:tcPr>
            <w:tcW w:w="5258"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收入</w:t>
            </w:r>
          </w:p>
        </w:tc>
        <w:tc>
          <w:tcPr>
            <w:tcW w:w="8962" w:type="dxa"/>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支出</w:t>
            </w:r>
          </w:p>
        </w:tc>
      </w:tr>
      <w:tr>
        <w:tblPrEx>
          <w:tblCellMar>
            <w:top w:w="0" w:type="dxa"/>
            <w:left w:w="108" w:type="dxa"/>
            <w:bottom w:w="0" w:type="dxa"/>
            <w:right w:w="108" w:type="dxa"/>
          </w:tblCellMar>
        </w:tblPrEx>
        <w:trPr>
          <w:trHeight w:val="616"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项    目</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行次</w:t>
            </w:r>
          </w:p>
        </w:tc>
        <w:tc>
          <w:tcPr>
            <w:tcW w:w="113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金额</w:t>
            </w:r>
          </w:p>
        </w:tc>
        <w:tc>
          <w:tcPr>
            <w:tcW w:w="26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项    目</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行次</w:t>
            </w:r>
          </w:p>
        </w:tc>
        <w:tc>
          <w:tcPr>
            <w:tcW w:w="112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合计</w:t>
            </w:r>
          </w:p>
        </w:tc>
        <w:tc>
          <w:tcPr>
            <w:tcW w:w="1678" w:type="dxa"/>
            <w:tcBorders>
              <w:top w:val="nil"/>
              <w:left w:val="nil"/>
              <w:bottom w:val="single" w:color="auto" w:sz="4" w:space="0"/>
              <w:right w:val="single" w:color="auto" w:sz="4"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一般公共预算财政拨款</w:t>
            </w:r>
          </w:p>
        </w:tc>
        <w:tc>
          <w:tcPr>
            <w:tcW w:w="1406" w:type="dxa"/>
            <w:tcBorders>
              <w:top w:val="nil"/>
              <w:left w:val="nil"/>
              <w:bottom w:val="single" w:color="auto" w:sz="4" w:space="0"/>
              <w:right w:val="single" w:color="auto" w:sz="4"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政府性基金预算财政拨款</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国有资本经营预算财政拨款</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栏    次</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13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1</w:t>
            </w:r>
          </w:p>
        </w:tc>
        <w:tc>
          <w:tcPr>
            <w:tcW w:w="26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栏    次</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12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2</w:t>
            </w:r>
          </w:p>
        </w:tc>
        <w:tc>
          <w:tcPr>
            <w:tcW w:w="16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3</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4</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5</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一、一般公共预算财政拨款</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1</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4613.71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33</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二、政府性基金预算财政拨款</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2</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二、外交支出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34</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三、国有资本经营预算财政拨款</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3</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三、国防支出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35</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4</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lang w:eastAsia="zh-CN"/>
              </w:rPr>
            </w:pPr>
            <w:r>
              <w:rPr>
                <w:rFonts w:hint="eastAsia" w:ascii="宋体" w:hAnsi="宋体" w:eastAsia="宋体" w:cs="宋体"/>
                <w:i w:val="0"/>
                <w:iCs w:val="0"/>
                <w:color w:val="000000"/>
                <w:kern w:val="0"/>
                <w:sz w:val="22"/>
                <w:szCs w:val="22"/>
                <w:u w:val="none"/>
                <w:lang w:val="en-US" w:eastAsia="zh-CN" w:bidi="ar"/>
              </w:rPr>
              <w:t>四、公共安全支出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36</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5</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五、教育支出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37</w:t>
            </w:r>
          </w:p>
        </w:tc>
        <w:tc>
          <w:tcPr>
            <w:tcW w:w="1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104.97</w:t>
            </w:r>
          </w:p>
        </w:tc>
        <w:tc>
          <w:tcPr>
            <w:tcW w:w="16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104.97</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6</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六、科学技术支出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38</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7</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39</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kern w:val="0"/>
                <w:sz w:val="22"/>
                <w:szCs w:val="22"/>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77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8</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40</w:t>
            </w:r>
          </w:p>
        </w:tc>
        <w:tc>
          <w:tcPr>
            <w:tcW w:w="1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742.63</w:t>
            </w:r>
          </w:p>
        </w:tc>
        <w:tc>
          <w:tcPr>
            <w:tcW w:w="16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742.63</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9</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九、卫生健康支出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41</w:t>
            </w:r>
          </w:p>
        </w:tc>
        <w:tc>
          <w:tcPr>
            <w:tcW w:w="1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6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10</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十、节能环保支出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42</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11</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十一、城乡社区支出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43</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12</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十二、农林水支出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44</w:t>
            </w:r>
          </w:p>
        </w:tc>
        <w:tc>
          <w:tcPr>
            <w:tcW w:w="1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3,384.47</w:t>
            </w:r>
          </w:p>
        </w:tc>
        <w:tc>
          <w:tcPr>
            <w:tcW w:w="16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3,384.47</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13</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十三、交通运输支出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45</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14</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46</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15</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47</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16</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十六、金融支出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48</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17</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49</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18</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50</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19</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十九、住房保障支出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51</w:t>
            </w:r>
          </w:p>
        </w:tc>
        <w:tc>
          <w:tcPr>
            <w:tcW w:w="1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6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52</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21</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53</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22</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54</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23</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二十三、其他支出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55</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24</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CESI仿宋-GB2312" w:hAnsi="CESI仿宋-GB2312" w:eastAsia="CESI仿宋-GB2312" w:cs="CESI仿宋-GB2312"/>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56</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25</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57</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26</w:t>
            </w:r>
          </w:p>
        </w:tc>
        <w:tc>
          <w:tcPr>
            <w:tcW w:w="1135"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p>
        </w:tc>
        <w:tc>
          <w:tcPr>
            <w:tcW w:w="26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58</w:t>
            </w:r>
          </w:p>
        </w:tc>
        <w:tc>
          <w:tcPr>
            <w:tcW w:w="112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678"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i w:val="0"/>
                <w:iCs w:val="0"/>
                <w:color w:val="000000"/>
                <w:kern w:val="0"/>
                <w:sz w:val="22"/>
                <w:szCs w:val="22"/>
                <w:u w:val="none"/>
                <w:lang w:val="en-US" w:eastAsia="zh-CN" w:bidi="ar"/>
              </w:rPr>
            </w:pP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b/>
                <w:bCs/>
                <w:kern w:val="0"/>
                <w:sz w:val="22"/>
                <w:szCs w:val="22"/>
              </w:rPr>
            </w:pPr>
            <w:r>
              <w:rPr>
                <w:rFonts w:hint="eastAsia" w:ascii="CESI仿宋-GB2312" w:hAnsi="CESI仿宋-GB2312" w:eastAsia="CESI仿宋-GB2312" w:cs="CESI仿宋-GB2312"/>
                <w:b/>
                <w:bCs/>
                <w:kern w:val="0"/>
                <w:sz w:val="22"/>
                <w:szCs w:val="22"/>
              </w:rPr>
              <w:t>本年收入合计</w:t>
            </w: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27</w:t>
            </w:r>
          </w:p>
        </w:tc>
        <w:tc>
          <w:tcPr>
            <w:tcW w:w="11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4,613.71</w:t>
            </w:r>
          </w:p>
        </w:tc>
        <w:tc>
          <w:tcPr>
            <w:tcW w:w="26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b/>
                <w:bCs/>
                <w:kern w:val="0"/>
                <w:sz w:val="22"/>
                <w:szCs w:val="22"/>
              </w:rPr>
            </w:pPr>
            <w:r>
              <w:rPr>
                <w:rFonts w:hint="eastAsia" w:ascii="CESI仿宋-GB2312" w:hAnsi="CESI仿宋-GB2312" w:eastAsia="CESI仿宋-GB2312" w:cs="CESI仿宋-GB2312"/>
                <w:b/>
                <w:bCs/>
                <w:kern w:val="0"/>
                <w:sz w:val="22"/>
                <w:szCs w:val="22"/>
              </w:rPr>
              <w:t>本年支出合计</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59</w:t>
            </w:r>
          </w:p>
        </w:tc>
        <w:tc>
          <w:tcPr>
            <w:tcW w:w="1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4,645.66</w:t>
            </w:r>
          </w:p>
        </w:tc>
        <w:tc>
          <w:tcPr>
            <w:tcW w:w="16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4,645.66</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b/>
                <w:bCs/>
                <w:kern w:val="0"/>
                <w:sz w:val="22"/>
                <w:szCs w:val="22"/>
              </w:rPr>
            </w:pPr>
            <w:r>
              <w:rPr>
                <w:rFonts w:hint="eastAsia" w:ascii="CESI仿宋-GB2312" w:hAnsi="CESI仿宋-GB2312" w:eastAsia="CESI仿宋-GB2312" w:cs="CESI仿宋-GB2312"/>
                <w:b/>
                <w:bCs/>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年初财政拨款结转和结余</w:t>
            </w: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28</w:t>
            </w:r>
          </w:p>
        </w:tc>
        <w:tc>
          <w:tcPr>
            <w:tcW w:w="11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1,148.51</w:t>
            </w:r>
          </w:p>
        </w:tc>
        <w:tc>
          <w:tcPr>
            <w:tcW w:w="26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年末财政拨款结转和结余</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60</w:t>
            </w:r>
          </w:p>
        </w:tc>
        <w:tc>
          <w:tcPr>
            <w:tcW w:w="112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1,116.55</w:t>
            </w:r>
          </w:p>
        </w:tc>
        <w:tc>
          <w:tcPr>
            <w:tcW w:w="167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1,116.55</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xml:space="preserve">   一般公共预算财政拨款</w:t>
            </w: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29</w:t>
            </w:r>
          </w:p>
        </w:tc>
        <w:tc>
          <w:tcPr>
            <w:tcW w:w="11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1,148.51</w:t>
            </w:r>
          </w:p>
        </w:tc>
        <w:tc>
          <w:tcPr>
            <w:tcW w:w="263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61</w:t>
            </w:r>
          </w:p>
        </w:tc>
        <w:tc>
          <w:tcPr>
            <w:tcW w:w="112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xml:space="preserve">     政府性基金预算财政拨款</w:t>
            </w: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30</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62</w:t>
            </w:r>
          </w:p>
        </w:tc>
        <w:tc>
          <w:tcPr>
            <w:tcW w:w="112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xml:space="preserve">      国有资本经营预算财政拨款</w:t>
            </w: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31</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263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63</w:t>
            </w:r>
          </w:p>
        </w:tc>
        <w:tc>
          <w:tcPr>
            <w:tcW w:w="112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6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40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　</w:t>
            </w:r>
          </w:p>
        </w:tc>
      </w:tr>
      <w:tr>
        <w:tblPrEx>
          <w:tblCellMar>
            <w:top w:w="0" w:type="dxa"/>
            <w:left w:w="108" w:type="dxa"/>
            <w:bottom w:w="0" w:type="dxa"/>
            <w:right w:w="108" w:type="dxa"/>
          </w:tblCellMar>
        </w:tblPrEx>
        <w:trPr>
          <w:trHeight w:val="442" w:hRule="exact"/>
          <w:jc w:val="center"/>
        </w:trPr>
        <w:tc>
          <w:tcPr>
            <w:tcW w:w="334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b/>
                <w:bCs/>
                <w:kern w:val="0"/>
                <w:sz w:val="22"/>
                <w:szCs w:val="22"/>
              </w:rPr>
            </w:pPr>
            <w:r>
              <w:rPr>
                <w:rFonts w:hint="eastAsia" w:ascii="CESI仿宋-GB2312" w:hAnsi="CESI仿宋-GB2312" w:eastAsia="CESI仿宋-GB2312" w:cs="CESI仿宋-GB2312"/>
                <w:b/>
                <w:bCs/>
                <w:kern w:val="0"/>
                <w:sz w:val="22"/>
                <w:szCs w:val="22"/>
              </w:rPr>
              <w:t>总计</w:t>
            </w:r>
          </w:p>
        </w:tc>
        <w:tc>
          <w:tcPr>
            <w:tcW w:w="77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32</w:t>
            </w:r>
          </w:p>
        </w:tc>
        <w:tc>
          <w:tcPr>
            <w:tcW w:w="1135"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5762.22　</w:t>
            </w:r>
          </w:p>
        </w:tc>
        <w:tc>
          <w:tcPr>
            <w:tcW w:w="26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b/>
                <w:bCs/>
                <w:kern w:val="0"/>
                <w:sz w:val="22"/>
                <w:szCs w:val="22"/>
              </w:rPr>
            </w:pPr>
            <w:r>
              <w:rPr>
                <w:rFonts w:hint="eastAsia" w:ascii="CESI仿宋-GB2312" w:hAnsi="CESI仿宋-GB2312" w:eastAsia="CESI仿宋-GB2312" w:cs="CESI仿宋-GB2312"/>
                <w:b/>
                <w:bCs/>
                <w:kern w:val="0"/>
                <w:sz w:val="22"/>
                <w:szCs w:val="22"/>
              </w:rPr>
              <w:t>总计</w:t>
            </w:r>
          </w:p>
        </w:tc>
        <w:tc>
          <w:tcPr>
            <w:tcW w:w="61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CESI仿宋-GB2312" w:hAnsi="CESI仿宋-GB2312" w:eastAsia="CESI仿宋-GB2312" w:cs="CESI仿宋-GB2312"/>
                <w:kern w:val="0"/>
                <w:sz w:val="22"/>
                <w:szCs w:val="22"/>
                <w:lang w:val="en"/>
              </w:rPr>
            </w:pPr>
            <w:r>
              <w:rPr>
                <w:rFonts w:hint="default" w:ascii="CESI仿宋-GB2312" w:hAnsi="CESI仿宋-GB2312" w:eastAsia="CESI仿宋-GB2312" w:cs="CESI仿宋-GB2312"/>
                <w:kern w:val="0"/>
                <w:sz w:val="22"/>
                <w:szCs w:val="22"/>
                <w:lang w:val="en"/>
              </w:rPr>
              <w:t>64</w:t>
            </w:r>
          </w:p>
        </w:tc>
        <w:tc>
          <w:tcPr>
            <w:tcW w:w="112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5762.22　</w:t>
            </w:r>
          </w:p>
        </w:tc>
        <w:tc>
          <w:tcPr>
            <w:tcW w:w="16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5762.22　</w:t>
            </w:r>
          </w:p>
        </w:tc>
        <w:tc>
          <w:tcPr>
            <w:tcW w:w="140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b/>
                <w:bCs/>
                <w:kern w:val="0"/>
                <w:sz w:val="22"/>
                <w:szCs w:val="22"/>
              </w:rPr>
            </w:pPr>
            <w:r>
              <w:rPr>
                <w:rFonts w:hint="eastAsia" w:ascii="CESI仿宋-GB2312" w:hAnsi="CESI仿宋-GB2312" w:eastAsia="CESI仿宋-GB2312" w:cs="CESI仿宋-GB2312"/>
                <w:b/>
                <w:bCs/>
                <w:kern w:val="0"/>
                <w:sz w:val="22"/>
                <w:szCs w:val="22"/>
              </w:rPr>
              <w:t>　</w:t>
            </w:r>
          </w:p>
        </w:tc>
        <w:tc>
          <w:tcPr>
            <w:tcW w:w="15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b/>
                <w:bCs/>
                <w:kern w:val="0"/>
                <w:sz w:val="22"/>
                <w:szCs w:val="22"/>
              </w:rPr>
            </w:pPr>
            <w:r>
              <w:rPr>
                <w:rFonts w:hint="eastAsia" w:ascii="CESI仿宋-GB2312" w:hAnsi="CESI仿宋-GB2312" w:eastAsia="CESI仿宋-GB2312" w:cs="CESI仿宋-GB2312"/>
                <w:b/>
                <w:bCs/>
                <w:kern w:val="0"/>
                <w:sz w:val="22"/>
                <w:szCs w:val="22"/>
              </w:rPr>
              <w:t>　</w:t>
            </w: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单位：万元</w:t>
      </w:r>
    </w:p>
    <w:tbl>
      <w:tblPr>
        <w:tblStyle w:val="10"/>
        <w:tblW w:w="14219" w:type="dxa"/>
        <w:jc w:val="center"/>
        <w:tblLayout w:type="fixed"/>
        <w:tblCellMar>
          <w:top w:w="0" w:type="dxa"/>
          <w:left w:w="108" w:type="dxa"/>
          <w:bottom w:w="0" w:type="dxa"/>
          <w:right w:w="108" w:type="dxa"/>
        </w:tblCellMar>
      </w:tblPr>
      <w:tblGrid>
        <w:gridCol w:w="1200"/>
        <w:gridCol w:w="3527"/>
        <w:gridCol w:w="3000"/>
        <w:gridCol w:w="3492"/>
        <w:gridCol w:w="3000"/>
      </w:tblGrid>
      <w:tr>
        <w:tblPrEx>
          <w:tblCellMar>
            <w:top w:w="0" w:type="dxa"/>
            <w:left w:w="108" w:type="dxa"/>
            <w:bottom w:w="0" w:type="dxa"/>
            <w:right w:w="108" w:type="dxa"/>
          </w:tblCellMar>
        </w:tblPrEx>
        <w:trPr>
          <w:trHeight w:val="425" w:hRule="exac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CESI仿宋-GB2312" w:hAnsi="CESI仿宋-GB2312" w:eastAsia="CESI仿宋-GB2312" w:cs="CESI仿宋-GB2312"/>
                <w:b/>
                <w:kern w:val="0"/>
                <w:sz w:val="22"/>
                <w:szCs w:val="22"/>
              </w:rPr>
            </w:pPr>
            <w:r>
              <w:rPr>
                <w:rFonts w:hint="eastAsia" w:ascii="CESI仿宋-GB2312" w:hAnsi="CESI仿宋-GB2312" w:eastAsia="CESI仿宋-GB2312" w:cs="CESI仿宋-GB2312"/>
                <w:b/>
                <w:kern w:val="0"/>
                <w:sz w:val="22"/>
                <w:szCs w:val="22"/>
              </w:rPr>
              <w:t xml:space="preserve">项 </w:t>
            </w:r>
            <w:r>
              <w:rPr>
                <w:rFonts w:hint="eastAsia" w:ascii="CESI仿宋-GB2312" w:hAnsi="CESI仿宋-GB2312" w:eastAsia="CESI仿宋-GB2312" w:cs="CESI仿宋-GB2312"/>
                <w:b/>
                <w:color w:val="000000"/>
                <w:kern w:val="0"/>
                <w:sz w:val="22"/>
                <w:szCs w:val="22"/>
              </w:rPr>
              <w:t xml:space="preserve">   </w:t>
            </w:r>
            <w:r>
              <w:rPr>
                <w:rFonts w:hint="eastAsia" w:ascii="CESI仿宋-GB2312" w:hAnsi="CESI仿宋-GB2312" w:eastAsia="CESI仿宋-GB2312" w:cs="CESI仿宋-GB2312"/>
                <w:b/>
                <w:kern w:val="0"/>
                <w:sz w:val="22"/>
                <w:szCs w:val="22"/>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CESI仿宋-GB2312" w:hAnsi="CESI仿宋-GB2312" w:eastAsia="CESI仿宋-GB2312" w:cs="CESI仿宋-GB2312"/>
                <w:b/>
                <w:kern w:val="0"/>
                <w:sz w:val="22"/>
                <w:szCs w:val="22"/>
              </w:rPr>
            </w:pPr>
            <w:r>
              <w:rPr>
                <w:rFonts w:hint="eastAsia" w:ascii="CESI仿宋-GB2312" w:hAnsi="CESI仿宋-GB2312" w:eastAsia="CESI仿宋-GB2312" w:cs="CESI仿宋-GB2312"/>
                <w:b/>
                <w:kern w:val="0"/>
                <w:sz w:val="22"/>
                <w:szCs w:val="22"/>
              </w:rPr>
              <w:t>本年支出</w:t>
            </w:r>
          </w:p>
        </w:tc>
      </w:tr>
      <w:tr>
        <w:tblPrEx>
          <w:tblCellMar>
            <w:top w:w="0" w:type="dxa"/>
            <w:left w:w="108" w:type="dxa"/>
            <w:bottom w:w="0" w:type="dxa"/>
            <w:right w:w="108" w:type="dxa"/>
          </w:tblCellMar>
        </w:tblPrEx>
        <w:trPr>
          <w:trHeight w:val="425"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CESI仿宋-GB2312" w:hAnsi="CESI仿宋-GB2312" w:eastAsia="CESI仿宋-GB2312" w:cs="CESI仿宋-GB2312"/>
                <w:b/>
                <w:kern w:val="0"/>
                <w:sz w:val="22"/>
                <w:szCs w:val="22"/>
              </w:rPr>
            </w:pPr>
            <w:r>
              <w:rPr>
                <w:rFonts w:hint="eastAsia" w:ascii="CESI仿宋-GB2312" w:hAnsi="CESI仿宋-GB2312" w:eastAsia="CESI仿宋-GB2312" w:cs="CESI仿宋-GB2312"/>
                <w:b/>
                <w:kern w:val="0"/>
                <w:sz w:val="22"/>
                <w:szCs w:val="22"/>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CESI仿宋-GB2312" w:hAnsi="CESI仿宋-GB2312" w:eastAsia="CESI仿宋-GB2312" w:cs="CESI仿宋-GB2312"/>
                <w:b/>
                <w:kern w:val="0"/>
                <w:sz w:val="22"/>
                <w:szCs w:val="22"/>
              </w:rPr>
            </w:pPr>
            <w:r>
              <w:rPr>
                <w:rFonts w:hint="eastAsia" w:ascii="CESI仿宋-GB2312" w:hAnsi="CESI仿宋-GB2312" w:eastAsia="CESI仿宋-GB2312" w:cs="CESI仿宋-GB2312"/>
                <w:b/>
                <w:kern w:val="0"/>
                <w:sz w:val="22"/>
                <w:szCs w:val="22"/>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CESI仿宋-GB2312" w:hAnsi="CESI仿宋-GB2312" w:eastAsia="CESI仿宋-GB2312" w:cs="CESI仿宋-GB2312"/>
                <w:b/>
                <w:kern w:val="0"/>
                <w:sz w:val="22"/>
                <w:szCs w:val="22"/>
              </w:rPr>
            </w:pPr>
            <w:r>
              <w:rPr>
                <w:rFonts w:hint="eastAsia" w:ascii="CESI仿宋-GB2312" w:hAnsi="CESI仿宋-GB2312" w:eastAsia="CESI仿宋-GB2312" w:cs="CESI仿宋-GB2312"/>
                <w:b/>
                <w:kern w:val="0"/>
                <w:sz w:val="22"/>
                <w:szCs w:val="22"/>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CESI仿宋-GB2312" w:hAnsi="CESI仿宋-GB2312" w:eastAsia="CESI仿宋-GB2312" w:cs="CESI仿宋-GB2312"/>
                <w:b/>
                <w:kern w:val="0"/>
                <w:sz w:val="22"/>
                <w:szCs w:val="22"/>
              </w:rPr>
            </w:pPr>
            <w:r>
              <w:rPr>
                <w:rFonts w:hint="eastAsia" w:ascii="CESI仿宋-GB2312" w:hAnsi="CESI仿宋-GB2312" w:eastAsia="CESI仿宋-GB2312" w:cs="CESI仿宋-GB2312"/>
                <w:b/>
                <w:kern w:val="0"/>
                <w:sz w:val="22"/>
                <w:szCs w:val="22"/>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CESI仿宋-GB2312" w:hAnsi="CESI仿宋-GB2312" w:eastAsia="CESI仿宋-GB2312" w:cs="CESI仿宋-GB2312"/>
                <w:b/>
                <w:kern w:val="0"/>
                <w:sz w:val="22"/>
                <w:szCs w:val="22"/>
              </w:rPr>
            </w:pPr>
            <w:r>
              <w:rPr>
                <w:rFonts w:hint="eastAsia" w:ascii="CESI仿宋-GB2312" w:hAnsi="CESI仿宋-GB2312" w:eastAsia="CESI仿宋-GB2312" w:cs="CESI仿宋-GB2312"/>
                <w:b/>
                <w:kern w:val="0"/>
                <w:sz w:val="22"/>
                <w:szCs w:val="22"/>
              </w:rPr>
              <w:t>项目支出</w:t>
            </w:r>
          </w:p>
        </w:tc>
      </w:tr>
      <w:tr>
        <w:tblPrEx>
          <w:tblCellMar>
            <w:top w:w="0" w:type="dxa"/>
            <w:left w:w="108" w:type="dxa"/>
            <w:bottom w:w="0" w:type="dxa"/>
            <w:right w:w="108" w:type="dxa"/>
          </w:tblCellMar>
        </w:tblPrEx>
        <w:trPr>
          <w:trHeight w:val="425" w:hRule="exac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25" w:hRule="exac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CESI仿宋-GB2312" w:hAnsi="CESI仿宋-GB2312" w:eastAsia="CESI仿宋-GB2312" w:cs="CESI仿宋-GB2312"/>
                <w:kern w:val="0"/>
                <w:sz w:val="22"/>
                <w:szCs w:val="22"/>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hint="eastAsia" w:ascii="CESI仿宋-GB2312" w:hAnsi="CESI仿宋-GB2312" w:eastAsia="CESI仿宋-GB2312" w:cs="CESI仿宋-GB2312"/>
                <w:kern w:val="0"/>
                <w:sz w:val="22"/>
                <w:szCs w:val="22"/>
              </w:rPr>
            </w:pPr>
          </w:p>
        </w:tc>
      </w:tr>
      <w:tr>
        <w:tblPrEx>
          <w:tblCellMar>
            <w:top w:w="0" w:type="dxa"/>
            <w:left w:w="108" w:type="dxa"/>
            <w:bottom w:w="0" w:type="dxa"/>
            <w:right w:w="108" w:type="dxa"/>
          </w:tblCellMar>
        </w:tblPrEx>
        <w:trPr>
          <w:trHeight w:val="425" w:hRule="exac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3</w:t>
            </w:r>
          </w:p>
        </w:tc>
      </w:tr>
      <w:tr>
        <w:tblPrEx>
          <w:tblCellMar>
            <w:top w:w="0" w:type="dxa"/>
            <w:left w:w="108" w:type="dxa"/>
            <w:bottom w:w="0" w:type="dxa"/>
            <w:right w:w="108" w:type="dxa"/>
          </w:tblCellMar>
        </w:tblPrEx>
        <w:trPr>
          <w:trHeight w:val="425" w:hRule="exac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CESI仿宋-GB2312" w:hAnsi="CESI仿宋-GB2312" w:eastAsia="CESI仿宋-GB2312" w:cs="CESI仿宋-GB2312"/>
                <w:kern w:val="0"/>
                <w:sz w:val="22"/>
                <w:szCs w:val="22"/>
              </w:rPr>
            </w:pPr>
            <w:r>
              <w:rPr>
                <w:rFonts w:hint="eastAsia" w:ascii="CESI仿宋-GB2312" w:hAnsi="CESI仿宋-GB2312" w:eastAsia="CESI仿宋-GB2312" w:cs="CESI仿宋-GB2312"/>
                <w:kern w:val="0"/>
                <w:sz w:val="22"/>
                <w:szCs w:val="22"/>
              </w:rPr>
              <w:t>合计</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4,645.66</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3,060.67</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1,584.99</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205</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教育支出</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104.97</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5.00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99.97</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20508</w:t>
            </w:r>
          </w:p>
        </w:tc>
        <w:tc>
          <w:tcPr>
            <w:tcW w:w="35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进修及培训</w:t>
            </w:r>
          </w:p>
        </w:tc>
        <w:tc>
          <w:tcPr>
            <w:tcW w:w="30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104.97</w:t>
            </w:r>
          </w:p>
        </w:tc>
        <w:tc>
          <w:tcPr>
            <w:tcW w:w="34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5.00</w:t>
            </w:r>
          </w:p>
        </w:tc>
        <w:tc>
          <w:tcPr>
            <w:tcW w:w="300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99.97</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2050803</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培训支出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104.97</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5.00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99.97</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742.63</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710.59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32.04</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20805</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676.00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676.00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2080502</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事业单位离退休</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456.00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456.00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2080505</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220.00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220.00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20808</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抚恤</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51.63</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19.59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32.04</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2080801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死亡抚恤</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51.63</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19.59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32.04</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20899</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15.00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15.00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2089999</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其他社会保障和就业支出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15.00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15.00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210</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kern w:val="0"/>
                <w:sz w:val="22"/>
                <w:szCs w:val="22"/>
              </w:rPr>
            </w:pPr>
            <w:r>
              <w:rPr>
                <w:rFonts w:hint="eastAsia" w:ascii="宋体" w:hAnsi="宋体" w:eastAsia="宋体" w:cs="宋体"/>
                <w:i w:val="0"/>
                <w:iCs w:val="0"/>
                <w:color w:val="000000"/>
                <w:kern w:val="0"/>
                <w:sz w:val="22"/>
                <w:szCs w:val="22"/>
                <w:u w:val="none"/>
                <w:lang w:val="en-US" w:eastAsia="zh-CN" w:bidi="ar"/>
              </w:rPr>
              <w:t>卫生健康支出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223.59</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223.59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行政事业单位医疗</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223.59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行政单位医疗</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124.48</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124.48</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kern w:val="0"/>
                <w:sz w:val="22"/>
                <w:szCs w:val="22"/>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2101103</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公务员医疗补助</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99.11</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99.11</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kern w:val="0"/>
                <w:sz w:val="22"/>
                <w:szCs w:val="22"/>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农林水支出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3,384.47</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1,931.49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1,452.98</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农业农村</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3,384.47</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1,931.49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1,452.98</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行政运行</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2,028.49</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1,931.49</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97.00</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2130106</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科技转化与推广服务</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563.46</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i w:val="0"/>
                <w:iCs w:val="0"/>
                <w:color w:val="000000"/>
                <w:kern w:val="0"/>
                <w:sz w:val="22"/>
                <w:szCs w:val="22"/>
                <w:u w:val="none"/>
                <w:lang w:val="en-US" w:eastAsia="zh-CN" w:bidi="ar"/>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563.46</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2130122</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农业生产发展</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558.53</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i w:val="0"/>
                <w:iCs w:val="0"/>
                <w:color w:val="000000"/>
                <w:kern w:val="0"/>
                <w:sz w:val="22"/>
                <w:szCs w:val="22"/>
                <w:u w:val="none"/>
                <w:lang w:val="en-US" w:eastAsia="zh-CN" w:bidi="ar"/>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558.53</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2130199</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其他农业农村支出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233.99</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i w:val="0"/>
                <w:iCs w:val="0"/>
                <w:color w:val="000000"/>
                <w:kern w:val="0"/>
                <w:sz w:val="22"/>
                <w:szCs w:val="22"/>
                <w:u w:val="none"/>
                <w:lang w:val="en-US" w:eastAsia="zh-CN" w:bidi="ar"/>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kern w:val="0"/>
                <w:sz w:val="22"/>
                <w:szCs w:val="22"/>
              </w:rPr>
            </w:pPr>
            <w:r>
              <w:rPr>
                <w:rFonts w:hint="eastAsia" w:ascii="宋体" w:hAnsi="宋体" w:eastAsia="宋体" w:cs="宋体"/>
                <w:i w:val="0"/>
                <w:iCs w:val="0"/>
                <w:color w:val="000000"/>
                <w:kern w:val="0"/>
                <w:sz w:val="22"/>
                <w:szCs w:val="22"/>
                <w:u w:val="none"/>
                <w:lang w:val="en-US" w:eastAsia="zh-CN" w:bidi="ar"/>
              </w:rPr>
              <w:t>233.99</w:t>
            </w: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CESI仿宋-GB2312" w:hAnsi="CESI仿宋-GB2312" w:eastAsia="CESI仿宋-GB2312" w:cs="CESI仿宋-GB2312"/>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住房保障支出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kern w:val="0"/>
                <w:sz w:val="22"/>
                <w:szCs w:val="22"/>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住房改革支出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kern w:val="0"/>
                <w:sz w:val="22"/>
                <w:szCs w:val="22"/>
              </w:rPr>
            </w:pPr>
          </w:p>
        </w:tc>
      </w:tr>
      <w:tr>
        <w:tblPrEx>
          <w:tblCellMar>
            <w:top w:w="0" w:type="dxa"/>
            <w:left w:w="108" w:type="dxa"/>
            <w:bottom w:w="0" w:type="dxa"/>
            <w:right w:w="108" w:type="dxa"/>
          </w:tblCellMar>
        </w:tblPrEx>
        <w:trPr>
          <w:trHeight w:val="425" w:hRule="exac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住房公积金</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b w:val="0"/>
                <w:bCs w:val="0"/>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190.00</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hint="eastAsia" w:ascii="CESI仿宋-GB2312" w:hAnsi="CESI仿宋-GB2312" w:eastAsia="CESI仿宋-GB2312" w:cs="CESI仿宋-GB2312"/>
                <w:b w:val="0"/>
                <w:bCs w:val="0"/>
                <w:kern w:val="0"/>
                <w:sz w:val="22"/>
                <w:szCs w:val="22"/>
              </w:rPr>
            </w:pPr>
          </w:p>
        </w:tc>
      </w:tr>
    </w:tbl>
    <w:p>
      <w:pPr>
        <w:widowControl/>
        <w:spacing w:before="120"/>
        <w:jc w:val="left"/>
        <w:rPr>
          <w:rFonts w:ascii="Times New Roman" w:hAnsi="Times New Roman" w:eastAsia="仿宋_GB2312" w:cs="Times New Roman"/>
          <w:bCs/>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0"/>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CESI仿宋-GB2312" w:hAnsi="CESI仿宋-GB2312" w:eastAsia="CESI仿宋-GB2312" w:cs="CESI仿宋-GB2312"/>
                <w:b/>
                <w:bCs/>
                <w:color w:val="000000"/>
                <w:kern w:val="0"/>
                <w:szCs w:val="20"/>
              </w:rPr>
            </w:pPr>
            <w:r>
              <w:rPr>
                <w:rFonts w:hint="eastAsia" w:ascii="CESI仿宋-GB2312" w:hAnsi="CESI仿宋-GB2312" w:eastAsia="CESI仿宋-GB2312" w:cs="CESI仿宋-GB2312"/>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2,093.52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491.57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471.60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22.67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603.62</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2.49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231.41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130.00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8.31</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220.00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38.72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3.95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124.48</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99.11</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3.25</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15.00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40.00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190.00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28.00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8.30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6.00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475.59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10.00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14.40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401.10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0.64</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25.93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8.20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49.00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13.66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45.00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7.50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15.66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经常性赠与</w:t>
            </w:r>
          </w:p>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资本性赠与</w:t>
            </w:r>
          </w:p>
          <w:p>
            <w:pPr>
              <w:widowControl/>
              <w:jc w:val="left"/>
              <w:rPr>
                <w:rFonts w:hint="eastAsia" w:ascii="CESI仿宋-GB2312" w:hAnsi="CESI仿宋-GB2312" w:eastAsia="CESI仿宋-GB2312" w:cs="CESI仿宋-GB2312"/>
                <w:color w:val="000000"/>
                <w:kern w:val="0"/>
                <w:szCs w:val="20"/>
              </w:rPr>
            </w:pPr>
          </w:p>
          <w:tbl>
            <w:tblPr>
              <w:tblStyle w:val="10"/>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CESI仿宋-GB2312" w:hAnsi="CESI仿宋-GB2312" w:eastAsia="CESI仿宋-GB2312" w:cs="CESI仿宋-GB2312"/>
                      <w:color w:val="000000"/>
                      <w:sz w:val="20"/>
                      <w:szCs w:val="20"/>
                    </w:rPr>
                  </w:pPr>
                  <w:r>
                    <w:rPr>
                      <w:rFonts w:hint="eastAsia" w:ascii="CESI仿宋-GB2312" w:hAnsi="CESI仿宋-GB2312" w:eastAsia="CESI仿宋-GB2312" w:cs="CESI仿宋-GB2312"/>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CESI仿宋-GB2312" w:hAnsi="CESI仿宋-GB2312" w:eastAsia="CESI仿宋-GB2312" w:cs="CESI仿宋-GB2312"/>
                      <w:color w:val="000000"/>
                      <w:sz w:val="20"/>
                      <w:szCs w:val="20"/>
                    </w:rPr>
                  </w:pPr>
                  <w:r>
                    <w:rPr>
                      <w:rFonts w:hint="eastAsia" w:ascii="CESI仿宋-GB2312" w:hAnsi="CESI仿宋-GB2312" w:eastAsia="CESI仿宋-GB2312" w:cs="CESI仿宋-GB2312"/>
                      <w:color w:val="000000"/>
                      <w:kern w:val="0"/>
                      <w:sz w:val="20"/>
                      <w:szCs w:val="20"/>
                      <w:lang w:bidi="ar"/>
                    </w:rPr>
                    <w:t xml:space="preserve">  资本性赠与</w:t>
                  </w:r>
                </w:p>
              </w:tc>
            </w:tr>
          </w:tbl>
          <w:p>
            <w:pPr>
              <w:widowControl/>
              <w:jc w:val="left"/>
              <w:rPr>
                <w:rFonts w:hint="eastAsia" w:ascii="CESI仿宋-GB2312" w:hAnsi="CESI仿宋-GB2312" w:eastAsia="CESI仿宋-GB2312" w:cs="CESI仿宋-GB2312"/>
                <w:color w:val="000000"/>
                <w:kern w:val="0"/>
                <w:szCs w:val="20"/>
              </w:rPr>
            </w:pPr>
          </w:p>
          <w:tbl>
            <w:tblPr>
              <w:tblStyle w:val="10"/>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CESI仿宋-GB2312" w:hAnsi="CESI仿宋-GB2312" w:eastAsia="CESI仿宋-GB2312" w:cs="CESI仿宋-GB2312"/>
                      <w:color w:val="000000"/>
                      <w:sz w:val="20"/>
                      <w:szCs w:val="20"/>
                    </w:rPr>
                  </w:pPr>
                  <w:r>
                    <w:rPr>
                      <w:rFonts w:hint="eastAsia" w:ascii="CESI仿宋-GB2312" w:hAnsi="CESI仿宋-GB2312" w:eastAsia="CESI仿宋-GB2312" w:cs="CESI仿宋-GB2312"/>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hint="eastAsia" w:ascii="CESI仿宋-GB2312" w:hAnsi="CESI仿宋-GB2312" w:eastAsia="CESI仿宋-GB2312" w:cs="CESI仿宋-GB2312"/>
                      <w:color w:val="000000"/>
                      <w:sz w:val="20"/>
                      <w:szCs w:val="20"/>
                    </w:rPr>
                  </w:pPr>
                  <w:r>
                    <w:rPr>
                      <w:rFonts w:hint="eastAsia" w:ascii="CESI仿宋-GB2312" w:hAnsi="CESI仿宋-GB2312" w:eastAsia="CESI仿宋-GB2312" w:cs="CESI仿宋-GB2312"/>
                      <w:color w:val="000000"/>
                      <w:kern w:val="0"/>
                      <w:sz w:val="20"/>
                      <w:szCs w:val="20"/>
                      <w:lang w:bidi="ar"/>
                    </w:rPr>
                    <w:t xml:space="preserve">  资本性赠与</w:t>
                  </w:r>
                </w:p>
              </w:tc>
            </w:tr>
          </w:tbl>
          <w:p>
            <w:pPr>
              <w:widowControl/>
              <w:jc w:val="left"/>
              <w:rPr>
                <w:rFonts w:hint="eastAsia" w:ascii="CESI仿宋-GB2312" w:hAnsi="CESI仿宋-GB2312" w:eastAsia="CESI仿宋-GB2312" w:cs="CESI仿宋-GB2312"/>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30.00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92.87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 w:val="18"/>
                <w:szCs w:val="18"/>
              </w:rPr>
            </w:pPr>
            <w:r>
              <w:rPr>
                <w:rFonts w:hint="eastAsia" w:ascii="CESI仿宋-GB2312" w:hAnsi="CESI仿宋-GB2312" w:eastAsia="CESI仿宋-GB2312" w:cs="CESI仿宋-GB2312"/>
                <w:i w:val="0"/>
                <w:iCs w:val="0"/>
                <w:color w:val="000000"/>
                <w:kern w:val="0"/>
                <w:sz w:val="18"/>
                <w:szCs w:val="18"/>
                <w:u w:val="none"/>
                <w:lang w:val="en-US" w:eastAsia="zh-CN" w:bidi="ar"/>
              </w:rPr>
              <w:t>4.80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18"/>
              </w:rPr>
            </w:pPr>
            <w:r>
              <w:rPr>
                <w:rFonts w:hint="eastAsia" w:ascii="CESI仿宋-GB2312" w:hAnsi="CESI仿宋-GB2312" w:eastAsia="CESI仿宋-GB2312" w:cs="CESI仿宋-GB2312"/>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18"/>
              </w:rPr>
            </w:pPr>
            <w:r>
              <w:rPr>
                <w:rFonts w:hint="eastAsia" w:ascii="CESI仿宋-GB2312" w:hAnsi="CESI仿宋-GB2312" w:eastAsia="CESI仿宋-GB2312" w:cs="CESI仿宋-GB2312"/>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hint="eastAsia" w:ascii="CESI仿宋-GB2312" w:hAnsi="CESI仿宋-GB2312" w:eastAsia="CESI仿宋-GB2312" w:cs="CESI仿宋-GB2312"/>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i w:val="0"/>
                <w:iCs w:val="0"/>
                <w:color w:val="000000"/>
                <w:kern w:val="0"/>
                <w:sz w:val="22"/>
                <w:szCs w:val="22"/>
                <w:u w:val="none"/>
                <w:lang w:val="en-US" w:eastAsia="zh-CN" w:bidi="ar"/>
              </w:rPr>
              <w:t>90.00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18"/>
              </w:rPr>
            </w:pPr>
            <w:r>
              <w:rPr>
                <w:rFonts w:hint="eastAsia" w:ascii="CESI仿宋-GB2312" w:hAnsi="CESI仿宋-GB2312" w:eastAsia="CESI仿宋-GB2312" w:cs="CESI仿宋-GB2312"/>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18"/>
              </w:rPr>
            </w:pPr>
            <w:r>
              <w:rPr>
                <w:rFonts w:hint="eastAsia" w:ascii="CESI仿宋-GB2312" w:hAnsi="CESI仿宋-GB2312" w:eastAsia="CESI仿宋-GB2312" w:cs="CESI仿宋-GB2312"/>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　</w:t>
            </w: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tabs>
                <w:tab w:val="left" w:pos="396"/>
              </w:tabs>
              <w:jc w:val="left"/>
              <w:rPr>
                <w:rFonts w:hint="eastAsia" w:ascii="CESI仿宋-GB2312" w:hAnsi="CESI仿宋-GB2312" w:eastAsia="CESI仿宋-GB2312" w:cs="CESI仿宋-GB2312"/>
                <w:color w:val="000000"/>
                <w:kern w:val="0"/>
                <w:szCs w:val="20"/>
                <w:lang w:val="en-US" w:eastAsia="zh-CN"/>
              </w:rPr>
            </w:pPr>
            <w:r>
              <w:rPr>
                <w:rFonts w:hint="eastAsia" w:ascii="CESI仿宋-GB2312" w:hAnsi="CESI仿宋-GB2312" w:eastAsia="CESI仿宋-GB2312" w:cs="CESI仿宋-GB2312"/>
                <w:color w:val="000000"/>
                <w:kern w:val="0"/>
                <w:szCs w:val="20"/>
                <w:lang w:val="en-US" w:eastAsia="zh-CN"/>
              </w:rPr>
              <w:t>2569.11</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CESI仿宋-GB2312" w:hAnsi="CESI仿宋-GB2312" w:eastAsia="CESI仿宋-GB2312" w:cs="CESI仿宋-GB2312"/>
                <w:color w:val="000000"/>
                <w:kern w:val="0"/>
                <w:szCs w:val="20"/>
              </w:rPr>
            </w:pPr>
            <w:r>
              <w:rPr>
                <w:rFonts w:hint="eastAsia" w:ascii="CESI仿宋-GB2312" w:hAnsi="CESI仿宋-GB2312" w:eastAsia="CESI仿宋-GB2312" w:cs="CESI仿宋-GB2312"/>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tabs>
                <w:tab w:val="left" w:pos="396"/>
              </w:tabs>
              <w:jc w:val="left"/>
              <w:rPr>
                <w:rFonts w:hint="eastAsia" w:ascii="CESI仿宋-GB2312" w:hAnsi="CESI仿宋-GB2312" w:eastAsia="CESI仿宋-GB2312" w:cs="CESI仿宋-GB2312"/>
                <w:color w:val="000000"/>
                <w:kern w:val="0"/>
                <w:szCs w:val="18"/>
                <w:lang w:val="en-US" w:eastAsia="zh-CN"/>
              </w:rPr>
            </w:pPr>
            <w:r>
              <w:rPr>
                <w:rFonts w:hint="eastAsia" w:ascii="CESI仿宋-GB2312" w:hAnsi="CESI仿宋-GB2312" w:eastAsia="CESI仿宋-GB2312" w:cs="CESI仿宋-GB2312"/>
                <w:color w:val="000000"/>
                <w:kern w:val="0"/>
                <w:szCs w:val="18"/>
                <w:lang w:val="en-US" w:eastAsia="zh-CN"/>
              </w:rPr>
              <w:t>491.57</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0"/>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8"/>
                <w:rFonts w:hint="default" w:ascii="Times New Roman" w:hAnsi="Times New Roman" w:eastAsia="仿宋_GB2312" w:cs="Times New Roman"/>
                <w:b/>
                <w:bCs/>
                <w:lang w:bidi="ar"/>
              </w:rPr>
              <w:t xml:space="preserve">   </w:t>
            </w:r>
            <w:r>
              <w:rPr>
                <w:rStyle w:val="19"/>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both"/>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0"/>
        <w:tblW w:w="14217" w:type="dxa"/>
        <w:tblInd w:w="0" w:type="dxa"/>
        <w:tblLayout w:type="fixed"/>
        <w:tblCellMar>
          <w:top w:w="0" w:type="dxa"/>
          <w:left w:w="108" w:type="dxa"/>
          <w:bottom w:w="0" w:type="dxa"/>
          <w:right w:w="108" w:type="dxa"/>
        </w:tblCellMar>
      </w:tblPr>
      <w:tblGrid>
        <w:gridCol w:w="3094"/>
        <w:gridCol w:w="3097"/>
        <w:gridCol w:w="1832"/>
        <w:gridCol w:w="3097"/>
        <w:gridCol w:w="3097"/>
      </w:tblGrid>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0"/>
                <w:rFonts w:hint="default" w:ascii="Times New Roman" w:hAnsi="Times New Roman" w:eastAsia="仿宋_GB2312" w:cs="Times New Roman"/>
                <w:b/>
                <w:bCs/>
                <w:lang w:bidi="ar"/>
              </w:rPr>
              <w:t>目</w:t>
            </w:r>
          </w:p>
        </w:tc>
        <w:tc>
          <w:tcPr>
            <w:tcW w:w="80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pStyle w:val="9"/>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eastAsia="zh-CN" w:bidi="ar"/>
        </w:rPr>
        <w:t>湖南省农机事务中心</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0"/>
        <w:tblW w:w="14541" w:type="dxa"/>
        <w:jc w:val="center"/>
        <w:tblLayout w:type="fixed"/>
        <w:tblCellMar>
          <w:top w:w="0" w:type="dxa"/>
          <w:left w:w="108" w:type="dxa"/>
          <w:bottom w:w="0" w:type="dxa"/>
          <w:right w:w="108" w:type="dxa"/>
        </w:tblCellMar>
      </w:tblPr>
      <w:tblGrid>
        <w:gridCol w:w="934"/>
        <w:gridCol w:w="1227"/>
        <w:gridCol w:w="1085"/>
        <w:gridCol w:w="1187"/>
        <w:gridCol w:w="1422"/>
        <w:gridCol w:w="1381"/>
        <w:gridCol w:w="1047"/>
        <w:gridCol w:w="1163"/>
        <w:gridCol w:w="1163"/>
        <w:gridCol w:w="1163"/>
        <w:gridCol w:w="1361"/>
        <w:gridCol w:w="1408"/>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预算数</w:t>
            </w:r>
          </w:p>
        </w:tc>
        <w:tc>
          <w:tcPr>
            <w:tcW w:w="73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决算数</w:t>
            </w:r>
          </w:p>
        </w:tc>
      </w:tr>
      <w:tr>
        <w:tblPrEx>
          <w:tblCellMar>
            <w:top w:w="0" w:type="dxa"/>
            <w:left w:w="108" w:type="dxa"/>
            <w:bottom w:w="0" w:type="dxa"/>
            <w:right w:w="108" w:type="dxa"/>
          </w:tblCellMar>
        </w:tblPrEx>
        <w:trPr>
          <w:trHeight w:val="495" w:hRule="atLeast"/>
          <w:jc w:val="center"/>
        </w:trPr>
        <w:tc>
          <w:tcPr>
            <w:tcW w:w="9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合计</w:t>
            </w: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因公出国（境）费</w:t>
            </w:r>
          </w:p>
        </w:tc>
        <w:tc>
          <w:tcPr>
            <w:tcW w:w="36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公务用车购置及运行维护费</w:t>
            </w:r>
          </w:p>
        </w:tc>
        <w:tc>
          <w:tcPr>
            <w:tcW w:w="13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公务接待费</w:t>
            </w:r>
          </w:p>
        </w:tc>
        <w:tc>
          <w:tcPr>
            <w:tcW w:w="10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合计</w:t>
            </w:r>
          </w:p>
        </w:tc>
        <w:tc>
          <w:tcPr>
            <w:tcW w:w="11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因公出国（境）费</w:t>
            </w:r>
          </w:p>
        </w:tc>
        <w:tc>
          <w:tcPr>
            <w:tcW w:w="36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公务用车购置及运行维护费</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公务接待费</w:t>
            </w:r>
          </w:p>
        </w:tc>
      </w:tr>
      <w:tr>
        <w:tblPrEx>
          <w:tblCellMar>
            <w:top w:w="0" w:type="dxa"/>
            <w:left w:w="108" w:type="dxa"/>
            <w:bottom w:w="0" w:type="dxa"/>
            <w:right w:w="108" w:type="dxa"/>
          </w:tblCellMar>
        </w:tblPrEx>
        <w:trPr>
          <w:trHeight w:val="864" w:hRule="atLeast"/>
          <w:jc w:val="center"/>
        </w:trPr>
        <w:tc>
          <w:tcPr>
            <w:tcW w:w="9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CESI仿宋-GB2312" w:hAnsi="CESI仿宋-GB2312" w:eastAsia="CESI仿宋-GB2312" w:cs="CESI仿宋-GB2312"/>
                <w:color w:val="000000"/>
                <w:sz w:val="22"/>
                <w:szCs w:val="22"/>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CESI仿宋-GB2312" w:hAnsi="CESI仿宋-GB2312" w:eastAsia="CESI仿宋-GB2312" w:cs="CESI仿宋-GB2312"/>
                <w:color w:val="000000"/>
                <w:sz w:val="22"/>
                <w:szCs w:val="22"/>
              </w:rPr>
            </w:pP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小计</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公务用车</w:t>
            </w:r>
            <w:r>
              <w:rPr>
                <w:rFonts w:hint="eastAsia" w:ascii="CESI仿宋-GB2312" w:hAnsi="CESI仿宋-GB2312" w:eastAsia="CESI仿宋-GB2312" w:cs="CESI仿宋-GB2312"/>
                <w:b/>
                <w:bCs/>
                <w:color w:val="000000"/>
                <w:kern w:val="0"/>
                <w:sz w:val="22"/>
                <w:szCs w:val="22"/>
                <w:lang w:bidi="ar"/>
              </w:rPr>
              <w:br w:type="textWrapping"/>
            </w:r>
            <w:r>
              <w:rPr>
                <w:rFonts w:hint="eastAsia" w:ascii="CESI仿宋-GB2312" w:hAnsi="CESI仿宋-GB2312" w:eastAsia="CESI仿宋-GB2312" w:cs="CESI仿宋-GB2312"/>
                <w:b/>
                <w:bCs/>
                <w:color w:val="000000"/>
                <w:kern w:val="0"/>
                <w:sz w:val="22"/>
                <w:szCs w:val="22"/>
                <w:lang w:bidi="ar"/>
              </w:rPr>
              <w:t>购置费</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公务用车</w:t>
            </w:r>
            <w:r>
              <w:rPr>
                <w:rFonts w:hint="eastAsia" w:ascii="CESI仿宋-GB2312" w:hAnsi="CESI仿宋-GB2312" w:eastAsia="CESI仿宋-GB2312" w:cs="CESI仿宋-GB2312"/>
                <w:b/>
                <w:bCs/>
                <w:color w:val="000000"/>
                <w:kern w:val="0"/>
                <w:sz w:val="22"/>
                <w:szCs w:val="22"/>
                <w:lang w:bidi="ar"/>
              </w:rPr>
              <w:br w:type="textWrapping"/>
            </w:r>
            <w:r>
              <w:rPr>
                <w:rFonts w:hint="eastAsia" w:ascii="CESI仿宋-GB2312" w:hAnsi="CESI仿宋-GB2312" w:eastAsia="CESI仿宋-GB2312" w:cs="CESI仿宋-GB2312"/>
                <w:b/>
                <w:bCs/>
                <w:color w:val="000000"/>
                <w:kern w:val="0"/>
                <w:sz w:val="22"/>
                <w:szCs w:val="22"/>
                <w:lang w:bidi="ar"/>
              </w:rPr>
              <w:t>运行维护费</w:t>
            </w:r>
          </w:p>
        </w:tc>
        <w:tc>
          <w:tcPr>
            <w:tcW w:w="13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CESI仿宋-GB2312" w:hAnsi="CESI仿宋-GB2312" w:eastAsia="CESI仿宋-GB2312" w:cs="CESI仿宋-GB2312"/>
                <w:color w:val="000000"/>
                <w:sz w:val="22"/>
                <w:szCs w:val="22"/>
              </w:rPr>
            </w:pPr>
          </w:p>
        </w:tc>
        <w:tc>
          <w:tcPr>
            <w:tcW w:w="10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CESI仿宋-GB2312" w:hAnsi="CESI仿宋-GB2312" w:eastAsia="CESI仿宋-GB2312" w:cs="CESI仿宋-GB2312"/>
                <w:color w:val="000000"/>
                <w:sz w:val="22"/>
                <w:szCs w:val="22"/>
              </w:rPr>
            </w:pPr>
          </w:p>
        </w:tc>
        <w:tc>
          <w:tcPr>
            <w:tcW w:w="11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CESI仿宋-GB2312" w:hAnsi="CESI仿宋-GB2312" w:eastAsia="CESI仿宋-GB2312" w:cs="CESI仿宋-GB2312"/>
                <w:color w:val="000000"/>
                <w:sz w:val="22"/>
                <w:szCs w:val="22"/>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小计</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公务用车</w:t>
            </w:r>
            <w:r>
              <w:rPr>
                <w:rFonts w:hint="eastAsia" w:ascii="CESI仿宋-GB2312" w:hAnsi="CESI仿宋-GB2312" w:eastAsia="CESI仿宋-GB2312" w:cs="CESI仿宋-GB2312"/>
                <w:b/>
                <w:bCs/>
                <w:color w:val="000000"/>
                <w:kern w:val="0"/>
                <w:sz w:val="22"/>
                <w:szCs w:val="22"/>
                <w:lang w:bidi="ar"/>
              </w:rPr>
              <w:br w:type="textWrapping"/>
            </w:r>
            <w:r>
              <w:rPr>
                <w:rFonts w:hint="eastAsia" w:ascii="CESI仿宋-GB2312" w:hAnsi="CESI仿宋-GB2312" w:eastAsia="CESI仿宋-GB2312" w:cs="CESI仿宋-GB2312"/>
                <w:b/>
                <w:bCs/>
                <w:color w:val="000000"/>
                <w:kern w:val="0"/>
                <w:sz w:val="22"/>
                <w:szCs w:val="22"/>
                <w:lang w:bidi="ar"/>
              </w:rPr>
              <w:t>购置费</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b/>
                <w:bCs/>
                <w:color w:val="000000"/>
                <w:sz w:val="22"/>
                <w:szCs w:val="22"/>
              </w:rPr>
            </w:pPr>
            <w:r>
              <w:rPr>
                <w:rFonts w:hint="eastAsia" w:ascii="CESI仿宋-GB2312" w:hAnsi="CESI仿宋-GB2312" w:eastAsia="CESI仿宋-GB2312" w:cs="CESI仿宋-GB2312"/>
                <w:b/>
                <w:bCs/>
                <w:color w:val="000000"/>
                <w:kern w:val="0"/>
                <w:sz w:val="22"/>
                <w:szCs w:val="22"/>
                <w:lang w:bidi="ar"/>
              </w:rPr>
              <w:t>公务用车</w:t>
            </w:r>
            <w:r>
              <w:rPr>
                <w:rFonts w:hint="eastAsia" w:ascii="CESI仿宋-GB2312" w:hAnsi="CESI仿宋-GB2312" w:eastAsia="CESI仿宋-GB2312" w:cs="CESI仿宋-GB2312"/>
                <w:b/>
                <w:bCs/>
                <w:color w:val="000000"/>
                <w:kern w:val="0"/>
                <w:sz w:val="22"/>
                <w:szCs w:val="22"/>
                <w:lang w:bidi="ar"/>
              </w:rPr>
              <w:br w:type="textWrapping"/>
            </w:r>
            <w:r>
              <w:rPr>
                <w:rFonts w:hint="eastAsia" w:ascii="CESI仿宋-GB2312" w:hAnsi="CESI仿宋-GB2312" w:eastAsia="CESI仿宋-GB2312" w:cs="CESI仿宋-GB2312"/>
                <w:b/>
                <w:bCs/>
                <w:color w:val="000000"/>
                <w:kern w:val="0"/>
                <w:sz w:val="22"/>
                <w:szCs w:val="22"/>
                <w:lang w:bidi="ar"/>
              </w:rPr>
              <w:t>运行维护费</w:t>
            </w: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CESI仿宋-GB2312" w:hAnsi="CESI仿宋-GB2312" w:eastAsia="CESI仿宋-GB2312" w:cs="CESI仿宋-GB2312"/>
                <w:color w:val="000000"/>
                <w:sz w:val="22"/>
                <w:szCs w:val="22"/>
              </w:rPr>
            </w:pPr>
          </w:p>
        </w:tc>
      </w:tr>
      <w:tr>
        <w:tblPrEx>
          <w:tblCellMar>
            <w:top w:w="0" w:type="dxa"/>
            <w:left w:w="108" w:type="dxa"/>
            <w:bottom w:w="0" w:type="dxa"/>
            <w:right w:w="108" w:type="dxa"/>
          </w:tblCellMar>
        </w:tblPrEx>
        <w:trPr>
          <w:trHeight w:val="614"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1</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2</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3</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4</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5</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6</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7</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8</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9</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10</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11</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color w:val="000000"/>
                <w:kern w:val="0"/>
                <w:sz w:val="22"/>
                <w:szCs w:val="22"/>
                <w:lang w:bidi="ar"/>
              </w:rPr>
              <w:t>12</w:t>
            </w:r>
          </w:p>
        </w:tc>
      </w:tr>
      <w:tr>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87.00</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27.00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50.00</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20.00</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30.00</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10.00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64.74</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21.50</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42.60</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12.60</w:t>
            </w:r>
          </w:p>
        </w:tc>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30.00</w:t>
            </w:r>
          </w:p>
        </w:tc>
        <w:tc>
          <w:tcPr>
            <w:tcW w:w="14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CESI仿宋-GB2312" w:hAnsi="CESI仿宋-GB2312" w:eastAsia="CESI仿宋-GB2312" w:cs="CESI仿宋-GB2312"/>
                <w:color w:val="000000"/>
                <w:sz w:val="22"/>
                <w:szCs w:val="22"/>
              </w:rPr>
            </w:pPr>
            <w:r>
              <w:rPr>
                <w:rFonts w:hint="eastAsia" w:ascii="CESI仿宋-GB2312" w:hAnsi="CESI仿宋-GB2312" w:eastAsia="CESI仿宋-GB2312" w:cs="CESI仿宋-GB2312"/>
                <w:i w:val="0"/>
                <w:iCs w:val="0"/>
                <w:color w:val="000000"/>
                <w:kern w:val="0"/>
                <w:sz w:val="22"/>
                <w:szCs w:val="22"/>
                <w:u w:val="none"/>
                <w:lang w:val="en-US" w:eastAsia="zh-CN" w:bidi="ar"/>
              </w:rPr>
              <w:t>0.64</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eastAsia="黑体" w:cs="Times New Roman"/>
          <w:szCs w:val="21"/>
        </w:rPr>
        <w:br w:type="page"/>
      </w: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eastAsia="方正小标宋_GBK" w:cs="Times New Roman"/>
          <w:sz w:val="72"/>
          <w:szCs w:val="72"/>
        </w:rPr>
      </w:pP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5842.09</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541.85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8.49</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val="en-US" w:eastAsia="zh-CN"/>
        </w:rPr>
        <w:t>2023年年中</w:t>
      </w:r>
      <w:r>
        <w:rPr>
          <w:rFonts w:hint="eastAsia" w:ascii="仿宋" w:hAnsi="仿宋" w:eastAsia="仿宋" w:cs="仿宋"/>
          <w:color w:val="auto"/>
          <w:sz w:val="32"/>
          <w:szCs w:val="32"/>
          <w:highlight w:val="none"/>
          <w:lang w:eastAsia="zh-CN"/>
        </w:rPr>
        <w:t>追加了一体化项目资金，</w:t>
      </w:r>
      <w:r>
        <w:rPr>
          <w:rFonts w:hint="eastAsia" w:ascii="仿宋" w:hAnsi="仿宋" w:eastAsia="仿宋" w:cs="仿宋"/>
          <w:color w:val="auto"/>
          <w:sz w:val="32"/>
          <w:szCs w:val="32"/>
          <w:highlight w:val="none"/>
          <w:lang w:val="en-US" w:eastAsia="zh-CN"/>
        </w:rPr>
        <w:t>2024年无追加</w:t>
      </w:r>
      <w:r>
        <w:rPr>
          <w:rFonts w:hint="eastAsia" w:ascii="仿宋" w:hAnsi="仿宋" w:eastAsia="仿宋" w:cs="仿宋"/>
          <w:color w:val="auto"/>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rPr>
        <w:t>4679.47</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rPr>
        <w:t>4613.71</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98.59</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rPr>
        <w:t>65.76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1.41</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rPr>
        <w:t>4666.73</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3060.67</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65.58</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rPr>
        <w:t>1606.05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34.42</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rPr>
        <w:t>5762.22</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571.05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lang w:val="en-US" w:eastAsia="zh-CN"/>
        </w:rPr>
        <w:t>9.02</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highlight w:val="none"/>
          <w:lang w:val="en-US" w:eastAsia="zh-CN"/>
        </w:rPr>
        <w:t>2023年年中</w:t>
      </w:r>
      <w:r>
        <w:rPr>
          <w:rFonts w:hint="eastAsia" w:ascii="仿宋" w:hAnsi="仿宋" w:eastAsia="仿宋" w:cs="仿宋"/>
          <w:color w:val="auto"/>
          <w:sz w:val="32"/>
          <w:szCs w:val="32"/>
          <w:highlight w:val="none"/>
          <w:lang w:eastAsia="zh-CN"/>
        </w:rPr>
        <w:t>追加了一体化项目资金，</w:t>
      </w:r>
      <w:r>
        <w:rPr>
          <w:rFonts w:hint="eastAsia" w:ascii="仿宋" w:hAnsi="仿宋" w:eastAsia="仿宋" w:cs="仿宋"/>
          <w:color w:val="auto"/>
          <w:sz w:val="32"/>
          <w:szCs w:val="32"/>
          <w:highlight w:val="none"/>
          <w:lang w:val="en-US" w:eastAsia="zh-CN"/>
        </w:rPr>
        <w:t>2024年无追加</w:t>
      </w:r>
      <w:r>
        <w:rPr>
          <w:rFonts w:hint="eastAsia" w:ascii="仿宋" w:hAnsi="仿宋" w:eastAsia="仿宋" w:cs="仿宋"/>
          <w:color w:val="auto"/>
          <w:sz w:val="32"/>
          <w:szCs w:val="32"/>
          <w:highlight w:val="none"/>
          <w:lang w:eastAsia="zh-CN"/>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5"/>
        <w:ind w:firstLine="640" w:firstLineChars="200"/>
        <w:rPr>
          <w:rFonts w:hint="eastAsia" w:ascii="Times New Roman" w:hAnsi="Times New Roman" w:eastAsia="仿宋_GB2312" w:cs="Times New Roman"/>
          <w:color w:val="auto"/>
          <w:sz w:val="32"/>
          <w:szCs w:val="32"/>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4645.66</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80.62</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22.99</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0.5</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rPr>
        <w:t>主要是因为</w:t>
      </w:r>
      <w:r>
        <w:rPr>
          <w:rFonts w:hint="eastAsia" w:ascii="Times New Roman" w:hAnsi="Times New Roman" w:eastAsia="仿宋_GB2312"/>
          <w:sz w:val="32"/>
          <w:szCs w:val="32"/>
        </w:rPr>
        <w:t>财政年中追加了死亡抚恤金指标并完成发放。</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5"/>
        <w:overflowPunct w:val="0"/>
        <w:autoSpaceDE/>
        <w:autoSpaceDN/>
        <w:spacing w:line="600" w:lineRule="exact"/>
        <w:ind w:firstLine="640" w:firstLineChars="200"/>
        <w:jc w:val="both"/>
        <w:rPr>
          <w:rFonts w:hint="eastAsia" w:asciiTheme="minorEastAsia" w:hAnsiTheme="minorEastAsia" w:eastAsiaTheme="minorEastAsia"/>
          <w:color w:val="auto"/>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4645.66</w:t>
      </w:r>
      <w:r>
        <w:rPr>
          <w:rFonts w:ascii="Times New Roman" w:hAnsi="Times New Roman" w:eastAsia="仿宋_GB2312" w:cs="Times New Roman"/>
          <w:sz w:val="32"/>
          <w:szCs w:val="32"/>
        </w:rPr>
        <w:t>万元，主要用于以下方面：</w:t>
      </w:r>
      <w:r>
        <w:rPr>
          <w:rFonts w:hint="eastAsia" w:ascii="Times New Roman" w:hAnsi="Times New Roman" w:eastAsia="仿宋_GB2312" w:cs="Times New Roman"/>
          <w:sz w:val="32"/>
          <w:szCs w:val="32"/>
        </w:rPr>
        <w:t>教育支出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104.97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2.26</w:t>
      </w:r>
      <w:r>
        <w:rPr>
          <w:rFonts w:hint="eastAsia" w:ascii="Times New Roman" w:hAnsi="Times New Roman" w:eastAsia="仿宋_GB2312"/>
          <w:sz w:val="32"/>
          <w:szCs w:val="32"/>
        </w:rPr>
        <w:t>%；社会保障和就业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742.63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16</w:t>
      </w:r>
      <w:r>
        <w:rPr>
          <w:rFonts w:hint="eastAsia" w:ascii="Times New Roman" w:hAnsi="Times New Roman" w:eastAsia="仿宋_GB2312"/>
          <w:sz w:val="32"/>
          <w:szCs w:val="32"/>
        </w:rPr>
        <w:t>%；卫生健康</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223.59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4.81</w:t>
      </w:r>
      <w:r>
        <w:rPr>
          <w:rFonts w:hint="eastAsia" w:ascii="Times New Roman" w:hAnsi="Times New Roman" w:eastAsia="仿宋_GB2312"/>
          <w:sz w:val="32"/>
          <w:szCs w:val="32"/>
        </w:rPr>
        <w:t>%；农林水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类）支出3384.47万元，占</w:t>
      </w:r>
      <w:r>
        <w:rPr>
          <w:rFonts w:hint="eastAsia" w:ascii="Times New Roman" w:hAnsi="Times New Roman" w:eastAsia="仿宋_GB2312"/>
          <w:sz w:val="32"/>
          <w:szCs w:val="32"/>
          <w:lang w:val="en-US" w:eastAsia="zh-CN"/>
        </w:rPr>
        <w:t>72.85</w:t>
      </w:r>
      <w:r>
        <w:rPr>
          <w:rFonts w:hint="eastAsia" w:ascii="Times New Roman" w:hAnsi="Times New Roman" w:eastAsia="仿宋_GB2312"/>
          <w:sz w:val="32"/>
          <w:szCs w:val="32"/>
        </w:rPr>
        <w:t>%；住房保障（类）支出</w:t>
      </w:r>
      <w:r>
        <w:rPr>
          <w:rFonts w:hint="eastAsia" w:ascii="Times New Roman" w:hAnsi="Times New Roman" w:eastAsia="仿宋_GB2312"/>
          <w:sz w:val="32"/>
          <w:szCs w:val="32"/>
          <w:lang w:val="en-US" w:eastAsia="zh-CN"/>
        </w:rPr>
        <w:t>190.00</w:t>
      </w:r>
      <w:r>
        <w:rPr>
          <w:rFonts w:hint="eastAsia" w:asciiTheme="minorEastAsia" w:hAnsiTheme="minorEastAsia" w:eastAsiaTheme="minorEastAsia"/>
          <w:color w:val="auto"/>
          <w:sz w:val="32"/>
          <w:szCs w:val="32"/>
        </w:rPr>
        <w:t>万元，占</w:t>
      </w:r>
      <w:r>
        <w:rPr>
          <w:rFonts w:hint="eastAsia" w:asciiTheme="minorEastAsia" w:hAnsiTheme="minorEastAsia" w:eastAsiaTheme="minorEastAsia"/>
          <w:color w:val="auto"/>
          <w:sz w:val="32"/>
          <w:szCs w:val="32"/>
          <w:lang w:val="en-US" w:eastAsia="zh-CN"/>
        </w:rPr>
        <w:t>4.09</w:t>
      </w:r>
      <w:r>
        <w:rPr>
          <w:rFonts w:hint="eastAsia" w:asciiTheme="minorEastAsia" w:hAnsiTheme="minorEastAsia" w:eastAsiaTheme="minorEastAsia"/>
          <w:color w:val="auto"/>
          <w:sz w:val="32"/>
          <w:szCs w:val="32"/>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4440.97</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4645.66</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104.61</w:t>
      </w:r>
      <w:r>
        <w:rPr>
          <w:rFonts w:ascii="Times New Roman" w:hAnsi="Times New Roman" w:eastAsia="仿宋_GB2312" w:cs="Times New Roman"/>
          <w:sz w:val="32"/>
          <w:szCs w:val="32"/>
        </w:rPr>
        <w:t>%，其中：</w:t>
      </w:r>
    </w:p>
    <w:p>
      <w:pPr>
        <w:pStyle w:val="15"/>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1、社会保障和就业支出（类）行政事业单位养老支出（款）事业单位离退休（项）。</w:t>
      </w:r>
    </w:p>
    <w:p>
      <w:pPr>
        <w:pStyle w:val="15"/>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456</w:t>
      </w:r>
      <w:r>
        <w:rPr>
          <w:rFonts w:hint="eastAsia" w:ascii="Times New Roman" w:hAnsi="Times New Roman" w:eastAsia="仿宋_GB2312"/>
          <w:sz w:val="32"/>
          <w:szCs w:val="32"/>
        </w:rPr>
        <w:t>万元，支出决算为4</w:t>
      </w:r>
      <w:r>
        <w:rPr>
          <w:rFonts w:hint="eastAsia" w:ascii="Times New Roman" w:hAnsi="Times New Roman" w:eastAsia="仿宋_GB2312"/>
          <w:sz w:val="32"/>
          <w:szCs w:val="32"/>
          <w:lang w:val="en-US" w:eastAsia="zh-CN"/>
        </w:rPr>
        <w:t>56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5"/>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2、社会保障和就业支出（类）行政事业单位养老支出（款）机关事业单位基本养老保险缴费支出（项）</w:t>
      </w:r>
    </w:p>
    <w:p>
      <w:pPr>
        <w:pStyle w:val="15"/>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220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220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p>
    <w:p>
      <w:pPr>
        <w:pStyle w:val="15"/>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3、社会保障和就业支出（类）抚恤支出（款）死亡抚恤（项）</w:t>
      </w:r>
    </w:p>
    <w:p>
      <w:pPr>
        <w:pStyle w:val="15"/>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年初预算为0万元，支出决算为</w:t>
      </w:r>
      <w:r>
        <w:rPr>
          <w:rFonts w:hint="eastAsia" w:ascii="Times New Roman" w:hAnsi="Times New Roman" w:eastAsia="仿宋_GB2312"/>
          <w:sz w:val="32"/>
          <w:szCs w:val="32"/>
          <w:lang w:val="en-US" w:eastAsia="zh-CN"/>
        </w:rPr>
        <w:t>51.63</w:t>
      </w:r>
      <w:r>
        <w:rPr>
          <w:rFonts w:hint="eastAsia" w:ascii="Times New Roman" w:hAnsi="Times New Roman" w:eastAsia="仿宋_GB2312"/>
          <w:sz w:val="32"/>
          <w:szCs w:val="32"/>
        </w:rPr>
        <w:t>万元，完成年初预算的100%，决算数大于年初预算数的主要原因是：财政年中追加了死亡抚恤金指标并完成发放。</w:t>
      </w:r>
    </w:p>
    <w:p>
      <w:pPr>
        <w:pStyle w:val="15"/>
        <w:numPr>
          <w:ilvl w:val="0"/>
          <w:numId w:val="1"/>
        </w:numPr>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社会保障和就业支出（类）抚恤支出（款）其他社会保障和就业支出（项）</w:t>
      </w:r>
    </w:p>
    <w:p>
      <w:pPr>
        <w:pStyle w:val="15"/>
        <w:numPr>
          <w:ilvl w:val="0"/>
          <w:numId w:val="0"/>
        </w:numPr>
        <w:ind w:firstLine="420" w:firstLineChars="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万元，完成年初预算的100%</w:t>
      </w:r>
      <w:r>
        <w:rPr>
          <w:rFonts w:hint="eastAsia" w:ascii="Times New Roman" w:hAnsi="Times New Roman" w:eastAsia="仿宋_GB2312"/>
          <w:sz w:val="32"/>
          <w:szCs w:val="32"/>
          <w:lang w:eastAsia="zh-CN"/>
        </w:rPr>
        <w:t>。</w:t>
      </w:r>
    </w:p>
    <w:p>
      <w:pPr>
        <w:pStyle w:val="15"/>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、农林水支出（类）农业农村（款）行政运行（项）</w:t>
      </w:r>
    </w:p>
    <w:p>
      <w:pPr>
        <w:pStyle w:val="15"/>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年初预算</w:t>
      </w:r>
      <w:r>
        <w:rPr>
          <w:rFonts w:hint="eastAsia" w:ascii="Times New Roman" w:hAnsi="Times New Roman" w:eastAsia="仿宋_GB2312"/>
          <w:sz w:val="32"/>
          <w:szCs w:val="32"/>
          <w:lang w:val="en-US" w:eastAsia="zh-CN"/>
        </w:rPr>
        <w:t>2152.34</w:t>
      </w:r>
      <w:r>
        <w:rPr>
          <w:rFonts w:hint="eastAsia" w:ascii="Times New Roman" w:hAnsi="Times New Roman" w:eastAsia="仿宋_GB2312"/>
          <w:sz w:val="32"/>
          <w:szCs w:val="32"/>
        </w:rPr>
        <w:t>万元，支出决算为2</w:t>
      </w:r>
      <w:r>
        <w:rPr>
          <w:rFonts w:hint="eastAsia" w:ascii="Times New Roman" w:hAnsi="Times New Roman" w:eastAsia="仿宋_GB2312"/>
          <w:sz w:val="32"/>
          <w:szCs w:val="32"/>
          <w:lang w:val="en-US" w:eastAsia="zh-CN"/>
        </w:rPr>
        <w:t>028.49</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94.25</w:t>
      </w:r>
      <w:r>
        <w:rPr>
          <w:rFonts w:hint="eastAsia" w:ascii="Times New Roman" w:hAnsi="Times New Roman" w:eastAsia="仿宋_GB2312"/>
          <w:sz w:val="32"/>
          <w:szCs w:val="32"/>
        </w:rPr>
        <w:t>%，决算</w:t>
      </w:r>
      <w:r>
        <w:rPr>
          <w:rFonts w:hint="eastAsia" w:ascii="Times New Roman" w:hAnsi="Times New Roman" w:eastAsia="仿宋_GB2312"/>
          <w:sz w:val="32"/>
          <w:szCs w:val="32"/>
          <w:lang w:val="en-US" w:eastAsia="zh-CN"/>
        </w:rPr>
        <w:t>数小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eastAsia="zh-CN"/>
        </w:rPr>
        <w:t>：人员经费和公用经费年底有结余</w:t>
      </w:r>
      <w:r>
        <w:rPr>
          <w:rFonts w:hint="eastAsia" w:ascii="Times New Roman" w:hAnsi="Times New Roman" w:eastAsia="仿宋_GB2312"/>
          <w:sz w:val="32"/>
          <w:szCs w:val="32"/>
        </w:rPr>
        <w:t>。</w:t>
      </w:r>
    </w:p>
    <w:p>
      <w:pPr>
        <w:pStyle w:val="15"/>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6、农林水支出（类）农业农村（款）科技转化与推广服务（项）</w:t>
      </w:r>
    </w:p>
    <w:p>
      <w:pPr>
        <w:pStyle w:val="15"/>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年初预算为1206.14万元，支出决算为563.46万元，完成年初预算的46.72%，决算数小于年初预算数的主要原因是：项目跨年实施。</w:t>
      </w:r>
    </w:p>
    <w:p>
      <w:pPr>
        <w:pStyle w:val="15"/>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7、农林水支出（类）农业农村（款）农业生产发展（项）</w:t>
      </w:r>
    </w:p>
    <w:p>
      <w:pPr>
        <w:pStyle w:val="15"/>
        <w:ind w:firstLine="640" w:firstLineChars="200"/>
        <w:rPr>
          <w:rFonts w:hint="eastAsia" w:ascii="Times New Roman" w:hAnsi="Times New Roman" w:eastAsia="仿宋_GB2312"/>
          <w:sz w:val="32"/>
          <w:szCs w:val="32"/>
          <w:highlight w:val="yellow"/>
          <w:lang w:val="en-US" w:eastAsia="zh-CN"/>
        </w:rPr>
      </w:pPr>
      <w:r>
        <w:rPr>
          <w:rFonts w:hint="eastAsia" w:ascii="Times New Roman" w:hAnsi="Times New Roman" w:eastAsia="仿宋_GB2312"/>
          <w:sz w:val="32"/>
          <w:szCs w:val="32"/>
          <w:lang w:val="en-US" w:eastAsia="zh-CN"/>
        </w:rPr>
        <w:t>年初预算为789.6万元，支出决算为558.53万元，完成年初预算的70.74%，决算数小于年初预算数的</w:t>
      </w:r>
      <w:r>
        <w:rPr>
          <w:rFonts w:hint="eastAsia" w:ascii="Times New Roman" w:hAnsi="Times New Roman" w:eastAsia="仿宋_GB2312"/>
          <w:color w:val="auto"/>
          <w:sz w:val="32"/>
          <w:szCs w:val="32"/>
          <w:lang w:val="en-US" w:eastAsia="zh-CN"/>
        </w:rPr>
        <w:t>主要原因</w:t>
      </w:r>
      <w:r>
        <w:rPr>
          <w:rFonts w:hint="eastAsia" w:ascii="Times New Roman" w:hAnsi="Times New Roman" w:eastAsia="仿宋_GB2312"/>
          <w:sz w:val="32"/>
          <w:szCs w:val="32"/>
          <w:lang w:val="en-US" w:eastAsia="zh-CN"/>
        </w:rPr>
        <w:t>是：项目跨年实施。</w:t>
      </w:r>
    </w:p>
    <w:p>
      <w:pPr>
        <w:pStyle w:val="15"/>
        <w:numPr>
          <w:ilvl w:val="0"/>
          <w:numId w:val="2"/>
        </w:num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农林水支出（类）农业农村（款）其他农业农村支出（项）</w:t>
      </w:r>
    </w:p>
    <w:p>
      <w:pPr>
        <w:pStyle w:val="15"/>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lang w:val="en-US" w:eastAsia="zh-CN"/>
        </w:rPr>
        <w:t>年初预算为221.8万元，支出决算为233.99万元，完成年初预算的105.5%，决算数大于年初预算数</w:t>
      </w:r>
      <w:r>
        <w:rPr>
          <w:rFonts w:hint="eastAsia" w:ascii="Times New Roman" w:hAnsi="Times New Roman" w:eastAsia="仿宋_GB2312"/>
          <w:color w:val="auto"/>
          <w:sz w:val="32"/>
          <w:szCs w:val="32"/>
          <w:lang w:val="en-US" w:eastAsia="zh-CN"/>
        </w:rPr>
        <w:t>的主要原因是</w:t>
      </w:r>
      <w:r>
        <w:rPr>
          <w:rFonts w:hint="eastAsia" w:ascii="Times New Roman" w:hAnsi="Times New Roman" w:eastAsia="仿宋_GB2312"/>
          <w:sz w:val="32"/>
          <w:szCs w:val="32"/>
          <w:lang w:val="en-US" w:eastAsia="zh-CN"/>
        </w:rPr>
        <w:t>：</w:t>
      </w:r>
      <w:r>
        <w:rPr>
          <w:rFonts w:hint="eastAsia" w:ascii="Times New Roman" w:hAnsi="Times New Roman" w:eastAsia="仿宋_GB2312"/>
          <w:color w:val="auto"/>
          <w:sz w:val="32"/>
          <w:szCs w:val="32"/>
          <w:lang w:val="en-US" w:eastAsia="zh-CN"/>
        </w:rPr>
        <w:t>资金来源于上年结转结余。</w:t>
      </w:r>
    </w:p>
    <w:p>
      <w:pPr>
        <w:pStyle w:val="15"/>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9、住房保障支出（类）住房改革支出（款）住房公积金（项）</w:t>
      </w:r>
    </w:p>
    <w:p>
      <w:pPr>
        <w:pStyle w:val="15"/>
        <w:overflowPunct w:val="0"/>
        <w:autoSpaceDE/>
        <w:autoSpaceDN/>
        <w:spacing w:line="600" w:lineRule="exact"/>
        <w:ind w:firstLine="640" w:firstLineChars="20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年初预算为190万元，支出决算为190万元，完成年初预算的100%。</w:t>
      </w:r>
    </w:p>
    <w:p>
      <w:pPr>
        <w:pStyle w:val="15"/>
        <w:numPr>
          <w:ilvl w:val="0"/>
          <w:numId w:val="0"/>
        </w:numPr>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10、医疗卫生与计划生育支出（类）行政单位医疗（款）行政单位医疗（项）</w:t>
      </w:r>
    </w:p>
    <w:p>
      <w:pPr>
        <w:pStyle w:val="15"/>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年初预算为124.48万元，支出决算为124.48万元，完成年初预算的100%。</w:t>
      </w:r>
    </w:p>
    <w:p>
      <w:pPr>
        <w:pStyle w:val="15"/>
        <w:numPr>
          <w:ilvl w:val="0"/>
          <w:numId w:val="0"/>
        </w:numPr>
        <w:overflowPunct w:val="0"/>
        <w:autoSpaceDE/>
        <w:autoSpaceDN/>
        <w:spacing w:line="600" w:lineRule="exact"/>
        <w:ind w:leftChars="200" w:firstLine="320" w:firstLineChars="10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11、医疗卫生与计划生育支出（类）行政单位医疗（款）公务员医疗补助（项）</w:t>
      </w:r>
    </w:p>
    <w:p>
      <w:pPr>
        <w:pStyle w:val="15"/>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年初预算为99.11万元，支出决算为99.11万元，完成年初预算的100%。</w:t>
      </w:r>
    </w:p>
    <w:p>
      <w:pPr>
        <w:pStyle w:val="15"/>
        <w:numPr>
          <w:ilvl w:val="0"/>
          <w:numId w:val="0"/>
        </w:numPr>
        <w:overflowPunct w:val="0"/>
        <w:autoSpaceDE/>
        <w:autoSpaceDN/>
        <w:spacing w:line="600" w:lineRule="exact"/>
        <w:ind w:leftChars="200" w:firstLine="320" w:firstLineChars="10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12、教育支出（类）进修及培训（款）培训支出（项）</w:t>
      </w:r>
    </w:p>
    <w:p>
      <w:pPr>
        <w:pStyle w:val="15"/>
        <w:ind w:firstLine="640" w:firstLineChars="200"/>
        <w:rPr>
          <w:rFonts w:hint="default" w:ascii="Times New Roman" w:hAnsi="Times New Roman" w:eastAsia="仿宋_GB2312"/>
          <w:b/>
          <w:bCs/>
          <w:sz w:val="32"/>
          <w:szCs w:val="32"/>
          <w:lang w:val="en-US" w:eastAsia="zh-CN"/>
        </w:rPr>
      </w:pPr>
      <w:r>
        <w:rPr>
          <w:rFonts w:hint="eastAsia" w:ascii="Times New Roman" w:hAnsi="Times New Roman" w:eastAsia="仿宋_GB2312"/>
          <w:sz w:val="32"/>
          <w:szCs w:val="32"/>
          <w:lang w:val="en-US" w:eastAsia="zh-CN"/>
        </w:rPr>
        <w:t>年初预算为135万元，支出决算为104.97万元，完成年初预算的77.76%，决算数小于年初预算数</w:t>
      </w:r>
      <w:r>
        <w:rPr>
          <w:rFonts w:hint="eastAsia" w:ascii="Times New Roman" w:hAnsi="Times New Roman" w:eastAsia="仿宋_GB2312"/>
          <w:color w:val="auto"/>
          <w:sz w:val="32"/>
          <w:szCs w:val="32"/>
          <w:lang w:val="en-US" w:eastAsia="zh-CN"/>
        </w:rPr>
        <w:t>的主要原因是</w:t>
      </w:r>
      <w:r>
        <w:rPr>
          <w:rFonts w:hint="eastAsia" w:ascii="Times New Roman" w:hAnsi="Times New Roman" w:eastAsia="仿宋_GB2312"/>
          <w:sz w:val="32"/>
          <w:szCs w:val="32"/>
          <w:lang w:val="en-US" w:eastAsia="zh-CN"/>
        </w:rPr>
        <w:t>：部分培训调整期数，压缩培训时间，减少费用。</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rPr>
        <w:t>3060.67</w:t>
      </w:r>
      <w:r>
        <w:rPr>
          <w:rFonts w:ascii="Times New Roman" w:hAnsi="Times New Roman" w:eastAsia="仿宋_GB2312" w:cs="Times New Roman"/>
          <w:sz w:val="32"/>
          <w:szCs w:val="32"/>
        </w:rPr>
        <w:t>万元，其中：</w:t>
      </w:r>
    </w:p>
    <w:p>
      <w:pPr>
        <w:pStyle w:val="15"/>
        <w:ind w:firstLine="640" w:firstLineChars="200"/>
        <w:rPr>
          <w:rFonts w:hint="eastAsia" w:ascii="Times New Roman" w:hAnsi="Times New Roman" w:eastAsia="仿宋_GB2312"/>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rPr>
        <w:t>2569.1</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83.94</w:t>
      </w:r>
      <w:r>
        <w:rPr>
          <w:rFonts w:ascii="Times New Roman" w:hAnsi="Times New Roman" w:eastAsia="仿宋_GB2312" w:cs="Times New Roman"/>
          <w:sz w:val="32"/>
          <w:szCs w:val="32"/>
        </w:rPr>
        <w:t>%,</w:t>
      </w:r>
      <w:r>
        <w:rPr>
          <w:rFonts w:hint="eastAsia" w:ascii="Times New Roman" w:hAnsi="Times New Roman" w:eastAsia="仿宋_GB2312"/>
          <w:sz w:val="32"/>
          <w:szCs w:val="32"/>
        </w:rPr>
        <w:t>主要包括基本工资、津贴补贴、奖金、伙食补助费、机关事业单位基本养老保险缴费、住房公积金、职工基本医疗保险缴费、公务员医疗补助缴费、离休费、医疗费补助、生活补助、奖励金等。</w:t>
      </w:r>
    </w:p>
    <w:p>
      <w:pPr>
        <w:pStyle w:val="15"/>
        <w:ind w:firstLine="640" w:firstLineChars="200"/>
        <w:rPr>
          <w:rFonts w:hint="eastAsia" w:ascii="Times New Roman" w:hAnsi="Times New Roman" w:eastAsia="仿宋_GB2312"/>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rPr>
        <w:t>491.57</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16.06</w:t>
      </w:r>
      <w:r>
        <w:rPr>
          <w:rFonts w:ascii="Times New Roman" w:hAnsi="Times New Roman" w:eastAsia="仿宋_GB2312" w:cs="Times New Roman"/>
          <w:sz w:val="32"/>
          <w:szCs w:val="32"/>
        </w:rPr>
        <w:t>%，主要包括</w:t>
      </w:r>
      <w:r>
        <w:rPr>
          <w:rFonts w:hint="eastAsia" w:ascii="Times New Roman" w:hAnsi="Times New Roman" w:eastAsia="仿宋_GB2312"/>
          <w:sz w:val="32"/>
          <w:szCs w:val="32"/>
        </w:rPr>
        <w:t>办公费、印刷费、劳务费、差旅费、维修（护）费、物业管理费、水费、电费、会议费、培训费、公务接待费、公务用车运行维护费、委托业务费、工会经费、福利费、其他交通费用等。</w:t>
      </w:r>
    </w:p>
    <w:p>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87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64.74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74.41</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6.32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10.82</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新购入公务用车按机关事务局要求购置，低于预算数</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eastAsia="zh-CN"/>
        </w:rPr>
        <w:t>本年购入一辆公务用车，上年无购入</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27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21.5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79.63</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5.5</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highlight w:val="none"/>
          <w:lang w:val="en-US" w:eastAsia="zh-CN"/>
        </w:rPr>
        <w:t>20.37</w:t>
      </w:r>
      <w:r>
        <w:rPr>
          <w:rFonts w:ascii="Times New Roman" w:hAnsi="Times New Roman" w:eastAsia="仿宋_GB2312" w:cs="Times New Roman"/>
          <w:sz w:val="32"/>
          <w:szCs w:val="32"/>
          <w:highlight w:val="none"/>
        </w:rPr>
        <w:t>%。决算数小于预算数的</w:t>
      </w:r>
      <w:r>
        <w:rPr>
          <w:rFonts w:ascii="Times New Roman" w:hAnsi="Times New Roman" w:eastAsia="仿宋_GB2312" w:cs="Times New Roman"/>
          <w:color w:val="auto"/>
          <w:sz w:val="32"/>
          <w:szCs w:val="32"/>
          <w:highlight w:val="none"/>
        </w:rPr>
        <w:t>主要原因是</w:t>
      </w:r>
      <w:r>
        <w:rPr>
          <w:rFonts w:hint="eastAsia" w:ascii="Times New Roman" w:hAnsi="Times New Roman" w:eastAsia="仿宋_GB2312" w:cs="Times New Roman"/>
          <w:color w:val="auto"/>
          <w:sz w:val="32"/>
          <w:szCs w:val="32"/>
          <w:highlight w:val="none"/>
          <w:lang w:eastAsia="zh-CN"/>
        </w:rPr>
        <w:t>厉行节约，严控经费支出，按照上级要求参团</w:t>
      </w:r>
      <w:r>
        <w:rPr>
          <w:rFonts w:ascii="Times New Roman" w:hAnsi="Times New Roman" w:eastAsia="仿宋_GB2312" w:cs="Times New Roman"/>
          <w:color w:val="auto"/>
          <w:sz w:val="32"/>
          <w:szCs w:val="32"/>
          <w:highlight w:val="none"/>
        </w:rPr>
        <w:t>。</w:t>
      </w:r>
      <w:r>
        <w:rPr>
          <w:rFonts w:ascii="Times New Roman" w:hAnsi="Times New Roman" w:eastAsia="仿宋_GB2312" w:cs="Times New Roman"/>
          <w:sz w:val="32"/>
          <w:szCs w:val="32"/>
          <w:highlight w:val="none"/>
        </w:rPr>
        <w:t>决算数小于上年数的</w:t>
      </w:r>
      <w:r>
        <w:rPr>
          <w:rFonts w:ascii="Times New Roman" w:hAnsi="Times New Roman" w:eastAsia="仿宋_GB2312" w:cs="Times New Roman"/>
          <w:color w:val="auto"/>
          <w:sz w:val="32"/>
          <w:szCs w:val="32"/>
          <w:highlight w:val="none"/>
        </w:rPr>
        <w:t>主要原因是</w:t>
      </w:r>
      <w:r>
        <w:rPr>
          <w:rFonts w:hint="eastAsia" w:ascii="Times New Roman" w:hAnsi="Times New Roman" w:eastAsia="仿宋_GB2312" w:cs="Times New Roman"/>
          <w:color w:val="auto"/>
          <w:sz w:val="32"/>
          <w:szCs w:val="32"/>
          <w:highlight w:val="none"/>
          <w:lang w:eastAsia="zh-CN"/>
        </w:rPr>
        <w:t>落实“过紧日子”要求，参团减少费用</w:t>
      </w:r>
      <w:r>
        <w:rPr>
          <w:rFonts w:ascii="Times New Roman" w:hAnsi="Times New Roman" w:eastAsia="仿宋_GB2312" w:cs="Times New Roman"/>
          <w:sz w:val="32"/>
          <w:szCs w:val="32"/>
          <w:highlight w:val="none"/>
        </w:rPr>
        <w:t>。2024年</w:t>
      </w:r>
      <w:r>
        <w:rPr>
          <w:rFonts w:ascii="Times New Roman" w:hAnsi="Times New Roman" w:eastAsia="仿宋_GB2312" w:cs="Times New Roman"/>
          <w:sz w:val="32"/>
          <w:szCs w:val="32"/>
        </w:rPr>
        <w:t>度安排因公出国（境）团组</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人次</w:t>
      </w:r>
      <w:r>
        <w:rPr>
          <w:rFonts w:ascii="Times New Roman" w:hAnsi="Times New Roman" w:eastAsia="楷体" w:cs="Times New Roman"/>
          <w:b/>
          <w:bCs/>
          <w:i/>
          <w:color w:val="auto"/>
          <w:sz w:val="32"/>
          <w:szCs w:val="32"/>
        </w:rPr>
        <w:t>,</w:t>
      </w:r>
      <w:r>
        <w:rPr>
          <w:rFonts w:ascii="Times New Roman" w:hAnsi="Times New Roman" w:eastAsia="仿宋_GB2312" w:cs="Times New Roman"/>
          <w:sz w:val="32"/>
          <w:szCs w:val="32"/>
        </w:rPr>
        <w:t>主要包括：</w:t>
      </w:r>
    </w:p>
    <w:p>
      <w:pPr>
        <w:pStyle w:val="15"/>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hint="eastAsia" w:ascii="Times New Roman" w:hAnsi="Times New Roman" w:eastAsia="仿宋_GB2312" w:cs="Times New Roman"/>
          <w:sz w:val="32"/>
          <w:szCs w:val="32"/>
          <w:lang w:val="en-US" w:eastAsia="zh-CN"/>
        </w:rPr>
        <w:t>参加中共湖南省委统战部组团</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val="en-US" w:eastAsia="zh-CN"/>
        </w:rPr>
        <w:t>8.03</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eastAsia="zh-CN"/>
        </w:rPr>
        <w:t>出访南美地区促进我省对外经贸交流合作和招商引资工作</w:t>
      </w:r>
      <w:r>
        <w:rPr>
          <w:rFonts w:hint="eastAsia" w:ascii="Times New Roman" w:hAnsi="Times New Roman" w:eastAsia="仿宋_GB2312" w:cs="Times New Roman"/>
          <w:sz w:val="32"/>
          <w:szCs w:val="32"/>
          <w:lang w:val="en-US" w:eastAsia="zh-CN"/>
        </w:rPr>
        <w:t>;参加省商务厅组团</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val="en-US" w:eastAsia="zh-CN"/>
        </w:rPr>
        <w:t>13.07</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lang w:val="en-US" w:eastAsia="zh-CN"/>
        </w:rPr>
        <w:t>赴马达加斯加、卢旺达开展经贸合作交流；</w:t>
      </w:r>
      <w:r>
        <w:rPr>
          <w:rFonts w:hint="eastAsia" w:ascii="Times New Roman" w:hAnsi="Times New Roman" w:eastAsia="仿宋_GB2312" w:cs="Times New Roman"/>
          <w:sz w:val="32"/>
          <w:szCs w:val="32"/>
        </w:rPr>
        <w:t>应韩国庆尚北道道厅邀请前往韩国执行2024年第三届湖南-庆尚北道公务员友好交流赛（网球）任务</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val="en-US" w:eastAsia="zh-CN"/>
        </w:rPr>
        <w:t>0.4</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公务员友好交流</w:t>
      </w:r>
      <w:r>
        <w:rPr>
          <w:rFonts w:hint="eastAsia" w:ascii="Times New Roman" w:hAnsi="Times New Roman" w:eastAsia="仿宋_GB2312" w:cs="Times New Roman"/>
          <w:sz w:val="32"/>
          <w:szCs w:val="32"/>
          <w:lang w:eastAsia="zh-CN"/>
        </w:rPr>
        <w:t>。</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42.6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85.2</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12.6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42</w:t>
      </w:r>
      <w:r>
        <w:rPr>
          <w:rFonts w:ascii="Times New Roman" w:hAnsi="Times New Roman" w:eastAsia="仿宋_GB2312" w:cs="Times New Roman"/>
          <w:sz w:val="32"/>
          <w:szCs w:val="32"/>
        </w:rPr>
        <w:t>%。其中：</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20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12.6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63</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12.6</w:t>
      </w:r>
      <w:r>
        <w:rPr>
          <w:rFonts w:ascii="Times New Roman" w:hAnsi="Times New Roman" w:eastAsia="仿宋_GB2312" w:cs="Times New Roman"/>
          <w:sz w:val="32"/>
          <w:szCs w:val="32"/>
        </w:rPr>
        <w:t>万元。决算数小于预算数的主要原因是</w:t>
      </w:r>
      <w:r>
        <w:rPr>
          <w:rFonts w:hint="eastAsia" w:ascii="Times New Roman" w:hAnsi="Times New Roman" w:eastAsia="仿宋_GB2312" w:cs="Times New Roman"/>
          <w:sz w:val="32"/>
          <w:szCs w:val="32"/>
          <w:lang w:eastAsia="zh-CN"/>
        </w:rPr>
        <w:t>按机关事务局要求购置，低于预算数。</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eastAsia="zh-CN"/>
        </w:rPr>
        <w:t>上年未新购置车辆</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单位</w:t>
      </w:r>
      <w:r>
        <w:rPr>
          <w:rFonts w:ascii="Times New Roman" w:hAnsi="Times New Roman" w:eastAsia="仿宋_GB2312" w:cs="Times New Roman"/>
          <w:sz w:val="32"/>
          <w:szCs w:val="32"/>
        </w:rPr>
        <w:t>本级更新公务用车</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30</w:t>
      </w:r>
      <w:r>
        <w:rPr>
          <w:rFonts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eastAsia="zh-CN"/>
        </w:rPr>
        <w:t>公务用车的油费、维修费、过路过桥费等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与上年持平。截止2024年12月31日，我单位开支财政拨款的公务用车保有量为</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eastAsia="zh-CN"/>
        </w:rPr>
        <w:t>辆。</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0.64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6.4</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0.78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54.93</w:t>
      </w:r>
      <w:r>
        <w:rPr>
          <w:rFonts w:ascii="Times New Roman" w:hAnsi="Times New Roman" w:eastAsia="仿宋_GB2312" w:cs="Times New Roman"/>
          <w:sz w:val="32"/>
          <w:szCs w:val="32"/>
        </w:rPr>
        <w:t>%。决算数小于预算数的主要原因是</w:t>
      </w:r>
      <w:r>
        <w:rPr>
          <w:rFonts w:hint="eastAsia" w:ascii="仿宋" w:hAnsi="仿宋" w:eastAsia="仿宋" w:cs="仿宋"/>
          <w:sz w:val="32"/>
          <w:szCs w:val="32"/>
        </w:rPr>
        <w:t>严格按公务接待标准和审批流程审批接待活动，厉行节约</w:t>
      </w:r>
      <w:r>
        <w:rPr>
          <w:rFonts w:ascii="Times New Roman" w:hAnsi="Times New Roman" w:eastAsia="仿宋_GB2312" w:cs="Times New Roman"/>
          <w:sz w:val="32"/>
          <w:szCs w:val="32"/>
        </w:rPr>
        <w:t>。决算数小于上年数的主要原因是</w:t>
      </w:r>
      <w:bookmarkStart w:id="3" w:name="_GoBack"/>
      <w:r>
        <w:rPr>
          <w:rFonts w:ascii="Times New Roman" w:hAnsi="Times New Roman" w:eastAsia="仿宋_GB2312" w:cs="Times New Roman"/>
          <w:sz w:val="32"/>
          <w:szCs w:val="32"/>
          <w:highlight w:val="none"/>
        </w:rPr>
        <w:t>公务</w:t>
      </w:r>
      <w:r>
        <w:rPr>
          <w:rFonts w:hint="eastAsia" w:ascii="仿宋" w:hAnsi="仿宋" w:eastAsia="仿宋" w:cs="仿宋"/>
          <w:sz w:val="32"/>
          <w:szCs w:val="32"/>
          <w:highlight w:val="none"/>
        </w:rPr>
        <w:t>接待活动</w:t>
      </w:r>
      <w:r>
        <w:rPr>
          <w:rFonts w:hint="eastAsia" w:ascii="仿宋" w:hAnsi="仿宋" w:eastAsia="仿宋" w:cs="仿宋"/>
          <w:sz w:val="32"/>
          <w:szCs w:val="32"/>
          <w:highlight w:val="none"/>
          <w:lang w:eastAsia="zh-CN"/>
        </w:rPr>
        <w:t>减</w:t>
      </w:r>
      <w:r>
        <w:rPr>
          <w:rFonts w:hint="eastAsia" w:ascii="仿宋" w:hAnsi="仿宋" w:eastAsia="仿宋" w:cs="仿宋"/>
          <w:sz w:val="32"/>
          <w:szCs w:val="32"/>
          <w:highlight w:val="none"/>
        </w:rPr>
        <w:t>少</w:t>
      </w:r>
      <w:r>
        <w:rPr>
          <w:rFonts w:ascii="Times New Roman" w:hAnsi="Times New Roman" w:eastAsia="仿宋_GB2312" w:cs="Times New Roman"/>
          <w:sz w:val="32"/>
          <w:szCs w:val="32"/>
          <w:highlight w:val="none"/>
        </w:rPr>
        <w:t>。</w:t>
      </w:r>
      <w:bookmarkEnd w:id="3"/>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58</w:t>
      </w:r>
      <w:r>
        <w:rPr>
          <w:rFonts w:ascii="Times New Roman" w:hAnsi="Times New Roman" w:eastAsia="仿宋_GB2312" w:cs="Times New Roman"/>
          <w:sz w:val="32"/>
          <w:szCs w:val="32"/>
        </w:rPr>
        <w:t>人次，主要是</w:t>
      </w:r>
      <w:r>
        <w:rPr>
          <w:rFonts w:hint="eastAsia" w:ascii="仿宋" w:hAnsi="仿宋" w:eastAsia="仿宋" w:cs="仿宋"/>
          <w:color w:val="auto"/>
          <w:kern w:val="2"/>
          <w:sz w:val="32"/>
          <w:szCs w:val="32"/>
          <w:lang w:val="en-US" w:eastAsia="zh-CN"/>
        </w:rPr>
        <w:t>农业农村部农业机械化总站</w:t>
      </w:r>
      <w:r>
        <w:rPr>
          <w:rFonts w:hint="eastAsia" w:ascii="仿宋" w:hAnsi="仿宋" w:eastAsia="仿宋" w:cs="仿宋"/>
          <w:color w:val="auto"/>
          <w:kern w:val="2"/>
          <w:sz w:val="32"/>
          <w:szCs w:val="32"/>
        </w:rPr>
        <w:t>来中心考察调研</w:t>
      </w:r>
      <w:r>
        <w:rPr>
          <w:rFonts w:hint="eastAsia" w:ascii="仿宋" w:hAnsi="仿宋" w:eastAsia="仿宋" w:cs="仿宋"/>
          <w:color w:val="auto"/>
          <w:kern w:val="2"/>
          <w:sz w:val="32"/>
          <w:szCs w:val="32"/>
          <w:lang w:eastAsia="zh-CN"/>
        </w:rPr>
        <w:t>及筹备活动对接</w:t>
      </w:r>
      <w:r>
        <w:rPr>
          <w:rFonts w:hint="eastAsia" w:ascii="仿宋" w:hAnsi="仿宋" w:eastAsia="仿宋" w:cs="仿宋"/>
          <w:color w:val="auto"/>
          <w:kern w:val="2"/>
          <w:sz w:val="32"/>
          <w:szCs w:val="32"/>
        </w:rPr>
        <w:t>、</w:t>
      </w:r>
      <w:r>
        <w:rPr>
          <w:rFonts w:hint="eastAsia" w:ascii="仿宋" w:hAnsi="仿宋" w:eastAsia="仿宋" w:cs="仿宋"/>
          <w:color w:val="auto"/>
          <w:kern w:val="2"/>
          <w:sz w:val="32"/>
          <w:szCs w:val="32"/>
          <w:lang w:eastAsia="zh-CN"/>
        </w:rPr>
        <w:t>广东省农业技术推广中心来我省学习调研、吐鲁番市农业农村机械化发展中心来我省学习调研、</w:t>
      </w:r>
      <w:r>
        <w:rPr>
          <w:rFonts w:hint="eastAsia" w:ascii="仿宋" w:hAnsi="仿宋" w:eastAsia="仿宋" w:cs="仿宋"/>
          <w:color w:val="auto"/>
          <w:kern w:val="2"/>
          <w:sz w:val="32"/>
          <w:szCs w:val="32"/>
        </w:rPr>
        <w:t>各县市州农机事务中心来汇报工作</w:t>
      </w:r>
      <w:r>
        <w:rPr>
          <w:rFonts w:hint="eastAsia" w:ascii="仿宋" w:hAnsi="仿宋" w:eastAsia="仿宋" w:cs="仿宋"/>
          <w:color w:val="auto"/>
          <w:kern w:val="2"/>
          <w:sz w:val="32"/>
          <w:szCs w:val="32"/>
          <w:lang w:eastAsia="zh-CN"/>
        </w:rPr>
        <w:t>及</w:t>
      </w:r>
      <w:r>
        <w:rPr>
          <w:rFonts w:hint="eastAsia" w:ascii="仿宋" w:hAnsi="仿宋" w:eastAsia="仿宋" w:cs="仿宋"/>
          <w:color w:val="auto"/>
          <w:kern w:val="2"/>
          <w:sz w:val="32"/>
          <w:szCs w:val="32"/>
        </w:rPr>
        <w:t>咨询补贴政策事宜等发生的接待支出</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2024年度</w:t>
      </w:r>
      <w:r>
        <w:rPr>
          <w:rFonts w:hint="eastAsia" w:ascii="仿宋" w:hAnsi="仿宋" w:eastAsia="仿宋" w:cs="仿宋"/>
          <w:color w:val="auto"/>
          <w:kern w:val="2"/>
          <w:sz w:val="32"/>
          <w:szCs w:val="32"/>
          <w:lang w:val="en-US" w:eastAsia="zh-CN" w:bidi="ar-SA"/>
        </w:rPr>
        <w:t>本单位无政府性基金收支。</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491.57</w:t>
      </w:r>
      <w:r>
        <w:rPr>
          <w:rFonts w:ascii="Times New Roman" w:hAnsi="Times New Roman" w:eastAsia="仿宋_GB2312" w:cs="Times New Roman"/>
          <w:sz w:val="32"/>
          <w:szCs w:val="32"/>
        </w:rPr>
        <w:t>万元，比上年决算数减少</w:t>
      </w:r>
      <w:r>
        <w:rPr>
          <w:rFonts w:hint="eastAsia" w:ascii="Times New Roman" w:hAnsi="Times New Roman" w:eastAsia="仿宋_GB2312" w:cs="Times New Roman"/>
          <w:sz w:val="32"/>
          <w:szCs w:val="32"/>
          <w:lang w:val="en-US" w:eastAsia="zh-CN"/>
        </w:rPr>
        <w:t>12.79</w:t>
      </w:r>
      <w:r>
        <w:rPr>
          <w:rFonts w:ascii="Times New Roman" w:hAnsi="Times New Roman" w:eastAsia="仿宋_GB2312" w:cs="Times New Roman"/>
          <w:sz w:val="32"/>
          <w:szCs w:val="32"/>
        </w:rPr>
        <w:t xml:space="preserve"> 万元，降低</w:t>
      </w:r>
      <w:r>
        <w:rPr>
          <w:rFonts w:hint="eastAsia" w:ascii="Times New Roman" w:hAnsi="Times New Roman" w:eastAsia="仿宋_GB2312" w:cs="Times New Roman"/>
          <w:sz w:val="32"/>
          <w:szCs w:val="32"/>
          <w:lang w:val="en-US" w:eastAsia="zh-CN"/>
        </w:rPr>
        <w:t>2.54</w:t>
      </w:r>
      <w:r>
        <w:rPr>
          <w:rFonts w:ascii="Times New Roman" w:hAnsi="Times New Roman" w:eastAsia="仿宋_GB2312" w:cs="Times New Roman"/>
          <w:sz w:val="32"/>
          <w:szCs w:val="32"/>
        </w:rPr>
        <w:t>%。</w:t>
      </w:r>
      <w:r>
        <w:rPr>
          <w:rFonts w:ascii="Times New Roman" w:hAnsi="Times New Roman" w:eastAsia="仿宋_GB2312" w:cs="Times New Roman"/>
          <w:color w:val="auto"/>
          <w:sz w:val="32"/>
          <w:szCs w:val="32"/>
        </w:rPr>
        <w:t>主要原因是</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厉行节约，减少了印刷费、其他交通费用、公务接待费等支出</w:t>
      </w:r>
      <w:r>
        <w:rPr>
          <w:rFonts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年本</w:t>
      </w:r>
      <w:r>
        <w:rPr>
          <w:rFonts w:hint="eastAsia" w:ascii="Times New Roman" w:hAnsi="Times New Roman" w:eastAsia="仿宋_GB2312" w:cs="Times New Roman"/>
          <w:sz w:val="32"/>
          <w:szCs w:val="32"/>
          <w:lang w:val="en-US" w:eastAsia="zh-CN"/>
        </w:rPr>
        <w:t>单位</w:t>
      </w:r>
      <w:r>
        <w:rPr>
          <w:rFonts w:hint="eastAsia" w:ascii="Times New Roman" w:hAnsi="Times New Roman" w:eastAsia="仿宋_GB2312" w:cs="Times New Roman"/>
          <w:sz w:val="32"/>
          <w:szCs w:val="32"/>
        </w:rPr>
        <w:t>开支会议费</w:t>
      </w:r>
      <w:r>
        <w:rPr>
          <w:rFonts w:hint="eastAsia" w:ascii="Times New Roman" w:hAnsi="Times New Roman" w:eastAsia="仿宋_GB2312" w:cs="Times New Roman"/>
          <w:sz w:val="32"/>
          <w:szCs w:val="32"/>
          <w:lang w:val="en-US" w:eastAsia="zh-CN"/>
        </w:rPr>
        <w:t>41.89</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用于召开下列会议</w:t>
      </w:r>
      <w:r>
        <w:rPr>
          <w:rFonts w:hint="eastAsia"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召开全省茶叶生产机械化推进现场会</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人数140人，内容为现场展示、演示先进适用丘陵山区茶叶生产的机械装备、设施，搭建“技术交流、市场开拓、品牌宣传、产品检验”平台，加快推进全省茶叶生产机械化进程，金额5.46万元；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召开农机购置及应用补贴归档评审会两批次，人数42人，内容为对湖南省2024年农机购置补贴机具及部分品目分档开展评审，金额0.61万元；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召开农机购置补贴现场集中演示评价两批次，人数74人，内容为对2024年农机购置与应用补贴新进机具开展集中现场演示评价，金额11.78万元；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w:t>
      </w:r>
      <w:r>
        <w:rPr>
          <w:rFonts w:hint="eastAsia" w:ascii="Times New Roman" w:hAnsi="Times New Roman" w:eastAsia="仿宋_GB2312" w:cs="Times New Roman"/>
          <w:sz w:val="32"/>
          <w:szCs w:val="32"/>
        </w:rPr>
        <w:t>水稻机插秧技能竞赛及早稻机插机抛座谈会</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人数109人，内容包括：1.水稻机插秧技能竞赛；2.早稻机插机抛作业监测数据采集工作座谈会，金额5.27万元；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召开2024年水稻机插机抛工作推进及座谈会2次，人数94人，内容为水稻机插机抛培训和农机监测系统使用等工作推进、通报2024年全省早稻机插机抛工作情况等，金额1.22万元；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召开2024年丘陵山区茶叶机械化研讨会，人数57人，内容为现场观摩丘陵山区茶叶机械，研讨丘陵山区茶叶机械化发展方向，金额2.61万元；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召开23-24双季稻机械生产集成模式推进会，人数100人，内容为对2023-2024年湖南省双季稻机械化生产高产高效技术集成模式相关技术人员进行技术指导，金额4万元；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召开湖南省田间地头展农机进万家活动两期，人数300人，内容为展示演示武陵山片区水稻生产所需先进农机设备等，金额8.59万元；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召开谷物干燥机质量调查分析会，人数22人，内容为通报谷物干燥机质量调查结果，分析存在的问题和原因，金额0.38万元；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湘产农机走出去、2023年重点机具销售情况、湖南省农机作业监测系统等专项座谈会3次，人数78人，内容为研究湘产农机走出去的措施意见、总结2023年重点农机具销售推广情况、规划2024年全省水稻机插机抛监测工作等，金额0.33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湖南省油茶生产机械化、油菜机械化生产高产高效示范工作推进研讨会2次，人数48人，内容为介绍油菜机械化生产高产高效技术集成模式试验示范项目进展、探讨成熟农业、林业设备在油茶生产中的推广应用等，金额0.3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油菜宜机化生产技术规范研讨会，人数30人，内容为加快推进我省油茶生产机械化工作高质量发展,落实省领导关于油茶机械化生产的工作安排，召开《油茶“宜机化”生产技术规范(试行版)》(待讨论稿))的研讨会，金额0.11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召开湖南省农机试验鉴定发证、湖南农机地方标准等评审会2次，人数29人，内容包括对湖南省农业机械地方标准自查评估审查、对2023年湖南省农业机械试验鉴定证书第五批发证评审等，金额0.1万元；</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职工参加水田机械工作站年度会议、拖标委会议、农产品加工机械设备质检中心资质评审会等7次，人数7人，金额1.13万元。</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142.79</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用于开展下列培训</w:t>
      </w:r>
      <w:r>
        <w:rPr>
          <w:rFonts w:hint="eastAsia" w:ascii="Times New Roman" w:hAnsi="Times New Roman" w:eastAsia="仿宋_GB2312" w:cs="Times New Roman"/>
          <w:sz w:val="32"/>
          <w:szCs w:val="32"/>
        </w:rPr>
        <w:t>：</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开展全省水稻机插育秧技术培训</w:t>
      </w:r>
      <w:r>
        <w:rPr>
          <w:rFonts w:hint="eastAsia" w:ascii="Times New Roman" w:hAnsi="Times New Roman" w:eastAsia="仿宋_GB2312" w:cs="Times New Roman"/>
          <w:sz w:val="32"/>
          <w:szCs w:val="32"/>
          <w:lang w:val="en-US" w:eastAsia="zh-CN"/>
        </w:rPr>
        <w:t>十五</w:t>
      </w:r>
      <w:r>
        <w:rPr>
          <w:rFonts w:hint="eastAsia" w:ascii="Times New Roman" w:hAnsi="Times New Roman" w:eastAsia="仿宋_GB2312" w:cs="Times New Roman"/>
          <w:sz w:val="32"/>
          <w:szCs w:val="32"/>
        </w:rPr>
        <w:t>期，人数</w:t>
      </w:r>
      <w:r>
        <w:rPr>
          <w:rFonts w:hint="eastAsia" w:ascii="Times New Roman" w:hAnsi="Times New Roman" w:eastAsia="仿宋_GB2312" w:cs="Times New Roman"/>
          <w:sz w:val="32"/>
          <w:szCs w:val="32"/>
          <w:lang w:val="en-US" w:eastAsia="zh-CN"/>
        </w:rPr>
        <w:t>1333</w:t>
      </w:r>
      <w:r>
        <w:rPr>
          <w:rFonts w:hint="eastAsia"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培训水稻机插育秧技术、精量无盘分层机插秧育秧技术、大钵体毯状苗机插秧育秧技术和水稻机抛育秧技术、新机具新技术</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助力早稻及全年粮食生产，</w:t>
      </w:r>
      <w:r>
        <w:rPr>
          <w:rFonts w:hint="eastAsia" w:ascii="Times New Roman" w:hAnsi="Times New Roman" w:eastAsia="仿宋_GB2312" w:cs="Times New Roman"/>
          <w:sz w:val="32"/>
          <w:szCs w:val="32"/>
        </w:rPr>
        <w:t>金额</w:t>
      </w:r>
      <w:r>
        <w:rPr>
          <w:rFonts w:hint="eastAsia" w:ascii="Times New Roman" w:hAnsi="Times New Roman" w:eastAsia="仿宋_GB2312" w:cs="Times New Roman"/>
          <w:sz w:val="32"/>
          <w:szCs w:val="32"/>
          <w:lang w:val="en-US" w:eastAsia="zh-CN"/>
        </w:rPr>
        <w:t>38.9</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开展全省一季稻机械有序穴播技术培训，人数</w:t>
      </w:r>
      <w:r>
        <w:rPr>
          <w:rFonts w:hint="eastAsia" w:ascii="Times New Roman" w:hAnsi="Times New Roman" w:eastAsia="仿宋_GB2312" w:cs="Times New Roman"/>
          <w:sz w:val="32"/>
          <w:szCs w:val="32"/>
          <w:lang w:val="en-US" w:eastAsia="zh-CN"/>
        </w:rPr>
        <w:t>146</w:t>
      </w:r>
      <w:r>
        <w:rPr>
          <w:rFonts w:hint="eastAsia"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通过专家授课、静态展示、现场演示等形式，开展水稻机械有序精量穴播技术培训</w:t>
      </w:r>
      <w:r>
        <w:rPr>
          <w:rFonts w:hint="eastAsia" w:ascii="Times New Roman" w:hAnsi="Times New Roman" w:eastAsia="仿宋_GB2312" w:cs="Times New Roman"/>
          <w:sz w:val="32"/>
          <w:szCs w:val="32"/>
        </w:rPr>
        <w:t>，金额</w:t>
      </w:r>
      <w:r>
        <w:rPr>
          <w:rFonts w:hint="eastAsia" w:ascii="Times New Roman" w:hAnsi="Times New Roman" w:eastAsia="仿宋_GB2312" w:cs="Times New Roman"/>
          <w:sz w:val="32"/>
          <w:szCs w:val="32"/>
          <w:lang w:val="en-US" w:eastAsia="zh-CN"/>
        </w:rPr>
        <w:t>4.07</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开展</w:t>
      </w: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年全省</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农机315”消费者权益日活动，人数</w:t>
      </w:r>
      <w:r>
        <w:rPr>
          <w:rFonts w:hint="eastAsia" w:ascii="Times New Roman" w:hAnsi="Times New Roman" w:eastAsia="仿宋_GB2312" w:cs="Times New Roman"/>
          <w:sz w:val="32"/>
          <w:szCs w:val="32"/>
          <w:lang w:val="en-US" w:eastAsia="zh-CN"/>
        </w:rPr>
        <w:t>90</w:t>
      </w:r>
      <w:r>
        <w:rPr>
          <w:rFonts w:hint="eastAsia" w:ascii="Times New Roman" w:hAnsi="Times New Roman" w:eastAsia="仿宋_GB2312" w:cs="Times New Roman"/>
          <w:sz w:val="32"/>
          <w:szCs w:val="32"/>
        </w:rPr>
        <w:t>人，内容包括宣读倡议书、农机生产和销售企业代表宣读承诺书、通报202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年湖南省农机推广鉴定获证产品证后监督等情况，金额</w:t>
      </w:r>
      <w:r>
        <w:rPr>
          <w:rFonts w:hint="eastAsia" w:ascii="Times New Roman" w:hAnsi="Times New Roman" w:eastAsia="仿宋_GB2312" w:cs="Times New Roman"/>
          <w:sz w:val="32"/>
          <w:szCs w:val="32"/>
          <w:lang w:val="en-US" w:eastAsia="zh-CN"/>
        </w:rPr>
        <w:t>1.3</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玉米大豆机械化生产培训班，人数110人，内容为大豆玉米带状复合种植和玉米净作机械播种、无人机喷施除草剂等现场作业演示，同时完成示范区域内的全部播种作业。现场展示大豆、玉米收获机具，金额5.05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开展2024年农业机械化统计年报数据集中审核培训，人数38人，内容为经农机化司审核反馈意见的2023年农机化统计直报系统数据，组织各市州进行培训和集中会审，金额3.05万元；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开展全省农机推广田间日暨农机中心主要负责人培训，人数</w:t>
      </w:r>
      <w:r>
        <w:rPr>
          <w:rFonts w:hint="eastAsia" w:ascii="Times New Roman" w:hAnsi="Times New Roman" w:eastAsia="仿宋_GB2312" w:cs="Times New Roman"/>
          <w:sz w:val="32"/>
          <w:szCs w:val="32"/>
          <w:lang w:val="en-US" w:eastAsia="zh-CN"/>
        </w:rPr>
        <w:t>200</w:t>
      </w:r>
      <w:r>
        <w:rPr>
          <w:rFonts w:hint="eastAsia"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智慧智能农业装备静态展示，主要农作物（水稻）全程机械化生产现场演示，全省农机事务中心主要负责人培训</w:t>
      </w:r>
      <w:r>
        <w:rPr>
          <w:rFonts w:hint="eastAsia" w:ascii="Times New Roman" w:hAnsi="Times New Roman" w:eastAsia="仿宋_GB2312" w:cs="Times New Roman"/>
          <w:sz w:val="32"/>
          <w:szCs w:val="32"/>
        </w:rPr>
        <w:t>，金额</w:t>
      </w:r>
      <w:r>
        <w:rPr>
          <w:rFonts w:hint="eastAsia" w:ascii="Times New Roman" w:hAnsi="Times New Roman" w:eastAsia="仿宋_GB2312" w:cs="Times New Roman"/>
          <w:sz w:val="32"/>
          <w:szCs w:val="32"/>
          <w:lang w:val="en-US" w:eastAsia="zh-CN"/>
        </w:rPr>
        <w:t>10.68</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开展24年合作社种田能手暨晚稻育秧培训班</w:t>
      </w: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sz w:val="32"/>
          <w:szCs w:val="32"/>
        </w:rPr>
        <w:t>期，人数</w:t>
      </w:r>
      <w:r>
        <w:rPr>
          <w:rFonts w:hint="eastAsia" w:ascii="Times New Roman" w:hAnsi="Times New Roman" w:eastAsia="仿宋_GB2312" w:cs="Times New Roman"/>
          <w:sz w:val="32"/>
          <w:szCs w:val="32"/>
          <w:lang w:val="en-US" w:eastAsia="zh-CN"/>
        </w:rPr>
        <w:t>231</w:t>
      </w:r>
      <w:r>
        <w:rPr>
          <w:rFonts w:hint="eastAsia"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插秧机维护保养使用要点、晚稻为机育秧、稻油病虫草害的识别及机械化科学防控、机插晚稻壮秧培育及高产栽培技术等</w:t>
      </w:r>
      <w:r>
        <w:rPr>
          <w:rFonts w:hint="eastAsia" w:ascii="Times New Roman" w:hAnsi="Times New Roman" w:eastAsia="仿宋_GB2312" w:cs="Times New Roman"/>
          <w:sz w:val="32"/>
          <w:szCs w:val="32"/>
        </w:rPr>
        <w:t>，金额</w:t>
      </w:r>
      <w:r>
        <w:rPr>
          <w:rFonts w:hint="eastAsia" w:ascii="Times New Roman" w:hAnsi="Times New Roman" w:eastAsia="仿宋_GB2312" w:cs="Times New Roman"/>
          <w:sz w:val="32"/>
          <w:szCs w:val="32"/>
          <w:lang w:val="en-US" w:eastAsia="zh-CN"/>
        </w:rPr>
        <w:t>5.73</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开展全省粮油生产机械化智能化技术培训，人数180人，内容为智能智慧农业装备静态展示，粮油生产机械化智能化技术演示，金额1.41万元；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开展全省农机安全监理人员培训，人数</w:t>
      </w:r>
      <w:r>
        <w:rPr>
          <w:rFonts w:hint="eastAsia" w:ascii="Times New Roman" w:hAnsi="Times New Roman" w:eastAsia="仿宋_GB2312" w:cs="Times New Roman"/>
          <w:sz w:val="32"/>
          <w:szCs w:val="32"/>
          <w:lang w:val="en-US" w:eastAsia="zh-CN"/>
        </w:rPr>
        <w:t>329</w:t>
      </w:r>
      <w:r>
        <w:rPr>
          <w:rFonts w:hint="eastAsia"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依照</w:t>
      </w:r>
      <w:r>
        <w:rPr>
          <w:rFonts w:hint="eastAsia" w:ascii="Times New Roman" w:hAnsi="Times New Roman" w:eastAsia="仿宋_GB2312" w:cs="Times New Roman"/>
          <w:sz w:val="32"/>
          <w:szCs w:val="32"/>
        </w:rPr>
        <w:t>农业农村部关于农机安全监理人员持证上岗的要求，全面推进农机安全监理队伍建设，对全省农机安全监理员、检验员、考试员和事故处理员进行培训，金额</w:t>
      </w:r>
      <w:r>
        <w:rPr>
          <w:rFonts w:hint="eastAsia" w:ascii="Times New Roman" w:hAnsi="Times New Roman" w:eastAsia="仿宋_GB2312" w:cs="Times New Roman"/>
          <w:sz w:val="32"/>
          <w:szCs w:val="32"/>
          <w:lang w:val="en-US" w:eastAsia="zh-CN"/>
        </w:rPr>
        <w:t>24.73</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开展24年湖南省农机合作社理事长培训班，人数</w:t>
      </w:r>
      <w:r>
        <w:rPr>
          <w:rFonts w:hint="eastAsia" w:ascii="Times New Roman" w:hAnsi="Times New Roman" w:eastAsia="仿宋_GB2312" w:cs="Times New Roman"/>
          <w:sz w:val="32"/>
          <w:szCs w:val="32"/>
          <w:lang w:val="en-US" w:eastAsia="zh-CN"/>
        </w:rPr>
        <w:t>160</w:t>
      </w:r>
      <w:r>
        <w:rPr>
          <w:rFonts w:hint="eastAsia"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培训合作社管理、财务管理、市场营销等知识，优秀理事长分享交流等</w:t>
      </w:r>
      <w:r>
        <w:rPr>
          <w:rFonts w:hint="eastAsia" w:ascii="Times New Roman" w:hAnsi="Times New Roman" w:eastAsia="仿宋_GB2312" w:cs="Times New Roman"/>
          <w:sz w:val="32"/>
          <w:szCs w:val="32"/>
        </w:rPr>
        <w:t>，金额</w:t>
      </w:r>
      <w:r>
        <w:rPr>
          <w:rFonts w:hint="eastAsia" w:ascii="Times New Roman" w:hAnsi="Times New Roman" w:eastAsia="仿宋_GB2312" w:cs="Times New Roman"/>
          <w:sz w:val="32"/>
          <w:szCs w:val="32"/>
          <w:lang w:val="en-US" w:eastAsia="zh-CN"/>
        </w:rPr>
        <w:t>4.25</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开展24年省农机合作社专业能手暨油菜机械培训班，人数</w:t>
      </w:r>
      <w:r>
        <w:rPr>
          <w:rFonts w:hint="eastAsia" w:ascii="Times New Roman" w:hAnsi="Times New Roman" w:eastAsia="仿宋_GB2312" w:cs="Times New Roman"/>
          <w:sz w:val="32"/>
          <w:szCs w:val="32"/>
          <w:lang w:val="en-US" w:eastAsia="zh-CN"/>
        </w:rPr>
        <w:t>176</w:t>
      </w:r>
      <w:r>
        <w:rPr>
          <w:rFonts w:hint="eastAsia" w:ascii="Times New Roman" w:hAnsi="Times New Roman" w:eastAsia="仿宋_GB2312" w:cs="Times New Roman"/>
          <w:sz w:val="32"/>
          <w:szCs w:val="32"/>
        </w:rPr>
        <w:t>人，内容为</w:t>
      </w:r>
      <w:r>
        <w:rPr>
          <w:rFonts w:hint="eastAsia" w:ascii="Times New Roman" w:hAnsi="Times New Roman" w:eastAsia="仿宋_GB2312" w:cs="Times New Roman"/>
          <w:sz w:val="32"/>
          <w:szCs w:val="32"/>
          <w:lang w:val="en-US" w:eastAsia="zh-CN"/>
        </w:rPr>
        <w:t>油菜毯苗移栽育苗技术等实操、油菜种植后田间管理等知识</w:t>
      </w:r>
      <w:r>
        <w:rPr>
          <w:rFonts w:hint="eastAsia" w:ascii="Times New Roman" w:hAnsi="Times New Roman" w:eastAsia="仿宋_GB2312" w:cs="Times New Roman"/>
          <w:sz w:val="32"/>
          <w:szCs w:val="32"/>
        </w:rPr>
        <w:t>，金额</w:t>
      </w:r>
      <w:r>
        <w:rPr>
          <w:rFonts w:hint="eastAsia" w:ascii="Times New Roman" w:hAnsi="Times New Roman" w:eastAsia="仿宋_GB2312" w:cs="Times New Roman"/>
          <w:sz w:val="32"/>
          <w:szCs w:val="32"/>
          <w:lang w:val="en-US" w:eastAsia="zh-CN"/>
        </w:rPr>
        <w:t>5.54</w:t>
      </w:r>
      <w:r>
        <w:rPr>
          <w:rFonts w:hint="eastAsia" w:ascii="Times New Roman" w:hAnsi="Times New Roman" w:eastAsia="仿宋_GB2312" w:cs="Times New Roman"/>
          <w:sz w:val="32"/>
          <w:szCs w:val="32"/>
        </w:rPr>
        <w:t>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开展全省农机安全生产培训暨农机事故应急演练，人数200人，内容为：1.农机事故应急处置演练；2.农机安全生产监督管理；3.农机事故案例分析、农机安责险承保理赔实务培训，金额8.92万元；</w:t>
      </w:r>
    </w:p>
    <w:p>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开展棉花生产全程机械化技术培训，人数90人，内容为1.棉花生产全程机械化现场观摩；2.棉花全程机械化生产技术培训，金额3.45万元；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开展第六届全国农业行业技能大赛农机驾驶员集训，人数12人，内容为组织参赛选手学习收割机修理与维护、收割机驾驶、拖拉机驾驶、农机驾驶员理论知识，模拟竞赛考试等，金额1.77万元；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开展23-24年油菜机收减损技术培训班，人数60人，内容为油菜机收减损技术宣讲，油菜机收损失率检测田间实操，金额1.31万元；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开展湖南省农机系统干部业务能力提升专题培训班，人数60人，内容为解读习近平总书记关于“三农”工作重要论述、千万工程源起地的共同富裕探索实践、农业机械新技术、新装备及发展趋势、丘陵山区农机化发展等方面，依托浙江大学开展专题讲座和现场参观学习，金额18.58万元；</w:t>
      </w:r>
    </w:p>
    <w:p>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职工参加业务能力提升等培训共12场，人数12人，内容为叉车驾驶技术培训、现代设施农业农机农艺融合培训、农机鉴定规范实施培训、农机推广鉴定大纲编写宣贯培训、农机化统计员能力培训等，金额4.05万元。</w:t>
      </w:r>
    </w:p>
    <w:p>
      <w:pPr>
        <w:widowControl/>
        <w:ind w:firstLine="640" w:firstLineChars="200"/>
        <w:textAlignment w:val="top"/>
        <w:rPr>
          <w:rFonts w:ascii="Times New Roman" w:hAnsi="Times New Roman" w:eastAsia="楷体" w:cs="Times New Roman"/>
          <w:b/>
          <w:bCs/>
          <w:i/>
          <w:sz w:val="32"/>
          <w:szCs w:val="32"/>
          <w:highlight w:val="none"/>
        </w:rPr>
      </w:pPr>
      <w:r>
        <w:rPr>
          <w:rFonts w:hint="eastAsia" w:ascii="Times New Roman" w:hAnsi="Times New Roman" w:eastAsia="仿宋_GB2312"/>
          <w:sz w:val="32"/>
          <w:szCs w:val="32"/>
          <w:highlight w:val="none"/>
        </w:rPr>
        <w:t>未举办节庆、晚会、论坛、赛事活动。</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十一、关于政府采购支出说明</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本部门2024年度政府采购支出总额</w:t>
      </w:r>
      <w:r>
        <w:rPr>
          <w:rFonts w:hint="eastAsia" w:ascii="Times New Roman" w:hAnsi="Times New Roman" w:eastAsia="仿宋_GB2312" w:cs="Times New Roman"/>
          <w:color w:val="auto"/>
          <w:sz w:val="32"/>
          <w:szCs w:val="32"/>
          <w:lang w:val="en-US" w:eastAsia="zh-CN"/>
        </w:rPr>
        <w:t>817.41</w:t>
      </w:r>
      <w:r>
        <w:rPr>
          <w:rFonts w:ascii="Times New Roman" w:hAnsi="Times New Roman" w:eastAsia="仿宋_GB2312" w:cs="Times New Roman"/>
          <w:color w:val="auto"/>
          <w:sz w:val="32"/>
          <w:szCs w:val="32"/>
        </w:rPr>
        <w:t>万元，其中：政府采购货物支出</w:t>
      </w:r>
      <w:r>
        <w:rPr>
          <w:rFonts w:hint="eastAsia" w:ascii="Times New Roman" w:hAnsi="Times New Roman" w:eastAsia="仿宋_GB2312" w:cs="Times New Roman"/>
          <w:color w:val="auto"/>
          <w:sz w:val="32"/>
          <w:szCs w:val="32"/>
          <w:lang w:val="en-US" w:eastAsia="zh-CN"/>
        </w:rPr>
        <w:t>658.68</w:t>
      </w:r>
      <w:r>
        <w:rPr>
          <w:rFonts w:ascii="Times New Roman" w:hAnsi="Times New Roman" w:eastAsia="仿宋_GB2312" w:cs="Times New Roman"/>
          <w:color w:val="auto"/>
          <w:sz w:val="32"/>
          <w:szCs w:val="32"/>
        </w:rPr>
        <w:t>万元、政府采购工程支出</w:t>
      </w:r>
      <w:r>
        <w:rPr>
          <w:rFonts w:hint="eastAsia" w:ascii="Times New Roman" w:hAnsi="Times New Roman" w:eastAsia="仿宋_GB2312" w:cs="Times New Roman"/>
          <w:color w:val="auto"/>
          <w:sz w:val="32"/>
          <w:szCs w:val="32"/>
          <w:lang w:val="en-US" w:eastAsia="zh-CN"/>
        </w:rPr>
        <w:t>12.33</w:t>
      </w:r>
      <w:r>
        <w:rPr>
          <w:rFonts w:ascii="Times New Roman" w:hAnsi="Times New Roman" w:eastAsia="仿宋_GB2312" w:cs="Times New Roman"/>
          <w:color w:val="auto"/>
          <w:sz w:val="32"/>
          <w:szCs w:val="32"/>
        </w:rPr>
        <w:t>万元、政府采购服务支出</w:t>
      </w:r>
      <w:r>
        <w:rPr>
          <w:rFonts w:hint="eastAsia" w:ascii="Times New Roman" w:hAnsi="Times New Roman" w:eastAsia="仿宋_GB2312" w:cs="Times New Roman"/>
          <w:color w:val="auto"/>
          <w:sz w:val="32"/>
          <w:szCs w:val="32"/>
          <w:lang w:val="en-US" w:eastAsia="zh-CN"/>
        </w:rPr>
        <w:t>146.4</w:t>
      </w:r>
      <w:r>
        <w:rPr>
          <w:rFonts w:ascii="Times New Roman" w:hAnsi="Times New Roman" w:eastAsia="仿宋_GB2312" w:cs="Times New Roman"/>
          <w:color w:val="auto"/>
          <w:sz w:val="32"/>
          <w:szCs w:val="32"/>
        </w:rPr>
        <w:t>万元。授予中小企业合同金额</w:t>
      </w:r>
      <w:r>
        <w:rPr>
          <w:rFonts w:hint="eastAsia" w:ascii="Times New Roman" w:hAnsi="Times New Roman" w:eastAsia="仿宋_GB2312" w:cs="Times New Roman"/>
          <w:color w:val="auto"/>
          <w:sz w:val="32"/>
          <w:szCs w:val="32"/>
          <w:lang w:val="en-US" w:eastAsia="zh-CN"/>
        </w:rPr>
        <w:t>817.41</w:t>
      </w:r>
      <w:r>
        <w:rPr>
          <w:rFonts w:ascii="Times New Roman" w:hAnsi="Times New Roman" w:eastAsia="仿宋_GB2312" w:cs="Times New Roman"/>
          <w:color w:val="auto"/>
          <w:sz w:val="32"/>
          <w:szCs w:val="32"/>
        </w:rPr>
        <w:t>万元，占政府采购支出总额的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%，其中：授予小微企业合同金额</w:t>
      </w:r>
      <w:r>
        <w:rPr>
          <w:rFonts w:hint="eastAsia" w:ascii="Times New Roman" w:hAnsi="Times New Roman" w:eastAsia="仿宋_GB2312" w:cs="Times New Roman"/>
          <w:color w:val="auto"/>
          <w:sz w:val="32"/>
          <w:szCs w:val="32"/>
          <w:lang w:val="en-US" w:eastAsia="zh-CN"/>
        </w:rPr>
        <w:t>817.41</w:t>
      </w:r>
      <w:r>
        <w:rPr>
          <w:rFonts w:ascii="Times New Roman" w:hAnsi="Times New Roman" w:eastAsia="仿宋_GB2312" w:cs="Times New Roman"/>
          <w:color w:val="auto"/>
          <w:sz w:val="32"/>
          <w:szCs w:val="32"/>
        </w:rPr>
        <w:t>万元，占授予中小企业合同金额的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%，工程采购授予中小企业合同金额占工程支出金额的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5"/>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kern w:val="0"/>
          <w:sz w:val="32"/>
          <w:szCs w:val="32"/>
          <w:lang w:val="en-US" w:eastAsia="zh-CN" w:bidi="ar-SA"/>
        </w:rPr>
        <w:t>截至2024年12月31日，单位共有车辆6辆，其中，副部（省）级及以上领导用车0辆、主要负责人用车0辆、机要通信用车1辆、应急保障用车0辆、执法执勤用车0辆、特种专业技术用车2辆、离退休干部服务用车3辆、其他用车0辆，；单位价值100万元以上设备（不含车辆）0台（套）。</w:t>
      </w:r>
    </w:p>
    <w:p>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s="Times New Roman"/>
          <w:color w:val="auto"/>
          <w:kern w:val="0"/>
          <w:sz w:val="32"/>
          <w:szCs w:val="32"/>
          <w:lang w:val="en-US" w:eastAsia="zh-CN" w:bidi="ar-SA"/>
        </w:rPr>
      </w:pPr>
    </w:p>
    <w:p>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1584.99</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1584.99</w:t>
      </w:r>
      <w:r>
        <w:rPr>
          <w:rFonts w:hint="default" w:ascii="Times New Roman" w:hAnsi="Times New Roman" w:eastAsia="仿宋_GB2312" w:cs="Times New Roman"/>
          <w:kern w:val="0"/>
          <w:sz w:val="32"/>
          <w:szCs w:val="32"/>
        </w:rPr>
        <w:t xml:space="preserve"> </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34.12</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widowControl/>
        <w:spacing w:line="600" w:lineRule="exact"/>
        <w:ind w:firstLine="627" w:firstLineChars="196"/>
        <w:rPr>
          <w:rFonts w:hint="default" w:ascii="Times New Roman" w:hAnsi="Times New Roman" w:eastAsia="仿宋_GB2312" w:cs="Times New Roman"/>
          <w:kern w:val="0"/>
          <w:sz w:val="32"/>
          <w:szCs w:val="32"/>
          <w:lang w:val="en-US" w:eastAsia="zh-CN"/>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default" w:ascii="Times New Roman" w:hAnsi="Times New Roman" w:eastAsia="仿宋_GB2312" w:cs="Times New Roman"/>
          <w:kern w:val="0"/>
          <w:sz w:val="32"/>
          <w:szCs w:val="32"/>
        </w:rPr>
        <w:t>5762.22</w:t>
      </w:r>
      <w:r>
        <w:rPr>
          <w:rFonts w:ascii="Times New Roman" w:hAnsi="Times New Roman" w:eastAsia="仿宋_GB2312" w:cs="Times New Roman"/>
          <w:sz w:val="32"/>
          <w:szCs w:val="32"/>
        </w:rPr>
        <w:t>万元，执行数</w:t>
      </w:r>
      <w:r>
        <w:rPr>
          <w:rFonts w:hint="default" w:ascii="Times New Roman" w:hAnsi="Times New Roman" w:eastAsia="仿宋_GB2312" w:cs="Times New Roman"/>
          <w:kern w:val="0"/>
          <w:sz w:val="32"/>
          <w:szCs w:val="32"/>
        </w:rPr>
        <w:t xml:space="preserve">4645.66 </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”。绩效目标完成情况：一是</w:t>
      </w:r>
      <w:r>
        <w:rPr>
          <w:rFonts w:hint="default" w:ascii="Times New Roman" w:hAnsi="Times New Roman" w:eastAsia="仿宋_GB2312" w:cs="Times New Roman"/>
          <w:kern w:val="0"/>
          <w:sz w:val="32"/>
          <w:szCs w:val="32"/>
        </w:rPr>
        <w:t>严控运行成本</w:t>
      </w:r>
      <w:r>
        <w:rPr>
          <w:rFonts w:hint="eastAsia" w:ascii="Times New Roman" w:hAnsi="Times New Roman" w:eastAsia="仿宋_GB2312" w:cs="Times New Roman"/>
          <w:kern w:val="0"/>
          <w:sz w:val="32"/>
          <w:szCs w:val="32"/>
          <w:lang w:eastAsia="zh-CN"/>
        </w:rPr>
        <w:t>。</w:t>
      </w:r>
      <w:r>
        <w:rPr>
          <w:rFonts w:hint="default" w:ascii="Times New Roman" w:hAnsi="Times New Roman" w:eastAsia="仿宋_GB2312" w:cs="Times New Roman"/>
          <w:kern w:val="0"/>
          <w:sz w:val="32"/>
          <w:szCs w:val="32"/>
        </w:rPr>
        <w:t>202</w:t>
      </w: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年“三公”经费年初预算数</w:t>
      </w:r>
      <w:r>
        <w:rPr>
          <w:rFonts w:hint="default" w:ascii="Times New Roman" w:hAnsi="Times New Roman" w:eastAsia="仿宋_GB2312" w:cs="Times New Roman"/>
          <w:kern w:val="0"/>
          <w:sz w:val="32"/>
          <w:szCs w:val="32"/>
          <w:lang w:val="en-US" w:eastAsia="zh-CN"/>
        </w:rPr>
        <w:t>87</w:t>
      </w:r>
      <w:r>
        <w:rPr>
          <w:rFonts w:hint="default" w:ascii="Times New Roman" w:hAnsi="Times New Roman" w:eastAsia="仿宋_GB2312" w:cs="Times New Roman"/>
          <w:kern w:val="0"/>
          <w:sz w:val="32"/>
          <w:szCs w:val="32"/>
        </w:rPr>
        <w:t>万元，实际支出</w:t>
      </w:r>
      <w:r>
        <w:rPr>
          <w:rFonts w:hint="default" w:ascii="Times New Roman" w:hAnsi="Times New Roman" w:eastAsia="仿宋_GB2312" w:cs="Times New Roman"/>
          <w:kern w:val="0"/>
          <w:sz w:val="32"/>
          <w:szCs w:val="32"/>
          <w:lang w:val="en-US" w:eastAsia="zh-CN"/>
        </w:rPr>
        <w:t>64.74</w:t>
      </w:r>
      <w:r>
        <w:rPr>
          <w:rFonts w:hint="default" w:ascii="Times New Roman" w:hAnsi="Times New Roman" w:eastAsia="仿宋_GB2312" w:cs="Times New Roman"/>
          <w:kern w:val="0"/>
          <w:sz w:val="32"/>
          <w:szCs w:val="32"/>
        </w:rPr>
        <w:t>万元，较年初预算节约</w:t>
      </w:r>
      <w:r>
        <w:rPr>
          <w:rFonts w:hint="default" w:ascii="Times New Roman" w:hAnsi="Times New Roman" w:eastAsia="仿宋_GB2312" w:cs="Times New Roman"/>
          <w:kern w:val="0"/>
          <w:sz w:val="32"/>
          <w:szCs w:val="32"/>
          <w:lang w:val="en-US" w:eastAsia="zh-CN"/>
        </w:rPr>
        <w:t>22.26</w:t>
      </w:r>
      <w:r>
        <w:rPr>
          <w:rFonts w:hint="default" w:ascii="Times New Roman" w:hAnsi="Times New Roman" w:eastAsia="仿宋_GB2312" w:cs="Times New Roman"/>
          <w:kern w:val="0"/>
          <w:sz w:val="32"/>
          <w:szCs w:val="32"/>
        </w:rPr>
        <w:t>万元，节约比为</w:t>
      </w:r>
      <w:r>
        <w:rPr>
          <w:rFonts w:hint="default" w:ascii="Times New Roman" w:hAnsi="Times New Roman" w:eastAsia="仿宋_GB2312" w:cs="Times New Roman"/>
          <w:kern w:val="0"/>
          <w:sz w:val="32"/>
          <w:szCs w:val="32"/>
          <w:lang w:val="en-US" w:eastAsia="zh-CN"/>
        </w:rPr>
        <w:t>25.6%</w:t>
      </w:r>
      <w:r>
        <w:rPr>
          <w:rFonts w:hint="default" w:ascii="Times New Roman" w:hAnsi="Times New Roman" w:eastAsia="仿宋_GB2312" w:cs="Times New Roman"/>
          <w:kern w:val="0"/>
          <w:sz w:val="32"/>
          <w:szCs w:val="32"/>
        </w:rPr>
        <w:t>。202</w:t>
      </w:r>
      <w:r>
        <w:rPr>
          <w:rFonts w:hint="default" w:ascii="Times New Roman" w:hAnsi="Times New Roman" w:eastAsia="仿宋_GB2312" w:cs="Times New Roman"/>
          <w:kern w:val="0"/>
          <w:sz w:val="32"/>
          <w:szCs w:val="32"/>
          <w:lang w:val="en-US" w:eastAsia="zh-CN"/>
        </w:rPr>
        <w:t>4</w:t>
      </w:r>
      <w:r>
        <w:rPr>
          <w:rFonts w:hint="default" w:ascii="Times New Roman" w:hAnsi="Times New Roman" w:eastAsia="仿宋_GB2312" w:cs="Times New Roman"/>
          <w:kern w:val="0"/>
          <w:sz w:val="32"/>
          <w:szCs w:val="32"/>
        </w:rPr>
        <w:t>年基本支出中的水费、电费、差旅费等均合理控制在预算以内</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二是</w:t>
      </w:r>
      <w:r>
        <w:rPr>
          <w:rFonts w:hint="default" w:ascii="Times New Roman" w:hAnsi="Times New Roman" w:eastAsia="仿宋_GB2312" w:cs="Times New Roman"/>
          <w:sz w:val="32"/>
          <w:szCs w:val="32"/>
        </w:rPr>
        <w:t>提高管理效率</w:t>
      </w:r>
      <w:r>
        <w:rPr>
          <w:rFonts w:hint="eastAsia" w:ascii="Times New Roman" w:hAnsi="Times New Roman" w:eastAsia="楷体_GB2312" w:cs="Times New Roman"/>
          <w:b w:val="0"/>
          <w:bCs w:val="0"/>
          <w:sz w:val="32"/>
          <w:szCs w:val="32"/>
          <w:lang w:eastAsia="zh-CN"/>
        </w:rPr>
        <w:t>。</w:t>
      </w:r>
      <w:r>
        <w:rPr>
          <w:rFonts w:hint="eastAsia" w:ascii="Times New Roman" w:hAnsi="Times New Roman" w:eastAsia="楷体_GB2312" w:cs="Times New Roman"/>
          <w:b w:val="0"/>
          <w:bCs w:val="0"/>
          <w:sz w:val="32"/>
          <w:szCs w:val="32"/>
          <w:lang w:val="en-US" w:eastAsia="zh-CN"/>
        </w:rPr>
        <w:t>1.</w:t>
      </w:r>
      <w:r>
        <w:rPr>
          <w:rFonts w:hint="default" w:ascii="Times New Roman" w:hAnsi="Times New Roman" w:eastAsia="仿宋_GB2312" w:cs="Times New Roman"/>
          <w:sz w:val="32"/>
          <w:szCs w:val="32"/>
        </w:rPr>
        <w:t>进一步规范财务管理</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加强对项目资金的管控，优化绩效管理，严格按省农业农村厅新颁发的绩效管理办法规范项目资金使用。加强对政府采购项目的管控，严格按流程采购，与纪检联合，做到公开、高效。加强预算管理，积极与各部门沟通，以过去年度数据为依托，将各项预算做细做准</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在执行过程中，利用项目资金进度表，实时掌握执行动态，按季度总结、跟进，保证执行进度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创新推广农机新机具、新技术。成功举办2024年全省农机推广“田间日”活动。连续举办两届“田间地头展 农机进万家”活动，现场共销售水稻生产相关农机具146台（套），销售金额达1100余万元。聘请“土专家”，开展“送训下乡”活动，累积开办“田间课堂”培训班15期，培训学员</w:t>
      </w:r>
      <w:r>
        <w:rPr>
          <w:rFonts w:hint="eastAsia" w:ascii="Times New Roman" w:hAnsi="Times New Roman" w:eastAsia="仿宋_GB2312" w:cs="Times New Roman"/>
          <w:sz w:val="32"/>
          <w:szCs w:val="32"/>
          <w:lang w:val="en-US" w:eastAsia="zh-CN"/>
        </w:rPr>
        <w:t>千余</w:t>
      </w:r>
      <w:r>
        <w:rPr>
          <w:rFonts w:hint="default" w:ascii="Times New Roman" w:hAnsi="Times New Roman" w:eastAsia="仿宋_GB2312" w:cs="Times New Roman"/>
          <w:sz w:val="32"/>
          <w:szCs w:val="32"/>
        </w:rPr>
        <w:t>人，带动全省各市州、县市区举行培训533场，培训人员</w:t>
      </w:r>
      <w:r>
        <w:rPr>
          <w:rFonts w:hint="eastAsia" w:ascii="Times New Roman" w:hAnsi="Times New Roman" w:eastAsia="仿宋_GB2312" w:cs="Times New Roman"/>
          <w:sz w:val="32"/>
          <w:szCs w:val="32"/>
          <w:lang w:val="en-US" w:eastAsia="zh-CN"/>
        </w:rPr>
        <w:t>3万余</w:t>
      </w:r>
      <w:r>
        <w:rPr>
          <w:rFonts w:hint="default" w:ascii="Times New Roman" w:hAnsi="Times New Roman" w:eastAsia="仿宋_GB2312" w:cs="Times New Roman"/>
          <w:sz w:val="32"/>
          <w:szCs w:val="32"/>
        </w:rPr>
        <w:t>人次。</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收集信息数据。在做好春耕备耕及早、中、晚稻生产技术服务同时，围绕1000万亩水稻机插机抛秧作业目标任务，组织建设湖南省集中育秧设施管理平台，升级农机作业监测系统，开展农机作业监测。截至目前，全省共125个县市区自主建设了县级系统并接入省级平台，接入北斗终端3.24万台，监测水稻机插机抛作业面积707万亩，较去年增长50.22%，其中机插秧579万亩，较去年增长83.28%。</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配合做好补贴政策实施。配合厅农机化处制定新一轮补贴政策，对14个市州进行开展农机报废更新补贴政策宣讲</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组织专家对2441个产品进行资料评审和149台（套）机具开展集中演示评价，将349个不合格机具挡在补贴门外，新增7个农用水泵分类分档，提前做好应急救灾防范。</w:t>
      </w:r>
      <w:r>
        <w:rPr>
          <w:rFonts w:hint="eastAsia" w:ascii="Times New Roman" w:hAnsi="Times New Roman" w:eastAsia="仿宋_GB2312" w:cs="Times New Roman"/>
          <w:sz w:val="32"/>
          <w:szCs w:val="32"/>
          <w:lang w:eastAsia="zh-CN"/>
        </w:rPr>
        <w:t>三是</w:t>
      </w:r>
      <w:r>
        <w:rPr>
          <w:rFonts w:hint="default" w:ascii="Times New Roman" w:hAnsi="Times New Roman" w:eastAsia="仿宋_GB2312" w:cs="Times New Roman"/>
          <w:sz w:val="32"/>
          <w:szCs w:val="32"/>
        </w:rPr>
        <w:t>提升履职效能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奋力助推农机高地建设。组织相关部门和农机企业召开专题座谈会，现场解读农机出口政策法规，服务湘产农机“走出去”。成功承办第十三届中国中部投资贸易博览会国际农业机械及智慧农业创新发展对接会。组织15家湘企参加第三届湖南装备与制造走进东盟投资推进会。做好马达加斯加、东帝汶农机捐赠及东帝汶考察团来湘访问接待。承担2024年中国国际农机展览会筹备工作，牵头组织W1湖南馆的组展布展、专题活动服务。</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zh-CN"/>
        </w:rPr>
        <w:t>稳步推进农机安责险和事故预防工作</w:t>
      </w:r>
      <w:r>
        <w:rPr>
          <w:rFonts w:hint="default" w:ascii="Times New Roman" w:hAnsi="Times New Roman" w:eastAsia="仿宋_GB2312" w:cs="Times New Roman"/>
          <w:sz w:val="32"/>
          <w:szCs w:val="32"/>
        </w:rPr>
        <w:t>。深入10个县市区开展拖拉机和联合收割机牌证监管“双随机一公开”检查；开展农机“开工第一课讲安全”，农机安全生产月宣传、农机安全咨询日活动；结合重点农时，指导农机合作社、农机大户和机手做好机具维护和隐患排查，防止机具带病作业；在汉寿县、湘阴县、资阳区、麻阳县试点安装“北斗终端”300台，实现盯“人”盯“机”目标。</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保质保量做好农机试验鉴定。率先完成农机鉴定申报系统升级，成为国内第一批完成注册换证的鉴定机构。截至目前，今年共完成省级鉴定或评审任务128项、部级鉴定36项；完成农业机械试验鉴定证后监督部级证书25张、省级证书64张；承担部总站和省厅下达的质量调查任务各1项，分别调查谷物干燥机品牌13个、144台套，水稻高速插秧机品牌12个、120台。</w:t>
      </w:r>
    </w:p>
    <w:p>
      <w:pPr>
        <w:pStyle w:val="15"/>
        <w:overflowPunct w:val="0"/>
        <w:autoSpaceDE/>
        <w:autoSpaceDN/>
        <w:spacing w:line="600" w:lineRule="exact"/>
        <w:ind w:firstLine="640" w:firstLineChars="200"/>
        <w:jc w:val="both"/>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（三）评价结果应用情况。</w:t>
      </w:r>
    </w:p>
    <w:p>
      <w:pPr>
        <w:pStyle w:val="15"/>
        <w:overflowPunct w:val="0"/>
        <w:autoSpaceDE/>
        <w:autoSpaceDN/>
        <w:spacing w:line="600" w:lineRule="exact"/>
        <w:ind w:firstLine="640" w:firstLineChars="200"/>
        <w:jc w:val="both"/>
        <w:rPr>
          <w:rFonts w:hint="default" w:ascii="Times New Roman" w:hAnsi="Times New Roman" w:eastAsia="仿宋_GB2312" w:cs="Times New Roman"/>
          <w:color w:val="auto"/>
          <w:sz w:val="32"/>
          <w:szCs w:val="32"/>
          <w:lang w:val="en-US" w:eastAsia="zh-CN"/>
        </w:rPr>
      </w:pPr>
      <w:r>
        <w:rPr>
          <w:rFonts w:ascii="Times New Roman" w:hAnsi="Times New Roman" w:eastAsia="仿宋_GB2312" w:cs="Times New Roman"/>
          <w:color w:val="auto"/>
          <w:sz w:val="32"/>
          <w:szCs w:val="32"/>
        </w:rPr>
        <w:t>根据2024年度绩效自评结果</w:t>
      </w:r>
      <w:r>
        <w:rPr>
          <w:rFonts w:hint="eastAsia" w:ascii="Times New Roman" w:hAnsi="Times New Roman" w:eastAsia="仿宋_GB2312" w:cs="Times New Roman"/>
          <w:color w:val="auto"/>
          <w:sz w:val="32"/>
          <w:szCs w:val="32"/>
          <w:lang w:eastAsia="zh-CN"/>
        </w:rPr>
        <w:t>，结合本单位工作实际，针对</w:t>
      </w:r>
      <w:r>
        <w:rPr>
          <w:rFonts w:hint="eastAsia" w:ascii="Times New Roman" w:hAnsi="Times New Roman" w:eastAsia="仿宋_GB2312" w:cs="Times New Roman"/>
          <w:color w:val="auto"/>
          <w:sz w:val="32"/>
          <w:szCs w:val="32"/>
          <w:lang w:val="en-US" w:eastAsia="zh-CN"/>
        </w:rPr>
        <w:t>2025年度预算安排，我单位将采取以下改进措施：</w:t>
      </w:r>
    </w:p>
    <w:p>
      <w:pPr>
        <w:widowControl/>
        <w:spacing w:line="600" w:lineRule="exact"/>
        <w:ind w:firstLine="627" w:firstLineChars="196"/>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一是加强部门联动。针对在人员变动预测和预算调整机制上存在不足的问题，加强人事部门和财务部门的协作，建立动态监控机制，及时调整预算。另外，可以引入更精确的预测模型，考虑人员流动率等因素。</w:t>
      </w:r>
    </w:p>
    <w:p>
      <w:pPr>
        <w:widowControl/>
        <w:spacing w:line="600" w:lineRule="exact"/>
        <w:ind w:firstLine="627" w:firstLineChars="196"/>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是优化培训内容。由于培训供需对接不精准，内容与生产需要结合不紧密，管理不规范，时间安排和课程有重叠等问题，导致资源使用效率低。需要从调研入手，建立科学的培训需求分析机制，根据农机合作社、农民的实际需求设计课程。同时，加强培训管理，比如建立信息平台避免重复，实施效果评估来优化内容。分层分类管理培训对象，确保针对性。</w:t>
      </w:r>
    </w:p>
    <w:p>
      <w:pPr>
        <w:widowControl/>
        <w:spacing w:line="600" w:lineRule="exact"/>
        <w:ind w:firstLine="627" w:firstLineChars="196"/>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是完善内控制度。针对涉及项目进度管理和资金支付计划的匹配问题，需要强化项目周期管理，细化资金支付节点，制作项目资金支付进度实时更新表，监控支付进度。同时，优化合同条款，明确支付条件，确保资金按进度支付，避免结余。还要定期审计，及时调整预算安排。</w:t>
      </w:r>
    </w:p>
    <w:p>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spacing w:line="360" w:lineRule="auto"/>
        <w:jc w:val="both"/>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cs="Times New Roman"/>
          <w:color w:val="000000"/>
          <w:kern w:val="0"/>
          <w:sz w:val="32"/>
          <w:szCs w:val="32"/>
        </w:rPr>
      </w:pPr>
      <w:r>
        <w:rPr>
          <w:rFonts w:ascii="Times New Roman" w:hAnsi="Times New Roman" w:eastAsia="方正小标宋_GBK" w:cs="Times New Roman"/>
          <w:sz w:val="52"/>
          <w:szCs w:val="52"/>
        </w:rPr>
        <w:t>第四部分    名词解释</w:t>
      </w:r>
    </w:p>
    <w:p>
      <w:pPr>
        <w:pStyle w:val="15"/>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pStyle w:val="15"/>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宋体" w:hAnsi="宋体" w:eastAsia="宋体" w:cs="宋体"/>
          <w:sz w:val="32"/>
          <w:szCs w:val="32"/>
        </w:rPr>
        <w:t>“</w:t>
      </w:r>
      <w:r>
        <w:rPr>
          <w:rFonts w:hint="eastAsia" w:ascii="仿宋_GB2312" w:hAnsi="仿宋_GB2312" w:eastAsia="仿宋_GB2312" w:cs="仿宋_GB2312"/>
          <w:sz w:val="32"/>
          <w:szCs w:val="32"/>
        </w:rPr>
        <w:t>三公</w:t>
      </w:r>
      <w:r>
        <w:rPr>
          <w:rFonts w:hint="eastAsia" w:ascii="宋体" w:hAnsi="宋体" w:eastAsia="宋体" w:cs="宋体"/>
          <w:sz w:val="32"/>
          <w:szCs w:val="32"/>
        </w:rPr>
        <w:t>”</w:t>
      </w:r>
      <w:r>
        <w:rPr>
          <w:rFonts w:hint="eastAsia" w:ascii="仿宋_GB2312" w:hAnsi="仿宋_GB2312" w:eastAsia="仿宋_GB2312" w:cs="仿宋_GB2312"/>
          <w:sz w:val="32"/>
          <w:szCs w:val="32"/>
        </w:rPr>
        <w:t>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jc w:val="both"/>
        <w:rPr>
          <w:rFonts w:ascii="Times New Roman" w:hAnsi="Times New Roman" w:cs="Times New Roman"/>
          <w:sz w:val="72"/>
          <w:szCs w:val="72"/>
        </w:rPr>
      </w:pPr>
    </w:p>
    <w:p>
      <w:pPr>
        <w:pStyle w:val="15"/>
        <w:spacing w:line="360" w:lineRule="auto"/>
        <w:jc w:val="center"/>
        <w:rPr>
          <w:rFonts w:ascii="Times New Roman" w:hAnsi="Times New Roman" w:eastAsia="方正小标宋_GBK" w:cs="Times New Roman"/>
          <w:sz w:val="52"/>
          <w:szCs w:val="52"/>
        </w:rPr>
      </w:pPr>
    </w:p>
    <w:p>
      <w:pPr>
        <w:pStyle w:val="15"/>
        <w:spacing w:line="360" w:lineRule="auto"/>
        <w:jc w:val="center"/>
        <w:rPr>
          <w:rFonts w:ascii="Times New Roman" w:hAnsi="Times New Roman" w:cs="Times New Roman"/>
          <w:sz w:val="72"/>
          <w:szCs w:val="72"/>
        </w:rPr>
      </w:pPr>
      <w:r>
        <w:rPr>
          <w:rFonts w:ascii="Times New Roman" w:hAnsi="Times New Roman" w:eastAsia="方正小标宋_GBK" w:cs="Times New Roman"/>
          <w:sz w:val="52"/>
          <w:szCs w:val="52"/>
        </w:rPr>
        <w:t>第五部分   附 件</w:t>
      </w:r>
    </w:p>
    <w:p>
      <w:pPr>
        <w:pStyle w:val="15"/>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2024年度部单位整体支出绩效自评报告。</w:t>
      </w:r>
    </w:p>
    <w:p>
      <w:pPr>
        <w:pStyle w:val="3"/>
        <w:ind w:firstLine="0" w:firstLineChars="0"/>
        <w:rPr>
          <w:rFonts w:hint="default" w:ascii="Times New Roman" w:hAnsi="Times New Roman" w:cs="Times New Roman"/>
          <w:lang w:eastAsia="zh-CN"/>
        </w:rPr>
      </w:pPr>
    </w:p>
    <w:p>
      <w:pPr>
        <w:widowControl w:val="0"/>
        <w:adjustRightInd w:val="0"/>
        <w:snapToGrid w:val="0"/>
        <w:spacing w:line="570" w:lineRule="atLeast"/>
        <w:ind w:firstLine="640" w:firstLineChars="200"/>
        <w:jc w:val="both"/>
        <w:outlineLvl w:val="1"/>
        <w:rPr>
          <w:rFonts w:hint="default"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2"/>
          <w:sz w:val="32"/>
          <w:szCs w:val="32"/>
          <w:lang w:val="en-US" w:eastAsia="zh-CN" w:bidi="ar-SA"/>
        </w:rPr>
        <w:t>一、基本情况</w:t>
      </w:r>
    </w:p>
    <w:p>
      <w:pPr>
        <w:adjustRightInd w:val="0"/>
        <w:snapToGrid w:val="0"/>
        <w:spacing w:line="570" w:lineRule="atLeast"/>
        <w:ind w:firstLine="640" w:firstLineChars="20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（一）单位基本情况</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（1）职能职责</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1.为全省农业机械化生产、农机社会化服务、农机维修、农机抗灾救灾、农机安全生产监管等相关工作提供技术支持、服务保障和相关公益服务。承担农业机械从业人员教育培训和职业技能开发工作。</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2.承担农业机械补贴政策实施相关事务性工作。</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3.承担农业机械化信息网络建设运行、农业机械化生产 信息统计工作。</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4.承担农业机械新机具、新技术的引进和示范推广等相 关技术性、事务性工作。承担省级支持推广的农业机械产品目录 制定相关技术性、事务性工作。</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5.承担农业机械试验鉴定相关技术性工作。</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6.对市县农机事务中心进行业务和技术指导。联系农机行业相关学会、协会。</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7.承担省农业农村厅交办的其他工作。</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（2）机构设置</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湖南省农机事务中心设有综合部、党群人事部、生产服务部、产业发展部、科技推广部、安全监理部、试验鉴定部。</w:t>
      </w:r>
    </w:p>
    <w:p>
      <w:pPr>
        <w:adjustRightInd w:val="0"/>
        <w:snapToGrid w:val="0"/>
        <w:spacing w:line="570" w:lineRule="atLeast"/>
        <w:ind w:firstLine="320" w:firstLineChars="100"/>
        <w:rPr>
          <w:rFonts w:hint="default" w:ascii="Times New Roman" w:hAnsi="Times New Roman" w:eastAsia="楷体_GB2312" w:cs="Times New Roman"/>
          <w:b/>
          <w:color w:val="FF0000"/>
          <w:sz w:val="32"/>
          <w:szCs w:val="32"/>
        </w:rPr>
      </w:pPr>
      <w:r>
        <w:rPr>
          <w:rFonts w:hint="default" w:ascii="Times New Roman" w:hAnsi="Times New Roman" w:eastAsia="楷体_GB2312" w:cs="Times New Roman"/>
          <w:b/>
          <w:sz w:val="32"/>
          <w:szCs w:val="32"/>
        </w:rPr>
        <w:t>（二）</w:t>
      </w:r>
      <w:r>
        <w:rPr>
          <w:rFonts w:hint="default" w:ascii="Times New Roman" w:hAnsi="Times New Roman" w:eastAsia="楷体_GB2312" w:cs="Times New Roman"/>
          <w:b/>
          <w:color w:val="auto"/>
          <w:sz w:val="32"/>
          <w:szCs w:val="32"/>
        </w:rPr>
        <w:t>单位年度整体支出绩效目标，省级专项资金绩效目标、其他项目支出（除省级专项资金以外）绩效目标</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（1）整体支出绩效目标</w:t>
      </w:r>
    </w:p>
    <w:p>
      <w:pPr>
        <w:widowControl/>
        <w:adjustRightInd w:val="0"/>
        <w:snapToGrid w:val="0"/>
        <w:spacing w:line="60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开展农业机械化技术示范推广，推动主要农作物机械化全程全面发展，提高农业机械化水平；加强农机公共服务基础设施建设，建设农机研发制造推广应用一体化试点，提升农机化公共服务能力；支持农机合作社发展，大力培育新型职业农民，加快推进农机社会化服务；支持农机化技术创新，推动智慧智能农机产业链；加强农机化教育培训，提升农机从业人员素质和能力。</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（2）省级专项资金绩效目标</w:t>
      </w:r>
    </w:p>
    <w:p>
      <w:pPr>
        <w:widowControl/>
        <w:adjustRightInd w:val="0"/>
        <w:snapToGrid w:val="0"/>
        <w:spacing w:line="60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培训一批农机监理四员，乡镇农机专干；提升机手农机安全生产意识，营造农业安全生产氛围；推动实施拖拉机“亮尾工程”，提升农机手安全生产意识；完成鉴定检测设备采购并完成相关信息化建设工作；免费为申请试验鉴定的农机生产企业服务，为我省农机购置补贴政策实施服好务；切实维护投诉者的合法权益；切实解决投诉者和被投诉者之间的各种纠纷；对部分成套设施和部分拟补贴新机具进行单位成本审计；根据标准立项情况全年制定地方标准</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团体行业标准，进一步完善标准体系；开展农机职工技能培训，促进农业机械化转型升级。</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（3）其他项目支出绩效目标</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1.业务工作经费</w:t>
      </w:r>
    </w:p>
    <w:p>
      <w:pPr>
        <w:widowControl/>
        <w:adjustRightInd w:val="0"/>
        <w:snapToGrid w:val="0"/>
        <w:spacing w:line="60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开展农业机械化技术示范推广，推动主要农作物机械化全程全面发展，提高农业机械化水平；加强农机公共服务基础设施建设，提升农机化公共服务能力。</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2.运行维护经费</w:t>
      </w:r>
    </w:p>
    <w:p>
      <w:pPr>
        <w:widowControl/>
        <w:adjustRightInd w:val="0"/>
        <w:snapToGrid w:val="0"/>
        <w:spacing w:line="60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中心两院进行保洁、垃圾清运、秩序维护、设施维修管理、电梯维护、管道疏通等工作，保障中心两院物业服务正常运行；按工作需求购置空调、打印机、电脑等办公设备，严格遵守政府采购制度流程，保障职工办公环境要求。</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rPr>
        <w:t xml:space="preserve">3. </w:t>
      </w:r>
      <w:r>
        <w:rPr>
          <w:rFonts w:hint="eastAsia" w:ascii="Times New Roman" w:hAnsi="Times New Roman" w:eastAsia="楷体_GB2312" w:cs="Times New Roman"/>
          <w:b/>
          <w:bCs/>
          <w:sz w:val="32"/>
          <w:szCs w:val="32"/>
          <w:lang w:val="en-US" w:eastAsia="zh-CN"/>
        </w:rPr>
        <w:t>其他事业发展类资金</w:t>
      </w:r>
    </w:p>
    <w:p>
      <w:pPr>
        <w:widowControl/>
        <w:adjustRightInd w:val="0"/>
        <w:snapToGrid w:val="0"/>
        <w:spacing w:line="60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加强农机公共服务基础设施建设，建设省级农机鉴定中心，提升农机化公共服务能力。</w:t>
      </w:r>
    </w:p>
    <w:p>
      <w:pPr>
        <w:widowControl w:val="0"/>
        <w:adjustRightInd/>
        <w:snapToGrid w:val="0"/>
        <w:spacing w:line="570" w:lineRule="atLeast"/>
        <w:ind w:firstLine="640" w:firstLineChars="200"/>
        <w:jc w:val="both"/>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二、一般公共预算支出情况</w:t>
      </w:r>
    </w:p>
    <w:p>
      <w:pPr>
        <w:widowControl w:val="0"/>
        <w:adjustRightInd/>
        <w:snapToGrid w:val="0"/>
        <w:spacing w:line="570" w:lineRule="atLeast"/>
        <w:ind w:firstLine="640" w:firstLineChars="200"/>
        <w:jc w:val="both"/>
        <w:rPr>
          <w:rFonts w:hint="default" w:ascii="Times New Roman" w:hAnsi="Times New Roman" w:eastAsia="楷体_GB2312" w:cs="Times New Roman"/>
          <w:b/>
          <w:kern w:val="2"/>
          <w:sz w:val="32"/>
          <w:szCs w:val="32"/>
          <w:lang w:val="en-US" w:eastAsia="zh-CN" w:bidi="ar-SA"/>
        </w:rPr>
      </w:pPr>
      <w:r>
        <w:rPr>
          <w:rFonts w:hint="default" w:ascii="Times New Roman" w:hAnsi="Times New Roman" w:eastAsia="楷体_GB2312" w:cs="Times New Roman"/>
          <w:b/>
          <w:kern w:val="2"/>
          <w:sz w:val="32"/>
          <w:szCs w:val="32"/>
          <w:lang w:val="en-US" w:eastAsia="zh-CN" w:bidi="ar-SA"/>
        </w:rPr>
        <w:t>（一）基本支出情况</w:t>
      </w:r>
    </w:p>
    <w:p>
      <w:pPr>
        <w:adjustRightInd w:val="0"/>
        <w:snapToGrid w:val="0"/>
        <w:spacing w:line="560" w:lineRule="atLeas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年度基本支出共发</w:t>
      </w:r>
      <w:r>
        <w:rPr>
          <w:rFonts w:hint="default" w:ascii="Times New Roman" w:hAnsi="Times New Roman" w:eastAsia="仿宋_GB2312" w:cs="Times New Roman"/>
          <w:color w:val="auto"/>
          <w:sz w:val="32"/>
          <w:szCs w:val="32"/>
        </w:rPr>
        <w:t>生</w:t>
      </w:r>
      <w:r>
        <w:rPr>
          <w:rFonts w:hint="default" w:ascii="Times New Roman" w:hAnsi="Times New Roman" w:eastAsia="仿宋_GB2312" w:cs="Times New Roman"/>
          <w:color w:val="auto"/>
          <w:sz w:val="32"/>
          <w:szCs w:val="32"/>
          <w:lang w:val="en-US" w:eastAsia="zh-CN"/>
        </w:rPr>
        <w:t>3060.67</w:t>
      </w:r>
      <w:r>
        <w:rPr>
          <w:rFonts w:hint="default" w:ascii="Times New Roman" w:hAnsi="Times New Roman" w:eastAsia="仿宋_GB2312" w:cs="Times New Roman"/>
          <w:sz w:val="32"/>
          <w:szCs w:val="32"/>
        </w:rPr>
        <w:t>万元，其中人员经费为</w:t>
      </w:r>
      <w:r>
        <w:rPr>
          <w:rFonts w:hint="default" w:ascii="Times New Roman" w:hAnsi="Times New Roman" w:eastAsia="仿宋_GB2312" w:cs="Times New Roman"/>
          <w:sz w:val="32"/>
          <w:szCs w:val="32"/>
          <w:lang w:val="en-US" w:eastAsia="zh-CN"/>
        </w:rPr>
        <w:t>2569.11</w:t>
      </w:r>
      <w:r>
        <w:rPr>
          <w:rFonts w:hint="default" w:ascii="Times New Roman" w:hAnsi="Times New Roman" w:eastAsia="仿宋_GB2312" w:cs="Times New Roman"/>
          <w:sz w:val="32"/>
          <w:szCs w:val="32"/>
        </w:rPr>
        <w:t>万元，公用经费为</w:t>
      </w:r>
      <w:r>
        <w:rPr>
          <w:rFonts w:hint="default" w:ascii="Times New Roman" w:hAnsi="Times New Roman" w:eastAsia="仿宋_GB2312" w:cs="Times New Roman"/>
          <w:sz w:val="32"/>
          <w:szCs w:val="32"/>
          <w:lang w:val="en-US" w:eastAsia="zh-CN"/>
        </w:rPr>
        <w:t>491.57</w:t>
      </w:r>
      <w:r>
        <w:rPr>
          <w:rFonts w:hint="default" w:ascii="Times New Roman" w:hAnsi="Times New Roman" w:eastAsia="仿宋_GB2312" w:cs="Times New Roman"/>
          <w:sz w:val="32"/>
          <w:szCs w:val="32"/>
        </w:rPr>
        <w:t>万元。主要用于保障部门正常运转、完成日常工作任务而发生的各项支出，包括用于基本工资、津贴补贴等人员经费以及办公费、印刷费、水电费、办公设备购置等公用经费。</w:t>
      </w:r>
    </w:p>
    <w:p>
      <w:pPr>
        <w:adjustRightInd w:val="0"/>
        <w:snapToGrid w:val="0"/>
        <w:spacing w:line="560" w:lineRule="atLeast"/>
        <w:ind w:firstLine="640" w:firstLineChars="200"/>
        <w:rPr>
          <w:rFonts w:hint="default" w:ascii="Times New Roman" w:hAnsi="Times New Roman" w:eastAsia="楷体_GB2312" w:cs="Times New Roman"/>
          <w:b/>
          <w:sz w:val="32"/>
          <w:szCs w:val="32"/>
        </w:rPr>
      </w:pPr>
      <w:r>
        <w:rPr>
          <w:rFonts w:hint="default" w:ascii="Times New Roman" w:hAnsi="Times New Roman" w:eastAsia="仿宋_GB2312" w:cs="Times New Roman"/>
          <w:sz w:val="32"/>
          <w:szCs w:val="32"/>
          <w:lang w:eastAsia="zh-CN"/>
        </w:rPr>
        <w:t>我中心</w:t>
      </w:r>
      <w:r>
        <w:rPr>
          <w:rFonts w:hint="default" w:ascii="Times New Roman" w:hAnsi="Times New Roman" w:eastAsia="仿宋_GB2312" w:cs="Times New Roman"/>
          <w:sz w:val="32"/>
          <w:szCs w:val="32"/>
        </w:rPr>
        <w:t>建立健全财务管理制度、内控制度，资金使用符合国家财经法规和财务管理制度规定。各项经费支出按财务制度实行审批，切实降低运行成本。特别是加强对“三公”经费、差旅费、会议费和培训费等公用经费的审核审批，公用经费较好地控制在预算范围之内，且资金使用规范、安全、有效。</w:t>
      </w:r>
    </w:p>
    <w:p>
      <w:pPr>
        <w:widowControl w:val="0"/>
        <w:adjustRightInd/>
        <w:snapToGrid w:val="0"/>
        <w:spacing w:line="570" w:lineRule="atLeast"/>
        <w:ind w:firstLine="640" w:firstLineChars="200"/>
        <w:jc w:val="both"/>
        <w:rPr>
          <w:rFonts w:hint="default" w:ascii="Times New Roman" w:hAnsi="Times New Roman" w:eastAsia="楷体_GB2312" w:cs="Times New Roman"/>
          <w:b/>
          <w:kern w:val="2"/>
          <w:sz w:val="32"/>
          <w:szCs w:val="32"/>
          <w:lang w:val="en-US" w:eastAsia="zh-CN" w:bidi="ar-SA"/>
        </w:rPr>
      </w:pPr>
      <w:r>
        <w:rPr>
          <w:rFonts w:hint="default" w:ascii="Times New Roman" w:hAnsi="Times New Roman" w:eastAsia="楷体_GB2312" w:cs="Times New Roman"/>
          <w:b/>
          <w:kern w:val="2"/>
          <w:sz w:val="32"/>
          <w:szCs w:val="32"/>
          <w:lang w:val="en-US" w:eastAsia="zh-CN" w:bidi="ar-SA"/>
        </w:rPr>
        <w:t>（二）项目支出情况</w:t>
      </w:r>
    </w:p>
    <w:p>
      <w:pPr>
        <w:widowControl/>
        <w:adjustRightInd w:val="0"/>
        <w:snapToGrid w:val="0"/>
        <w:spacing w:line="60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年度项目支出共发生</w:t>
      </w:r>
      <w:r>
        <w:rPr>
          <w:rFonts w:hint="default" w:ascii="Times New Roman" w:hAnsi="Times New Roman" w:eastAsia="仿宋_GB2312" w:cs="Times New Roman"/>
          <w:sz w:val="32"/>
          <w:szCs w:val="32"/>
          <w:lang w:val="en-US" w:eastAsia="zh-CN"/>
        </w:rPr>
        <w:t>1584.99</w:t>
      </w:r>
      <w:r>
        <w:rPr>
          <w:rFonts w:hint="default" w:ascii="Times New Roman" w:hAnsi="Times New Roman" w:eastAsia="仿宋_GB2312" w:cs="Times New Roman"/>
          <w:sz w:val="32"/>
          <w:szCs w:val="32"/>
        </w:rPr>
        <w:t>万元，其中：省级专项资金-现代农业发展专项上年指标结余</w:t>
      </w:r>
      <w:r>
        <w:rPr>
          <w:rFonts w:hint="default" w:ascii="Times New Roman" w:hAnsi="Times New Roman" w:eastAsia="仿宋_GB2312" w:cs="Times New Roman"/>
          <w:sz w:val="32"/>
          <w:szCs w:val="32"/>
          <w:lang w:val="en-US" w:eastAsia="zh-CN"/>
        </w:rPr>
        <w:t>248.6</w:t>
      </w:r>
      <w:r>
        <w:rPr>
          <w:rFonts w:hint="default" w:ascii="Times New Roman" w:hAnsi="Times New Roman" w:eastAsia="仿宋_GB2312" w:cs="Times New Roman"/>
          <w:sz w:val="32"/>
          <w:szCs w:val="32"/>
        </w:rPr>
        <w:t>万元，本年预算安排</w:t>
      </w:r>
      <w:r>
        <w:rPr>
          <w:rFonts w:hint="default" w:ascii="Times New Roman" w:hAnsi="Times New Roman" w:eastAsia="仿宋_GB2312" w:cs="Times New Roman"/>
          <w:sz w:val="32"/>
          <w:szCs w:val="32"/>
          <w:lang w:val="en-US" w:eastAsia="zh-CN"/>
        </w:rPr>
        <w:t>671</w:t>
      </w:r>
      <w:r>
        <w:rPr>
          <w:rFonts w:hint="default" w:ascii="Times New Roman" w:hAnsi="Times New Roman" w:eastAsia="仿宋_GB2312" w:cs="Times New Roman"/>
          <w:sz w:val="32"/>
          <w:szCs w:val="32"/>
        </w:rPr>
        <w:t>万元，本年共支出</w:t>
      </w:r>
      <w:r>
        <w:rPr>
          <w:rFonts w:hint="default" w:ascii="Times New Roman" w:hAnsi="Times New Roman" w:eastAsia="仿宋_GB2312" w:cs="Times New Roman"/>
          <w:sz w:val="32"/>
          <w:szCs w:val="32"/>
          <w:lang w:val="en-US" w:eastAsia="zh-CN"/>
        </w:rPr>
        <w:t>658.5</w:t>
      </w:r>
      <w:r>
        <w:rPr>
          <w:rFonts w:hint="default" w:ascii="Times New Roman" w:hAnsi="Times New Roman" w:eastAsia="仿宋_GB2312" w:cs="Times New Roman"/>
          <w:sz w:val="32"/>
          <w:szCs w:val="32"/>
        </w:rPr>
        <w:t>万元。主要用于农机试验鉴定与能力建设；</w:t>
      </w:r>
      <w:r>
        <w:rPr>
          <w:rFonts w:hint="default" w:ascii="Times New Roman" w:hAnsi="Times New Roman" w:eastAsia="仿宋_GB2312" w:cs="Times New Roman"/>
          <w:sz w:val="32"/>
          <w:szCs w:val="32"/>
          <w:lang w:val="zh-CN"/>
        </w:rPr>
        <w:t>稻油机械化生产高产高效技术集成试验示范；现场集中演示机具及专家评审</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zh-CN"/>
        </w:rPr>
        <w:t>水稻机插（抛）育秧技术培训、现代农机合作社</w:t>
      </w:r>
      <w:r>
        <w:rPr>
          <w:rFonts w:hint="default" w:ascii="Times New Roman" w:hAnsi="Times New Roman" w:eastAsia="仿宋_GB2312" w:cs="Times New Roman"/>
          <w:sz w:val="32"/>
          <w:szCs w:val="32"/>
        </w:rPr>
        <w:t>“三员”培训、农机安全监理人员培训、</w:t>
      </w:r>
      <w:r>
        <w:rPr>
          <w:rFonts w:hint="default" w:ascii="Times New Roman" w:hAnsi="Times New Roman" w:eastAsia="仿宋_GB2312" w:cs="Times New Roman"/>
          <w:sz w:val="32"/>
          <w:szCs w:val="32"/>
          <w:lang w:val="zh-CN"/>
        </w:rPr>
        <w:t>“送训下基层”、农机推广鉴定培训等各类培训；拖拉机北斗导航车载定位终端安装</w:t>
      </w:r>
      <w:r>
        <w:rPr>
          <w:rFonts w:hint="default" w:ascii="Times New Roman" w:hAnsi="Times New Roman" w:eastAsia="仿宋_GB2312" w:cs="Times New Roman"/>
          <w:sz w:val="32"/>
          <w:szCs w:val="32"/>
        </w:rPr>
        <w:t>；农机相关标准制定与宣贯；农机购置与应用补贴第三方审计；农机产品质量调查；农机购置与应用补贴项目评审；</w:t>
      </w:r>
      <w:r>
        <w:rPr>
          <w:rFonts w:hint="default" w:ascii="Times New Roman" w:hAnsi="Times New Roman" w:eastAsia="仿宋_GB2312" w:cs="Times New Roman"/>
          <w:sz w:val="32"/>
          <w:szCs w:val="32"/>
          <w:lang w:val="zh-CN"/>
        </w:rPr>
        <w:t>省级拖拉机和联合收割机牌证管理系统运行维护</w:t>
      </w:r>
      <w:r>
        <w:rPr>
          <w:rFonts w:hint="default" w:ascii="Times New Roman" w:hAnsi="Times New Roman" w:eastAsia="仿宋_GB2312" w:cs="Times New Roman"/>
          <w:sz w:val="32"/>
          <w:szCs w:val="32"/>
        </w:rPr>
        <w:t>等方面。</w:t>
      </w:r>
    </w:p>
    <w:p>
      <w:pPr>
        <w:adjustRightInd w:val="0"/>
        <w:snapToGrid w:val="0"/>
        <w:spacing w:line="600" w:lineRule="exact"/>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其他事业发展类资金</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val="en-US" w:eastAsia="zh-CN"/>
        </w:rPr>
        <w:t>上年结余结转798.75</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本年预算安排129.04万元，共计</w:t>
      </w:r>
      <w:r>
        <w:rPr>
          <w:rFonts w:hint="default" w:ascii="Times New Roman" w:hAnsi="Times New Roman" w:eastAsia="仿宋_GB2312" w:cs="Times New Roman"/>
          <w:sz w:val="32"/>
          <w:szCs w:val="32"/>
        </w:rPr>
        <w:t>支出</w:t>
      </w:r>
      <w:r>
        <w:rPr>
          <w:rFonts w:hint="eastAsia" w:ascii="Times New Roman" w:hAnsi="Times New Roman" w:eastAsia="仿宋_GB2312" w:cs="Times New Roman"/>
          <w:sz w:val="32"/>
          <w:szCs w:val="32"/>
          <w:lang w:val="en-US" w:eastAsia="zh-CN"/>
        </w:rPr>
        <w:t>531.93</w:t>
      </w:r>
      <w:r>
        <w:rPr>
          <w:rFonts w:hint="default"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主要用于</w:t>
      </w:r>
      <w:r>
        <w:rPr>
          <w:rFonts w:hint="default" w:ascii="Times New Roman" w:hAnsi="Times New Roman" w:eastAsia="仿宋_GB2312" w:cs="Times New Roman"/>
          <w:sz w:val="32"/>
          <w:szCs w:val="32"/>
        </w:rPr>
        <w:t>国家现代农业产业园及农业产业强镇项目</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项目已</w:t>
      </w:r>
      <w:r>
        <w:rPr>
          <w:rFonts w:hint="default" w:ascii="Times New Roman" w:hAnsi="Times New Roman" w:eastAsia="仿宋_GB2312" w:cs="Times New Roman"/>
          <w:sz w:val="32"/>
          <w:szCs w:val="32"/>
        </w:rPr>
        <w:t>完成采购</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剩余380.53万元根据合同进度待2025年支付。该</w:t>
      </w:r>
      <w:r>
        <w:rPr>
          <w:rFonts w:hint="default" w:ascii="Times New Roman" w:hAnsi="Times New Roman" w:eastAsia="仿宋_GB2312" w:cs="Times New Roman"/>
          <w:sz w:val="32"/>
          <w:szCs w:val="32"/>
        </w:rPr>
        <w:t>项目资金主要用于购买动力输出轴功率试验系统、拖拉机悬挂试验台、农业机械液压输出功率试验台、田间及道路机械可靠性监测系统、能量色散X荧光光谱仪、高性能农业机械作动机构试验平台等农业机械检测用仪器设备，以不断提升国家水田机械质量检验检测中心的检验检测能力。</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单位专项202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年预算安排</w:t>
      </w:r>
      <w:r>
        <w:rPr>
          <w:rFonts w:hint="default" w:ascii="Times New Roman" w:hAnsi="Times New Roman" w:eastAsia="仿宋_GB2312" w:cs="Times New Roman"/>
          <w:sz w:val="32"/>
          <w:szCs w:val="32"/>
          <w:lang w:val="en-US" w:eastAsia="zh-CN"/>
        </w:rPr>
        <w:t>633.12</w:t>
      </w:r>
      <w:r>
        <w:rPr>
          <w:rFonts w:hint="default" w:ascii="Times New Roman" w:hAnsi="Times New Roman" w:eastAsia="仿宋_GB2312" w:cs="Times New Roman"/>
          <w:sz w:val="32"/>
          <w:szCs w:val="32"/>
        </w:rPr>
        <w:t>万元，支出</w:t>
      </w:r>
      <w:r>
        <w:rPr>
          <w:rFonts w:hint="default" w:ascii="Times New Roman" w:hAnsi="Times New Roman" w:eastAsia="仿宋_GB2312" w:cs="Times New Roman"/>
          <w:sz w:val="32"/>
          <w:szCs w:val="32"/>
          <w:lang w:val="en-US" w:eastAsia="zh-CN"/>
        </w:rPr>
        <w:t>394.56</w:t>
      </w:r>
      <w:r>
        <w:rPr>
          <w:rFonts w:hint="default" w:ascii="Times New Roman" w:hAnsi="Times New Roman" w:eastAsia="仿宋_GB2312" w:cs="Times New Roman"/>
          <w:sz w:val="32"/>
          <w:szCs w:val="32"/>
        </w:rPr>
        <w:t>万元，为单位业务工作经费及运行维护经费，主要用于鉴定仪器设备定检、农机示范推广工作中的差旅费、咨询费、宣传活动费、法律顾问费、办公设备采购、机关大院物业管理费及机房、大院维护与改造等费用。</w:t>
      </w:r>
    </w:p>
    <w:p>
      <w:pPr>
        <w:widowControl w:val="0"/>
        <w:numPr>
          <w:ilvl w:val="0"/>
          <w:numId w:val="3"/>
        </w:numPr>
        <w:adjustRightInd/>
        <w:snapToGrid w:val="0"/>
        <w:spacing w:line="570" w:lineRule="atLeast"/>
        <w:ind w:firstLine="640" w:firstLineChars="200"/>
        <w:jc w:val="both"/>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政府性基金预算支出情况</w:t>
      </w:r>
    </w:p>
    <w:p>
      <w:pPr>
        <w:keepNext w:val="0"/>
        <w:keepLines w:val="0"/>
        <w:pageBreakBefore w:val="0"/>
        <w:widowControl w:val="0"/>
        <w:numPr>
          <w:ilvl w:val="0"/>
          <w:numId w:val="0"/>
        </w:numPr>
        <w:kinsoku/>
        <w:wordWrap/>
        <w:overflowPunct/>
        <w:topLinePunct w:val="0"/>
        <w:autoSpaceDE/>
        <w:autoSpaceDN/>
        <w:bidi w:val="0"/>
        <w:adjustRightInd/>
        <w:snapToGrid w:val="0"/>
        <w:spacing w:line="570" w:lineRule="atLeas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无。</w:t>
      </w:r>
    </w:p>
    <w:p>
      <w:pPr>
        <w:widowControl w:val="0"/>
        <w:numPr>
          <w:ilvl w:val="0"/>
          <w:numId w:val="3"/>
        </w:numPr>
        <w:adjustRightInd/>
        <w:snapToGrid w:val="0"/>
        <w:spacing w:line="570" w:lineRule="atLeast"/>
        <w:ind w:left="0" w:leftChars="0" w:firstLine="640" w:firstLineChars="200"/>
        <w:jc w:val="both"/>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国有资本经营预算支出情况</w:t>
      </w:r>
    </w:p>
    <w:p>
      <w:pPr>
        <w:widowControl w:val="0"/>
        <w:numPr>
          <w:ilvl w:val="0"/>
          <w:numId w:val="0"/>
        </w:numPr>
        <w:adjustRightInd/>
        <w:snapToGrid w:val="0"/>
        <w:spacing w:line="570" w:lineRule="atLeast"/>
        <w:ind w:leftChars="200" w:firstLine="640" w:firstLineChars="200"/>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无。</w:t>
      </w:r>
    </w:p>
    <w:p>
      <w:pPr>
        <w:widowControl w:val="0"/>
        <w:numPr>
          <w:ilvl w:val="0"/>
          <w:numId w:val="3"/>
        </w:numPr>
        <w:adjustRightInd/>
        <w:snapToGrid w:val="0"/>
        <w:spacing w:line="570" w:lineRule="atLeast"/>
        <w:ind w:left="0" w:leftChars="0" w:firstLine="640" w:firstLineChars="200"/>
        <w:jc w:val="both"/>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社会保险基金预算支出情况</w:t>
      </w:r>
    </w:p>
    <w:p>
      <w:pPr>
        <w:widowControl w:val="0"/>
        <w:numPr>
          <w:ilvl w:val="0"/>
          <w:numId w:val="0"/>
        </w:numPr>
        <w:adjustRightInd/>
        <w:snapToGrid w:val="0"/>
        <w:spacing w:line="570" w:lineRule="atLeast"/>
        <w:ind w:leftChars="200" w:firstLine="640" w:firstLineChars="200"/>
        <w:jc w:val="both"/>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无。</w:t>
      </w:r>
    </w:p>
    <w:p>
      <w:pPr>
        <w:adjustRightInd w:val="0"/>
        <w:snapToGrid w:val="0"/>
        <w:spacing w:line="570" w:lineRule="atLeas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六、部门整体支出绩效情况</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（一）严控运行成本</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年“三公”经费年初预算数</w:t>
      </w:r>
      <w:r>
        <w:rPr>
          <w:rFonts w:hint="default" w:ascii="Times New Roman" w:hAnsi="Times New Roman" w:eastAsia="仿宋_GB2312" w:cs="Times New Roman"/>
          <w:sz w:val="32"/>
          <w:szCs w:val="32"/>
          <w:lang w:val="en-US" w:eastAsia="zh-CN"/>
        </w:rPr>
        <w:t>87</w:t>
      </w:r>
      <w:r>
        <w:rPr>
          <w:rFonts w:hint="default" w:ascii="Times New Roman" w:hAnsi="Times New Roman" w:eastAsia="仿宋_GB2312" w:cs="Times New Roman"/>
          <w:sz w:val="32"/>
          <w:szCs w:val="32"/>
        </w:rPr>
        <w:t>万元，实际支出</w:t>
      </w:r>
      <w:r>
        <w:rPr>
          <w:rFonts w:hint="default" w:ascii="Times New Roman" w:hAnsi="Times New Roman" w:eastAsia="仿宋_GB2312" w:cs="Times New Roman"/>
          <w:sz w:val="32"/>
          <w:szCs w:val="32"/>
          <w:lang w:val="en-US" w:eastAsia="zh-CN"/>
        </w:rPr>
        <w:t>64.74</w:t>
      </w:r>
      <w:r>
        <w:rPr>
          <w:rFonts w:hint="default" w:ascii="Times New Roman" w:hAnsi="Times New Roman" w:eastAsia="仿宋_GB2312" w:cs="Times New Roman"/>
          <w:sz w:val="32"/>
          <w:szCs w:val="32"/>
        </w:rPr>
        <w:t>万元，其中：公务接待费支出</w:t>
      </w:r>
      <w:r>
        <w:rPr>
          <w:rFonts w:hint="default" w:ascii="Times New Roman" w:hAnsi="Times New Roman" w:eastAsia="仿宋_GB2312" w:cs="Times New Roman"/>
          <w:sz w:val="32"/>
          <w:szCs w:val="32"/>
          <w:lang w:val="en-US" w:eastAsia="zh-CN"/>
        </w:rPr>
        <w:t>0.64</w:t>
      </w:r>
      <w:r>
        <w:rPr>
          <w:rFonts w:hint="default" w:ascii="Times New Roman" w:hAnsi="Times New Roman" w:eastAsia="仿宋_GB2312" w:cs="Times New Roman"/>
          <w:sz w:val="32"/>
          <w:szCs w:val="32"/>
        </w:rPr>
        <w:t>万元、公务用车运行维护费</w:t>
      </w:r>
      <w:r>
        <w:rPr>
          <w:rFonts w:hint="default"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rPr>
        <w:t>万元、车辆购置费支出</w:t>
      </w:r>
      <w:r>
        <w:rPr>
          <w:rFonts w:hint="default" w:ascii="Times New Roman" w:hAnsi="Times New Roman" w:eastAsia="仿宋_GB2312" w:cs="Times New Roman"/>
          <w:sz w:val="32"/>
          <w:szCs w:val="32"/>
          <w:lang w:val="en-US" w:eastAsia="zh-CN"/>
        </w:rPr>
        <w:t>12.6</w:t>
      </w:r>
      <w:r>
        <w:rPr>
          <w:rFonts w:hint="default" w:ascii="Times New Roman" w:hAnsi="Times New Roman" w:eastAsia="仿宋_GB2312" w:cs="Times New Roman"/>
          <w:sz w:val="32"/>
          <w:szCs w:val="32"/>
        </w:rPr>
        <w:t>万元、因公出国（境）费</w:t>
      </w:r>
      <w:r>
        <w:rPr>
          <w:rFonts w:hint="default" w:ascii="Times New Roman" w:hAnsi="Times New Roman" w:eastAsia="仿宋_GB2312" w:cs="Times New Roman"/>
          <w:sz w:val="32"/>
          <w:szCs w:val="32"/>
          <w:lang w:val="en-US" w:eastAsia="zh-CN"/>
        </w:rPr>
        <w:t>21.5</w:t>
      </w:r>
      <w:r>
        <w:rPr>
          <w:rFonts w:hint="default" w:ascii="Times New Roman" w:hAnsi="Times New Roman" w:eastAsia="仿宋_GB2312" w:cs="Times New Roman"/>
          <w:sz w:val="32"/>
          <w:szCs w:val="32"/>
        </w:rPr>
        <w:t>万元，较年初预算节约</w:t>
      </w:r>
      <w:r>
        <w:rPr>
          <w:rFonts w:hint="default" w:ascii="Times New Roman" w:hAnsi="Times New Roman" w:eastAsia="仿宋_GB2312" w:cs="Times New Roman"/>
          <w:sz w:val="32"/>
          <w:szCs w:val="32"/>
          <w:lang w:val="en-US" w:eastAsia="zh-CN"/>
        </w:rPr>
        <w:t>22.26</w:t>
      </w:r>
      <w:r>
        <w:rPr>
          <w:rFonts w:hint="default" w:ascii="Times New Roman" w:hAnsi="Times New Roman" w:eastAsia="仿宋_GB2312" w:cs="Times New Roman"/>
          <w:sz w:val="32"/>
          <w:szCs w:val="32"/>
        </w:rPr>
        <w:t>万元，节约比为</w:t>
      </w:r>
      <w:r>
        <w:rPr>
          <w:rFonts w:hint="default" w:ascii="Times New Roman" w:hAnsi="Times New Roman" w:eastAsia="仿宋_GB2312" w:cs="Times New Roman"/>
          <w:sz w:val="32"/>
          <w:szCs w:val="32"/>
          <w:lang w:val="en-US" w:eastAsia="zh-CN"/>
        </w:rPr>
        <w:t>25.6%</w:t>
      </w: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年基本支出中的水费、电费、差旅费等均合理控制在预算以内。</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（二）提高管理效率</w:t>
      </w:r>
    </w:p>
    <w:p>
      <w:pPr>
        <w:widowControl/>
        <w:adjustRightInd w:val="0"/>
        <w:snapToGrid w:val="0"/>
        <w:spacing w:line="600" w:lineRule="exact"/>
        <w:ind w:firstLine="627" w:firstLineChars="19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是进一步规范财务管理。加强对项目资金的管控，优化绩效管理，严格按省农业农村厅新颁发的绩效管理办法规范项目资金使用。加强对政府采购项目的管控，严格按流程采购，与纪检联合，做到公开、高效。加强预算管理，积极与各部门沟通，以过去年度数据为依托，将各项预算做细做准；在执行过程中，利用项目资金进度表，实时掌握执行动态，按季度总结、跟进，保证执行进度。</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二是创新推广农机新机具、新技术。成功举办2024年全省农机推广“田间日”活动。连续举办两届“田间地头展 农机进万家”活动，现场共销售水稻生产相关农机具146台（套），销售金额达1100余万元。聘请“土专家”，开展“送训下乡”活动，累积开办“田间课堂”培训班15期，培训学员</w:t>
      </w:r>
      <w:r>
        <w:rPr>
          <w:rFonts w:hint="eastAsia" w:ascii="Times New Roman" w:hAnsi="Times New Roman" w:eastAsia="仿宋_GB2312" w:cs="Times New Roman"/>
          <w:sz w:val="32"/>
          <w:szCs w:val="32"/>
          <w:lang w:val="en-US" w:eastAsia="zh-CN"/>
        </w:rPr>
        <w:t>千余</w:t>
      </w:r>
      <w:r>
        <w:rPr>
          <w:rFonts w:hint="default" w:ascii="Times New Roman" w:hAnsi="Times New Roman" w:eastAsia="仿宋_GB2312" w:cs="Times New Roman"/>
          <w:sz w:val="32"/>
          <w:szCs w:val="32"/>
        </w:rPr>
        <w:t>人，带动全省各市州、县市区举行培训533场，培训人员</w:t>
      </w:r>
      <w:r>
        <w:rPr>
          <w:rFonts w:hint="eastAsia" w:ascii="Times New Roman" w:hAnsi="Times New Roman" w:eastAsia="仿宋_GB2312" w:cs="Times New Roman"/>
          <w:sz w:val="32"/>
          <w:szCs w:val="32"/>
          <w:lang w:val="en-US" w:eastAsia="zh-CN"/>
        </w:rPr>
        <w:t>3万余</w:t>
      </w:r>
      <w:r>
        <w:rPr>
          <w:rFonts w:hint="default" w:ascii="Times New Roman" w:hAnsi="Times New Roman" w:eastAsia="仿宋_GB2312" w:cs="Times New Roman"/>
          <w:sz w:val="32"/>
          <w:szCs w:val="32"/>
        </w:rPr>
        <w:t>人次。</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是收集信息数据。在做好春耕备耕及早、中、晚稻生产技术服务同时，围绕1000万亩水稻机插机抛秧作业目标任务，组织建设湖南省集中育秧设施管理平台，升级农机作业监测系统，开展农机作业监测。截至目前，全省共125个县市区自主建设了县级系统并接入省级平台，接入北斗终端3.24万台，监测水稻机插机抛作业面积707万亩，较去年增长50.22%，其中机插秧579万亩，较去年增长83.28%。</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四是配合做好补贴政策实施。配合厅农机化处制定新一轮补贴政策，对14个市州进行开展农机报废更新补贴政策宣讲</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组织专家对2441个产品进行资料评审和149台（套）机具开展集中演示评价，将349个不合格机具挡在补贴门外，新增7个农用水泵分类分档，提前做好应急救灾防范。</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（三）提升履职效能</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是奋力助推农机高地建设。组织相关部门和农机企业召开专题座谈会，现场解读农机出口政策法规，服务湘产农机“走出去”。成功承办第十三届中国中部投资贸易博览会国际农业机械及智慧农业创新发展对接会。组织15家湘企参加第三届湖南装备与制造走进东盟投资推进会。做好马达加斯加、东帝汶农机捐赠及东帝汶考察团来湘访问接待。承担2024年中国国际农机展览会筹备工作，牵头组织W1湖南馆的组展布展、专题活动服务。</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二是</w:t>
      </w:r>
      <w:r>
        <w:rPr>
          <w:rFonts w:hint="default" w:ascii="Times New Roman" w:hAnsi="Times New Roman" w:eastAsia="仿宋_GB2312" w:cs="Times New Roman"/>
          <w:sz w:val="32"/>
          <w:szCs w:val="32"/>
          <w:lang w:val="zh-CN"/>
        </w:rPr>
        <w:t>稳步推进农机安责险和事故预防工作</w:t>
      </w:r>
      <w:r>
        <w:rPr>
          <w:rFonts w:hint="default" w:ascii="Times New Roman" w:hAnsi="Times New Roman" w:eastAsia="仿宋_GB2312" w:cs="Times New Roman"/>
          <w:sz w:val="32"/>
          <w:szCs w:val="32"/>
        </w:rPr>
        <w:t>。深入10个县市区开展拖拉机和联合收割机牌证监管“双随机一公开”检查；开展农机“开工第一课讲安全”，农机安全生产月宣传、农机安全咨询日活动；结合重点农时，指导农机合作社、农机大户和机手做好机具维护和隐患排查，防止机具带病作业；在汉寿县、湘阴县、资阳区、麻阳县试点安装“北斗终端”300台，实现盯“人”盯“机”目标。</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是保质保量做好农机试验鉴定。率先完成农机鉴定申报系统升级，成为国内第一批完成注册换证的鉴定机构。截至目前，今年共完成省级鉴定或评审任务128项、部级鉴定36项；完成农业机械试验鉴定证后监督部级证书25张、省级证书64张；承担部总站和省厅下达的质量调查任务各1项，分别调查谷物干燥机品牌13个、144台套，水稻高速插秧机品牌12个、120台。</w:t>
      </w:r>
    </w:p>
    <w:p>
      <w:pPr>
        <w:widowControl/>
        <w:adjustRightInd w:val="0"/>
        <w:snapToGrid w:val="0"/>
        <w:spacing w:line="600" w:lineRule="exact"/>
        <w:ind w:firstLine="627" w:firstLineChars="196"/>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（四）注重社会效应</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一是重视群团工作。</w:t>
      </w:r>
      <w:r>
        <w:rPr>
          <w:rFonts w:hint="default" w:ascii="Times New Roman" w:hAnsi="Times New Roman" w:eastAsia="仿宋_GB2312" w:cs="Times New Roman"/>
          <w:sz w:val="32"/>
          <w:szCs w:val="32"/>
        </w:rPr>
        <w:t>牢固树立以人民为中心理念，认真开展帮困工作，及时看望慰问困难职工、困难党员和住院职工，号召并带头为一名癌症晚期困难职工捐款。热情接待来访群众，耐心做好信访接访工作，受理群众来访和网上信访2批次，均及时处理完结，满意率百分百。</w:t>
      </w:r>
    </w:p>
    <w:p>
      <w:pPr>
        <w:widowControl/>
        <w:adjustRightInd w:val="0"/>
        <w:snapToGrid w:val="0"/>
        <w:spacing w:line="600" w:lineRule="exact"/>
        <w:ind w:firstLine="627" w:firstLineChars="196"/>
        <w:jc w:val="left"/>
        <w:rPr>
          <w:rFonts w:hint="default" w:ascii="Times New Roman" w:hAnsi="Times New Roman" w:eastAsia="黑体" w:cs="Times New Roman"/>
          <w:sz w:val="32"/>
          <w:szCs w:val="32"/>
        </w:rPr>
      </w:pPr>
      <w:r>
        <w:rPr>
          <w:rFonts w:hint="default"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讲好农机故事。紧盯农机化重大活动、重要会议、重要农时，聚焦农业机械化高质量发展，在全省农机系统开展好年度主题宣传活动。加强与央视、新华社等重点媒体联系。组织媒体对团洲垸农业生产恢复情况进行了追踪报道。协助农业农村厅做好中宣部“高质量发展调研行”集中采访活动，发布农机化新闻信息100余篇。全年累计向省级以上媒体推送优质新闻信息1500余条，省级以上媒体报道我省农机化相关新闻600余篇。2篇新闻信息荣获2024年度中国农机化信息网好信息二等奖，1篇新闻信息荣获三等奖，连续三年以全国前五的好成绩被农业机械化总站评为信息宣传工作先进单位。</w:t>
      </w:r>
    </w:p>
    <w:p>
      <w:pPr>
        <w:widowControl w:val="0"/>
        <w:adjustRightInd/>
        <w:snapToGrid w:val="0"/>
        <w:spacing w:line="570" w:lineRule="atLeast"/>
        <w:ind w:firstLine="640" w:firstLineChars="200"/>
        <w:jc w:val="both"/>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七、存在的问题及原因分析</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一是基本支出中的人员经费预算</w:t>
      </w:r>
      <w:r>
        <w:rPr>
          <w:rFonts w:hint="default" w:ascii="Times New Roman" w:hAnsi="Times New Roman" w:eastAsia="仿宋_GB2312" w:cs="Times New Roman"/>
          <w:sz w:val="32"/>
          <w:szCs w:val="32"/>
          <w:lang w:val="en-US" w:eastAsia="zh-CN"/>
        </w:rPr>
        <w:t>不够精准</w:t>
      </w:r>
      <w:r>
        <w:rPr>
          <w:rFonts w:hint="default" w:ascii="Times New Roman" w:hAnsi="Times New Roman" w:eastAsia="仿宋_GB2312" w:cs="Times New Roman"/>
          <w:sz w:val="32"/>
          <w:szCs w:val="32"/>
        </w:rPr>
        <w:t>。因为去年退休人员较多，新进人员也多，人员经费预算有偏差，造成资金有结余。</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是培训供需对接不够精准，培训内容及形式与生产需要结合还不够紧密，对培训内容和培训对象规范化管理也不够。在培训时间安排和课程设置上也偶尔会有交叉重叠现象，难免会有培训资源使用效率不高的问题。</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三是存在结余资金未支付完的情况。</w:t>
      </w:r>
      <w:r>
        <w:rPr>
          <w:rFonts w:hint="eastAsia" w:ascii="Times New Roman" w:hAnsi="Times New Roman" w:eastAsia="仿宋_GB2312" w:cs="Times New Roman"/>
          <w:sz w:val="32"/>
          <w:szCs w:val="32"/>
          <w:lang w:val="en-US" w:eastAsia="zh-CN"/>
        </w:rPr>
        <w:t>其他事业发展类</w:t>
      </w:r>
      <w:r>
        <w:rPr>
          <w:rFonts w:hint="default" w:ascii="Times New Roman" w:hAnsi="Times New Roman" w:eastAsia="仿宋_GB2312" w:cs="Times New Roman"/>
          <w:sz w:val="32"/>
          <w:szCs w:val="32"/>
          <w:lang w:val="en-US" w:eastAsia="zh-CN"/>
        </w:rPr>
        <w:t>项目中</w:t>
      </w:r>
      <w:r>
        <w:rPr>
          <w:rFonts w:hint="eastAsia"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国家现代农业产业园及农业产业强镇项目</w:t>
      </w:r>
      <w:r>
        <w:rPr>
          <w:rFonts w:hint="default" w:ascii="Times New Roman" w:hAnsi="Times New Roman" w:eastAsia="仿宋_GB2312" w:cs="Times New Roman"/>
          <w:sz w:val="32"/>
          <w:szCs w:val="32"/>
          <w:lang w:val="en-US" w:eastAsia="zh-CN"/>
        </w:rPr>
        <w:t>已采购并签订合同</w:t>
      </w:r>
      <w:r>
        <w:rPr>
          <w:rFonts w:hint="eastAsia"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lang w:val="en-US" w:eastAsia="zh-CN"/>
        </w:rPr>
        <w:t>金额为774.71万元，已支付394.18万元，剩余380.53万元根据合同支付进度待2025年支付。</w:t>
      </w:r>
    </w:p>
    <w:p>
      <w:pPr>
        <w:adjustRightInd w:val="0"/>
        <w:snapToGrid w:val="0"/>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八、下一步改进措施</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一是加强部门联动。针对在人员变动预测和预算调整机制上存在不足的问题，加强人事部门和财务部门的协作，建立动态监控机制，及时调整预算。另外，可以引入更精确的预测模型，考虑人员流动率等因素。</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是优化培训内容。由于培训供需对接不精准，内容与生产需要结合不紧密，管理不规范，时间安排和课程有重叠等问题，导致资源使用效率低。需要从调研入手，建立科学的培训需求分析机制，根据农机合作社、农民的实际需求设计课程。同时，加强培训管理，比如建立信息平台避免重复，实施效果评估来优化内容。分层分类管理培训对象，确保针对性。</w:t>
      </w:r>
    </w:p>
    <w:p>
      <w:pPr>
        <w:widowControl/>
        <w:adjustRightInd w:val="0"/>
        <w:snapToGrid w:val="0"/>
        <w:spacing w:line="600" w:lineRule="exact"/>
        <w:ind w:firstLine="627" w:firstLineChars="196"/>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是完善内控制度。针对涉及项目进度管理和资金支付计划的匹配问题，需要强化项目周期管理，细化资金支付节点，制作项目资金支付进度实时更新表，监控支付进度。同时，优化合同条款，明确支付条件，确保资金按进度支付，避免结余。还要定期审计，及时调整预算安排。</w:t>
      </w:r>
    </w:p>
    <w:p>
      <w:pPr>
        <w:adjustRightInd w:val="0"/>
        <w:snapToGrid w:val="0"/>
        <w:spacing w:line="579" w:lineRule="atLeast"/>
        <w:ind w:left="0" w:leftChars="0" w:firstLine="0" w:firstLineChars="0"/>
        <w:rPr>
          <w:rFonts w:hint="default" w:ascii="Times New Roman" w:hAnsi="Times New Roman" w:eastAsia="仿宋_GB2312" w:cs="Times New Roman"/>
          <w:sz w:val="32"/>
          <w:szCs w:val="24"/>
        </w:rPr>
      </w:pPr>
    </w:p>
    <w:p>
      <w:pPr>
        <w:adjustRightInd w:val="0"/>
        <w:snapToGrid w:val="0"/>
        <w:spacing w:line="579" w:lineRule="atLeast"/>
        <w:ind w:firstLine="640" w:firstLineChars="200"/>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附件：1.部门整体支出绩效评价基础数据表</w:t>
      </w:r>
    </w:p>
    <w:p>
      <w:pPr>
        <w:adjustRightInd w:val="0"/>
        <w:snapToGrid w:val="0"/>
        <w:spacing w:line="579" w:lineRule="atLeast"/>
        <w:ind w:firstLine="1600" w:firstLineChars="500"/>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2.部门整体支出绩效自评表</w:t>
      </w:r>
    </w:p>
    <w:p>
      <w:pPr>
        <w:widowControl w:val="0"/>
        <w:adjustRightInd w:val="0"/>
        <w:snapToGrid w:val="0"/>
        <w:spacing w:before="144" w:beforeLines="25" w:line="500" w:lineRule="exact"/>
        <w:ind w:firstLine="0" w:firstLineChars="0"/>
        <w:jc w:val="center"/>
        <w:outlineLvl w:val="0"/>
        <w:rPr>
          <w:rFonts w:hint="eastAsia" w:ascii="Times New Roman" w:hAnsi="Times New Roman" w:eastAsia="仿宋_GB2312" w:cs="Times New Roman"/>
          <w:bCs/>
          <w:kern w:val="44"/>
          <w:sz w:val="44"/>
          <w:szCs w:val="44"/>
          <w:highlight w:val="red"/>
          <w:lang w:val="en-US" w:eastAsia="zh-CN" w:bidi="ar-SA"/>
        </w:rPr>
      </w:pPr>
      <w:r>
        <w:rPr>
          <w:rFonts w:hint="eastAsia" w:ascii="Times New Roman" w:hAnsi="Times New Roman" w:eastAsia="仿宋_GB2312" w:cs="Times New Roman"/>
          <w:bCs w:val="0"/>
          <w:kern w:val="2"/>
          <w:sz w:val="32"/>
          <w:szCs w:val="24"/>
          <w:lang w:val="en-US" w:eastAsia="zh-CN" w:bidi="ar-SA"/>
        </w:rPr>
        <w:t xml:space="preserve">          </w:t>
      </w:r>
      <w:r>
        <w:rPr>
          <w:rFonts w:hint="default" w:ascii="Times New Roman" w:hAnsi="Times New Roman" w:eastAsia="仿宋_GB2312" w:cs="Times New Roman"/>
          <w:bCs w:val="0"/>
          <w:kern w:val="2"/>
          <w:sz w:val="32"/>
          <w:szCs w:val="24"/>
          <w:lang w:val="en-US" w:eastAsia="zh-CN" w:bidi="ar-SA"/>
        </w:rPr>
        <w:t>3.项目支出绩效自评表</w:t>
      </w:r>
      <w:r>
        <w:rPr>
          <w:rFonts w:hint="eastAsia" w:ascii="Times New Roman" w:hAnsi="Times New Roman" w:eastAsia="仿宋_GB2312" w:cs="Times New Roman"/>
          <w:bCs w:val="0"/>
          <w:kern w:val="2"/>
          <w:sz w:val="32"/>
          <w:szCs w:val="24"/>
          <w:lang w:val="en-US" w:eastAsia="zh-CN" w:bidi="ar-SA"/>
        </w:rPr>
        <w:t>（</w:t>
      </w:r>
      <w:r>
        <w:rPr>
          <w:rFonts w:hint="default" w:ascii="Times New Roman" w:hAnsi="Times New Roman" w:eastAsia="仿宋_GB2312" w:cs="Times New Roman"/>
          <w:bCs w:val="0"/>
          <w:kern w:val="2"/>
          <w:sz w:val="32"/>
          <w:szCs w:val="24"/>
          <w:lang w:val="en-US" w:eastAsia="zh-CN" w:bidi="ar-SA"/>
        </w:rPr>
        <w:t>现代农业发展（省级专项）</w:t>
      </w:r>
      <w:r>
        <w:rPr>
          <w:rFonts w:hint="eastAsia" w:ascii="Times New Roman" w:hAnsi="Times New Roman" w:eastAsia="仿宋_GB2312" w:cs="Times New Roman"/>
          <w:bCs w:val="0"/>
          <w:kern w:val="2"/>
          <w:sz w:val="32"/>
          <w:szCs w:val="24"/>
          <w:lang w:val="en-US" w:eastAsia="zh-CN" w:bidi="ar-SA"/>
        </w:rPr>
        <w:t>）</w:t>
      </w:r>
    </w:p>
    <w:p>
      <w:pPr>
        <w:adjustRightInd w:val="0"/>
        <w:snapToGrid w:val="0"/>
        <w:spacing w:line="579" w:lineRule="atLeast"/>
        <w:ind w:firstLine="640" w:firstLineChars="200"/>
        <w:rPr>
          <w:rFonts w:hint="eastAsia" w:ascii="Times New Roman" w:hAnsi="Times New Roman" w:eastAsia="仿宋_GB2312" w:cs="Times New Roman"/>
          <w:sz w:val="32"/>
          <w:szCs w:val="24"/>
          <w:lang w:val="en-US" w:eastAsia="zh-CN"/>
        </w:rPr>
      </w:pPr>
      <w:r>
        <w:rPr>
          <w:rFonts w:hint="eastAsia" w:ascii="Times New Roman" w:hAnsi="Times New Roman" w:eastAsia="仿宋_GB2312" w:cs="Times New Roman"/>
          <w:sz w:val="32"/>
          <w:szCs w:val="24"/>
          <w:lang w:val="en-US" w:eastAsia="zh-CN"/>
        </w:rPr>
        <w:t xml:space="preserve">      4.项目支出绩效自评表（业务工作经费）</w:t>
      </w:r>
    </w:p>
    <w:p>
      <w:pPr>
        <w:adjustRightInd w:val="0"/>
        <w:snapToGrid w:val="0"/>
        <w:spacing w:line="579" w:lineRule="atLeast"/>
        <w:ind w:firstLine="640" w:firstLineChars="200"/>
        <w:rPr>
          <w:rFonts w:hint="eastAsia" w:ascii="Times New Roman" w:hAnsi="Times New Roman" w:eastAsia="仿宋_GB2312" w:cs="Times New Roman"/>
          <w:sz w:val="32"/>
          <w:szCs w:val="24"/>
          <w:lang w:val="en-US" w:eastAsia="zh-CN"/>
        </w:rPr>
      </w:pPr>
      <w:r>
        <w:rPr>
          <w:rFonts w:hint="eastAsia" w:ascii="Times New Roman" w:hAnsi="Times New Roman" w:eastAsia="仿宋_GB2312" w:cs="Times New Roman"/>
          <w:sz w:val="32"/>
          <w:szCs w:val="24"/>
          <w:lang w:val="en-US" w:eastAsia="zh-CN"/>
        </w:rPr>
        <w:t xml:space="preserve">      5.项目支出绩效自评表（运行维护经费）</w:t>
      </w:r>
    </w:p>
    <w:p>
      <w:pPr>
        <w:adjustRightInd w:val="0"/>
        <w:snapToGrid w:val="0"/>
        <w:spacing w:line="579" w:lineRule="atLeast"/>
        <w:ind w:firstLine="640" w:firstLineChars="200"/>
        <w:rPr>
          <w:rFonts w:hint="default" w:ascii="Times New Roman" w:hAnsi="Times New Roman" w:eastAsia="仿宋_GB2312" w:cs="Times New Roman"/>
          <w:sz w:val="32"/>
          <w:szCs w:val="24"/>
          <w:lang w:val="en-US" w:eastAsia="zh-CN"/>
        </w:rPr>
      </w:pPr>
      <w:r>
        <w:rPr>
          <w:rFonts w:hint="eastAsia" w:ascii="Times New Roman" w:hAnsi="Times New Roman" w:eastAsia="仿宋_GB2312" w:cs="Times New Roman"/>
          <w:sz w:val="32"/>
          <w:szCs w:val="24"/>
          <w:lang w:val="en-US" w:eastAsia="zh-CN"/>
        </w:rPr>
        <w:t xml:space="preserve">      6.项目支出绩效自评表（其他事业发展类资金）</w:t>
      </w:r>
    </w:p>
    <w:p>
      <w:pPr>
        <w:adjustRightInd w:val="0"/>
        <w:snapToGrid w:val="0"/>
        <w:spacing w:line="579" w:lineRule="atLeast"/>
        <w:ind w:firstLine="640" w:firstLineChars="200"/>
        <w:rPr>
          <w:rFonts w:hint="default" w:ascii="Times New Roman" w:hAnsi="Times New Roman" w:eastAsia="仿宋_GB2312" w:cs="Times New Roman"/>
          <w:sz w:val="32"/>
          <w:szCs w:val="24"/>
        </w:rPr>
      </w:pPr>
    </w:p>
    <w:p>
      <w:pPr>
        <w:adjustRightInd w:val="0"/>
        <w:snapToGrid w:val="0"/>
        <w:spacing w:line="579" w:lineRule="atLeast"/>
        <w:ind w:firstLine="576" w:firstLineChars="180"/>
        <w:outlineLvl w:val="3"/>
        <w:rPr>
          <w:rFonts w:hint="default" w:ascii="Times New Roman" w:hAnsi="Times New Roman" w:eastAsia="仿宋_GB2312" w:cs="Times New Roman"/>
          <w:bCs/>
          <w:sz w:val="32"/>
          <w:szCs w:val="28"/>
        </w:rPr>
      </w:pPr>
      <w:r>
        <w:rPr>
          <w:rFonts w:hint="default" w:ascii="Times New Roman" w:hAnsi="Times New Roman" w:eastAsia="仿宋_GB2312" w:cs="Times New Roman"/>
          <w:bCs/>
          <w:sz w:val="32"/>
          <w:szCs w:val="28"/>
        </w:rPr>
        <w:t xml:space="preserve">                       </w:t>
      </w:r>
    </w:p>
    <w:p>
      <w:pPr>
        <w:widowControl w:val="0"/>
        <w:adjustRightInd w:val="0"/>
        <w:snapToGrid w:val="0"/>
        <w:spacing w:line="579" w:lineRule="atLeast"/>
        <w:ind w:firstLine="0" w:firstLineChars="0"/>
        <w:jc w:val="both"/>
        <w:outlineLvl w:val="1"/>
        <w:rPr>
          <w:rFonts w:hint="default"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2"/>
          <w:sz w:val="32"/>
          <w:szCs w:val="32"/>
          <w:lang w:val="en-US" w:eastAsia="zh-CN" w:bidi="ar-SA"/>
        </w:rPr>
        <w:br w:type="page"/>
      </w:r>
      <w:r>
        <w:rPr>
          <w:rFonts w:hint="default" w:ascii="Times New Roman" w:hAnsi="Times New Roman" w:eastAsia="黑体" w:cs="Times New Roman"/>
          <w:bCs/>
          <w:kern w:val="2"/>
          <w:sz w:val="32"/>
          <w:szCs w:val="32"/>
          <w:lang w:val="en-US" w:eastAsia="zh-CN" w:bidi="ar-SA"/>
        </w:rPr>
        <w:t>附件1</w:t>
      </w:r>
    </w:p>
    <w:p>
      <w:pPr>
        <w:widowControl w:val="0"/>
        <w:adjustRightInd w:val="0"/>
        <w:snapToGrid w:val="0"/>
        <w:spacing w:before="144" w:beforeLines="25" w:after="144" w:afterLines="25" w:line="500" w:lineRule="exact"/>
        <w:ind w:firstLine="0" w:firstLineChars="0"/>
        <w:jc w:val="center"/>
        <w:outlineLvl w:val="0"/>
        <w:rPr>
          <w:rFonts w:hint="default" w:ascii="Times New Roman" w:hAnsi="Times New Roman" w:eastAsia="方正小标宋简体" w:cs="Times New Roman"/>
          <w:bCs/>
          <w:kern w:val="44"/>
          <w:sz w:val="36"/>
          <w:szCs w:val="36"/>
          <w:lang w:val="en-US" w:eastAsia="zh-CN" w:bidi="ar-SA"/>
        </w:rPr>
      </w:pPr>
      <w:r>
        <w:rPr>
          <w:rFonts w:hint="default" w:ascii="Times New Roman" w:hAnsi="Times New Roman" w:eastAsia="方正小标宋简体" w:cs="Times New Roman"/>
          <w:bCs/>
          <w:kern w:val="44"/>
          <w:sz w:val="36"/>
          <w:szCs w:val="36"/>
          <w:lang w:val="en-US" w:eastAsia="zh-CN" w:bidi="ar-SA"/>
        </w:rPr>
        <w:t>部门整体支出绩效评价基础数据表</w:t>
      </w:r>
    </w:p>
    <w:tbl>
      <w:tblPr>
        <w:tblStyle w:val="10"/>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99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93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94%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
                <w:bCs/>
                <w:kern w:val="0"/>
                <w:sz w:val="21"/>
                <w:szCs w:val="21"/>
              </w:rPr>
            </w:pPr>
            <w:r>
              <w:rPr>
                <w:rFonts w:hint="default" w:ascii="Times New Roman" w:hAnsi="Times New Roman" w:eastAsia="仿宋_GB2312" w:cs="Times New Roman"/>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58.42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87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64.74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30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50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42.6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0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20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12.6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30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30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27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27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21.5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1.42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10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eastAsia" w:ascii="Times New Roman" w:hAnsi="Times New Roman" w:eastAsia="仿宋_GB2312" w:cs="Times New Roman"/>
                <w:kern w:val="0"/>
                <w:sz w:val="21"/>
                <w:szCs w:val="21"/>
                <w:highlight w:val="none"/>
                <w:lang w:val="en-US" w:eastAsia="zh-CN"/>
              </w:rPr>
              <w:t>1431.95</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000000"/>
                <w:kern w:val="0"/>
                <w:sz w:val="21"/>
                <w:szCs w:val="21"/>
                <w:highlight w:val="red"/>
                <w:lang w:eastAsia="zh-CN"/>
              </w:rPr>
            </w:pPr>
            <w:r>
              <w:rPr>
                <w:rFonts w:hint="default" w:ascii="Times New Roman" w:hAnsi="Times New Roman" w:eastAsia="仿宋_GB2312" w:cs="Times New Roman"/>
                <w:color w:val="000000"/>
                <w:kern w:val="0"/>
                <w:sz w:val="21"/>
                <w:szCs w:val="21"/>
                <w:highlight w:val="none"/>
                <w:lang w:eastAsia="zh-CN"/>
              </w:rPr>
              <w:t>2371.48</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1584.99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213.31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highlight w:val="red"/>
                <w:lang w:val="en-US" w:eastAsia="zh-CN"/>
              </w:rPr>
            </w:pPr>
            <w:r>
              <w:rPr>
                <w:rFonts w:hint="eastAsia" w:ascii="Times New Roman" w:hAnsi="Times New Roman" w:eastAsia="仿宋_GB2312" w:cs="Times New Roman"/>
                <w:color w:val="auto"/>
                <w:kern w:val="0"/>
                <w:sz w:val="21"/>
                <w:szCs w:val="21"/>
                <w:highlight w:val="none"/>
                <w:lang w:val="en-US" w:eastAsia="zh-CN"/>
              </w:rPr>
              <w:t>407.39</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160.57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eastAsia" w:ascii="Times New Roman" w:hAnsi="Times New Roman" w:eastAsia="仿宋_GB2312" w:cs="Times New Roman"/>
                <w:kern w:val="0"/>
                <w:sz w:val="21"/>
                <w:szCs w:val="21"/>
                <w:lang w:val="en-US" w:eastAsia="zh-CN"/>
              </w:rPr>
              <w:t>233.78</w:t>
            </w:r>
            <w:r>
              <w:rPr>
                <w:rFonts w:hint="default" w:ascii="Times New Roman" w:hAnsi="Times New Roman" w:eastAsia="仿宋_GB2312" w:cs="Times New Roman"/>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highlight w:val="none"/>
              </w:rPr>
            </w:pPr>
            <w:r>
              <w:rPr>
                <w:rFonts w:hint="default" w:ascii="Times New Roman" w:hAnsi="Times New Roman" w:eastAsia="仿宋_GB2312" w:cs="Times New Roman"/>
                <w:kern w:val="0"/>
                <w:sz w:val="21"/>
                <w:szCs w:val="21"/>
                <w:highlight w:val="none"/>
              </w:rPr>
              <w:t>245.73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233.99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firstLineChars="20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3、省级专项资金</w:t>
            </w:r>
          </w:p>
          <w:p>
            <w:pPr>
              <w:widowControl/>
              <w:adjustRightInd/>
              <w:snapToGrid/>
              <w:spacing w:line="280" w:lineRule="exact"/>
              <w:ind w:firstLine="630" w:firstLineChars="30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（现代农业发展）</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eastAsia" w:ascii="Times New Roman" w:hAnsi="Times New Roman" w:eastAsia="仿宋_GB2312" w:cs="Times New Roman"/>
                <w:kern w:val="0"/>
                <w:sz w:val="21"/>
                <w:szCs w:val="21"/>
                <w:lang w:val="en-US" w:eastAsia="zh-CN"/>
              </w:rPr>
              <w:t>736.93</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highlight w:val="none"/>
              </w:rPr>
            </w:pPr>
            <w:r>
              <w:rPr>
                <w:rFonts w:hint="default" w:ascii="Times New Roman" w:hAnsi="Times New Roman" w:eastAsia="仿宋_GB2312" w:cs="Times New Roman"/>
                <w:kern w:val="0"/>
                <w:sz w:val="21"/>
                <w:szCs w:val="21"/>
                <w:highlight w:val="none"/>
              </w:rPr>
              <w:t>919.6</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658.5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firstLineChars="20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eastAsia" w:ascii="Times New Roman" w:hAnsi="Times New Roman" w:eastAsia="仿宋_GB2312" w:cs="Times New Roman"/>
                <w:kern w:val="0"/>
                <w:sz w:val="21"/>
                <w:szCs w:val="21"/>
                <w:lang w:val="en-US" w:eastAsia="zh-CN"/>
              </w:rPr>
              <w:t>1.25</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highlight w:val="red"/>
                <w:lang w:val="en-US"/>
              </w:rPr>
            </w:pPr>
            <w:r>
              <w:rPr>
                <w:rFonts w:hint="default" w:ascii="Times New Roman" w:hAnsi="Times New Roman" w:eastAsia="仿宋_GB2312" w:cs="Times New Roman"/>
                <w:kern w:val="0"/>
                <w:sz w:val="21"/>
                <w:szCs w:val="21"/>
                <w:highlight w:val="none"/>
                <w:lang w:val="en-US"/>
              </w:rPr>
              <w:t>798.75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highlight w:val="none"/>
              </w:rPr>
              <w:t>531.93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eastAsia" w:ascii="Times New Roman" w:hAnsi="Times New Roman" w:eastAsia="仿宋_GB2312" w:cs="Times New Roman"/>
                <w:kern w:val="0"/>
                <w:sz w:val="21"/>
                <w:szCs w:val="21"/>
                <w:lang w:val="en-US" w:eastAsia="zh-CN"/>
              </w:rPr>
              <w:t xml:space="preserve">    5、国家水田机械质量监督检验中心试验基地建设</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eastAsia" w:ascii="Times New Roman" w:hAnsi="Times New Roman" w:eastAsia="仿宋_GB2312" w:cs="Times New Roman"/>
                <w:kern w:val="0"/>
                <w:sz w:val="21"/>
                <w:szCs w:val="21"/>
                <w:lang w:val="en-US" w:eastAsia="zh-CN"/>
              </w:rPr>
              <w:t>246.67</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eastAsia="仿宋_GB2312" w:cs="Times New Roman"/>
                <w:kern w:val="0"/>
                <w:sz w:val="21"/>
                <w:szCs w:val="21"/>
                <w:lang w:val="en-US" w:eastAsia="zh-CN"/>
              </w:rPr>
            </w:pPr>
            <w:r>
              <w:rPr>
                <w:rFonts w:hint="eastAsia" w:ascii="Times New Roman" w:hAnsi="Times New Roman" w:eastAsia="仿宋_GB2312" w:cs="Times New Roman"/>
                <w:kern w:val="0"/>
                <w:sz w:val="21"/>
                <w:szCs w:val="21"/>
                <w:lang w:val="en-US" w:eastAsia="zh-CN"/>
              </w:rPr>
              <w:t>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eastAsia="仿宋_GB2312" w:cs="Times New Roman"/>
                <w:kern w:val="0"/>
                <w:sz w:val="21"/>
                <w:szCs w:val="21"/>
                <w:lang w:val="en-US" w:eastAsia="zh-CN"/>
              </w:rPr>
            </w:pPr>
            <w:r>
              <w:rPr>
                <w:rFonts w:hint="eastAsia" w:ascii="Times New Roman" w:hAnsi="Times New Roman" w:eastAsia="仿宋_GB2312" w:cs="Times New Roman"/>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504.4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531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491.57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20.04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20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22.68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78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88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87.03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15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707.82</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lang w:val="en-US" w:eastAsia="zh-CN"/>
              </w:rPr>
            </w:pPr>
            <w:r>
              <w:rPr>
                <w:rFonts w:hint="eastAsia" w:ascii="Times New Roman" w:hAnsi="Times New Roman" w:eastAsia="仿宋_GB2312" w:cs="Times New Roman"/>
                <w:color w:val="auto"/>
                <w:kern w:val="0"/>
                <w:sz w:val="21"/>
                <w:szCs w:val="21"/>
                <w:highlight w:val="none"/>
                <w:shd w:val="clear" w:color="auto" w:fill="auto"/>
                <w:lang w:val="en-US" w:eastAsia="zh-CN"/>
              </w:rPr>
              <w:t>2371.48</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817.41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楼堂馆所控制情况</w:t>
            </w:r>
            <w:r>
              <w:rPr>
                <w:rFonts w:hint="default" w:ascii="Times New Roman" w:hAnsi="Times New Roman" w:eastAsia="仿宋_GB2312" w:cs="Times New Roman"/>
                <w:kern w:val="0"/>
                <w:sz w:val="21"/>
                <w:szCs w:val="21"/>
              </w:rPr>
              <w:br w:type="textWrapping"/>
            </w:r>
            <w:r>
              <w:rPr>
                <w:rFonts w:hint="default" w:ascii="Times New Roman" w:hAnsi="Times New Roman" w:eastAsia="仿宋_GB2312" w:cs="Times New Roman"/>
                <w:kern w:val="0"/>
                <w:sz w:val="21"/>
                <w:szCs w:val="21"/>
              </w:rPr>
              <w:t>（2024年完工项目）</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批复规模</w:t>
            </w:r>
            <w:r>
              <w:rPr>
                <w:rFonts w:hint="default" w:ascii="Times New Roman" w:hAnsi="Times New Roman" w:eastAsia="仿宋_GB2312" w:cs="Times New Roman"/>
                <w:bCs/>
                <w:kern w:val="0"/>
                <w:sz w:val="21"/>
                <w:szCs w:val="21"/>
              </w:rPr>
              <w:br w:type="textWrapping"/>
            </w:r>
            <w:r>
              <w:rPr>
                <w:rFonts w:hint="default" w:ascii="Times New Roman" w:hAnsi="Times New Roman" w:eastAsia="仿宋_GB2312" w:cs="Times New Roman"/>
                <w:bCs/>
                <w:kern w:val="0"/>
                <w:sz w:val="21"/>
                <w:szCs w:val="21"/>
              </w:rPr>
              <w:t>（</w:t>
            </w:r>
            <w:r>
              <w:rPr>
                <w:rFonts w:hint="default" w:ascii="Times New Roman" w:hAnsi="Times New Roman" w:eastAsia="Batang" w:cs="Times New Roman"/>
                <w:bCs/>
                <w:kern w:val="0"/>
                <w:sz w:val="21"/>
                <w:szCs w:val="21"/>
              </w:rPr>
              <w:t>㎡</w:t>
            </w:r>
            <w:r>
              <w:rPr>
                <w:rFonts w:hint="default" w:ascii="Times New Roman" w:hAnsi="Times New Roman" w:eastAsia="仿宋_GB2312" w:cs="Times New Roman"/>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实际</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规模</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w:t>
            </w:r>
            <w:r>
              <w:rPr>
                <w:rFonts w:hint="default" w:ascii="Times New Roman" w:hAnsi="Times New Roman" w:eastAsia="Batang" w:cs="Times New Roman"/>
                <w:bCs/>
                <w:kern w:val="0"/>
                <w:sz w:val="21"/>
                <w:szCs w:val="21"/>
              </w:rPr>
              <w:t>㎡</w:t>
            </w:r>
            <w:r>
              <w:rPr>
                <w:rFonts w:hint="default" w:ascii="Times New Roman" w:hAnsi="Times New Roman" w:eastAsia="仿宋_GB2312" w:cs="Times New Roman"/>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规模</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实际</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投资</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投资</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概算</w:t>
            </w:r>
          </w:p>
          <w:p>
            <w:pPr>
              <w:widowControl/>
              <w:adjustRightInd/>
              <w:snapToGrid/>
              <w:spacing w:line="280" w:lineRule="exact"/>
              <w:ind w:firstLine="0" w:firstLineChars="0"/>
              <w:jc w:val="center"/>
              <w:rPr>
                <w:rFonts w:hint="default" w:ascii="Times New Roman" w:hAnsi="Times New Roman" w:eastAsia="仿宋_GB2312" w:cs="Times New Roman"/>
                <w:bCs/>
                <w:kern w:val="0"/>
                <w:sz w:val="21"/>
                <w:szCs w:val="21"/>
              </w:rPr>
            </w:pPr>
            <w:r>
              <w:rPr>
                <w:rFonts w:hint="default" w:ascii="Times New Roman" w:hAnsi="Times New Roman" w:eastAsia="仿宋_GB2312" w:cs="Times New Roman"/>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　</w:t>
            </w:r>
          </w:p>
        </w:tc>
      </w:tr>
    </w:tbl>
    <w:p>
      <w:pPr>
        <w:adjustRightInd/>
        <w:snapToGrid/>
        <w:spacing w:line="360" w:lineRule="exact"/>
        <w:ind w:firstLine="0" w:firstLineChars="0"/>
        <w:rPr>
          <w:rFonts w:hint="default" w:ascii="Times New Roman" w:hAnsi="Times New Roman" w:eastAsia="仿宋_GB2312" w:cs="Times New Roman"/>
          <w:kern w:val="0"/>
          <w:sz w:val="22"/>
          <w:szCs w:val="22"/>
        </w:rPr>
      </w:pPr>
      <w:r>
        <w:rPr>
          <w:rFonts w:hint="default" w:ascii="Times New Roman" w:hAnsi="Times New Roman" w:eastAsia="仿宋_GB2312" w:cs="Times New Roman"/>
          <w:kern w:val="0"/>
          <w:sz w:val="22"/>
          <w:szCs w:val="22"/>
        </w:rPr>
        <w:t>说明：“项目支出”需要填报基本支出以外的所有项目支出情况，“公用经费”填报基本支出中的一般商品和服务支出。</w:t>
      </w:r>
    </w:p>
    <w:p>
      <w:pPr>
        <w:widowControl w:val="0"/>
        <w:adjustRightInd w:val="0"/>
        <w:snapToGrid w:val="0"/>
        <w:spacing w:line="579" w:lineRule="atLeast"/>
        <w:ind w:firstLine="0" w:firstLineChars="0"/>
        <w:jc w:val="both"/>
        <w:outlineLvl w:val="1"/>
        <w:rPr>
          <w:rFonts w:hint="default"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0"/>
          <w:sz w:val="22"/>
          <w:szCs w:val="22"/>
          <w:lang w:val="en-US" w:eastAsia="zh-CN" w:bidi="ar-SA"/>
        </w:rPr>
        <w:br w:type="page"/>
      </w:r>
      <w:r>
        <w:rPr>
          <w:rFonts w:hint="default" w:ascii="Times New Roman" w:hAnsi="Times New Roman" w:eastAsia="黑体" w:cs="Times New Roman"/>
          <w:bCs/>
          <w:kern w:val="2"/>
          <w:sz w:val="32"/>
          <w:szCs w:val="32"/>
          <w:lang w:val="en-US" w:eastAsia="zh-CN" w:bidi="ar-SA"/>
        </w:rPr>
        <w:t>附件2</w:t>
      </w:r>
    </w:p>
    <w:p>
      <w:pPr>
        <w:widowControl w:val="0"/>
        <w:adjustRightInd w:val="0"/>
        <w:snapToGrid w:val="0"/>
        <w:spacing w:before="144" w:beforeLines="25" w:line="500" w:lineRule="exact"/>
        <w:ind w:firstLine="0" w:firstLineChars="0"/>
        <w:jc w:val="center"/>
        <w:outlineLvl w:val="0"/>
        <w:rPr>
          <w:rFonts w:hint="default" w:ascii="Times New Roman" w:hAnsi="Times New Roman" w:eastAsia="方正小标宋简体" w:cs="Times New Roman"/>
          <w:bCs/>
          <w:kern w:val="44"/>
          <w:sz w:val="36"/>
          <w:szCs w:val="36"/>
          <w:lang w:val="en-US" w:eastAsia="zh-CN" w:bidi="ar-SA"/>
        </w:rPr>
      </w:pPr>
      <w:r>
        <w:rPr>
          <w:rFonts w:hint="default" w:ascii="Times New Roman" w:hAnsi="Times New Roman" w:eastAsia="方正小标宋简体" w:cs="Times New Roman"/>
          <w:bCs/>
          <w:kern w:val="44"/>
          <w:sz w:val="36"/>
          <w:szCs w:val="36"/>
          <w:lang w:val="en-US" w:eastAsia="zh-CN" w:bidi="ar-SA"/>
        </w:rPr>
        <w:t>部门整体支出绩效自评表</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（2024年度）</w:t>
      </w:r>
    </w:p>
    <w:tbl>
      <w:tblPr>
        <w:tblStyle w:val="10"/>
        <w:tblW w:w="10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411"/>
        <w:gridCol w:w="1268"/>
        <w:gridCol w:w="1128"/>
        <w:gridCol w:w="95"/>
        <w:gridCol w:w="1215"/>
        <w:gridCol w:w="1147"/>
        <w:gridCol w:w="717"/>
        <w:gridCol w:w="909"/>
        <w:gridCol w:w="1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省级预算部门名称</w:t>
            </w:r>
          </w:p>
        </w:tc>
        <w:tc>
          <w:tcPr>
            <w:tcW w:w="9353" w:type="dxa"/>
            <w:gridSpan w:val="9"/>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湖南省农机事务中心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年度预</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算申请</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2679" w:type="dxa"/>
            <w:gridSpan w:val="2"/>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p>
        </w:tc>
        <w:tc>
          <w:tcPr>
            <w:tcW w:w="112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年初</w:t>
            </w:r>
          </w:p>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预算数</w:t>
            </w:r>
          </w:p>
        </w:tc>
        <w:tc>
          <w:tcPr>
            <w:tcW w:w="1310" w:type="dxa"/>
            <w:gridSpan w:val="2"/>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全年预算数</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717"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909"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2679" w:type="dxa"/>
            <w:gridSpan w:val="2"/>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color w:val="000000"/>
                <w:kern w:val="0"/>
                <w:sz w:val="21"/>
                <w:szCs w:val="21"/>
              </w:rPr>
              <w:t>年度资金总额</w:t>
            </w:r>
          </w:p>
        </w:tc>
        <w:tc>
          <w:tcPr>
            <w:tcW w:w="112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5609.48</w:t>
            </w:r>
          </w:p>
        </w:tc>
        <w:tc>
          <w:tcPr>
            <w:tcW w:w="1310" w:type="dxa"/>
            <w:gridSpan w:val="2"/>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5762.22</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4645.66</w:t>
            </w:r>
          </w:p>
        </w:tc>
        <w:tc>
          <w:tcPr>
            <w:tcW w:w="717"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10</w:t>
            </w:r>
          </w:p>
        </w:tc>
        <w:tc>
          <w:tcPr>
            <w:tcW w:w="909"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80%</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117"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按收入性质分：</w:t>
            </w:r>
          </w:p>
        </w:tc>
        <w:tc>
          <w:tcPr>
            <w:tcW w:w="42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117"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highlight w:val="none"/>
                <w:lang w:val="en-US" w:eastAsia="zh-CN"/>
              </w:rPr>
            </w:pPr>
            <w:r>
              <w:rPr>
                <w:rFonts w:hint="default" w:ascii="Times New Roman" w:hAnsi="Times New Roman" w:eastAsia="仿宋_GB2312" w:cs="Times New Roman"/>
                <w:color w:val="000000"/>
                <w:kern w:val="0"/>
                <w:sz w:val="21"/>
                <w:szCs w:val="21"/>
                <w:highlight w:val="none"/>
              </w:rPr>
              <w:t xml:space="preserve">  其中：  一般公共预算：</w:t>
            </w:r>
            <w:r>
              <w:rPr>
                <w:rFonts w:hint="eastAsia" w:ascii="Times New Roman" w:hAnsi="Times New Roman" w:eastAsia="仿宋_GB2312" w:cs="Times New Roman"/>
                <w:color w:val="000000"/>
                <w:kern w:val="0"/>
                <w:sz w:val="21"/>
                <w:szCs w:val="21"/>
                <w:highlight w:val="none"/>
                <w:lang w:val="en-US" w:eastAsia="zh-CN"/>
              </w:rPr>
              <w:t>5718.42</w:t>
            </w:r>
          </w:p>
        </w:tc>
        <w:tc>
          <w:tcPr>
            <w:tcW w:w="42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其中：基本支出：3060.67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117"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840" w:firstLineChars="400"/>
              <w:jc w:val="left"/>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政府性基金拨款：</w:t>
            </w:r>
          </w:p>
        </w:tc>
        <w:tc>
          <w:tcPr>
            <w:tcW w:w="42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项目支出：1584.99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117"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纳入专户管理的非税收入拨款：43.8</w:t>
            </w:r>
          </w:p>
        </w:tc>
        <w:tc>
          <w:tcPr>
            <w:tcW w:w="42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117"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1470" w:firstLineChars="70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其他资金：0</w:t>
            </w:r>
          </w:p>
        </w:tc>
        <w:tc>
          <w:tcPr>
            <w:tcW w:w="42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5117"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42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exac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5117"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left"/>
              <w:rPr>
                <w:rFonts w:hint="default" w:ascii="Times New Roman" w:hAnsi="Times New Roman" w:eastAsia="仿宋_GB2312" w:cs="Times New Roman"/>
                <w:color w:val="000000"/>
                <w:sz w:val="20"/>
                <w:szCs w:val="20"/>
                <w:lang w:val="zh-CN"/>
              </w:rPr>
            </w:pPr>
            <w:r>
              <w:rPr>
                <w:rFonts w:hint="default" w:ascii="Times New Roman" w:hAnsi="Times New Roman" w:eastAsia="仿宋_GB2312" w:cs="Times New Roman"/>
                <w:color w:val="000000"/>
                <w:sz w:val="20"/>
                <w:szCs w:val="20"/>
              </w:rPr>
              <w:t>目标1：</w:t>
            </w:r>
            <w:r>
              <w:rPr>
                <w:rFonts w:hint="default" w:ascii="Times New Roman" w:hAnsi="Times New Roman" w:eastAsia="仿宋_GB2312" w:cs="Times New Roman"/>
                <w:color w:val="000000"/>
                <w:sz w:val="20"/>
                <w:szCs w:val="20"/>
                <w:lang w:val="zh-CN"/>
              </w:rPr>
              <w:t>全力助推农机高地建设；</w:t>
            </w:r>
            <w:r>
              <w:rPr>
                <w:rFonts w:hint="default" w:ascii="Times New Roman" w:hAnsi="Times New Roman" w:eastAsia="仿宋_GB2312" w:cs="Times New Roman"/>
                <w:color w:val="000000"/>
                <w:sz w:val="20"/>
                <w:szCs w:val="20"/>
              </w:rPr>
              <w:t>目</w:t>
            </w:r>
            <w:r>
              <w:rPr>
                <w:rFonts w:hint="default" w:ascii="Times New Roman" w:hAnsi="Times New Roman" w:eastAsia="仿宋_GB2312" w:cs="Times New Roman"/>
                <w:color w:val="000000"/>
                <w:sz w:val="20"/>
                <w:szCs w:val="20"/>
                <w:lang w:val="zh-CN"/>
              </w:rPr>
              <w:t>标2：扎实推动农机科技推广</w:t>
            </w:r>
            <w:r>
              <w:rPr>
                <w:rFonts w:hint="default" w:ascii="Times New Roman" w:hAnsi="Times New Roman" w:eastAsia="仿宋_GB2312" w:cs="Times New Roman"/>
                <w:color w:val="000000"/>
                <w:sz w:val="20"/>
                <w:szCs w:val="20"/>
              </w:rPr>
              <w:t xml:space="preserve"> ；目标3：</w:t>
            </w:r>
            <w:r>
              <w:rPr>
                <w:rFonts w:hint="default" w:ascii="Times New Roman" w:hAnsi="Times New Roman" w:eastAsia="仿宋_GB2312" w:cs="Times New Roman"/>
                <w:color w:val="000000"/>
                <w:sz w:val="20"/>
                <w:szCs w:val="20"/>
                <w:lang w:val="zh-CN"/>
              </w:rPr>
              <w:t>抓实农业机械化生产服务；</w:t>
            </w:r>
            <w:r>
              <w:rPr>
                <w:rFonts w:hint="default" w:ascii="Times New Roman" w:hAnsi="Times New Roman" w:eastAsia="仿宋_GB2312" w:cs="Times New Roman"/>
                <w:color w:val="000000"/>
                <w:sz w:val="20"/>
                <w:szCs w:val="20"/>
              </w:rPr>
              <w:t>目标4：</w:t>
            </w:r>
            <w:r>
              <w:rPr>
                <w:rFonts w:hint="default" w:ascii="Times New Roman" w:hAnsi="Times New Roman" w:eastAsia="仿宋_GB2312" w:cs="Times New Roman"/>
                <w:color w:val="000000"/>
                <w:sz w:val="20"/>
                <w:szCs w:val="20"/>
                <w:lang w:val="zh-CN"/>
              </w:rPr>
              <w:t>有序</w:t>
            </w:r>
            <w:r>
              <w:rPr>
                <w:rFonts w:hint="default" w:ascii="Times New Roman" w:hAnsi="Times New Roman" w:eastAsia="仿宋_GB2312" w:cs="Times New Roman"/>
                <w:color w:val="000000"/>
                <w:sz w:val="20"/>
                <w:szCs w:val="20"/>
              </w:rPr>
              <w:t>开展农机</w:t>
            </w:r>
            <w:r>
              <w:rPr>
                <w:rFonts w:hint="default" w:ascii="Times New Roman" w:hAnsi="Times New Roman" w:eastAsia="仿宋_GB2312" w:cs="Times New Roman"/>
                <w:color w:val="000000"/>
                <w:sz w:val="20"/>
                <w:szCs w:val="20"/>
                <w:lang w:val="zh-CN"/>
              </w:rPr>
              <w:t>试验鉴定；</w:t>
            </w:r>
            <w:r>
              <w:rPr>
                <w:rFonts w:hint="default" w:ascii="Times New Roman" w:hAnsi="Times New Roman" w:eastAsia="仿宋_GB2312" w:cs="Times New Roman"/>
                <w:color w:val="000000"/>
                <w:sz w:val="20"/>
                <w:szCs w:val="20"/>
              </w:rPr>
              <w:t>目标5：规范农机安全监管；目标6：</w:t>
            </w:r>
            <w:r>
              <w:rPr>
                <w:rFonts w:hint="default" w:ascii="Times New Roman" w:hAnsi="Times New Roman" w:eastAsia="仿宋_GB2312" w:cs="Times New Roman"/>
                <w:color w:val="000000"/>
                <w:sz w:val="20"/>
                <w:szCs w:val="20"/>
                <w:lang w:val="zh-CN"/>
              </w:rPr>
              <w:t>持续做好补贴事务工作；</w:t>
            </w:r>
          </w:p>
          <w:p>
            <w:pPr>
              <w:widowControl/>
              <w:adjustRightInd w:val="0"/>
              <w:snapToGrid w:val="0"/>
              <w:spacing w:line="240" w:lineRule="auto"/>
              <w:ind w:firstLine="0" w:firstLineChars="0"/>
              <w:jc w:val="left"/>
              <w:rPr>
                <w:rFonts w:hint="default" w:ascii="Times New Roman" w:hAnsi="Times New Roman" w:eastAsia="仿宋_GB2312" w:cs="Times New Roman"/>
                <w:color w:val="000000"/>
                <w:sz w:val="20"/>
                <w:szCs w:val="20"/>
                <w:lang w:val="zh-CN"/>
              </w:rPr>
            </w:pPr>
            <w:r>
              <w:rPr>
                <w:rFonts w:hint="default" w:ascii="Times New Roman" w:hAnsi="Times New Roman" w:eastAsia="仿宋_GB2312" w:cs="Times New Roman"/>
                <w:color w:val="000000"/>
                <w:sz w:val="20"/>
                <w:szCs w:val="20"/>
              </w:rPr>
              <w:t xml:space="preserve">                                                                                                                                                           </w:t>
            </w:r>
          </w:p>
        </w:tc>
        <w:tc>
          <w:tcPr>
            <w:tcW w:w="4236"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4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12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463" w:type="dxa"/>
            <w:tcBorders>
              <w:top w:val="single" w:color="auto" w:sz="4" w:space="0"/>
              <w:left w:val="single" w:color="auto" w:sz="4" w:space="0"/>
              <w:bottom w:val="single" w:color="auto" w:sz="4" w:space="0"/>
              <w:right w:val="single" w:color="auto" w:sz="4" w:space="0"/>
            </w:tcBorders>
            <w:noWrap w:val="0"/>
            <w:vAlign w:val="top"/>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126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sz w:val="20"/>
                <w:szCs w:val="20"/>
              </w:rPr>
              <w:t>现代农机合作社三员培训班培训人数</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lang w:val="en-US" w:eastAsia="zh-CN"/>
              </w:rPr>
            </w:pPr>
            <w:r>
              <w:rPr>
                <w:rFonts w:hint="default" w:ascii="Times New Roman" w:hAnsi="Times New Roman" w:eastAsia="仿宋_GB2312" w:cs="Times New Roman"/>
                <w:color w:val="000000"/>
                <w:kern w:val="0"/>
                <w:sz w:val="21"/>
                <w:szCs w:val="21"/>
                <w:highlight w:val="none"/>
                <w:lang w:val="en-US" w:eastAsia="zh-CN"/>
              </w:rPr>
              <w:t>≥400人</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475人</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培训农机安全监理员、检验员、考试员、事故处理员、事故报送员</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lang w:eastAsia="zh-CN"/>
              </w:rPr>
            </w:pPr>
            <w:r>
              <w:rPr>
                <w:rFonts w:hint="default" w:ascii="Times New Roman" w:hAnsi="Times New Roman" w:eastAsia="仿宋_GB2312" w:cs="Times New Roman"/>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450人</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308人</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sz w:val="20"/>
                <w:szCs w:val="20"/>
              </w:rPr>
              <w:t>机构改革涉及人员调整，农机监理岗位后备人员不足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采购试验鉴定仪器设备</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一批</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一批</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sz w:val="20"/>
                <w:szCs w:val="20"/>
              </w:rPr>
              <w:t>“送训下基层”培训</w:t>
            </w:r>
            <w:r>
              <w:rPr>
                <w:rFonts w:hint="default" w:ascii="Times New Roman" w:hAnsi="Times New Roman" w:eastAsia="仿宋_GB2312" w:cs="Times New Roman"/>
                <w:color w:val="000000"/>
                <w:kern w:val="0"/>
                <w:sz w:val="21"/>
                <w:szCs w:val="21"/>
              </w:rPr>
              <w:t>人数</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150人</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200人</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鉴定报告差错数</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≤5个</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0个</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设备验收合格率</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highlight w:val="none"/>
                <w:lang w:val="en-US" w:eastAsia="zh-CN"/>
              </w:rPr>
              <w:t>≥95</w:t>
            </w:r>
            <w:r>
              <w:rPr>
                <w:rFonts w:hint="default" w:ascii="Times New Roman" w:hAnsi="Times New Roman" w:eastAsia="仿宋_GB2312" w:cs="Times New Roman"/>
                <w:color w:val="000000"/>
                <w:kern w:val="0"/>
                <w:sz w:val="21"/>
                <w:szCs w:val="21"/>
              </w:rPr>
              <w:t>%</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完成农机质量调查时间</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3.15之前完成农机质量调查</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3.15前已完成</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采购设备完成时间</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2024年12月31日前完成</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12.31前已完成</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运行维护经费支出</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≤221.8万元</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233.99万元</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存在上年结转结余至本年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业务工作经费支出</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≤310.17万元</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171.59万元</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napToGrid w:val="0"/>
              <w:spacing w:line="280" w:lineRule="exact"/>
              <w:ind w:firstLine="210" w:firstLineChars="10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　</w:t>
            </w:r>
          </w:p>
        </w:tc>
        <w:tc>
          <w:tcPr>
            <w:tcW w:w="126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社会效</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益指标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农机从业人员安全意识</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推广先进农机具</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先进农机具推广</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得到推广</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农机生产企业质量意识</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生态效</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益指标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sz w:val="20"/>
                <w:szCs w:val="20"/>
              </w:rPr>
              <w:t>群众粮食减损意识</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可持续影响指标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培养农机可持续发挥作用人才</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≥2年</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2年</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职工办公条件</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改善</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改善</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（20分）</w:t>
            </w:r>
          </w:p>
        </w:tc>
        <w:tc>
          <w:tcPr>
            <w:tcW w:w="1268"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申请试验鉴定企业满意度</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≥98%</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411"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68"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农机合作社满意度</w:t>
            </w:r>
          </w:p>
        </w:tc>
        <w:tc>
          <w:tcPr>
            <w:tcW w:w="12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≥90%</w:t>
            </w:r>
          </w:p>
        </w:tc>
        <w:tc>
          <w:tcPr>
            <w:tcW w:w="114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357"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9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98</w:t>
            </w:r>
          </w:p>
        </w:tc>
        <w:tc>
          <w:tcPr>
            <w:tcW w:w="14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bl>
    <w:p>
      <w:pPr>
        <w:widowControl w:val="0"/>
        <w:adjustRightInd w:val="0"/>
        <w:snapToGrid w:val="0"/>
        <w:spacing w:line="579" w:lineRule="atLeast"/>
        <w:ind w:firstLine="0" w:firstLineChars="0"/>
        <w:jc w:val="both"/>
        <w:outlineLvl w:val="1"/>
        <w:rPr>
          <w:rFonts w:hint="default"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2"/>
          <w:sz w:val="32"/>
          <w:szCs w:val="32"/>
          <w:lang w:val="en-US" w:eastAsia="zh-CN" w:bidi="ar-SA"/>
        </w:rPr>
        <w:br w:type="page"/>
      </w:r>
      <w:r>
        <w:rPr>
          <w:rFonts w:hint="default" w:ascii="Times New Roman" w:hAnsi="Times New Roman" w:eastAsia="黑体" w:cs="Times New Roman"/>
          <w:bCs/>
          <w:kern w:val="2"/>
          <w:sz w:val="32"/>
          <w:szCs w:val="32"/>
          <w:lang w:val="en-US" w:eastAsia="zh-CN" w:bidi="ar-SA"/>
        </w:rPr>
        <w:t>附件3</w:t>
      </w:r>
    </w:p>
    <w:p>
      <w:pPr>
        <w:widowControl w:val="0"/>
        <w:adjustRightInd w:val="0"/>
        <w:snapToGrid w:val="0"/>
        <w:spacing w:before="144" w:beforeLines="25" w:line="500" w:lineRule="exact"/>
        <w:ind w:firstLine="0" w:firstLineChars="0"/>
        <w:jc w:val="center"/>
        <w:outlineLvl w:val="0"/>
        <w:rPr>
          <w:rFonts w:hint="eastAsia" w:ascii="Times New Roman" w:hAnsi="Times New Roman" w:eastAsia="方正小标宋简体" w:cs="Times New Roman"/>
          <w:bCs/>
          <w:kern w:val="44"/>
          <w:sz w:val="36"/>
          <w:szCs w:val="36"/>
          <w:lang w:val="en-US" w:eastAsia="zh-CN" w:bidi="ar-SA"/>
        </w:rPr>
      </w:pPr>
      <w:r>
        <w:rPr>
          <w:rFonts w:hint="default" w:ascii="Times New Roman" w:hAnsi="Times New Roman" w:eastAsia="方正小标宋简体" w:cs="Times New Roman"/>
          <w:bCs/>
          <w:kern w:val="44"/>
          <w:sz w:val="36"/>
          <w:szCs w:val="36"/>
          <w:lang w:val="en-US" w:eastAsia="zh-CN" w:bidi="ar-SA"/>
        </w:rPr>
        <w:t>项目支出绩效自评表</w:t>
      </w:r>
      <w:r>
        <w:rPr>
          <w:rFonts w:hint="eastAsia" w:ascii="Times New Roman" w:hAnsi="Times New Roman" w:eastAsia="方正小标宋简体" w:cs="Times New Roman"/>
          <w:bCs/>
          <w:kern w:val="44"/>
          <w:sz w:val="36"/>
          <w:szCs w:val="36"/>
          <w:lang w:val="en-US" w:eastAsia="zh-CN" w:bidi="ar-SA"/>
        </w:rPr>
        <w:t>（</w:t>
      </w:r>
      <w:r>
        <w:rPr>
          <w:rFonts w:hint="default" w:ascii="Times New Roman" w:hAnsi="Times New Roman" w:eastAsia="方正小标宋简体" w:cs="Times New Roman"/>
          <w:bCs/>
          <w:color w:val="424242"/>
          <w:kern w:val="44"/>
          <w:sz w:val="21"/>
          <w:szCs w:val="21"/>
          <w:shd w:val="clear" w:color="auto" w:fill="FFFFFF"/>
          <w:lang w:val="en-US" w:eastAsia="zh-CN" w:bidi="ar-SA"/>
        </w:rPr>
        <w:t>现代农业发展（省级专项）</w:t>
      </w:r>
      <w:r>
        <w:rPr>
          <w:rFonts w:hint="eastAsia" w:ascii="Times New Roman" w:hAnsi="Times New Roman" w:eastAsia="方正小标宋简体" w:cs="Times New Roman"/>
          <w:bCs/>
          <w:kern w:val="44"/>
          <w:sz w:val="36"/>
          <w:szCs w:val="36"/>
          <w:lang w:val="en-US" w:eastAsia="zh-CN" w:bidi="ar-SA"/>
        </w:rPr>
        <w:t>）</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（2024年度）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424242"/>
                <w:sz w:val="21"/>
                <w:szCs w:val="21"/>
                <w:shd w:val="clear" w:color="auto" w:fill="FFFFFF"/>
              </w:rPr>
              <w:t>现代农业发展（省级专项）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湖南省农机事务中心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919.6</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919.6</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658.5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71.6%</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671</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671</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446.6</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248.6</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248.6</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211.9</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培训一批农机监理四员，乡镇农机专干；提升机手农机安全生产意识，营造农业安全生产氛围；推动实施拖拉机“亮尾工程”，提升农机手安全生产意识；完成鉴定检测设备采购并完成相关信息化建设工作；免费为申请试验鉴定的农机生产企业服务，为我省农机购置补贴政策实施服好务；切实维护投诉者的合法权益；切实解决投诉者和被投诉者之间的各种纠纷；开展农机职工技能培训，促进农业机械化转型升级。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建成水稻、油菜高产稳产示范基地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Arial" w:hAnsi="Arial" w:eastAsia="仿宋_GB2312" w:cs="Arial"/>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2个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2个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培训农机安全监理员、检验员、考试员、事故处理员、事故报送员</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Arial" w:hAnsi="Arial" w:eastAsia="仿宋_GB2312" w:cs="Arial"/>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450人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308人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sz w:val="20"/>
                <w:szCs w:val="20"/>
                <w:highlight w:val="none"/>
              </w:rPr>
              <w:t>机构改革涉及人员调整，农机监理岗位后备人员不足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完成鉴定检测设备采购</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Arial" w:hAnsi="Arial" w:eastAsia="仿宋_GB2312" w:cs="Arial"/>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1批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1批</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培训出一批水稻机插（抛）育秧技术骨干</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Arial" w:hAnsi="Arial" w:eastAsia="仿宋_GB2312" w:cs="Arial"/>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290人</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320人</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鉴定报告差错数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＜5个</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0个</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降低劣质补贴市场率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完成农机质量调查时间</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3.15之前完成农机质量调查</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3.15前已完成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采购设备完成时间</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2024年12月31日前完成</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12.31前已完成</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项目经费支出</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≤869.3万元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579.6万元</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社会效益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农机从业人员安全意识</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推广先进农机具</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先进农机具推广</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得到推广</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农机生产企业质量意识</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exact"/>
              <w:ind w:firstLine="0" w:firstLineChars="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农民使用农机发展农业的积极性</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exact"/>
              <w:ind w:firstLine="0" w:firstLineChars="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显著提高</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exact"/>
              <w:ind w:firstLine="0" w:firstLineChars="0"/>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显著提高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培养农机可持续发挥作用人才</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≥2年</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1年</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（20分）</w:t>
            </w:r>
          </w:p>
        </w:tc>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培训对象满意度</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农机合作社满意度</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93</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bl>
    <w:p>
      <w:pPr>
        <w:widowControl w:val="0"/>
        <w:adjustRightInd w:val="0"/>
        <w:snapToGrid w:val="0"/>
        <w:spacing w:line="579" w:lineRule="atLeast"/>
        <w:ind w:firstLine="0" w:firstLineChars="0"/>
        <w:jc w:val="both"/>
        <w:outlineLvl w:val="1"/>
        <w:rPr>
          <w:rFonts w:hint="eastAsia"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2"/>
          <w:sz w:val="32"/>
          <w:szCs w:val="32"/>
          <w:lang w:val="en-US" w:eastAsia="zh-CN" w:bidi="ar-SA"/>
        </w:rPr>
        <w:br w:type="page"/>
      </w:r>
      <w:r>
        <w:rPr>
          <w:rFonts w:hint="default" w:ascii="Times New Roman" w:hAnsi="Times New Roman" w:eastAsia="黑体" w:cs="Times New Roman"/>
          <w:bCs/>
          <w:kern w:val="2"/>
          <w:sz w:val="32"/>
          <w:szCs w:val="32"/>
          <w:lang w:val="en-US" w:eastAsia="zh-CN" w:bidi="ar-SA"/>
        </w:rPr>
        <w:t>附件</w:t>
      </w:r>
      <w:r>
        <w:rPr>
          <w:rFonts w:hint="eastAsia" w:ascii="Times New Roman" w:hAnsi="Times New Roman" w:eastAsia="黑体" w:cs="Times New Roman"/>
          <w:bCs/>
          <w:kern w:val="2"/>
          <w:sz w:val="32"/>
          <w:szCs w:val="32"/>
          <w:lang w:val="en-US" w:eastAsia="zh-CN" w:bidi="ar-SA"/>
        </w:rPr>
        <w:t>4</w:t>
      </w:r>
    </w:p>
    <w:p>
      <w:pPr>
        <w:widowControl w:val="0"/>
        <w:adjustRightInd w:val="0"/>
        <w:snapToGrid w:val="0"/>
        <w:spacing w:before="144" w:beforeLines="25" w:line="500" w:lineRule="exact"/>
        <w:ind w:firstLine="0" w:firstLineChars="0"/>
        <w:jc w:val="center"/>
        <w:outlineLvl w:val="0"/>
        <w:rPr>
          <w:rFonts w:hint="default" w:ascii="Times New Roman" w:hAnsi="Times New Roman" w:eastAsia="方正小标宋简体" w:cs="Times New Roman"/>
          <w:bCs/>
          <w:kern w:val="44"/>
          <w:sz w:val="36"/>
          <w:szCs w:val="36"/>
          <w:lang w:val="en-US" w:eastAsia="zh-CN" w:bidi="ar-SA"/>
        </w:rPr>
      </w:pPr>
      <w:r>
        <w:rPr>
          <w:rFonts w:hint="default" w:ascii="Times New Roman" w:hAnsi="Times New Roman" w:eastAsia="方正小标宋简体" w:cs="Times New Roman"/>
          <w:bCs/>
          <w:kern w:val="44"/>
          <w:sz w:val="36"/>
          <w:szCs w:val="36"/>
          <w:lang w:val="en-US" w:eastAsia="zh-CN" w:bidi="ar-SA"/>
        </w:rPr>
        <w:t>项目支出绩效自评表</w:t>
      </w:r>
      <w:r>
        <w:rPr>
          <w:rFonts w:hint="eastAsia" w:ascii="Times New Roman" w:hAnsi="Times New Roman" w:eastAsia="方正小标宋简体" w:cs="Times New Roman"/>
          <w:bCs/>
          <w:kern w:val="44"/>
          <w:sz w:val="36"/>
          <w:szCs w:val="36"/>
          <w:lang w:val="en-US" w:eastAsia="zh-CN" w:bidi="ar-SA"/>
        </w:rPr>
        <w:t>（</w:t>
      </w:r>
      <w:r>
        <w:rPr>
          <w:rFonts w:hint="default" w:ascii="Times New Roman" w:hAnsi="Times New Roman" w:eastAsia="方正小标宋简体" w:cs="Times New Roman"/>
          <w:bCs/>
          <w:color w:val="424242"/>
          <w:kern w:val="44"/>
          <w:sz w:val="21"/>
          <w:szCs w:val="21"/>
          <w:shd w:val="clear" w:color="auto" w:fill="FFFFFF"/>
          <w:lang w:val="en-US" w:eastAsia="zh-CN" w:bidi="ar-SA"/>
        </w:rPr>
        <w:t>业务工作经费</w:t>
      </w:r>
      <w:r>
        <w:rPr>
          <w:rFonts w:hint="eastAsia" w:ascii="Times New Roman" w:hAnsi="Times New Roman" w:eastAsia="方正小标宋简体" w:cs="Times New Roman"/>
          <w:bCs/>
          <w:kern w:val="44"/>
          <w:sz w:val="36"/>
          <w:szCs w:val="36"/>
          <w:lang w:val="en-US" w:eastAsia="zh-CN" w:bidi="ar-SA"/>
        </w:rPr>
        <w:t>）</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（2024年度）</w:t>
      </w:r>
    </w:p>
    <w:tbl>
      <w:tblPr>
        <w:tblStyle w:val="10"/>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106"/>
        <w:gridCol w:w="2096"/>
        <w:gridCol w:w="998"/>
        <w:gridCol w:w="1034"/>
        <w:gridCol w:w="988"/>
        <w:gridCol w:w="703"/>
        <w:gridCol w:w="867"/>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出名称</w:t>
            </w:r>
          </w:p>
        </w:tc>
        <w:tc>
          <w:tcPr>
            <w:tcW w:w="8804"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424242"/>
                <w:sz w:val="21"/>
                <w:szCs w:val="21"/>
                <w:shd w:val="clear" w:color="auto" w:fill="FFFFFF"/>
              </w:rPr>
              <w:t>业务工作经费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主管部门</w:t>
            </w:r>
          </w:p>
        </w:tc>
        <w:tc>
          <w:tcPr>
            <w:tcW w:w="523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湖南省农业农村厅</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实施单位</w:t>
            </w:r>
          </w:p>
        </w:tc>
        <w:tc>
          <w:tcPr>
            <w:tcW w:w="2582"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湖南省农机事务中心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320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98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70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867"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20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年度资金总额　</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407.39</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highlight w:val="none"/>
              </w:rPr>
              <w:t>387.39</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160.57</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41.45%</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20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其中：当年财政拨款　</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310.17</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310.17</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83.35</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20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上年结转资金　</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97.22</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77.22</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77.22</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202"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其他资金</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523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357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523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xml:space="preserve">开展农业机械化技术示范推广，推动主要农作物机械化全程全面发展，提高农业机械化水平 </w:t>
            </w:r>
          </w:p>
        </w:tc>
        <w:tc>
          <w:tcPr>
            <w:tcW w:w="3570"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restart"/>
            <w:tcBorders>
              <w:top w:val="nil"/>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209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2096"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数量指标</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开展全省农机事务中心主任会议</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Arial" w:hAnsi="Arial" w:eastAsia="仿宋_GB2312" w:cs="Arial"/>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1次</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1次</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租赁网络线缆</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Arial" w:hAnsi="Arial" w:eastAsia="仿宋_GB2312" w:cs="Arial"/>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1条</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1条</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农机质量调查完成率</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≥90%</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6"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质量指标</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专用网络</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稳定</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稳定</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6"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时效指标</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示范推广项目完成时间</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24年12月31日前</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24年12月31日前</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6"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成本指标</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业务工作经费支出</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≤387.39万元</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160.57万元</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执行率较低是因为存在上年结转结余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w:t>
            </w:r>
          </w:p>
        </w:tc>
        <w:tc>
          <w:tcPr>
            <w:tcW w:w="2096"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社会效益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农机生产企业质量意识</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提升</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6"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推广先进农机具</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先进农机具推广</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得到推广</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94" w:type="dxa"/>
            <w:vMerge w:val="continue"/>
            <w:tcBorders>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6"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（20分）</w:t>
            </w:r>
          </w:p>
        </w:tc>
        <w:tc>
          <w:tcPr>
            <w:tcW w:w="2096"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99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农机合作社满意度</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≥90%</w:t>
            </w:r>
          </w:p>
        </w:tc>
        <w:tc>
          <w:tcPr>
            <w:tcW w:w="98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7116"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70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86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90</w:t>
            </w:r>
          </w:p>
        </w:tc>
        <w:tc>
          <w:tcPr>
            <w:tcW w:w="101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r>
    </w:tbl>
    <w:p>
      <w:pPr>
        <w:widowControl w:val="0"/>
        <w:adjustRightInd w:val="0"/>
        <w:snapToGrid w:val="0"/>
        <w:spacing w:line="579" w:lineRule="atLeast"/>
        <w:ind w:firstLine="0" w:firstLineChars="0"/>
        <w:jc w:val="both"/>
        <w:outlineLvl w:val="1"/>
        <w:rPr>
          <w:rFonts w:hint="eastAsia"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2"/>
          <w:sz w:val="32"/>
          <w:szCs w:val="32"/>
          <w:lang w:val="en-US" w:eastAsia="zh-CN" w:bidi="ar-SA"/>
        </w:rPr>
        <w:br w:type="page"/>
      </w:r>
      <w:r>
        <w:rPr>
          <w:rFonts w:hint="default" w:ascii="Times New Roman" w:hAnsi="Times New Roman" w:eastAsia="黑体" w:cs="Times New Roman"/>
          <w:bCs/>
          <w:kern w:val="2"/>
          <w:sz w:val="32"/>
          <w:szCs w:val="32"/>
          <w:lang w:val="en-US" w:eastAsia="zh-CN" w:bidi="ar-SA"/>
        </w:rPr>
        <w:t>附件</w:t>
      </w:r>
      <w:r>
        <w:rPr>
          <w:rFonts w:hint="eastAsia" w:ascii="Times New Roman" w:hAnsi="Times New Roman" w:eastAsia="黑体" w:cs="Times New Roman"/>
          <w:bCs/>
          <w:kern w:val="2"/>
          <w:sz w:val="32"/>
          <w:szCs w:val="32"/>
          <w:lang w:val="en-US" w:eastAsia="zh-CN" w:bidi="ar-SA"/>
        </w:rPr>
        <w:t>5</w:t>
      </w:r>
    </w:p>
    <w:p>
      <w:pPr>
        <w:widowControl w:val="0"/>
        <w:adjustRightInd w:val="0"/>
        <w:snapToGrid w:val="0"/>
        <w:spacing w:before="144" w:beforeLines="25" w:line="500" w:lineRule="exact"/>
        <w:ind w:firstLine="0" w:firstLineChars="0"/>
        <w:jc w:val="center"/>
        <w:outlineLvl w:val="0"/>
        <w:rPr>
          <w:rFonts w:hint="default" w:ascii="Times New Roman" w:hAnsi="Times New Roman" w:eastAsia="方正小标宋简体" w:cs="Times New Roman"/>
          <w:bCs/>
          <w:kern w:val="44"/>
          <w:sz w:val="36"/>
          <w:szCs w:val="36"/>
          <w:lang w:val="en-US" w:eastAsia="zh-CN" w:bidi="ar-SA"/>
        </w:rPr>
      </w:pPr>
      <w:r>
        <w:rPr>
          <w:rFonts w:hint="default" w:ascii="Times New Roman" w:hAnsi="Times New Roman" w:eastAsia="方正小标宋简体" w:cs="Times New Roman"/>
          <w:bCs/>
          <w:kern w:val="44"/>
          <w:sz w:val="36"/>
          <w:szCs w:val="36"/>
          <w:lang w:val="en-US" w:eastAsia="zh-CN" w:bidi="ar-SA"/>
        </w:rPr>
        <w:t>项目支出绩效自评表</w:t>
      </w:r>
      <w:r>
        <w:rPr>
          <w:rFonts w:hint="eastAsia" w:ascii="Times New Roman" w:hAnsi="Times New Roman" w:eastAsia="方正小标宋简体" w:cs="Times New Roman"/>
          <w:bCs/>
          <w:kern w:val="44"/>
          <w:sz w:val="36"/>
          <w:szCs w:val="36"/>
          <w:lang w:val="en-US" w:eastAsia="zh-CN" w:bidi="ar-SA"/>
        </w:rPr>
        <w:t>（</w:t>
      </w:r>
      <w:r>
        <w:rPr>
          <w:rFonts w:hint="default" w:ascii="Times New Roman" w:hAnsi="Times New Roman" w:eastAsia="方正小标宋简体" w:cs="Times New Roman"/>
          <w:bCs/>
          <w:color w:val="424242"/>
          <w:kern w:val="44"/>
          <w:sz w:val="21"/>
          <w:szCs w:val="21"/>
          <w:shd w:val="clear" w:color="auto" w:fill="FFFFFF"/>
          <w:lang w:val="en-US" w:eastAsia="zh-CN" w:bidi="ar-SA"/>
        </w:rPr>
        <w:t>运行维护经费</w:t>
      </w:r>
      <w:r>
        <w:rPr>
          <w:rFonts w:hint="eastAsia" w:ascii="Times New Roman" w:hAnsi="Times New Roman" w:eastAsia="方正小标宋简体" w:cs="Times New Roman"/>
          <w:bCs/>
          <w:kern w:val="44"/>
          <w:sz w:val="36"/>
          <w:szCs w:val="36"/>
          <w:lang w:val="en-US" w:eastAsia="zh-CN" w:bidi="ar-SA"/>
        </w:rPr>
        <w:t>）</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（2024年度）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1093"/>
        <w:gridCol w:w="2063"/>
        <w:gridCol w:w="1022"/>
        <w:gridCol w:w="1066"/>
        <w:gridCol w:w="1013"/>
        <w:gridCol w:w="721"/>
        <w:gridCol w:w="870"/>
        <w:gridCol w:w="1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出名称</w:t>
            </w:r>
          </w:p>
        </w:tc>
        <w:tc>
          <w:tcPr>
            <w:tcW w:w="893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424242"/>
                <w:sz w:val="21"/>
                <w:szCs w:val="21"/>
                <w:shd w:val="clear" w:color="auto" w:fill="FFFFFF"/>
              </w:rPr>
              <w:t>运行维护经费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主管部门</w:t>
            </w:r>
          </w:p>
        </w:tc>
        <w:tc>
          <w:tcPr>
            <w:tcW w:w="524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湖南省农业农村厅</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实施单位</w:t>
            </w:r>
          </w:p>
        </w:tc>
        <w:tc>
          <w:tcPr>
            <w:tcW w:w="2674"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湖南省农机事务中心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315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721"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5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年度资金总额　</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245.73</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245.73</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233.99</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95.22%</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5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其中：当年财政拨款　</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221.8</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221.8</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212.64</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5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上年结转资金　</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23.93</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23.93</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21.35</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56"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其他资金</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524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36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524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为中心两院进行保洁、垃圾清运、秩序维护、设施维修管理、电梯维护、管道疏通等工作，保障中心两院物业服务正常运行；按工作需求购置空调、打印机、电脑等办公设备，严格遵守政府采购制度流程，保障职工办公环境要求。</w:t>
            </w:r>
          </w:p>
        </w:tc>
        <w:tc>
          <w:tcPr>
            <w:tcW w:w="3687"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restart"/>
            <w:tcBorders>
              <w:top w:val="nil"/>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09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206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2063"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数量指标</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管理维护大院面积</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Arial" w:hAnsi="Arial" w:eastAsia="仿宋_GB2312" w:cs="Arial"/>
                <w:color w:val="000000"/>
                <w:kern w:val="0"/>
                <w:sz w:val="21"/>
                <w:szCs w:val="21"/>
                <w:highlight w:val="none"/>
                <w:lang w:val="en-US" w:eastAsia="zh-CN"/>
              </w:rPr>
              <w:t>≥</w:t>
            </w:r>
            <w:r>
              <w:rPr>
                <w:rFonts w:hint="default" w:ascii="Times New Roman" w:hAnsi="Times New Roman" w:eastAsia="仿宋_GB2312" w:cs="Times New Roman"/>
                <w:color w:val="000000"/>
                <w:kern w:val="0"/>
                <w:sz w:val="21"/>
                <w:szCs w:val="21"/>
                <w:highlight w:val="none"/>
              </w:rPr>
              <w:t>88亩</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88亩</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none"/>
              </w:rPr>
            </w:pPr>
            <w:r>
              <w:rPr>
                <w:rFonts w:hint="default" w:ascii="Times New Roman" w:hAnsi="Times New Roman" w:eastAsia="仿宋_GB2312" w:cs="Times New Roman"/>
                <w:color w:val="000000"/>
                <w:kern w:val="0"/>
                <w:sz w:val="21"/>
                <w:szCs w:val="21"/>
                <w:highlight w:val="none"/>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维护电梯数</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≥4台</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4台</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采购空调数量</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≥2台</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2台</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采购电脑数量</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≥10台</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＞10台</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vMerge w:val="restart"/>
            <w:tcBorders>
              <w:top w:val="nil"/>
              <w:left w:val="single" w:color="auto" w:sz="4" w:space="0"/>
              <w:right w:val="single" w:color="auto" w:sz="4" w:space="0"/>
            </w:tcBorders>
            <w:noWrap w:val="0"/>
            <w:vAlign w:val="center"/>
          </w:tcPr>
          <w:p>
            <w:pPr>
              <w:adjustRightInd w:val="0"/>
              <w:snapToGrid w:val="0"/>
              <w:spacing w:line="280" w:lineRule="exact"/>
              <w:ind w:firstLine="420" w:firstLineChars="20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质量指标</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维修合格率</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98%</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vMerge w:val="continue"/>
            <w:tcBorders>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设备验收合格率</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时效指标</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采购完成时间</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24年12月31日前</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24年12月26日前</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成本指标</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运行维护经费</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≤245.73万元</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233.99万元</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w:t>
            </w:r>
          </w:p>
        </w:tc>
        <w:tc>
          <w:tcPr>
            <w:tcW w:w="2063"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社会效益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业务工作硬件</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满足</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基本满足</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12</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63"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机关大院</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安全稳定</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安全稳定</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0" w:type="dxa"/>
            <w:vMerge w:val="continue"/>
            <w:tcBorders>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93"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（20分）</w:t>
            </w:r>
          </w:p>
        </w:tc>
        <w:tc>
          <w:tcPr>
            <w:tcW w:w="2063"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102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职工满意度</w:t>
            </w:r>
          </w:p>
        </w:tc>
        <w:tc>
          <w:tcPr>
            <w:tcW w:w="106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101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77"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72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97</w:t>
            </w:r>
          </w:p>
        </w:tc>
        <w:tc>
          <w:tcPr>
            <w:tcW w:w="1083"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bl>
    <w:p>
      <w:pPr>
        <w:widowControl w:val="0"/>
        <w:adjustRightInd w:val="0"/>
        <w:snapToGrid w:val="0"/>
        <w:spacing w:line="579" w:lineRule="atLeast"/>
        <w:ind w:firstLine="0" w:firstLineChars="0"/>
        <w:jc w:val="both"/>
        <w:outlineLvl w:val="1"/>
        <w:rPr>
          <w:rFonts w:hint="eastAsia" w:ascii="Times New Roman" w:hAnsi="Times New Roman" w:eastAsia="黑体" w:cs="Times New Roman"/>
          <w:bCs/>
          <w:kern w:val="2"/>
          <w:sz w:val="32"/>
          <w:szCs w:val="32"/>
          <w:lang w:val="en-US" w:eastAsia="zh-CN" w:bidi="ar-SA"/>
        </w:rPr>
      </w:pPr>
      <w:r>
        <w:rPr>
          <w:rFonts w:hint="default" w:ascii="Times New Roman" w:hAnsi="Times New Roman" w:eastAsia="黑体" w:cs="Times New Roman"/>
          <w:bCs/>
          <w:kern w:val="2"/>
          <w:sz w:val="32"/>
          <w:szCs w:val="32"/>
          <w:lang w:val="en-US" w:eastAsia="zh-CN" w:bidi="ar-SA"/>
        </w:rPr>
        <w:br w:type="page"/>
      </w:r>
      <w:r>
        <w:rPr>
          <w:rFonts w:hint="default" w:ascii="Times New Roman" w:hAnsi="Times New Roman" w:eastAsia="黑体" w:cs="Times New Roman"/>
          <w:bCs/>
          <w:kern w:val="2"/>
          <w:sz w:val="32"/>
          <w:szCs w:val="32"/>
          <w:lang w:val="en-US" w:eastAsia="zh-CN" w:bidi="ar-SA"/>
        </w:rPr>
        <w:t>附件</w:t>
      </w:r>
      <w:r>
        <w:rPr>
          <w:rFonts w:hint="eastAsia" w:ascii="Times New Roman" w:hAnsi="Times New Roman" w:eastAsia="黑体" w:cs="Times New Roman"/>
          <w:bCs/>
          <w:kern w:val="2"/>
          <w:sz w:val="32"/>
          <w:szCs w:val="32"/>
          <w:lang w:val="en-US" w:eastAsia="zh-CN" w:bidi="ar-SA"/>
        </w:rPr>
        <w:t>6</w:t>
      </w:r>
    </w:p>
    <w:p>
      <w:pPr>
        <w:widowControl w:val="0"/>
        <w:adjustRightInd w:val="0"/>
        <w:snapToGrid w:val="0"/>
        <w:spacing w:before="144" w:beforeLines="25" w:line="500" w:lineRule="exact"/>
        <w:ind w:firstLine="0" w:firstLineChars="0"/>
        <w:jc w:val="center"/>
        <w:outlineLvl w:val="0"/>
        <w:rPr>
          <w:rFonts w:hint="default" w:ascii="Times New Roman" w:hAnsi="Times New Roman" w:eastAsia="方正小标宋简体" w:cs="Times New Roman"/>
          <w:bCs/>
          <w:kern w:val="44"/>
          <w:sz w:val="36"/>
          <w:szCs w:val="36"/>
          <w:lang w:val="en-US" w:eastAsia="zh-CN" w:bidi="ar-SA"/>
        </w:rPr>
      </w:pPr>
      <w:r>
        <w:rPr>
          <w:rFonts w:hint="default" w:ascii="Times New Roman" w:hAnsi="Times New Roman" w:eastAsia="方正小标宋简体" w:cs="Times New Roman"/>
          <w:bCs/>
          <w:kern w:val="44"/>
          <w:sz w:val="36"/>
          <w:szCs w:val="36"/>
          <w:lang w:val="en-US" w:eastAsia="zh-CN" w:bidi="ar-SA"/>
        </w:rPr>
        <w:t>项目支出绩效自评表</w:t>
      </w:r>
      <w:r>
        <w:rPr>
          <w:rFonts w:hint="eastAsia" w:ascii="Times New Roman" w:hAnsi="Times New Roman" w:eastAsia="方正小标宋简体" w:cs="Times New Roman"/>
          <w:bCs/>
          <w:kern w:val="44"/>
          <w:sz w:val="36"/>
          <w:szCs w:val="36"/>
          <w:lang w:val="en-US" w:eastAsia="zh-CN" w:bidi="ar-SA"/>
        </w:rPr>
        <w:t>（</w:t>
      </w:r>
      <w:r>
        <w:rPr>
          <w:rFonts w:hint="eastAsia" w:ascii="Times New Roman" w:hAnsi="Times New Roman" w:eastAsia="方正小标宋简体" w:cs="Times New Roman"/>
          <w:bCs/>
          <w:color w:val="auto"/>
          <w:kern w:val="44"/>
          <w:sz w:val="21"/>
          <w:szCs w:val="21"/>
          <w:shd w:val="clear" w:color="auto" w:fill="FFFFFF"/>
          <w:lang w:val="en-US" w:eastAsia="zh-CN" w:bidi="ar-SA"/>
        </w:rPr>
        <w:t>其他事业发展类资金</w:t>
      </w:r>
      <w:r>
        <w:rPr>
          <w:rFonts w:hint="eastAsia" w:ascii="Times New Roman" w:hAnsi="Times New Roman" w:eastAsia="方正小标宋简体" w:cs="Times New Roman"/>
          <w:bCs/>
          <w:kern w:val="44"/>
          <w:sz w:val="36"/>
          <w:szCs w:val="36"/>
          <w:lang w:val="en-US" w:eastAsia="zh-CN" w:bidi="ar-SA"/>
        </w:rPr>
        <w:t>）</w:t>
      </w:r>
    </w:p>
    <w:p>
      <w:pPr>
        <w:widowControl/>
        <w:adjustRightInd/>
        <w:snapToGrid/>
        <w:spacing w:line="240" w:lineRule="auto"/>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（2024年度）</w:t>
      </w:r>
    </w:p>
    <w:tbl>
      <w:tblPr>
        <w:tblStyle w:val="10"/>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1105"/>
        <w:gridCol w:w="2092"/>
        <w:gridCol w:w="1017"/>
        <w:gridCol w:w="1058"/>
        <w:gridCol w:w="1009"/>
        <w:gridCol w:w="717"/>
        <w:gridCol w:w="870"/>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项目支</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出名称</w:t>
            </w:r>
          </w:p>
        </w:tc>
        <w:tc>
          <w:tcPr>
            <w:tcW w:w="8936"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eastAsia" w:ascii="Times New Roman" w:hAnsi="Times New Roman" w:eastAsia="仿宋_GB2312" w:cs="Times New Roman"/>
                <w:color w:val="000000"/>
                <w:kern w:val="0"/>
                <w:sz w:val="21"/>
                <w:szCs w:val="21"/>
                <w:lang w:eastAsia="zh-CN"/>
              </w:rPr>
            </w:pPr>
            <w:r>
              <w:rPr>
                <w:rFonts w:hint="eastAsia" w:ascii="Times New Roman" w:hAnsi="Times New Roman" w:eastAsia="仿宋_GB2312" w:cs="Times New Roman"/>
                <w:color w:val="auto"/>
                <w:sz w:val="21"/>
                <w:szCs w:val="21"/>
                <w:shd w:val="clear" w:color="auto" w:fill="FFFFFF"/>
                <w:lang w:eastAsia="zh-CN"/>
              </w:rPr>
              <w:t>其他事业发展类资金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主管部门</w:t>
            </w:r>
          </w:p>
        </w:tc>
        <w:tc>
          <w:tcPr>
            <w:tcW w:w="5272"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湖南省农业农村厅</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实施单位</w:t>
            </w:r>
          </w:p>
        </w:tc>
        <w:tc>
          <w:tcPr>
            <w:tcW w:w="2655"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湖南省农机事务中心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项目资金</w:t>
            </w:r>
            <w:r>
              <w:rPr>
                <w:rFonts w:hint="default" w:ascii="Times New Roman" w:hAnsi="Times New Roman" w:eastAsia="仿宋_GB2312" w:cs="Times New Roman"/>
                <w:color w:val="000000"/>
                <w:kern w:val="0"/>
                <w:sz w:val="21"/>
                <w:szCs w:val="21"/>
              </w:rPr>
              <w:br w:type="textWrapping"/>
            </w:r>
            <w:r>
              <w:rPr>
                <w:rFonts w:hint="default" w:ascii="Times New Roman" w:hAnsi="Times New Roman" w:eastAsia="仿宋_GB2312" w:cs="Times New Roman"/>
                <w:color w:val="000000"/>
                <w:kern w:val="0"/>
                <w:sz w:val="21"/>
                <w:szCs w:val="21"/>
              </w:rPr>
              <w:t>（万元）</w:t>
            </w:r>
          </w:p>
        </w:tc>
        <w:tc>
          <w:tcPr>
            <w:tcW w:w="3197"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年初</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全年</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预算数</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全年</w:t>
            </w:r>
          </w:p>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执行数</w:t>
            </w:r>
          </w:p>
        </w:tc>
        <w:tc>
          <w:tcPr>
            <w:tcW w:w="717"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执行率</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adjustRightInd/>
              <w:snapToGrid w:val="0"/>
              <w:spacing w:line="280" w:lineRule="exact"/>
              <w:ind w:firstLine="0" w:firstLineChars="0"/>
              <w:jc w:val="center"/>
              <w:textAlignment w:val="center"/>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97"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年度资金总额　</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798.75</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927.79</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highlight w:val="red"/>
                <w:lang w:val="en-US" w:eastAsia="zh-CN"/>
              </w:rPr>
            </w:pPr>
            <w:r>
              <w:rPr>
                <w:rFonts w:hint="eastAsia" w:ascii="Times New Roman" w:hAnsi="Times New Roman" w:eastAsia="仿宋_GB2312" w:cs="Times New Roman"/>
                <w:color w:val="000000"/>
                <w:kern w:val="0"/>
                <w:sz w:val="21"/>
                <w:szCs w:val="21"/>
                <w:highlight w:val="none"/>
                <w:lang w:val="en-US" w:eastAsia="zh-CN"/>
              </w:rPr>
              <w:t>531.93</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w:t>
            </w:r>
            <w:r>
              <w:rPr>
                <w:rFonts w:hint="eastAsia" w:ascii="Times New Roman" w:hAnsi="Times New Roman" w:eastAsia="仿宋_GB2312" w:cs="Times New Roman"/>
                <w:color w:val="000000"/>
                <w:kern w:val="0"/>
                <w:sz w:val="21"/>
                <w:szCs w:val="21"/>
                <w:lang w:val="en-US" w:eastAsia="zh-CN"/>
              </w:rPr>
              <w:t>7.33</w:t>
            </w:r>
            <w:r>
              <w:rPr>
                <w:rFonts w:hint="default" w:ascii="Times New Roman" w:hAnsi="Times New Roman" w:eastAsia="仿宋_GB2312" w:cs="Times New Roman"/>
                <w:color w:val="000000"/>
                <w:kern w:val="0"/>
                <w:sz w:val="21"/>
                <w:szCs w:val="21"/>
              </w:rPr>
              <w:t>%</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97"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其中：当年财政拨款　</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0</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129.04</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eastAsia="仿宋_GB2312" w:cs="Times New Roman"/>
                <w:color w:val="000000"/>
                <w:kern w:val="0"/>
                <w:sz w:val="21"/>
                <w:szCs w:val="21"/>
                <w:lang w:val="en-US" w:eastAsia="zh-CN"/>
              </w:rPr>
              <w:t>129.04</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97"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上年结转资金　</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798.75</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798.75</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402.89</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3197"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630" w:firstLineChars="30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其他资金</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年度总体目标</w:t>
            </w:r>
          </w:p>
        </w:tc>
        <w:tc>
          <w:tcPr>
            <w:tcW w:w="5272"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预期目标</w:t>
            </w:r>
          </w:p>
        </w:tc>
        <w:tc>
          <w:tcPr>
            <w:tcW w:w="366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5272"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加强农机公共服务基础设施建设，建设省级农机鉴定中心，提升农机化公共服务能力。</w:t>
            </w:r>
          </w:p>
        </w:tc>
        <w:tc>
          <w:tcPr>
            <w:tcW w:w="3664"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　基本完成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restart"/>
            <w:tcBorders>
              <w:top w:val="nil"/>
              <w:left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绩</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一级指标</w:t>
            </w:r>
          </w:p>
        </w:tc>
        <w:tc>
          <w:tcPr>
            <w:tcW w:w="20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二级指标</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三级指标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年度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指标值</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完成值</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分值</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得分</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偏差原因</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分析及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产出指标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(50分)</w:t>
            </w:r>
          </w:p>
        </w:tc>
        <w:tc>
          <w:tcPr>
            <w:tcW w:w="2092"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数量指标</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采购拖拉机颠簸试验台</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1套</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1套</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2"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采购电动拖拉机动力模拟系统</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1套</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1套</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2"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采购仪器设备</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1批</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1批</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2"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时效指标</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采购完成时间</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24年12月31日前完成</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24年12月31日完成采购，支付暂未完成</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16</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按合同约定进度支付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2"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成本指标</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实际采购设备金额</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≤798.75万元</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774.7万元</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效益指标</w:t>
            </w:r>
          </w:p>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（30分）</w:t>
            </w:r>
          </w:p>
        </w:tc>
        <w:tc>
          <w:tcPr>
            <w:tcW w:w="2092"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社会效益</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农机试验鉴定能力</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明显提升</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明显提升</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2092"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建设省级农机鉴定中心</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1个</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1个</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15</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15" w:type="dxa"/>
            <w:vMerge w:val="continue"/>
            <w:tcBorders>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textAlignment w:val="center"/>
              <w:rPr>
                <w:rFonts w:hint="default" w:ascii="Times New Roman" w:hAnsi="Times New Roman" w:eastAsia="仿宋_GB2312" w:cs="Times New Roman"/>
                <w:color w:val="000000"/>
                <w:kern w:val="0"/>
                <w:sz w:val="21"/>
                <w:szCs w:val="21"/>
              </w:rPr>
            </w:pPr>
          </w:p>
        </w:tc>
        <w:tc>
          <w:tcPr>
            <w:tcW w:w="1105"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满意度</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指标</w:t>
            </w:r>
          </w:p>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（20分）</w:t>
            </w:r>
          </w:p>
        </w:tc>
        <w:tc>
          <w:tcPr>
            <w:tcW w:w="2092" w:type="dxa"/>
            <w:tcBorders>
              <w:top w:val="nil"/>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服务对象满意度指标</w:t>
            </w:r>
          </w:p>
        </w:tc>
        <w:tc>
          <w:tcPr>
            <w:tcW w:w="10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left"/>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直接受益农机企业满意度</w:t>
            </w:r>
          </w:p>
        </w:tc>
        <w:tc>
          <w:tcPr>
            <w:tcW w:w="105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≥90%</w:t>
            </w:r>
          </w:p>
        </w:tc>
        <w:tc>
          <w:tcPr>
            <w:tcW w:w="100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≥95%</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20</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rPr>
                <w:rFonts w:hint="default" w:ascii="Times New Roman" w:hAnsi="Times New Roman" w:eastAsia="仿宋_GB2312"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196"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总分</w:t>
            </w:r>
          </w:p>
        </w:tc>
        <w:tc>
          <w:tcPr>
            <w:tcW w:w="717"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100</w:t>
            </w:r>
          </w:p>
        </w:tc>
        <w:tc>
          <w:tcPr>
            <w:tcW w:w="870"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r>
              <w:rPr>
                <w:rFonts w:hint="default" w:ascii="Times New Roman" w:hAnsi="Times New Roman" w:eastAsia="仿宋_GB2312" w:cs="Times New Roman"/>
                <w:color w:val="000000"/>
                <w:kern w:val="0"/>
                <w:sz w:val="21"/>
                <w:szCs w:val="21"/>
              </w:rPr>
              <w:t>96</w:t>
            </w:r>
          </w:p>
        </w:tc>
        <w:tc>
          <w:tcPr>
            <w:tcW w:w="106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val="0"/>
              <w:spacing w:line="280" w:lineRule="exact"/>
              <w:ind w:firstLine="0" w:firstLineChars="0"/>
              <w:jc w:val="center"/>
              <w:textAlignment w:val="center"/>
              <w:rPr>
                <w:rFonts w:hint="default" w:ascii="Times New Roman" w:hAnsi="Times New Roman" w:eastAsia="仿宋_GB2312" w:cs="Times New Roman"/>
                <w:color w:val="000000"/>
                <w:kern w:val="0"/>
                <w:sz w:val="21"/>
                <w:szCs w:val="21"/>
              </w:rPr>
            </w:pPr>
          </w:p>
        </w:tc>
      </w:tr>
    </w:tbl>
    <w:p>
      <w:pPr>
        <w:widowControl w:val="0"/>
        <w:adjustRightInd w:val="0"/>
        <w:snapToGrid w:val="0"/>
        <w:spacing w:line="579" w:lineRule="atLeast"/>
        <w:ind w:firstLine="0" w:firstLineChars="0"/>
        <w:jc w:val="both"/>
        <w:outlineLvl w:val="1"/>
        <w:rPr>
          <w:rFonts w:hint="default" w:ascii="Times New Roman" w:hAnsi="Times New Roman" w:eastAsia="黑体" w:cs="Times New Roman"/>
          <w:bCs/>
          <w:kern w:val="2"/>
          <w:sz w:val="32"/>
          <w:szCs w:val="32"/>
          <w:lang w:val="en-US" w:eastAsia="zh-CN" w:bidi="ar-SA"/>
        </w:rPr>
      </w:pPr>
    </w:p>
    <w:p>
      <w:pPr>
        <w:widowControl w:val="0"/>
        <w:adjustRightInd w:val="0"/>
        <w:snapToGrid w:val="0"/>
        <w:spacing w:line="579" w:lineRule="atLeast"/>
        <w:ind w:firstLine="0" w:firstLineChars="0"/>
        <w:jc w:val="both"/>
        <w:outlineLvl w:val="1"/>
        <w:rPr>
          <w:rFonts w:hint="default" w:ascii="Times New Roman" w:hAnsi="Times New Roman" w:eastAsia="黑体" w:cs="Times New Roman"/>
          <w:bCs/>
          <w:kern w:val="2"/>
          <w:sz w:val="32"/>
          <w:szCs w:val="32"/>
          <w:lang w:val="en-US" w:eastAsia="zh-CN" w:bidi="ar-SA"/>
        </w:rPr>
      </w:pPr>
    </w:p>
    <w:p>
      <w:pPr>
        <w:adjustRightInd w:val="0"/>
        <w:snapToGrid w:val="0"/>
        <w:spacing w:line="579" w:lineRule="atLeast"/>
        <w:ind w:firstLine="640" w:firstLineChars="200"/>
        <w:rPr>
          <w:rFonts w:hint="default" w:ascii="Times New Roman" w:hAnsi="Times New Roman" w:eastAsia="仿宋_GB2312" w:cs="Times New Roman"/>
          <w:sz w:val="32"/>
          <w:szCs w:val="24"/>
        </w:rPr>
      </w:pPr>
      <w:r>
        <w:rPr>
          <w:rFonts w:hint="default" w:ascii="Times New Roman" w:hAnsi="Times New Roman" w:eastAsia="仿宋_GB2312" w:cs="Times New Roman"/>
          <w:sz w:val="32"/>
          <w:szCs w:val="24"/>
        </w:rPr>
        <w:t xml:space="preserve"> </w:t>
      </w:r>
    </w:p>
    <w:p>
      <w:pPr>
        <w:pStyle w:val="3"/>
        <w:ind w:firstLine="0" w:firstLineChars="0"/>
        <w:rPr>
          <w:rFonts w:hint="default" w:ascii="Times New Roman" w:hAnsi="Times New Roman" w:cs="Times New Roman"/>
        </w:rPr>
      </w:pPr>
    </w:p>
    <w:p>
      <w:pPr>
        <w:ind w:firstLine="640"/>
        <w:rPr>
          <w:rFonts w:hint="default" w:ascii="Times New Roman" w:hAnsi="Times New Roman" w:cs="Times New Roman"/>
        </w:rPr>
      </w:pPr>
      <w:r>
        <w:rPr>
          <w:rFonts w:hint="default" w:ascii="Times New Roman" w:hAnsi="Times New Roman" w:cs="Times New Roman"/>
        </w:rPr>
        <w:t xml:space="preserve"> </w:t>
      </w:r>
    </w:p>
    <w:p>
      <w:pPr>
        <w:pStyle w:val="15"/>
        <w:spacing w:line="600" w:lineRule="exact"/>
        <w:ind w:firstLine="640" w:firstLineChars="200"/>
        <w:rPr>
          <w:rFonts w:ascii="Times New Roman" w:hAnsi="Times New Roman" w:eastAsia="仿宋_GB2312" w:cs="Times New Roman"/>
          <w:sz w:val="32"/>
          <w:szCs w:val="32"/>
        </w:rPr>
      </w:pPr>
    </w:p>
    <w:p>
      <w:pPr>
        <w:pStyle w:val="15"/>
        <w:jc w:val="center"/>
        <w:rPr>
          <w:rFonts w:ascii="Times New Roman" w:hAnsi="Times New Roman" w:cs="Times New Roman"/>
          <w:sz w:val="72"/>
          <w:szCs w:val="72"/>
        </w:rPr>
      </w:pPr>
    </w:p>
    <w:p>
      <w:pPr>
        <w:pStyle w:val="15"/>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headerReference r:id="rId7" w:type="default"/>
      <w:footerReference r:id="rId8" w:type="default"/>
      <w:pgSz w:w="11906" w:h="16838"/>
      <w:pgMar w:top="1417" w:right="1588" w:bottom="1417" w:left="1588"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B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华文中宋">
    <w:altName w:val="汉仪中宋简"/>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Batang">
    <w:altName w:val="方正书宋_GBK"/>
    <w:panose1 w:val="02030600000101010101"/>
    <w:charset w:val="81"/>
    <w:family w:val="roman"/>
    <w:pitch w:val="default"/>
    <w:sig w:usb0="00000000" w:usb1="00000000" w:usb2="00000030" w:usb3="00000000" w:csb0="4008009F" w:csb1="DFD7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0" w:leftChars="0" w:right="36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BlwDkGswEAAFIDAAAOAAAAAAAAAAEAIAAAADQBAABkcnMvZTJvRG9j&#10;LnhtbFBLBQYAAAAABgAGAFkBAABZBQAAAAA=&#10;">
              <v:fill on="f" focussize="0,0"/>
              <v:stroke on="f"/>
              <v:imagedata o:title=""/>
              <o:lock v:ext="edit" aspectratio="f"/>
              <v:textbox inset="0mm,0mm,0mm,0mm" style="mso-fit-shape-to-text:t;">
                <w:txbxContent>
                  <w:p>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adjustRightInd w:val="0"/>
      <w:snapToGrid w:val="0"/>
      <w:spacing w:line="240" w:lineRule="atLeast"/>
      <w:ind w:firstLine="360" w:firstLineChars="200"/>
      <w:jc w:val="center"/>
      <w:rPr>
        <w:rFonts w:ascii="Times New Roman" w:hAnsi="Times New Roman" w:eastAsia="仿宋_GB2312"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67780F"/>
    <w:multiLevelType w:val="singleLevel"/>
    <w:tmpl w:val="C767780F"/>
    <w:lvl w:ilvl="0" w:tentative="0">
      <w:start w:val="4"/>
      <w:numFmt w:val="decimal"/>
      <w:suff w:val="nothing"/>
      <w:lvlText w:val="%1、"/>
      <w:lvlJc w:val="left"/>
    </w:lvl>
  </w:abstractNum>
  <w:abstractNum w:abstractNumId="1">
    <w:nsid w:val="D033237B"/>
    <w:multiLevelType w:val="singleLevel"/>
    <w:tmpl w:val="D033237B"/>
    <w:lvl w:ilvl="0" w:tentative="0">
      <w:start w:val="3"/>
      <w:numFmt w:val="chineseCounting"/>
      <w:suff w:val="nothing"/>
      <w:lvlText w:val="%1、"/>
      <w:lvlJc w:val="left"/>
      <w:rPr>
        <w:rFonts w:hint="eastAsia"/>
      </w:rPr>
    </w:lvl>
  </w:abstractNum>
  <w:abstractNum w:abstractNumId="2">
    <w:nsid w:val="06F14A69"/>
    <w:multiLevelType w:val="singleLevel"/>
    <w:tmpl w:val="06F14A69"/>
    <w:lvl w:ilvl="0" w:tentative="0">
      <w:start w:val="8"/>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1F66F8"/>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878D1"/>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0B287F"/>
    <w:rsid w:val="073562D9"/>
    <w:rsid w:val="07506A90"/>
    <w:rsid w:val="07801E7D"/>
    <w:rsid w:val="07A76DE7"/>
    <w:rsid w:val="09173EE8"/>
    <w:rsid w:val="09C70FE2"/>
    <w:rsid w:val="0B4E7969"/>
    <w:rsid w:val="0C3D7481"/>
    <w:rsid w:val="0DA7666B"/>
    <w:rsid w:val="0DE13F32"/>
    <w:rsid w:val="0E7C5443"/>
    <w:rsid w:val="0F8751F8"/>
    <w:rsid w:val="10627E99"/>
    <w:rsid w:val="10DE353E"/>
    <w:rsid w:val="11CA160C"/>
    <w:rsid w:val="12257FB0"/>
    <w:rsid w:val="17732C32"/>
    <w:rsid w:val="18026A31"/>
    <w:rsid w:val="18E1003E"/>
    <w:rsid w:val="19267830"/>
    <w:rsid w:val="199D6D54"/>
    <w:rsid w:val="1A522FEA"/>
    <w:rsid w:val="1A8D6BAE"/>
    <w:rsid w:val="1B65257F"/>
    <w:rsid w:val="1C31325D"/>
    <w:rsid w:val="1D97DEFF"/>
    <w:rsid w:val="1D990F18"/>
    <w:rsid w:val="1DFF72E5"/>
    <w:rsid w:val="1E362521"/>
    <w:rsid w:val="1EFC6F07"/>
    <w:rsid w:val="1FEF988D"/>
    <w:rsid w:val="20C71FF8"/>
    <w:rsid w:val="20FA3588"/>
    <w:rsid w:val="21A34113"/>
    <w:rsid w:val="221D5D3D"/>
    <w:rsid w:val="23EB7C49"/>
    <w:rsid w:val="245C638B"/>
    <w:rsid w:val="24E46C1F"/>
    <w:rsid w:val="25445FD0"/>
    <w:rsid w:val="28507A92"/>
    <w:rsid w:val="28D21782"/>
    <w:rsid w:val="28DC4ADE"/>
    <w:rsid w:val="29671ECA"/>
    <w:rsid w:val="298C49F8"/>
    <w:rsid w:val="2A123E93"/>
    <w:rsid w:val="2A3F28CD"/>
    <w:rsid w:val="2AC944BF"/>
    <w:rsid w:val="2B5B06FC"/>
    <w:rsid w:val="2E5C48C6"/>
    <w:rsid w:val="2E642E7C"/>
    <w:rsid w:val="2F4800A8"/>
    <w:rsid w:val="2F5F4CF7"/>
    <w:rsid w:val="2FA33530"/>
    <w:rsid w:val="2FDF85B8"/>
    <w:rsid w:val="2FFFEE04"/>
    <w:rsid w:val="306B6744"/>
    <w:rsid w:val="33D740F0"/>
    <w:rsid w:val="3440780D"/>
    <w:rsid w:val="34594B05"/>
    <w:rsid w:val="34B50EA9"/>
    <w:rsid w:val="34DF85B0"/>
    <w:rsid w:val="363A1DE0"/>
    <w:rsid w:val="364628BA"/>
    <w:rsid w:val="37330725"/>
    <w:rsid w:val="37CB5D1A"/>
    <w:rsid w:val="37E93B5B"/>
    <w:rsid w:val="38717CFC"/>
    <w:rsid w:val="39336EA3"/>
    <w:rsid w:val="39FF2B9A"/>
    <w:rsid w:val="3B1D688D"/>
    <w:rsid w:val="3B1E2AA1"/>
    <w:rsid w:val="3B8F36BC"/>
    <w:rsid w:val="3C290468"/>
    <w:rsid w:val="3C413083"/>
    <w:rsid w:val="3C8F2622"/>
    <w:rsid w:val="3CA54D8C"/>
    <w:rsid w:val="3DC4766D"/>
    <w:rsid w:val="3DDA2813"/>
    <w:rsid w:val="3FD41EEC"/>
    <w:rsid w:val="412B45A6"/>
    <w:rsid w:val="41E73A1D"/>
    <w:rsid w:val="424D4BFB"/>
    <w:rsid w:val="43014CE6"/>
    <w:rsid w:val="44613C8E"/>
    <w:rsid w:val="45282DB6"/>
    <w:rsid w:val="46101BC8"/>
    <w:rsid w:val="478A1A03"/>
    <w:rsid w:val="484A3F5D"/>
    <w:rsid w:val="48B16866"/>
    <w:rsid w:val="491FF225"/>
    <w:rsid w:val="492928A1"/>
    <w:rsid w:val="49520049"/>
    <w:rsid w:val="49706E5A"/>
    <w:rsid w:val="4A914BA1"/>
    <w:rsid w:val="4BDF3136"/>
    <w:rsid w:val="4CF3744D"/>
    <w:rsid w:val="4D043409"/>
    <w:rsid w:val="4DC82688"/>
    <w:rsid w:val="4ECD25CE"/>
    <w:rsid w:val="4F0D2057"/>
    <w:rsid w:val="4F1EA40C"/>
    <w:rsid w:val="4F2272E3"/>
    <w:rsid w:val="4FFD214C"/>
    <w:rsid w:val="5217598C"/>
    <w:rsid w:val="53030ACE"/>
    <w:rsid w:val="53DB6E8D"/>
    <w:rsid w:val="54353FFB"/>
    <w:rsid w:val="56A26E72"/>
    <w:rsid w:val="56BD76A4"/>
    <w:rsid w:val="5777D4F5"/>
    <w:rsid w:val="58421289"/>
    <w:rsid w:val="59060509"/>
    <w:rsid w:val="59DD8326"/>
    <w:rsid w:val="5BA623FB"/>
    <w:rsid w:val="5BA762AA"/>
    <w:rsid w:val="5C2F5FC8"/>
    <w:rsid w:val="5CA526FD"/>
    <w:rsid w:val="5D3D2815"/>
    <w:rsid w:val="5DD319BF"/>
    <w:rsid w:val="5DEF592A"/>
    <w:rsid w:val="5E3E0745"/>
    <w:rsid w:val="5F265492"/>
    <w:rsid w:val="5FC6BB1E"/>
    <w:rsid w:val="5FDC4AD1"/>
    <w:rsid w:val="5FF720F1"/>
    <w:rsid w:val="612C1693"/>
    <w:rsid w:val="62BF12F1"/>
    <w:rsid w:val="63091344"/>
    <w:rsid w:val="643D6626"/>
    <w:rsid w:val="655A2308"/>
    <w:rsid w:val="65A5604E"/>
    <w:rsid w:val="66187E6C"/>
    <w:rsid w:val="67394F79"/>
    <w:rsid w:val="67B8056D"/>
    <w:rsid w:val="67F32CA6"/>
    <w:rsid w:val="67FF5C0B"/>
    <w:rsid w:val="684002AC"/>
    <w:rsid w:val="688B4586"/>
    <w:rsid w:val="6AB853DB"/>
    <w:rsid w:val="6C23224E"/>
    <w:rsid w:val="6C377F2C"/>
    <w:rsid w:val="6CFD0ED6"/>
    <w:rsid w:val="6D406442"/>
    <w:rsid w:val="6EFC0924"/>
    <w:rsid w:val="6FA06B69"/>
    <w:rsid w:val="6FB74722"/>
    <w:rsid w:val="6FEF8B7E"/>
    <w:rsid w:val="701D302D"/>
    <w:rsid w:val="70913D49"/>
    <w:rsid w:val="70EF3426"/>
    <w:rsid w:val="71A6591B"/>
    <w:rsid w:val="72435ED2"/>
    <w:rsid w:val="7264692E"/>
    <w:rsid w:val="733D7D5F"/>
    <w:rsid w:val="737D59BA"/>
    <w:rsid w:val="748C26A3"/>
    <w:rsid w:val="74C0092C"/>
    <w:rsid w:val="756E14B8"/>
    <w:rsid w:val="758C3321"/>
    <w:rsid w:val="75C14C5C"/>
    <w:rsid w:val="767745C6"/>
    <w:rsid w:val="77397EE3"/>
    <w:rsid w:val="77C37683"/>
    <w:rsid w:val="79621333"/>
    <w:rsid w:val="79D19834"/>
    <w:rsid w:val="79FF515B"/>
    <w:rsid w:val="7A855C1A"/>
    <w:rsid w:val="7BC63DFB"/>
    <w:rsid w:val="7BE73D72"/>
    <w:rsid w:val="7CDFBDE2"/>
    <w:rsid w:val="7D9C4BE5"/>
    <w:rsid w:val="7E156974"/>
    <w:rsid w:val="7E9E1962"/>
    <w:rsid w:val="7E9F11B4"/>
    <w:rsid w:val="7F37EC1E"/>
    <w:rsid w:val="7F7DCD9D"/>
    <w:rsid w:val="7F970A6F"/>
    <w:rsid w:val="7FBF4A9F"/>
    <w:rsid w:val="7FC1FFF3"/>
    <w:rsid w:val="7FC69637"/>
    <w:rsid w:val="7FD7BB2C"/>
    <w:rsid w:val="7FDF8620"/>
    <w:rsid w:val="7FE8C8F7"/>
    <w:rsid w:val="7FFB242F"/>
    <w:rsid w:val="7FFB25CE"/>
    <w:rsid w:val="7FFD7DC4"/>
    <w:rsid w:val="7FFDB408"/>
    <w:rsid w:val="7FFE4EEB"/>
    <w:rsid w:val="7FFF49ED"/>
    <w:rsid w:val="95FB2B98"/>
    <w:rsid w:val="9A639BC2"/>
    <w:rsid w:val="9FF7D786"/>
    <w:rsid w:val="ABBFB23D"/>
    <w:rsid w:val="AEAB208D"/>
    <w:rsid w:val="AF9EAE38"/>
    <w:rsid w:val="B9FFF04C"/>
    <w:rsid w:val="C3B4DA5A"/>
    <w:rsid w:val="CBFF70E0"/>
    <w:rsid w:val="CFF50B82"/>
    <w:rsid w:val="CFFFAD89"/>
    <w:rsid w:val="D35D4ABF"/>
    <w:rsid w:val="DFFE359E"/>
    <w:rsid w:val="DFFE4FFD"/>
    <w:rsid w:val="EEABED75"/>
    <w:rsid w:val="EF6FE155"/>
    <w:rsid w:val="F56FDF51"/>
    <w:rsid w:val="F57F5022"/>
    <w:rsid w:val="F6B69F17"/>
    <w:rsid w:val="F77F1D61"/>
    <w:rsid w:val="F7FED3A9"/>
    <w:rsid w:val="F8C9DB26"/>
    <w:rsid w:val="F97E8EAE"/>
    <w:rsid w:val="FB36E1A6"/>
    <w:rsid w:val="FB3BE134"/>
    <w:rsid w:val="FCFF4275"/>
    <w:rsid w:val="FD7FEEEA"/>
    <w:rsid w:val="FDFFB577"/>
    <w:rsid w:val="FEEA50FE"/>
    <w:rsid w:val="FEEF0B63"/>
    <w:rsid w:val="FF7D47A9"/>
    <w:rsid w:val="FFCF21CB"/>
    <w:rsid w:val="FFF766C0"/>
    <w:rsid w:val="FFFF1C8B"/>
    <w:rsid w:val="FFFF6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line="700" w:lineRule="exact"/>
      <w:ind w:firstLine="0" w:firstLineChars="0"/>
      <w:jc w:val="center"/>
      <w:outlineLvl w:val="0"/>
    </w:pPr>
    <w:rPr>
      <w:rFonts w:eastAsia="方正小标宋简体"/>
      <w:bCs/>
      <w:kern w:val="44"/>
      <w:sz w:val="44"/>
      <w:szCs w:val="44"/>
    </w:rPr>
  </w:style>
  <w:style w:type="paragraph" w:styleId="3">
    <w:name w:val="heading 2"/>
    <w:basedOn w:val="1"/>
    <w:next w:val="1"/>
    <w:qFormat/>
    <w:uiPriority w:val="0"/>
    <w:pPr>
      <w:outlineLvl w:val="1"/>
    </w:pPr>
    <w:rPr>
      <w:rFonts w:eastAsia="黑体"/>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styleId="12">
    <w:name w:val="page number"/>
    <w:basedOn w:val="11"/>
    <w:qFormat/>
    <w:uiPriority w:val="0"/>
  </w:style>
  <w:style w:type="character" w:customStyle="1" w:styleId="13">
    <w:name w:val="页眉 Char"/>
    <w:basedOn w:val="11"/>
    <w:link w:val="8"/>
    <w:qFormat/>
    <w:uiPriority w:val="99"/>
    <w:rPr>
      <w:sz w:val="18"/>
      <w:szCs w:val="18"/>
    </w:rPr>
  </w:style>
  <w:style w:type="character" w:customStyle="1" w:styleId="14">
    <w:name w:val="页脚 Char"/>
    <w:basedOn w:val="11"/>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1"/>
    <w:link w:val="6"/>
    <w:semiHidden/>
    <w:qFormat/>
    <w:uiPriority w:val="99"/>
    <w:rPr>
      <w:sz w:val="18"/>
      <w:szCs w:val="18"/>
    </w:rPr>
  </w:style>
  <w:style w:type="character" w:customStyle="1" w:styleId="18">
    <w:name w:val="font01"/>
    <w:basedOn w:val="11"/>
    <w:qFormat/>
    <w:uiPriority w:val="0"/>
    <w:rPr>
      <w:rFonts w:hint="eastAsia" w:ascii="宋体" w:hAnsi="宋体" w:eastAsia="宋体" w:cs="宋体"/>
      <w:color w:val="000000"/>
      <w:sz w:val="22"/>
      <w:szCs w:val="22"/>
      <w:u w:val="none"/>
    </w:rPr>
  </w:style>
  <w:style w:type="character" w:customStyle="1" w:styleId="19">
    <w:name w:val="font21"/>
    <w:basedOn w:val="11"/>
    <w:qFormat/>
    <w:uiPriority w:val="0"/>
    <w:rPr>
      <w:rFonts w:hint="eastAsia" w:ascii="宋体" w:hAnsi="宋体" w:eastAsia="宋体" w:cs="宋体"/>
      <w:color w:val="000000"/>
      <w:sz w:val="24"/>
      <w:szCs w:val="24"/>
      <w:u w:val="none"/>
    </w:rPr>
  </w:style>
  <w:style w:type="character" w:customStyle="1" w:styleId="20">
    <w:name w:val="font11"/>
    <w:basedOn w:val="11"/>
    <w:qFormat/>
    <w:uiPriority w:val="0"/>
    <w:rPr>
      <w:rFonts w:hint="eastAsia" w:ascii="宋体" w:hAnsi="宋体" w:eastAsia="宋体" w:cs="宋体"/>
      <w:color w:val="000000"/>
      <w:sz w:val="24"/>
      <w:szCs w:val="24"/>
      <w:u w:val="none"/>
    </w:rPr>
  </w:style>
  <w:style w:type="paragraph" w:customStyle="1" w:styleId="21">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58</Pages>
  <Words>6740</Words>
  <Characters>9724</Characters>
  <Lines>69</Lines>
  <Paragraphs>19</Paragraphs>
  <TotalTime>2</TotalTime>
  <ScaleCrop>false</ScaleCrop>
  <LinksUpToDate>false</LinksUpToDate>
  <CharactersWithSpaces>10706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2025-08-20T18:17:00Z</dcterms:created>
  <dc:creator>李航 null</dc:creator>
  <cp:lastModifiedBy>greatwall</cp:lastModifiedBy>
  <cp:lastPrinted>2024-08-11T02:20:00Z</cp:lastPrinted>
  <dcterms:modified xsi:type="dcterms:W3CDTF">2025-09-17T11:59:17Z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91E8E4498DB543359DB515E8B07B86C0_13</vt:lpwstr>
  </property>
  <property fmtid="{D5CDD505-2E9C-101B-9397-08002B2CF9AE}" pid="4" name="KSOTemplateDocerSaveRecord">
    <vt:lpwstr>eyJoZGlkIjoiYTZkMmJhN2M4ZTcxNDNiNTdhMjI1YjNkNjU5M2ExY2UiLCJ1c2VySWQiOiIyODEwMTA5NDcifQ==</vt:lpwstr>
  </property>
</Properties>
</file>