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left" w:pos="7384"/>
        </w:tabs>
        <w:jc w:val="left"/>
        <w:rPr>
          <w:rFonts w:hint="eastAsia" w:ascii="Times New Roman" w:hAnsi="Times New Roman" w:eastAsia="黑体" w:cs="Times New Roman"/>
          <w:sz w:val="56"/>
          <w:szCs w:val="56"/>
          <w:lang w:eastAsia="zh-CN"/>
        </w:rPr>
      </w:pPr>
      <w:r>
        <w:rPr>
          <w:rFonts w:hint="eastAsia" w:ascii="Times New Roman" w:hAnsi="Times New Roman" w:cs="Times New Roman"/>
          <w:sz w:val="56"/>
          <w:szCs w:val="56"/>
          <w:lang w:eastAsia="zh-CN"/>
        </w:rPr>
        <w:tab/>
      </w: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hint="eastAsia"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湖南省农情分析研究中心</w:t>
      </w: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5"/>
        <w:jc w:val="center"/>
        <w:rPr>
          <w:rFonts w:ascii="Times New Roman" w:hAnsi="Times New Roman" w:eastAsia="方正小标宋_GBK" w:cs="Times New Roman"/>
          <w:sz w:val="56"/>
          <w:szCs w:val="56"/>
        </w:rPr>
      </w:pPr>
    </w:p>
    <w:p>
      <w:pPr>
        <w:pStyle w:val="15"/>
        <w:spacing w:line="600" w:lineRule="exact"/>
        <w:jc w:val="both"/>
        <w:rPr>
          <w:rFonts w:ascii="Times New Roman" w:hAnsi="Times New Roman" w:cs="Times New Roman"/>
          <w:b/>
          <w:sz w:val="36"/>
          <w:szCs w:val="28"/>
        </w:rPr>
      </w:pPr>
    </w:p>
    <w:p>
      <w:pPr>
        <w:bidi w:val="0"/>
      </w:pPr>
    </w:p>
    <w:p>
      <w:pPr>
        <w:bidi w:val="0"/>
      </w:pPr>
    </w:p>
    <w:p>
      <w:pPr>
        <w:bidi w:val="0"/>
      </w:pPr>
    </w:p>
    <w:p>
      <w:pPr>
        <w:bidi w:val="0"/>
      </w:pPr>
    </w:p>
    <w:p>
      <w:pPr>
        <w:bidi w:val="0"/>
      </w:pPr>
    </w:p>
    <w:p>
      <w:pPr>
        <w:bidi w:val="0"/>
      </w:pPr>
    </w:p>
    <w:p>
      <w:pPr>
        <w:bidi w:val="0"/>
      </w:pPr>
    </w:p>
    <w:p>
      <w:pPr>
        <w:bidi w:val="0"/>
      </w:pPr>
    </w:p>
    <w:p>
      <w:pPr>
        <w:tabs>
          <w:tab w:val="left" w:pos="2378"/>
        </w:tabs>
        <w:bidi w:val="0"/>
        <w:jc w:val="left"/>
        <w:rPr>
          <w:rFonts w:hint="eastAsia" w:eastAsiaTheme="minorEastAsia"/>
          <w:lang w:eastAsia="zh-CN"/>
        </w:rPr>
        <w:sectPr>
          <w:footerReference r:id="rId3" w:type="default"/>
          <w:pgSz w:w="11906" w:h="16838"/>
          <w:pgMar w:top="1417" w:right="1588" w:bottom="1417" w:left="1588" w:header="851" w:footer="992" w:gutter="0"/>
          <w:pgNumType w:start="1"/>
          <w:cols w:space="425" w:num="1"/>
          <w:docGrid w:type="lines" w:linePitch="312" w:charSpace="0"/>
        </w:sectPr>
      </w:pPr>
      <w:r>
        <w:rPr>
          <w:rFonts w:hint="eastAsia"/>
          <w:lang w:eastAsia="zh-CN"/>
        </w:rPr>
        <w:tab/>
      </w:r>
    </w:p>
    <w:p>
      <w:pPr>
        <w:pStyle w:val="15"/>
        <w:spacing w:line="600" w:lineRule="exact"/>
        <w:jc w:val="both"/>
        <w:rPr>
          <w:rFonts w:ascii="Times New Roman" w:hAnsi="Times New Roman" w:cs="Times New Roman"/>
          <w:b/>
          <w:sz w:val="36"/>
          <w:szCs w:val="28"/>
        </w:rPr>
      </w:pP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湖南省农情分析研究中心</w:t>
      </w:r>
      <w:r>
        <w:rPr>
          <w:rFonts w:ascii="Times New Roman" w:hAnsi="Times New Roman" w:cs="Times New Roman"/>
          <w:bCs/>
          <w:sz w:val="32"/>
          <w:szCs w:val="32"/>
        </w:rPr>
        <w:t>单位概况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9"/>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5"/>
        <w:jc w:val="center"/>
        <w:rPr>
          <w:rFonts w:hint="eastAsia" w:ascii="Times New Roman" w:hAnsi="Times New Roman" w:eastAsia="方正小标宋_GBK" w:cs="Times New Roman"/>
          <w:sz w:val="52"/>
          <w:szCs w:val="52"/>
        </w:rPr>
      </w:pPr>
      <w:r>
        <w:rPr>
          <w:rFonts w:hint="eastAsia" w:ascii="Times New Roman" w:hAnsi="Times New Roman" w:eastAsia="方正小标宋_GBK" w:cs="Times New Roman"/>
          <w:sz w:val="52"/>
          <w:szCs w:val="52"/>
        </w:rPr>
        <w:t>湖南省农情分析研究中心</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单位概况</w:t>
      </w:r>
    </w:p>
    <w:p>
      <w:pPr>
        <w:pStyle w:val="5"/>
        <w:ind w:left="0" w:leftChars="0" w:firstLine="0" w:firstLineChars="0"/>
        <w:rPr>
          <w:rFonts w:ascii="Times New Roman" w:hAnsi="Times New Roman" w:cs="Times New Roman"/>
        </w:rPr>
      </w:pPr>
    </w:p>
    <w:p>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ind w:firstLine="800" w:firstLineChars="250"/>
        <w:jc w:val="left"/>
        <w:rPr>
          <w:rFonts w:hint="eastAsia" w:ascii="Times New Roman" w:hAnsi="Times New Roman" w:eastAsia="仿宋_GB2312" w:cs="仿宋_GB2312"/>
          <w:sz w:val="32"/>
          <w:szCs w:val="32"/>
        </w:rPr>
      </w:pPr>
      <w:r>
        <w:rPr>
          <w:rFonts w:ascii="Times New Roman" w:hAnsi="Times New Roman" w:eastAsia="仿宋_GB2312" w:cs="Times New Roman"/>
          <w:sz w:val="32"/>
          <w:szCs w:val="32"/>
        </w:rPr>
        <w:t>（一）</w:t>
      </w:r>
      <w:r>
        <w:rPr>
          <w:rFonts w:hint="eastAsia" w:ascii="Times New Roman" w:hAnsi="Times New Roman" w:eastAsia="仿宋_GB2312" w:cs="仿宋_GB2312"/>
          <w:sz w:val="32"/>
          <w:szCs w:val="32"/>
        </w:rPr>
        <w:t>收集、整理、分析、报送和发布农业生产动态、阶段性生产形势，反映生产中的特点、热点和存在问题。</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（二）调查分析研究农业情况，组织和指导农情监测基地县的监测工作。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（三）编印农情简报和农业农村统计分析资料。</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（四）调查统计和报送农业灾情，指导农业防灾抗灾减灾工作。</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（五）开展全省农业农村经济形势分析。</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六</w:t>
      </w:r>
      <w:r>
        <w:rPr>
          <w:rFonts w:hint="eastAsia" w:ascii="Times New Roman" w:hAnsi="Times New Roman" w:eastAsia="仿宋_GB2312" w:cs="仿宋_GB2312"/>
          <w:sz w:val="32"/>
          <w:szCs w:val="32"/>
        </w:rPr>
        <w:t>）负责农业农村部、省政府和省农业农村厅安排的其他方面的工作。</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numPr>
          <w:ilvl w:val="0"/>
          <w:numId w:val="0"/>
        </w:numPr>
        <w:adjustRightInd/>
        <w:snapToGrid/>
        <w:ind w:firstLine="640" w:firstLineChars="200"/>
        <w:rPr>
          <w:rFonts w:hint="eastAsia" w:ascii="Times New Roman" w:hAnsi="Times New Roman" w:eastAsia="仿宋_GB2312" w:cs="仿宋_GB2312"/>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仿宋_GB2312"/>
          <w:bCs/>
          <w:kern w:val="0"/>
          <w:sz w:val="32"/>
          <w:szCs w:val="32"/>
        </w:rPr>
        <w:t>湖南省农情分析研究中心内设机构包括</w:t>
      </w:r>
      <w:r>
        <w:rPr>
          <w:rFonts w:hint="eastAsia" w:ascii="Times New Roman" w:hAnsi="Times New Roman" w:eastAsia="仿宋_GB2312" w:cs="仿宋_GB2312"/>
          <w:bCs/>
          <w:kern w:val="0"/>
          <w:sz w:val="32"/>
          <w:szCs w:val="32"/>
          <w:lang w:eastAsia="zh-CN"/>
        </w:rPr>
        <w:t>：综合</w:t>
      </w:r>
      <w:r>
        <w:rPr>
          <w:rFonts w:hint="eastAsia" w:ascii="Times New Roman" w:hAnsi="Times New Roman" w:eastAsia="仿宋_GB2312" w:cs="仿宋_GB2312"/>
          <w:bCs/>
          <w:kern w:val="0"/>
          <w:sz w:val="32"/>
          <w:szCs w:val="32"/>
        </w:rPr>
        <w:t>财务科、</w:t>
      </w:r>
      <w:r>
        <w:rPr>
          <w:rFonts w:hint="eastAsia" w:ascii="Times New Roman" w:hAnsi="Times New Roman" w:eastAsia="仿宋_GB2312" w:cs="仿宋_GB2312"/>
          <w:bCs/>
          <w:kern w:val="0"/>
          <w:sz w:val="32"/>
          <w:szCs w:val="32"/>
          <w:lang w:eastAsia="zh-CN"/>
        </w:rPr>
        <w:t>组织</w:t>
      </w:r>
      <w:r>
        <w:rPr>
          <w:rFonts w:hint="eastAsia" w:ascii="Times New Roman" w:hAnsi="Times New Roman" w:eastAsia="仿宋_GB2312" w:cs="仿宋_GB2312"/>
          <w:bCs/>
          <w:kern w:val="0"/>
          <w:sz w:val="32"/>
          <w:szCs w:val="32"/>
        </w:rPr>
        <w:t>人事科、农情体系科、农情调度科、农情信息</w:t>
      </w:r>
      <w:r>
        <w:rPr>
          <w:rFonts w:hint="eastAsia" w:ascii="Times New Roman" w:hAnsi="Times New Roman" w:eastAsia="仿宋_GB2312" w:cs="仿宋_GB2312"/>
          <w:bCs/>
          <w:kern w:val="0"/>
          <w:sz w:val="32"/>
          <w:szCs w:val="32"/>
          <w:lang w:val="en-US" w:eastAsia="zh-CN"/>
        </w:rPr>
        <w:t>(</w:t>
      </w:r>
      <w:r>
        <w:rPr>
          <w:rFonts w:hint="eastAsia" w:ascii="Times New Roman" w:hAnsi="Times New Roman" w:eastAsia="仿宋_GB2312" w:cs="仿宋_GB2312"/>
          <w:bCs/>
          <w:kern w:val="0"/>
          <w:sz w:val="32"/>
          <w:szCs w:val="32"/>
          <w:lang w:eastAsia="zh-CN"/>
        </w:rPr>
        <w:t>档案</w:t>
      </w:r>
      <w:r>
        <w:rPr>
          <w:rFonts w:hint="eastAsia" w:ascii="Times New Roman" w:hAnsi="Times New Roman" w:eastAsia="仿宋_GB2312" w:cs="仿宋_GB2312"/>
          <w:bCs/>
          <w:kern w:val="0"/>
          <w:sz w:val="32"/>
          <w:szCs w:val="32"/>
          <w:lang w:val="en-US" w:eastAsia="zh-CN"/>
        </w:rPr>
        <w:t>)</w:t>
      </w:r>
      <w:r>
        <w:rPr>
          <w:rFonts w:hint="eastAsia" w:ascii="Times New Roman" w:hAnsi="Times New Roman" w:eastAsia="仿宋_GB2312" w:cs="仿宋_GB2312"/>
          <w:bCs/>
          <w:kern w:val="0"/>
          <w:sz w:val="32"/>
          <w:szCs w:val="32"/>
        </w:rPr>
        <w:t>科。</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bCs/>
          <w:kern w:val="0"/>
          <w:sz w:val="32"/>
          <w:szCs w:val="32"/>
        </w:rPr>
        <w:t>湖南省农情分析研究中心202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w:t>
      </w:r>
      <w:r>
        <w:rPr>
          <w:rFonts w:hint="eastAsia" w:ascii="Times New Roman" w:hAnsi="Times New Roman" w:eastAsia="仿宋_GB2312" w:cs="仿宋_GB2312"/>
          <w:bCs/>
          <w:kern w:val="0"/>
          <w:sz w:val="32"/>
          <w:szCs w:val="32"/>
          <w:lang w:eastAsia="zh-CN"/>
        </w:rPr>
        <w:t>部门</w:t>
      </w:r>
      <w:r>
        <w:rPr>
          <w:rFonts w:hint="eastAsia" w:ascii="Times New Roman" w:hAnsi="Times New Roman" w:eastAsia="仿宋_GB2312" w:cs="仿宋_GB2312"/>
          <w:bCs/>
          <w:kern w:val="0"/>
          <w:sz w:val="32"/>
          <w:szCs w:val="32"/>
        </w:rPr>
        <w:t>决算</w:t>
      </w:r>
      <w:r>
        <w:rPr>
          <w:rFonts w:hint="eastAsia" w:ascii="Times New Roman" w:hAnsi="Times New Roman" w:eastAsia="仿宋_GB2312" w:cs="仿宋_GB2312"/>
          <w:bCs/>
          <w:kern w:val="0"/>
          <w:sz w:val="32"/>
          <w:szCs w:val="32"/>
          <w:lang w:eastAsia="zh-CN"/>
        </w:rPr>
        <w:t>汇总公开</w:t>
      </w:r>
      <w:r>
        <w:rPr>
          <w:rFonts w:hint="eastAsia" w:ascii="Times New Roman" w:hAnsi="Times New Roman" w:eastAsia="仿宋_GB2312" w:cs="仿宋_GB2312"/>
          <w:bCs/>
          <w:kern w:val="0"/>
          <w:sz w:val="32"/>
          <w:szCs w:val="32"/>
        </w:rPr>
        <w:t>单位构成</w:t>
      </w:r>
      <w:r>
        <w:rPr>
          <w:rFonts w:hint="eastAsia" w:ascii="Times New Roman" w:hAnsi="Times New Roman" w:eastAsia="仿宋_GB2312" w:cs="仿宋_GB2312"/>
          <w:bCs/>
          <w:kern w:val="0"/>
          <w:sz w:val="32"/>
          <w:szCs w:val="32"/>
          <w:lang w:eastAsia="zh-CN"/>
        </w:rPr>
        <w:t>包括：</w:t>
      </w:r>
      <w:r>
        <w:rPr>
          <w:rFonts w:hint="eastAsia" w:ascii="Times New Roman" w:hAnsi="Times New Roman" w:eastAsia="仿宋_GB2312" w:cs="仿宋_GB2312"/>
          <w:bCs/>
          <w:kern w:val="0"/>
          <w:sz w:val="32"/>
          <w:szCs w:val="32"/>
        </w:rPr>
        <w:t>湖南省农情分析研究中心本级。</w:t>
      </w:r>
    </w:p>
    <w:p>
      <w:pPr>
        <w:widowControl/>
        <w:spacing w:line="600" w:lineRule="exact"/>
        <w:rPr>
          <w:rFonts w:ascii="Times New Roman" w:hAnsi="Times New Roman" w:eastAsia="仿宋_GB2312" w:cs="Times New Roman"/>
          <w:bCs/>
          <w:kern w:val="0"/>
          <w:sz w:val="32"/>
          <w:szCs w:val="32"/>
        </w:rPr>
      </w:pP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9"/>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lang w:eastAsia="zh-CN"/>
        </w:rPr>
        <w:t>湖南省农情分析研究中心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896" w:type="dxa"/>
        <w:jc w:val="center"/>
        <w:tblLayout w:type="fixed"/>
        <w:tblCellMar>
          <w:top w:w="0" w:type="dxa"/>
          <w:left w:w="108" w:type="dxa"/>
          <w:bottom w:w="0" w:type="dxa"/>
          <w:right w:w="108" w:type="dxa"/>
        </w:tblCellMar>
      </w:tblPr>
      <w:tblGrid>
        <w:gridCol w:w="5762"/>
        <w:gridCol w:w="850"/>
        <w:gridCol w:w="1291"/>
        <w:gridCol w:w="4851"/>
        <w:gridCol w:w="850"/>
        <w:gridCol w:w="1292"/>
      </w:tblGrid>
      <w:tr>
        <w:tblPrEx>
          <w:tblCellMar>
            <w:top w:w="0" w:type="dxa"/>
            <w:left w:w="108" w:type="dxa"/>
            <w:bottom w:w="0" w:type="dxa"/>
            <w:right w:w="108" w:type="dxa"/>
          </w:tblCellMar>
        </w:tblPrEx>
        <w:trPr>
          <w:trHeight w:val="340" w:hRule="exact"/>
          <w:jc w:val="center"/>
        </w:trPr>
        <w:tc>
          <w:tcPr>
            <w:tcW w:w="790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收入</w:t>
            </w:r>
          </w:p>
        </w:tc>
        <w:tc>
          <w:tcPr>
            <w:tcW w:w="699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支出</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项    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行次</w:t>
            </w:r>
          </w:p>
        </w:tc>
        <w:tc>
          <w:tcPr>
            <w:tcW w:w="12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决算数</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仿宋_GB2312" w:cs="Times New Roman"/>
                <w:color w:val="000000"/>
                <w:sz w:val="24"/>
                <w:szCs w:val="24"/>
              </w:rPr>
            </w:pP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    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仿宋_GB2312" w:cs="Times New Roman"/>
                <w:color w:val="000000"/>
                <w:sz w:val="24"/>
                <w:szCs w:val="24"/>
              </w:rPr>
            </w:pPr>
          </w:p>
        </w:tc>
        <w:tc>
          <w:tcPr>
            <w:tcW w:w="12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387.17</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一、一般公共服务支出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二、政府性基金预算财政拨款收入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二、外交支出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三、国有资本经营预算财政拨款收入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四、上级补助收入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四、公共安全支出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五、事业收入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五、教育支出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六、经营收入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六、科学技术支出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七、附属单位上缴收入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kern w:val="0"/>
                <w:sz w:val="22"/>
                <w:lang w:val="en-US" w:eastAsia="zh-CN" w:bidi="ar"/>
              </w:rPr>
              <w:t>七、文化旅游体育与传媒支出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八、其他收入</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0.02</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Times New Roman" w:hAnsi="Times New Roman" w:eastAsia="仿宋_GB2312" w:cs="Times New Roman"/>
                <w:color w:val="000000"/>
                <w:sz w:val="22"/>
              </w:rPr>
            </w:pPr>
            <w:r>
              <w:rPr>
                <w:rFonts w:hint="eastAsia" w:ascii="Times New Roman" w:hAnsi="Times New Roman" w:eastAsia="仿宋_GB2312" w:cs="Times New Roman"/>
                <w:color w:val="000000"/>
                <w:kern w:val="0"/>
                <w:sz w:val="22"/>
                <w:lang w:val="en-US" w:eastAsia="zh-CN" w:bidi="ar"/>
              </w:rPr>
              <w:t>八、社会保障和就业支出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val="0"/>
                <w:color w:val="000000"/>
                <w:sz w:val="22"/>
                <w:lang w:val="en-US" w:eastAsia="zh-CN"/>
              </w:rPr>
            </w:pPr>
            <w:r>
              <w:rPr>
                <w:rFonts w:hint="eastAsia" w:ascii="Times New Roman" w:hAnsi="Times New Roman" w:eastAsia="仿宋_GB2312" w:cs="Times New Roman"/>
                <w:b w:val="0"/>
                <w:bCs w:val="0"/>
                <w:color w:val="000000"/>
                <w:sz w:val="22"/>
                <w:lang w:val="en-US" w:eastAsia="zh-CN"/>
              </w:rPr>
              <w:t>33.38</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九、卫生健康支出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十、节能环保支出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十一、城乡社区支出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val="0"/>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十二、农林水支出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val="0"/>
                <w:color w:val="000000"/>
                <w:sz w:val="22"/>
                <w:lang w:val="en-US" w:eastAsia="zh-CN"/>
              </w:rPr>
            </w:pPr>
            <w:r>
              <w:rPr>
                <w:rFonts w:hint="eastAsia" w:ascii="Times New Roman" w:hAnsi="Times New Roman" w:eastAsia="仿宋_GB2312" w:cs="Times New Roman"/>
                <w:b w:val="0"/>
                <w:bCs w:val="0"/>
                <w:color w:val="000000"/>
                <w:sz w:val="22"/>
                <w:lang w:val="en-US" w:eastAsia="zh-CN"/>
              </w:rPr>
              <w:t>341.27</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十三、交通运输支出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十四、资源勘探工业信息等支出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十五、商业服务业等支出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十六、金融支出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十七、援助其他地区支出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十八、自然资源海洋气象等支出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49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imes New Roman" w:hAnsi="Times New Roman" w:eastAsia="仿宋_GB2312" w:cs="Times New Roman"/>
                <w:b/>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19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十九、住房保障支出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color w:val="000000"/>
                <w:sz w:val="22"/>
                <w:lang w:val="en-US" w:eastAsia="zh-CN"/>
              </w:rPr>
            </w:pPr>
            <w:r>
              <w:rPr>
                <w:rFonts w:hint="eastAsia" w:ascii="Times New Roman" w:hAnsi="Times New Roman" w:eastAsia="仿宋_GB2312" w:cs="Times New Roman"/>
                <w:b w:val="0"/>
                <w:bCs/>
                <w:color w:val="000000"/>
                <w:sz w:val="22"/>
                <w:lang w:val="en-US" w:eastAsia="zh-CN"/>
              </w:rPr>
              <w:t>26.49</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二十、粮油物资储备支出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二十一、国有资本经营预算支出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二十二、灾害防治及应急管理支出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二十三、其他支出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二十四、债务还本支出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二十五、债务付息支出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26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二十六、抗疫特别国债安排的支出</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kern w:val="0"/>
                <w:sz w:val="22"/>
                <w:lang w:val="en-US" w:eastAsia="zh-CN" w:bidi="ar"/>
              </w:rPr>
            </w:pPr>
            <w:r>
              <w:rPr>
                <w:rFonts w:hint="eastAsia" w:ascii="Times New Roman" w:hAnsi="Times New Roman" w:eastAsia="仿宋_GB2312" w:cs="Times New Roman"/>
                <w:color w:val="000000"/>
                <w:kern w:val="0"/>
                <w:sz w:val="22"/>
                <w:lang w:val="en-US" w:eastAsia="zh-CN" w:bidi="ar"/>
              </w:rPr>
              <w:t>57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0"/>
                <w:szCs w:val="20"/>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color w:val="000000"/>
                <w:sz w:val="22"/>
              </w:rPr>
            </w:pP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Times New Roman" w:hAnsi="Times New Roman" w:eastAsia="仿宋_GB2312" w:cs="Times New Roman"/>
                <w:color w:val="000000"/>
                <w:kern w:val="0"/>
                <w:sz w:val="22"/>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58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Times New Roman" w:hAnsi="Times New Roman" w:eastAsia="仿宋_GB2312" w:cs="Times New Roman"/>
                <w:b w:val="0"/>
                <w:bCs/>
                <w:color w:val="000000"/>
                <w:sz w:val="22"/>
              </w:rPr>
            </w:pP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本年收入合计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387.19</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本年支出合计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59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color w:val="000000"/>
                <w:sz w:val="22"/>
                <w:lang w:val="en-US" w:eastAsia="zh-CN"/>
              </w:rPr>
            </w:pPr>
            <w:r>
              <w:rPr>
                <w:rFonts w:hint="eastAsia" w:ascii="Times New Roman" w:hAnsi="Times New Roman" w:eastAsia="仿宋_GB2312" w:cs="Times New Roman"/>
                <w:b w:val="0"/>
                <w:bCs/>
                <w:color w:val="000000"/>
                <w:sz w:val="22"/>
                <w:lang w:val="en-US" w:eastAsia="zh-CN"/>
              </w:rPr>
              <w:t>401.14</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使用非财政拨款结余（含专用结余）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结余分配</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Times New Roman" w:hAnsi="Times New Roman" w:eastAsia="仿宋_GB2312" w:cs="Times New Roman"/>
                <w:b w:val="0"/>
                <w:bCs/>
                <w:color w:val="000000"/>
                <w:sz w:val="22"/>
                <w:lang w:val="en-US" w:eastAsia="zh-CN"/>
              </w:rPr>
            </w:pPr>
            <w:r>
              <w:rPr>
                <w:rFonts w:hint="eastAsia" w:ascii="Times New Roman" w:hAnsi="Times New Roman" w:eastAsia="仿宋_GB2312" w:cs="Times New Roman"/>
                <w:b w:val="0"/>
                <w:bCs/>
                <w:color w:val="000000"/>
                <w:sz w:val="22"/>
                <w:lang w:val="en-US" w:eastAsia="zh-CN"/>
              </w:rPr>
              <w:t>0</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年初结转和结余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27.91</w:t>
            </w:r>
          </w:p>
        </w:tc>
        <w:tc>
          <w:tcPr>
            <w:tcW w:w="48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 xml:space="preserve">                年末结转和结余</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color w:val="000000"/>
                <w:sz w:val="22"/>
                <w:lang w:val="en-US" w:eastAsia="zh-CN"/>
              </w:rPr>
            </w:pPr>
            <w:r>
              <w:rPr>
                <w:rFonts w:hint="eastAsia" w:ascii="Times New Roman" w:hAnsi="Times New Roman" w:eastAsia="仿宋_GB2312" w:cs="Times New Roman"/>
                <w:b w:val="0"/>
                <w:bCs/>
                <w:color w:val="000000"/>
                <w:sz w:val="22"/>
                <w:lang w:val="en-US" w:eastAsia="zh-CN"/>
              </w:rPr>
              <w:t>13.97</w:t>
            </w:r>
          </w:p>
        </w:tc>
      </w:tr>
      <w:tr>
        <w:tblPrEx>
          <w:tblCellMar>
            <w:top w:w="0" w:type="dxa"/>
            <w:left w:w="108" w:type="dxa"/>
            <w:bottom w:w="0" w:type="dxa"/>
            <w:right w:w="108" w:type="dxa"/>
          </w:tblCellMar>
        </w:tblPrEx>
        <w:trPr>
          <w:trHeight w:val="340" w:hRule="exact"/>
          <w:jc w:val="center"/>
        </w:trPr>
        <w:tc>
          <w:tcPr>
            <w:tcW w:w="57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31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415.11</w:t>
            </w:r>
          </w:p>
        </w:tc>
        <w:tc>
          <w:tcPr>
            <w:tcW w:w="48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总计</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62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default" w:ascii="Times New Roman" w:hAnsi="Times New Roman" w:eastAsia="仿宋_GB2312" w:cs="Times New Roman"/>
                <w:b w:val="0"/>
                <w:bCs/>
                <w:color w:val="000000"/>
                <w:sz w:val="22"/>
                <w:lang w:val="en-US" w:eastAsia="zh-CN"/>
              </w:rPr>
            </w:pPr>
            <w:r>
              <w:rPr>
                <w:rFonts w:hint="eastAsia" w:ascii="Times New Roman" w:hAnsi="Times New Roman" w:eastAsia="仿宋_GB2312" w:cs="Times New Roman"/>
                <w:b w:val="0"/>
                <w:bCs/>
                <w:color w:val="000000"/>
                <w:sz w:val="22"/>
                <w:lang w:val="en-US" w:eastAsia="zh-CN"/>
              </w:rPr>
              <w:t>415.11</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黑体" w:cs="Times New Roman"/>
          <w:color w:val="000000"/>
          <w:kern w:val="0"/>
          <w:sz w:val="32"/>
          <w:szCs w:val="32"/>
          <w:lang w:bidi="ar"/>
        </w:rPr>
      </w:pPr>
      <w:r>
        <w:rPr>
          <w:rFonts w:ascii="Times New Roman" w:hAnsi="Times New Roman" w:eastAsia="华文中宋" w:cs="Times New Roman"/>
          <w:color w:val="00000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Cs w:val="21"/>
          <w:lang w:eastAsia="zh-CN"/>
        </w:rPr>
        <w:t>湖南省农情分析研究中心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1"/>
        <w:tblW w:w="14666" w:type="dxa"/>
        <w:jc w:val="center"/>
        <w:tblLayout w:type="fixed"/>
        <w:tblCellMar>
          <w:top w:w="0" w:type="dxa"/>
          <w:left w:w="0" w:type="dxa"/>
          <w:bottom w:w="0" w:type="dxa"/>
          <w:right w:w="0" w:type="dxa"/>
        </w:tblCellMar>
      </w:tblPr>
      <w:tblGrid>
        <w:gridCol w:w="1507"/>
        <w:gridCol w:w="1679"/>
        <w:gridCol w:w="1640"/>
        <w:gridCol w:w="1640"/>
        <w:gridCol w:w="1640"/>
        <w:gridCol w:w="1640"/>
        <w:gridCol w:w="1640"/>
        <w:gridCol w:w="1897"/>
        <w:gridCol w:w="1383"/>
      </w:tblGrid>
      <w:tr>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189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38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tblPrEx>
          <w:tblCellMar>
            <w:top w:w="0" w:type="dxa"/>
            <w:left w:w="0" w:type="dxa"/>
            <w:bottom w:w="0" w:type="dxa"/>
            <w:right w:w="0" w:type="dxa"/>
          </w:tblCellMar>
        </w:tblPrEx>
        <w:trPr>
          <w:trHeight w:val="334" w:hRule="exact"/>
          <w:jc w:val="center"/>
        </w:trPr>
        <w:tc>
          <w:tcPr>
            <w:tcW w:w="150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1679"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12" w:hRule="atLeast"/>
          <w:jc w:val="center"/>
        </w:trPr>
        <w:tc>
          <w:tcPr>
            <w:tcW w:w="150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79" w:type="dxa"/>
            <w:vMerge w:val="continue"/>
            <w:tcBorders>
              <w:top w:val="nil"/>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640"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897"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6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189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38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tblPrEx>
          <w:tblCellMar>
            <w:top w:w="0" w:type="dxa"/>
            <w:left w:w="0" w:type="dxa"/>
            <w:bottom w:w="0" w:type="dxa"/>
            <w:right w:w="0" w:type="dxa"/>
          </w:tblCellMar>
        </w:tblPrEx>
        <w:trPr>
          <w:trHeight w:val="450" w:hRule="atLeast"/>
          <w:jc w:val="center"/>
        </w:trPr>
        <w:tc>
          <w:tcPr>
            <w:tcW w:w="3186"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387.19</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387.17</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0.02</w:t>
            </w:r>
            <w:r>
              <w:rPr>
                <w:rFonts w:ascii="Times New Roman" w:hAnsi="Times New Roman" w:eastAsia="仿宋_GB2312" w:cs="Times New Roman"/>
              </w:rPr>
              <w:t>　</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lang w:val="en-US" w:eastAsia="zh-CN"/>
              </w:rPr>
              <w:t>208</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社会保障和就业支出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33.38</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33.38</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2080502</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事业单位离退休</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6.63</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6.63</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2080505</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机关事业单位基本养老保险缴费支出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26.75</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26.75</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213</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农林水支出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327.32</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327.3</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0.02</w:t>
            </w:r>
            <w:r>
              <w:rPr>
                <w:rFonts w:ascii="Times New Roman" w:hAnsi="Times New Roman" w:eastAsia="仿宋_GB2312" w:cs="Times New Roman"/>
              </w:rPr>
              <w:t>　</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21301</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农业农村</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325.56</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325.54</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0.02</w:t>
            </w:r>
            <w:r>
              <w:rPr>
                <w:rFonts w:ascii="Times New Roman" w:hAnsi="Times New Roman" w:eastAsia="仿宋_GB2312" w:cs="Times New Roman"/>
              </w:rPr>
              <w:t>　</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2130104</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事业运行</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315.56</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315.54</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0.02</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2130122</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农业生产发展</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2139999</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其他农林水支出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1.76</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1.76</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0</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221</w:t>
            </w:r>
          </w:p>
        </w:tc>
        <w:tc>
          <w:tcPr>
            <w:tcW w:w="167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住房保障支出</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26.49</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26.49</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6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89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c>
          <w:tcPr>
            <w:tcW w:w="138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Times New Roman" w:hAnsi="Times New Roman" w:eastAsia="仿宋_GB2312" w:cs="Times New Roman"/>
                <w:sz w:val="24"/>
                <w:szCs w:val="24"/>
              </w:rPr>
            </w:pPr>
            <w:r>
              <w:rPr>
                <w:rFonts w:hint="eastAsia" w:ascii="Times New Roman" w:hAnsi="Times New Roman" w:eastAsia="仿宋_GB2312" w:cs="Times New Roman"/>
                <w:lang w:val="en-US" w:eastAsia="zh-CN"/>
              </w:rPr>
              <w:t>0</w:t>
            </w:r>
            <w:r>
              <w:rPr>
                <w:rFonts w:ascii="Times New Roman" w:hAnsi="Times New Roman" w:eastAsia="仿宋_GB2312" w:cs="Times New Roman"/>
              </w:rPr>
              <w:t>　</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22102</w:t>
            </w:r>
          </w:p>
        </w:tc>
        <w:tc>
          <w:tcPr>
            <w:tcW w:w="1679"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住房改革支出</w:t>
            </w:r>
          </w:p>
        </w:tc>
        <w:tc>
          <w:tcPr>
            <w:tcW w:w="1640" w:type="dxa"/>
            <w:tcBorders>
              <w:top w:val="single" w:color="auto" w:sz="4" w:space="0"/>
              <w:left w:val="single" w:color="auto" w:sz="4" w:space="0"/>
              <w:bottom w:val="single" w:color="auto" w:sz="4" w:space="0"/>
              <w:right w:val="single" w:color="auto" w:sz="4" w:space="0"/>
            </w:tcBorders>
          </w:tcPr>
          <w:p>
            <w:pPr>
              <w:jc w:val="right"/>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26.49</w:t>
            </w:r>
          </w:p>
        </w:tc>
        <w:tc>
          <w:tcPr>
            <w:tcW w:w="1640" w:type="dxa"/>
            <w:tcBorders>
              <w:top w:val="single" w:color="auto" w:sz="4" w:space="0"/>
              <w:left w:val="single" w:color="auto" w:sz="4" w:space="0"/>
              <w:bottom w:val="single" w:color="auto" w:sz="4" w:space="0"/>
              <w:right w:val="single" w:color="auto" w:sz="4" w:space="0"/>
            </w:tcBorders>
          </w:tcPr>
          <w:p>
            <w:pPr>
              <w:jc w:val="right"/>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26.49</w:t>
            </w:r>
          </w:p>
        </w:tc>
        <w:tc>
          <w:tcPr>
            <w:tcW w:w="1640"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640"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640"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897"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383"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r>
      <w:tr>
        <w:tblPrEx>
          <w:tblCellMar>
            <w:top w:w="0" w:type="dxa"/>
            <w:left w:w="0" w:type="dxa"/>
            <w:bottom w:w="0" w:type="dxa"/>
            <w:right w:w="0" w:type="dxa"/>
          </w:tblCellMar>
        </w:tblPrEx>
        <w:trPr>
          <w:trHeight w:val="450" w:hRule="atLeast"/>
          <w:jc w:val="center"/>
        </w:trPr>
        <w:tc>
          <w:tcPr>
            <w:tcW w:w="150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2210201</w:t>
            </w:r>
          </w:p>
        </w:tc>
        <w:tc>
          <w:tcPr>
            <w:tcW w:w="1679"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eastAsia="仿宋_GB2312" w:cs="Times New Roman"/>
                <w:lang w:val="en-US" w:eastAsia="zh-CN"/>
              </w:rPr>
            </w:pPr>
            <w:r>
              <w:rPr>
                <w:rFonts w:hint="eastAsia" w:ascii="Times New Roman" w:hAnsi="Times New Roman" w:eastAsia="仿宋_GB2312" w:cs="Times New Roman"/>
                <w:lang w:val="en-US" w:eastAsia="zh-CN"/>
              </w:rPr>
              <w:t>住房公积金</w:t>
            </w:r>
          </w:p>
        </w:tc>
        <w:tc>
          <w:tcPr>
            <w:tcW w:w="1640" w:type="dxa"/>
            <w:tcBorders>
              <w:top w:val="single" w:color="auto" w:sz="4" w:space="0"/>
              <w:left w:val="single" w:color="auto" w:sz="4" w:space="0"/>
              <w:bottom w:val="single" w:color="auto" w:sz="4" w:space="0"/>
              <w:right w:val="single" w:color="auto" w:sz="4" w:space="0"/>
            </w:tcBorders>
          </w:tcPr>
          <w:p>
            <w:pPr>
              <w:jc w:val="right"/>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26.49</w:t>
            </w:r>
          </w:p>
        </w:tc>
        <w:tc>
          <w:tcPr>
            <w:tcW w:w="1640" w:type="dxa"/>
            <w:tcBorders>
              <w:top w:val="single" w:color="auto" w:sz="4" w:space="0"/>
              <w:left w:val="single" w:color="auto" w:sz="4" w:space="0"/>
              <w:bottom w:val="single" w:color="auto" w:sz="4" w:space="0"/>
              <w:right w:val="single" w:color="auto" w:sz="4" w:space="0"/>
            </w:tcBorders>
          </w:tcPr>
          <w:p>
            <w:pPr>
              <w:jc w:val="right"/>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26.49</w:t>
            </w:r>
          </w:p>
        </w:tc>
        <w:tc>
          <w:tcPr>
            <w:tcW w:w="1640"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640"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640"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897"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c>
          <w:tcPr>
            <w:tcW w:w="1383" w:type="dxa"/>
            <w:tcBorders>
              <w:top w:val="single" w:color="auto" w:sz="4" w:space="0"/>
              <w:left w:val="single" w:color="auto" w:sz="4" w:space="0"/>
              <w:bottom w:val="single" w:color="auto" w:sz="4" w:space="0"/>
              <w:right w:val="single" w:color="auto" w:sz="4" w:space="0"/>
            </w:tcBorders>
          </w:tcPr>
          <w:p>
            <w:pPr>
              <w:jc w:val="righ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Cs w:val="21"/>
          <w:lang w:eastAsia="zh-CN"/>
        </w:rPr>
        <w:t>湖南省农情分析研究中心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1"/>
        <w:tblW w:w="13923" w:type="dxa"/>
        <w:jc w:val="center"/>
        <w:tblLayout w:type="fixed"/>
        <w:tblCellMar>
          <w:top w:w="0" w:type="dxa"/>
          <w:left w:w="108" w:type="dxa"/>
          <w:bottom w:w="0" w:type="dxa"/>
          <w:right w:w="108" w:type="dxa"/>
        </w:tblCellMar>
      </w:tblPr>
      <w:tblGrid>
        <w:gridCol w:w="1929"/>
        <w:gridCol w:w="3464"/>
        <w:gridCol w:w="1705"/>
        <w:gridCol w:w="1515"/>
        <w:gridCol w:w="1335"/>
        <w:gridCol w:w="1215"/>
        <w:gridCol w:w="1335"/>
        <w:gridCol w:w="1425"/>
      </w:tblGrid>
      <w:tr>
        <w:tblPrEx>
          <w:tblCellMar>
            <w:top w:w="0" w:type="dxa"/>
            <w:left w:w="108" w:type="dxa"/>
            <w:bottom w:w="0" w:type="dxa"/>
            <w:right w:w="108" w:type="dxa"/>
          </w:tblCellMar>
        </w:tblPrEx>
        <w:trPr>
          <w:trHeight w:val="595" w:hRule="atLeast"/>
          <w:jc w:val="center"/>
        </w:trPr>
        <w:tc>
          <w:tcPr>
            <w:tcW w:w="5393"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    目</w:t>
            </w:r>
          </w:p>
        </w:tc>
        <w:tc>
          <w:tcPr>
            <w:tcW w:w="170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本年支出合计</w:t>
            </w:r>
          </w:p>
        </w:tc>
        <w:tc>
          <w:tcPr>
            <w:tcW w:w="151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基本支出</w:t>
            </w:r>
          </w:p>
        </w:tc>
        <w:tc>
          <w:tcPr>
            <w:tcW w:w="133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项目支出</w:t>
            </w:r>
          </w:p>
        </w:tc>
        <w:tc>
          <w:tcPr>
            <w:tcW w:w="121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上缴上级支出</w:t>
            </w:r>
          </w:p>
        </w:tc>
        <w:tc>
          <w:tcPr>
            <w:tcW w:w="133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经营支出</w:t>
            </w:r>
          </w:p>
        </w:tc>
        <w:tc>
          <w:tcPr>
            <w:tcW w:w="14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对附属单位补助支出</w:t>
            </w:r>
          </w:p>
        </w:tc>
      </w:tr>
      <w:tr>
        <w:tblPrEx>
          <w:tblCellMar>
            <w:top w:w="0" w:type="dxa"/>
            <w:left w:w="108" w:type="dxa"/>
            <w:bottom w:w="0" w:type="dxa"/>
            <w:right w:w="108" w:type="dxa"/>
          </w:tblCellMar>
        </w:tblPrEx>
        <w:trPr>
          <w:trHeight w:val="312" w:hRule="exact"/>
          <w:jc w:val="center"/>
        </w:trPr>
        <w:tc>
          <w:tcPr>
            <w:tcW w:w="192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功能分类科目编码</w:t>
            </w:r>
          </w:p>
        </w:tc>
        <w:tc>
          <w:tcPr>
            <w:tcW w:w="346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科目名称</w:t>
            </w:r>
          </w:p>
        </w:tc>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5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3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2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3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c>
          <w:tcPr>
            <w:tcW w:w="14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b/>
                <w:bCs/>
                <w:kern w:val="0"/>
                <w:sz w:val="24"/>
                <w:szCs w:val="24"/>
              </w:rPr>
            </w:pPr>
          </w:p>
        </w:tc>
      </w:tr>
      <w:tr>
        <w:tblPrEx>
          <w:tblCellMar>
            <w:top w:w="0" w:type="dxa"/>
            <w:left w:w="108" w:type="dxa"/>
            <w:bottom w:w="0" w:type="dxa"/>
            <w:right w:w="108" w:type="dxa"/>
          </w:tblCellMar>
        </w:tblPrEx>
        <w:trPr>
          <w:trHeight w:val="595"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346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7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5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3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2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3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c>
          <w:tcPr>
            <w:tcW w:w="14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595" w:hRule="atLeast"/>
          <w:jc w:val="center"/>
        </w:trPr>
        <w:tc>
          <w:tcPr>
            <w:tcW w:w="5393"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栏次</w:t>
            </w:r>
          </w:p>
        </w:tc>
        <w:tc>
          <w:tcPr>
            <w:tcW w:w="170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151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33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21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33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142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r>
      <w:tr>
        <w:tblPrEx>
          <w:tblCellMar>
            <w:top w:w="0" w:type="dxa"/>
            <w:left w:w="108" w:type="dxa"/>
            <w:bottom w:w="0" w:type="dxa"/>
            <w:right w:w="108" w:type="dxa"/>
          </w:tblCellMar>
        </w:tblPrEx>
        <w:trPr>
          <w:trHeight w:val="595" w:hRule="atLeast"/>
          <w:jc w:val="center"/>
        </w:trPr>
        <w:tc>
          <w:tcPr>
            <w:tcW w:w="5393"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401.14</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374.8</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26.34</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208</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eastAsia="zh-CN"/>
              </w:rPr>
              <w:t>社会保障和就业支出</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33.38</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33.38</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2080502</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事业单位离退休</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6.63</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6.63</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2080505</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机关事业单位基本养老保险缴费支出</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26.75</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26.75</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213</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农林水支出</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341.27</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314.93</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26.34</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21301</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农业农村</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339.51</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314.93</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24.58</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2130104</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事业运行</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314.93</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314.93</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2130111</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统计监测与信息服务</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21.91</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21.91</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2130122</w:t>
            </w:r>
          </w:p>
        </w:tc>
        <w:tc>
          <w:tcPr>
            <w:tcW w:w="346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农业生产发展</w:t>
            </w:r>
          </w:p>
        </w:tc>
        <w:tc>
          <w:tcPr>
            <w:tcW w:w="17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2.67</w:t>
            </w:r>
          </w:p>
        </w:tc>
        <w:tc>
          <w:tcPr>
            <w:tcW w:w="15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2.67</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4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2139999</w:t>
            </w:r>
          </w:p>
        </w:tc>
        <w:tc>
          <w:tcPr>
            <w:tcW w:w="3464"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其他农林水支出</w:t>
            </w:r>
          </w:p>
        </w:tc>
        <w:tc>
          <w:tcPr>
            <w:tcW w:w="17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1.76</w:t>
            </w:r>
          </w:p>
        </w:tc>
        <w:tc>
          <w:tcPr>
            <w:tcW w:w="15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1.76</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4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221</w:t>
            </w:r>
          </w:p>
        </w:tc>
        <w:tc>
          <w:tcPr>
            <w:tcW w:w="3464" w:type="dxa"/>
            <w:tcBorders>
              <w:top w:val="single" w:color="auto" w:sz="4" w:space="0"/>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住房保障支出</w:t>
            </w:r>
          </w:p>
        </w:tc>
        <w:tc>
          <w:tcPr>
            <w:tcW w:w="170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26.49</w:t>
            </w:r>
          </w:p>
        </w:tc>
        <w:tc>
          <w:tcPr>
            <w:tcW w:w="151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26.49</w:t>
            </w:r>
          </w:p>
        </w:tc>
        <w:tc>
          <w:tcPr>
            <w:tcW w:w="133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21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42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22102</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住房改革支出</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26.49</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26.49</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c>
          <w:tcPr>
            <w:tcW w:w="1335" w:type="dxa"/>
            <w:tcBorders>
              <w:top w:val="nil"/>
              <w:left w:val="nil"/>
              <w:bottom w:val="single" w:color="auto" w:sz="4" w:space="0"/>
              <w:right w:val="single" w:color="auto" w:sz="4" w:space="0"/>
            </w:tcBorders>
            <w:shd w:val="clear" w:color="auto" w:fill="auto"/>
            <w:noWrap/>
            <w:vAlign w:val="center"/>
          </w:tcPr>
          <w:p>
            <w:pPr>
              <w:widowControl/>
              <w:tabs>
                <w:tab w:val="left" w:pos="570"/>
              </w:tabs>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eastAsia="zh-CN"/>
              </w:rPr>
              <w:tab/>
            </w:r>
            <w:r>
              <w:rPr>
                <w:rFonts w:hint="eastAsia" w:ascii="Times New Roman" w:hAnsi="Times New Roman" w:eastAsia="仿宋_GB2312" w:cs="Times New Roman"/>
                <w:kern w:val="0"/>
                <w:sz w:val="24"/>
                <w:szCs w:val="24"/>
                <w:lang w:val="en-US" w:eastAsia="zh-CN"/>
              </w:rPr>
              <w:t>0</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0</w:t>
            </w:r>
          </w:p>
        </w:tc>
      </w:tr>
      <w:tr>
        <w:tblPrEx>
          <w:tblCellMar>
            <w:top w:w="0" w:type="dxa"/>
            <w:left w:w="108" w:type="dxa"/>
            <w:bottom w:w="0" w:type="dxa"/>
            <w:right w:w="108" w:type="dxa"/>
          </w:tblCellMar>
        </w:tblPrEx>
        <w:trPr>
          <w:trHeight w:val="595" w:hRule="atLeast"/>
          <w:jc w:val="center"/>
        </w:trPr>
        <w:tc>
          <w:tcPr>
            <w:tcW w:w="192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2210201</w:t>
            </w:r>
          </w:p>
        </w:tc>
        <w:tc>
          <w:tcPr>
            <w:tcW w:w="3464" w:type="dxa"/>
            <w:tcBorders>
              <w:top w:val="nil"/>
              <w:left w:val="nil"/>
              <w:bottom w:val="single" w:color="auto" w:sz="4" w:space="0"/>
              <w:right w:val="single" w:color="auto" w:sz="4" w:space="0"/>
            </w:tcBorders>
            <w:shd w:val="clear" w:color="000000" w:fill="FFFFFF"/>
            <w:noWrap/>
            <w:vAlign w:val="center"/>
          </w:tcPr>
          <w:p>
            <w:pPr>
              <w:widowControl/>
              <w:jc w:val="both"/>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住房公积金</w:t>
            </w:r>
          </w:p>
        </w:tc>
        <w:tc>
          <w:tcPr>
            <w:tcW w:w="170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26.49</w:t>
            </w:r>
            <w:r>
              <w:rPr>
                <w:rFonts w:ascii="Times New Roman" w:hAnsi="Times New Roman" w:eastAsia="仿宋_GB2312" w:cs="Times New Roman"/>
                <w:kern w:val="0"/>
                <w:sz w:val="24"/>
                <w:szCs w:val="24"/>
              </w:rPr>
              <w:t>　</w:t>
            </w:r>
          </w:p>
        </w:tc>
        <w:tc>
          <w:tcPr>
            <w:tcW w:w="15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26.49</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21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33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lang w:val="en-US" w:eastAsia="zh-CN"/>
              </w:rPr>
              <w:t>0</w:t>
            </w:r>
            <w:r>
              <w:rPr>
                <w:rFonts w:ascii="Times New Roman" w:hAnsi="Times New Roman" w:eastAsia="仿宋_GB2312" w:cs="Times New Roman"/>
                <w:kern w:val="0"/>
                <w:sz w:val="24"/>
                <w:szCs w:val="24"/>
              </w:rPr>
              <w:t>　</w:t>
            </w:r>
          </w:p>
        </w:tc>
      </w:tr>
    </w:tbl>
    <w:p>
      <w:pPr>
        <w:widowControl/>
        <w:spacing w:before="12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注：本表反映部门本年度各项支出情况。</w:t>
      </w: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pStyle w:val="2"/>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widowControl/>
        <w:tabs>
          <w:tab w:val="left" w:pos="3595"/>
          <w:tab w:val="left" w:pos="4031"/>
          <w:tab w:val="left" w:pos="5605"/>
          <w:tab w:val="left" w:pos="9152"/>
          <w:tab w:val="left" w:pos="9587"/>
          <w:tab w:val="left" w:pos="11160"/>
          <w:tab w:val="left" w:pos="12554"/>
          <w:tab w:val="left" w:pos="13948"/>
        </w:tabs>
        <w:jc w:val="both"/>
        <w:rPr>
          <w:rFonts w:ascii="Times New Roman" w:hAnsi="Times New Roman" w:eastAsia="黑体" w:cs="Times New Roman"/>
          <w:color w:val="000000"/>
          <w:kern w:val="0"/>
          <w:sz w:val="36"/>
          <w:szCs w:val="36"/>
          <w:lang w:bidi="ar"/>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Cs w:val="21"/>
          <w:lang w:eastAsia="zh-CN"/>
        </w:rPr>
        <w:t>湖南省农情分析研究中心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1"/>
        <w:tblW w:w="14220" w:type="dxa"/>
        <w:jc w:val="center"/>
        <w:tblLayout w:type="fixed"/>
        <w:tblCellMar>
          <w:top w:w="0" w:type="dxa"/>
          <w:left w:w="108" w:type="dxa"/>
          <w:bottom w:w="0" w:type="dxa"/>
          <w:right w:w="108" w:type="dxa"/>
        </w:tblCellMar>
      </w:tblPr>
      <w:tblGrid>
        <w:gridCol w:w="3516"/>
        <w:gridCol w:w="616"/>
        <w:gridCol w:w="1172"/>
        <w:gridCol w:w="3165"/>
        <w:gridCol w:w="616"/>
        <w:gridCol w:w="1214"/>
        <w:gridCol w:w="1245"/>
        <w:gridCol w:w="1290"/>
        <w:gridCol w:w="1386"/>
      </w:tblGrid>
      <w:tr>
        <w:tblPrEx>
          <w:tblCellMar>
            <w:top w:w="0" w:type="dxa"/>
            <w:left w:w="108" w:type="dxa"/>
            <w:bottom w:w="0" w:type="dxa"/>
            <w:right w:w="108" w:type="dxa"/>
          </w:tblCellMar>
        </w:tblPrEx>
        <w:trPr>
          <w:trHeight w:val="402" w:hRule="atLeast"/>
          <w:jc w:val="center"/>
        </w:trPr>
        <w:tc>
          <w:tcPr>
            <w:tcW w:w="530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收入</w:t>
            </w:r>
          </w:p>
        </w:tc>
        <w:tc>
          <w:tcPr>
            <w:tcW w:w="8916" w:type="dxa"/>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支出</w:t>
            </w:r>
          </w:p>
        </w:tc>
      </w:tr>
      <w:tr>
        <w:tblPrEx>
          <w:tblCellMar>
            <w:top w:w="0" w:type="dxa"/>
            <w:left w:w="108" w:type="dxa"/>
            <w:bottom w:w="0" w:type="dxa"/>
            <w:right w:w="108" w:type="dxa"/>
          </w:tblCellMar>
        </w:tblPrEx>
        <w:trPr>
          <w:trHeight w:val="630"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117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316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项    目</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0"/>
                <w:szCs w:val="20"/>
              </w:rPr>
            </w:pPr>
            <w:r>
              <w:rPr>
                <w:rFonts w:ascii="Times New Roman" w:hAnsi="Times New Roman" w:eastAsia="仿宋_GB2312" w:cs="Times New Roman"/>
                <w:kern w:val="0"/>
                <w:sz w:val="20"/>
                <w:szCs w:val="20"/>
              </w:rPr>
              <w:t>行次</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24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一般公共预算财政拨款</w:t>
            </w:r>
          </w:p>
        </w:tc>
        <w:tc>
          <w:tcPr>
            <w:tcW w:w="12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政府性基金预算财政拨款</w:t>
            </w:r>
          </w:p>
        </w:tc>
        <w:tc>
          <w:tcPr>
            <w:tcW w:w="138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国有资本经营预算财政拨款</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172"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16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    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38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一、一般公共预算财政拨款</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387.17</w:t>
            </w: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一、一般公共服务支出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33</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二、政府性基金预算财政拨款</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二、外交支出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34</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三、国有资本经营预算财政拨款</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三、国防支出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35</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四、公共安全支出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36</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5</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五、教育支出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37</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6</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六、科学技术支出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38</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7</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七、文化旅游体育与传媒支出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39</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8</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八、社会保障和就业支出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40</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33.38</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33.38</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9</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九、卫生健康支出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41</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10</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十、节能环保支出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42</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11</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十一、城乡社区支出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43</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12</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十二、农林水支出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44</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319.33</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319.33</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13</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十三、交通运输支出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45</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14</w:t>
            </w:r>
          </w:p>
        </w:tc>
        <w:tc>
          <w:tcPr>
            <w:tcW w:w="11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十四、资源勘探工业信息等支出</w:t>
            </w: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46</w:t>
            </w:r>
          </w:p>
        </w:tc>
        <w:tc>
          <w:tcPr>
            <w:tcW w:w="12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15</w:t>
            </w:r>
          </w:p>
        </w:tc>
        <w:tc>
          <w:tcPr>
            <w:tcW w:w="11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十五、商业服务业等支出</w:t>
            </w: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47</w:t>
            </w:r>
          </w:p>
        </w:tc>
        <w:tc>
          <w:tcPr>
            <w:tcW w:w="12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16</w:t>
            </w:r>
          </w:p>
        </w:tc>
        <w:tc>
          <w:tcPr>
            <w:tcW w:w="11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十六、金融支出</w:t>
            </w: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48</w:t>
            </w:r>
          </w:p>
        </w:tc>
        <w:tc>
          <w:tcPr>
            <w:tcW w:w="12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17</w:t>
            </w:r>
          </w:p>
        </w:tc>
        <w:tc>
          <w:tcPr>
            <w:tcW w:w="1172"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十七、援助其他地区支出</w:t>
            </w:r>
          </w:p>
        </w:tc>
        <w:tc>
          <w:tcPr>
            <w:tcW w:w="6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49</w:t>
            </w:r>
          </w:p>
        </w:tc>
        <w:tc>
          <w:tcPr>
            <w:tcW w:w="121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18</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十八、自然资源海洋气象等支出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50</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19</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十九、住房保障支出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51</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26.49</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26.49</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20</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二十、粮油物资储备支出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52</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21</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二十一、国有资本经营预算支出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53</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22</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二十二、灾害防治及应急管理支出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54</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23</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二十三、其他支出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55</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24</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二十四、债务还本支出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56</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25</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二十五、债务付息支出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57</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26</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二十六、抗疫特别国债安排的支出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58</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p>
        </w:tc>
        <w:tc>
          <w:tcPr>
            <w:tcW w:w="13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本年收入合计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27</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387.17</w:t>
            </w: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本年支出合计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59</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379.2</w:t>
            </w: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379.2</w:t>
            </w: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年初财政拨款结转和结余</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28</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6</w:t>
            </w: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年末财政拨款结转和结余</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60</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13.97</w:t>
            </w: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13.97</w:t>
            </w: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一般公共预算财政拨款</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29</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6</w:t>
            </w: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61</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政府性基金预算财政拨款</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30</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62</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xml:space="preserve">      国有资本经营预算财政拨款</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31</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63</w:t>
            </w:r>
          </w:p>
        </w:tc>
        <w:tc>
          <w:tcPr>
            <w:tcW w:w="1214"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kern w:val="0"/>
                <w:sz w:val="22"/>
              </w:rPr>
            </w:pPr>
            <w:r>
              <w:rPr>
                <w:rFonts w:ascii="Times New Roman" w:hAnsi="Times New Roman" w:eastAsia="仿宋_GB2312" w:cs="Times New Roman"/>
                <w:kern w:val="0"/>
                <w:sz w:val="22"/>
              </w:rPr>
              <w:t>　</w:t>
            </w:r>
          </w:p>
        </w:tc>
      </w:tr>
      <w:tr>
        <w:tblPrEx>
          <w:tblCellMar>
            <w:top w:w="0" w:type="dxa"/>
            <w:left w:w="108" w:type="dxa"/>
            <w:bottom w:w="0" w:type="dxa"/>
            <w:right w:w="108" w:type="dxa"/>
          </w:tblCellMar>
        </w:tblPrEx>
        <w:trPr>
          <w:trHeight w:val="402" w:hRule="atLeast"/>
          <w:jc w:val="center"/>
        </w:trPr>
        <w:tc>
          <w:tcPr>
            <w:tcW w:w="351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61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32</w:t>
            </w:r>
          </w:p>
        </w:tc>
        <w:tc>
          <w:tcPr>
            <w:tcW w:w="1172"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393.17</w:t>
            </w:r>
            <w:r>
              <w:rPr>
                <w:rFonts w:ascii="Times New Roman" w:hAnsi="Times New Roman" w:eastAsia="仿宋_GB2312" w:cs="Times New Roman"/>
                <w:kern w:val="0"/>
                <w:sz w:val="22"/>
              </w:rPr>
              <w:t>　</w:t>
            </w:r>
          </w:p>
        </w:tc>
        <w:tc>
          <w:tcPr>
            <w:tcW w:w="316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总计</w:t>
            </w:r>
          </w:p>
        </w:tc>
        <w:tc>
          <w:tcPr>
            <w:tcW w:w="61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Times New Roman" w:hAnsi="Times New Roman" w:eastAsia="仿宋_GB2312" w:cs="Times New Roman"/>
                <w:kern w:val="0"/>
                <w:sz w:val="22"/>
                <w:lang w:val="en-US" w:eastAsia="zh-CN"/>
              </w:rPr>
            </w:pPr>
            <w:r>
              <w:rPr>
                <w:rFonts w:hint="eastAsia" w:ascii="Times New Roman" w:hAnsi="Times New Roman" w:eastAsia="仿宋_GB2312" w:cs="Times New Roman"/>
                <w:kern w:val="0"/>
                <w:sz w:val="22"/>
                <w:lang w:val="en-US" w:eastAsia="zh-CN"/>
              </w:rPr>
              <w:t>64</w:t>
            </w:r>
          </w:p>
        </w:tc>
        <w:tc>
          <w:tcPr>
            <w:tcW w:w="1214"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393.17</w:t>
            </w:r>
            <w:r>
              <w:rPr>
                <w:rFonts w:ascii="Times New Roman" w:hAnsi="Times New Roman" w:eastAsia="仿宋_GB2312" w:cs="Times New Roman"/>
                <w:kern w:val="0"/>
                <w:sz w:val="22"/>
              </w:rPr>
              <w:t>　</w:t>
            </w:r>
          </w:p>
        </w:tc>
        <w:tc>
          <w:tcPr>
            <w:tcW w:w="1245" w:type="dxa"/>
            <w:tcBorders>
              <w:top w:val="nil"/>
              <w:left w:val="nil"/>
              <w:bottom w:val="single" w:color="auto" w:sz="4" w:space="0"/>
              <w:right w:val="single" w:color="auto" w:sz="4" w:space="0"/>
            </w:tcBorders>
            <w:shd w:val="clear" w:color="000000" w:fill="FFFFFF"/>
            <w:noWrap/>
            <w:vAlign w:val="center"/>
          </w:tcPr>
          <w:p>
            <w:pPr>
              <w:widowControl/>
              <w:jc w:val="center"/>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393.17</w:t>
            </w:r>
            <w:r>
              <w:rPr>
                <w:rFonts w:ascii="Times New Roman" w:hAnsi="Times New Roman" w:eastAsia="仿宋_GB2312" w:cs="Times New Roman"/>
                <w:kern w:val="0"/>
                <w:sz w:val="22"/>
              </w:rPr>
              <w:t>　</w:t>
            </w:r>
          </w:p>
        </w:tc>
        <w:tc>
          <w:tcPr>
            <w:tcW w:w="129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c>
          <w:tcPr>
            <w:tcW w:w="138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　</w:t>
            </w: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pStyle w:val="2"/>
        <w:ind w:left="0" w:leftChars="0" w:firstLine="0" w:firstLineChars="0"/>
        <w:rPr>
          <w:rFonts w:ascii="Times New Roman" w:hAnsi="Times New Roman" w:eastAsia="方正小标宋_GBK" w:cs="Times New Roman"/>
          <w:kern w:val="0"/>
          <w:sz w:val="36"/>
          <w:szCs w:val="36"/>
        </w:rPr>
      </w:pPr>
    </w:p>
    <w:p>
      <w:pPr>
        <w:pStyle w:val="2"/>
        <w:ind w:left="0" w:leftChars="0" w:firstLine="0" w:firstLineChars="0"/>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ind w:left="11760" w:hanging="11760" w:hangingChars="56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lang w:eastAsia="zh-CN"/>
        </w:rPr>
        <w:t>湖南省农情分析研究中心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4219" w:type="dxa"/>
        <w:jc w:val="center"/>
        <w:tblLayout w:type="fixed"/>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54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312"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379.20</w:t>
            </w: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374.78</w:t>
            </w: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4.43</w:t>
            </w: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208</w:t>
            </w: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eastAsia="zh-CN"/>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33.38</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33.38</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2080502</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事业单位离退休</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6.63</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6.63</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2080505</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26.75</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26.75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213</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319.34</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314.91</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4.43</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21301</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农业农村</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317.58</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314.91</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2.67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2130104</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事业运行</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314.91</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314.91</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2130122</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农业生产发展</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2.67</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2.67</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2139999</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其他农林水支出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1.76</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1.76</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221</w:t>
            </w:r>
          </w:p>
        </w:tc>
        <w:tc>
          <w:tcPr>
            <w:tcW w:w="3527" w:type="dxa"/>
            <w:tcBorders>
              <w:top w:val="nil"/>
              <w:left w:val="nil"/>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住房保障支出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26.49</w:t>
            </w:r>
          </w:p>
        </w:tc>
        <w:tc>
          <w:tcPr>
            <w:tcW w:w="3492" w:type="dxa"/>
            <w:tcBorders>
              <w:top w:val="nil"/>
              <w:left w:val="nil"/>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26.49</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22102</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住房改革支出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26.49</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26.49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2210201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住房公积金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26.49</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26.49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w:t>
            </w: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p>
    <w:p>
      <w:pPr>
        <w:widowControl/>
        <w:spacing w:after="120"/>
        <w:jc w:val="center"/>
        <w:textAlignment w:val="center"/>
      </w:pPr>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楷体_GB2312" w:cs="Times New Roman"/>
          <w:color w:val="000000"/>
          <w:kern w:val="0"/>
          <w:sz w:val="20"/>
          <w:szCs w:val="20"/>
          <w:lang w:eastAsia="zh-CN" w:bidi="ar"/>
        </w:rPr>
        <w:t>湖南省农情分析研究中心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1"/>
        <w:tblW w:w="14740" w:type="dxa"/>
        <w:jc w:val="center"/>
        <w:tblLayout w:type="fixed"/>
        <w:tblCellMar>
          <w:top w:w="0" w:type="dxa"/>
          <w:left w:w="108" w:type="dxa"/>
          <w:bottom w:w="0" w:type="dxa"/>
          <w:right w:w="108" w:type="dxa"/>
        </w:tblCellMar>
      </w:tblPr>
      <w:tblGrid>
        <w:gridCol w:w="1089"/>
        <w:gridCol w:w="2872"/>
        <w:gridCol w:w="1303"/>
        <w:gridCol w:w="795"/>
        <w:gridCol w:w="2034"/>
        <w:gridCol w:w="1086"/>
        <w:gridCol w:w="1080"/>
        <w:gridCol w:w="3544"/>
        <w:gridCol w:w="937"/>
      </w:tblGrid>
      <w:tr>
        <w:tblPrEx>
          <w:tblCellMar>
            <w:top w:w="0" w:type="dxa"/>
            <w:left w:w="108" w:type="dxa"/>
            <w:bottom w:w="0" w:type="dxa"/>
            <w:right w:w="108" w:type="dxa"/>
          </w:tblCellMar>
        </w:tblPrEx>
        <w:trPr>
          <w:trHeight w:val="530" w:hRule="atLeast"/>
          <w:jc w:val="center"/>
        </w:trPr>
        <w:tc>
          <w:tcPr>
            <w:tcW w:w="10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72"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30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79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34"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108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44"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34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286.27</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26.62</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64.42</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0.5</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15.77</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0.2</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8.2</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119.6</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28.18</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18.12</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5.48</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ascii="Times New Roman" w:hAnsi="Times New Roman" w:eastAsia="仿宋_GB2312" w:cs="Times New Roman"/>
                <w:color w:val="000000"/>
                <w:kern w:val="0"/>
                <w:szCs w:val="20"/>
              </w:rPr>
            </w:pPr>
            <w:r>
              <w:rPr>
                <w:rFonts w:hint="eastAsia" w:ascii="Times New Roman" w:hAnsi="Times New Roman" w:eastAsia="仿宋_GB2312" w:cs="Times New Roman"/>
                <w:color w:val="000000"/>
                <w:kern w:val="0"/>
                <w:szCs w:val="20"/>
                <w:lang w:val="en-US" w:eastAsia="zh-CN"/>
              </w:rPr>
              <w:t>0.5</w:t>
            </w:r>
            <w:r>
              <w:rPr>
                <w:rFonts w:ascii="Times New Roman" w:hAnsi="Times New Roman" w:eastAsia="仿宋_GB2312" w:cs="Times New Roman"/>
                <w:color w:val="000000"/>
                <w:kern w:val="0"/>
                <w:szCs w:val="20"/>
              </w:rPr>
              <w:t>　</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26.49</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30"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61.89</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6.63</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0.2</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72"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1303"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3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10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4.41</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44"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3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13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44.21</w:t>
            </w:r>
          </w:p>
        </w:tc>
        <w:tc>
          <w:tcPr>
            <w:tcW w:w="7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8.04</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13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13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7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10.47</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r>
      <w:tr>
        <w:tblPrEx>
          <w:tblCellMar>
            <w:top w:w="0" w:type="dxa"/>
            <w:left w:w="108" w:type="dxa"/>
            <w:bottom w:w="0" w:type="dxa"/>
            <w:right w:w="108" w:type="dxa"/>
          </w:tblCellMar>
        </w:tblPrEx>
        <w:trPr>
          <w:trHeight w:val="255" w:hRule="exact"/>
          <w:jc w:val="center"/>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13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11.05</w:t>
            </w:r>
          </w:p>
        </w:tc>
        <w:tc>
          <w:tcPr>
            <w:tcW w:w="7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0</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7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13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79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10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2.3</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4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r>
      <w:tr>
        <w:tblPrEx>
          <w:tblCellMar>
            <w:top w:w="0" w:type="dxa"/>
            <w:left w:w="108" w:type="dxa"/>
            <w:bottom w:w="0" w:type="dxa"/>
            <w:right w:w="108" w:type="dxa"/>
          </w:tblCellMar>
        </w:tblPrEx>
        <w:trPr>
          <w:trHeight w:val="255" w:hRule="exact"/>
          <w:jc w:val="center"/>
        </w:trPr>
        <w:tc>
          <w:tcPr>
            <w:tcW w:w="39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130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20"/>
                <w:lang w:val="en-US" w:eastAsia="zh-CN"/>
              </w:rPr>
            </w:pPr>
            <w:r>
              <w:rPr>
                <w:rFonts w:ascii="Times New Roman" w:hAnsi="Times New Roman" w:eastAsia="仿宋_GB2312" w:cs="Times New Roman"/>
                <w:color w:val="000000"/>
                <w:kern w:val="0"/>
                <w:szCs w:val="20"/>
              </w:rPr>
              <w:t>　</w:t>
            </w:r>
            <w:r>
              <w:rPr>
                <w:rFonts w:hint="eastAsia" w:ascii="Times New Roman" w:hAnsi="Times New Roman" w:eastAsia="仿宋_GB2312" w:cs="Times New Roman"/>
                <w:color w:val="000000"/>
                <w:kern w:val="0"/>
                <w:szCs w:val="20"/>
                <w:lang w:val="en-US" w:eastAsia="zh-CN"/>
              </w:rPr>
              <w:t>348.15</w:t>
            </w:r>
          </w:p>
        </w:tc>
        <w:tc>
          <w:tcPr>
            <w:tcW w:w="853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default" w:ascii="Times New Roman" w:hAnsi="Times New Roman" w:eastAsia="仿宋_GB2312" w:cs="Times New Roman"/>
                <w:color w:val="000000"/>
                <w:kern w:val="0"/>
                <w:szCs w:val="18"/>
                <w:lang w:val="en-US" w:eastAsia="zh-CN"/>
              </w:rPr>
            </w:pPr>
            <w:r>
              <w:rPr>
                <w:rFonts w:ascii="Times New Roman" w:hAnsi="Times New Roman" w:eastAsia="仿宋_GB2312" w:cs="Times New Roman"/>
                <w:color w:val="000000"/>
                <w:kern w:val="0"/>
                <w:szCs w:val="18"/>
              </w:rPr>
              <w:t>　</w:t>
            </w:r>
            <w:r>
              <w:rPr>
                <w:rFonts w:hint="eastAsia" w:ascii="Times New Roman" w:hAnsi="Times New Roman" w:eastAsia="仿宋_GB2312" w:cs="Times New Roman"/>
                <w:color w:val="000000"/>
                <w:kern w:val="0"/>
                <w:szCs w:val="18"/>
                <w:lang w:val="en-US" w:eastAsia="zh-CN"/>
              </w:rPr>
              <w:t>26.62</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both"/>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eastAsia="zh-CN" w:bidi="ar"/>
        </w:rPr>
        <w:t>湖南省农情分析研究中心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w:t>
      </w:r>
      <w:r>
        <w:rPr>
          <w:rFonts w:hint="eastAsia" w:ascii="Times New Roman" w:hAnsi="Times New Roman" w:eastAsia="仿宋_GB2312" w:cs="Times New Roman"/>
          <w:color w:val="000000"/>
          <w:kern w:val="0"/>
          <w:sz w:val="24"/>
          <w:szCs w:val="24"/>
          <w:lang w:val="en-US" w:eastAsia="zh-CN" w:bidi="ar"/>
        </w:rPr>
        <w:t>1</w:t>
      </w:r>
      <w:r>
        <w:rPr>
          <w:rFonts w:ascii="Times New Roman" w:hAnsi="Times New Roman" w:eastAsia="仿宋_GB2312" w:cs="Times New Roman"/>
          <w:color w:val="000000"/>
          <w:kern w:val="0"/>
          <w:sz w:val="24"/>
          <w:szCs w:val="24"/>
          <w:lang w:bidi="ar"/>
        </w:rPr>
        <w:t>：本表反映部门本年度政府性基金预算财政拨款收入、支出及结转和结余情况。</w:t>
      </w:r>
    </w:p>
    <w:p>
      <w:pPr>
        <w:widowControl/>
        <w:spacing w:before="120"/>
        <w:jc w:val="left"/>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eastAsia="zh-CN" w:bidi="ar"/>
        </w:rPr>
        <w:t>注</w:t>
      </w:r>
      <w:r>
        <w:rPr>
          <w:rFonts w:hint="eastAsia" w:ascii="Times New Roman" w:hAnsi="Times New Roman" w:eastAsia="仿宋_GB2312" w:cs="Times New Roman"/>
          <w:color w:val="000000"/>
          <w:kern w:val="0"/>
          <w:sz w:val="24"/>
          <w:szCs w:val="24"/>
          <w:lang w:val="en-US" w:eastAsia="zh-CN" w:bidi="ar"/>
        </w:rPr>
        <w:t>2</w:t>
      </w:r>
      <w:r>
        <w:rPr>
          <w:rFonts w:ascii="Times New Roman" w:hAnsi="Times New Roman" w:eastAsia="仿宋_GB2312" w:cs="Times New Roman"/>
          <w:color w:val="000000"/>
          <w:kern w:val="0"/>
          <w:sz w:val="24"/>
          <w:szCs w:val="24"/>
          <w:lang w:bidi="ar"/>
        </w:rPr>
        <w:t>：我单位没有政府性基金收入，也没有使用政府性基金安排的支出，故本表无数据。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eastAsia="zh-CN" w:bidi="ar"/>
        </w:rPr>
        <w:t>湖南省农情分析研究中心</w:t>
      </w:r>
      <w:r>
        <w:rPr>
          <w:rFonts w:ascii="Times New Roman" w:hAnsi="Times New Roman" w:eastAsia="楷体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宋体" w:cs="Times New Roman"/>
          <w:color w:val="000000"/>
          <w:kern w:val="0"/>
          <w:sz w:val="24"/>
          <w:szCs w:val="24"/>
          <w:lang w:bidi="ar"/>
        </w:rPr>
      </w:pPr>
      <w:r>
        <w:rPr>
          <w:rFonts w:ascii="Times New Roman" w:hAnsi="Times New Roman" w:eastAsia="仿宋_GB2312" w:cs="Times New Roman"/>
          <w:color w:val="000000"/>
          <w:kern w:val="0"/>
          <w:sz w:val="24"/>
          <w:szCs w:val="24"/>
          <w:lang w:bidi="ar"/>
        </w:rPr>
        <w:t>注</w:t>
      </w:r>
      <w:r>
        <w:rPr>
          <w:rFonts w:hint="eastAsia" w:ascii="Times New Roman" w:hAnsi="Times New Roman" w:eastAsia="仿宋_GB2312" w:cs="Times New Roman"/>
          <w:color w:val="000000"/>
          <w:kern w:val="0"/>
          <w:sz w:val="24"/>
          <w:szCs w:val="24"/>
          <w:lang w:val="en-US" w:eastAsia="zh-CN" w:bidi="ar"/>
        </w:rPr>
        <w:t>1</w:t>
      </w:r>
      <w:r>
        <w:rPr>
          <w:rFonts w:ascii="Times New Roman" w:hAnsi="Times New Roman" w:eastAsia="仿宋_GB2312" w:cs="Times New Roman"/>
          <w:color w:val="000000"/>
          <w:kern w:val="0"/>
          <w:sz w:val="24"/>
          <w:szCs w:val="24"/>
          <w:lang w:bidi="ar"/>
        </w:rPr>
        <w:t>：本表反映部门本年度国有资本经营预算财政拨款支出情况。</w:t>
      </w:r>
    </w:p>
    <w:p>
      <w:pPr>
        <w:widowControl/>
        <w:spacing w:before="120"/>
        <w:jc w:val="left"/>
        <w:textAlignment w:val="center"/>
        <w:rPr>
          <w:rFonts w:ascii="Times New Roman" w:hAnsi="Times New Roman" w:eastAsia="仿宋_GB2312" w:cs="Times New Roman"/>
          <w:color w:val="000000"/>
          <w:kern w:val="0"/>
          <w:sz w:val="24"/>
          <w:szCs w:val="24"/>
          <w:lang w:bidi="ar"/>
        </w:rPr>
      </w:pPr>
      <w:r>
        <w:rPr>
          <w:rFonts w:hint="eastAsia" w:ascii="Times New Roman" w:hAnsi="Times New Roman" w:eastAsia="仿宋_GB2312" w:cs="Times New Roman"/>
          <w:color w:val="000000"/>
          <w:kern w:val="0"/>
          <w:sz w:val="24"/>
          <w:szCs w:val="24"/>
          <w:lang w:eastAsia="zh-CN" w:bidi="ar"/>
        </w:rPr>
        <w:t>注</w:t>
      </w:r>
      <w:r>
        <w:rPr>
          <w:rFonts w:hint="eastAsia" w:ascii="Times New Roman" w:hAnsi="Times New Roman" w:eastAsia="仿宋_GB2312" w:cs="Times New Roman"/>
          <w:color w:val="000000"/>
          <w:kern w:val="0"/>
          <w:sz w:val="24"/>
          <w:szCs w:val="24"/>
          <w:lang w:val="en-US" w:eastAsia="zh-CN" w:bidi="ar"/>
        </w:rPr>
        <w:t>2</w:t>
      </w:r>
      <w:r>
        <w:rPr>
          <w:rFonts w:ascii="Times New Roman" w:hAnsi="Times New Roman" w:eastAsia="仿宋_GB2312" w:cs="Times New Roman"/>
          <w:color w:val="000000"/>
          <w:kern w:val="0"/>
          <w:sz w:val="24"/>
          <w:szCs w:val="24"/>
          <w:lang w:bidi="ar"/>
        </w:rPr>
        <w:t>：我单位没有使用国有资本经营预算安排的支出，故本表无数据。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9"/>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eastAsia="zh-CN" w:bidi="ar"/>
        </w:rPr>
        <w:t>湖南省农情分析研究中心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1"/>
        <w:tblW w:w="14544" w:type="dxa"/>
        <w:jc w:val="center"/>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0.6</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Times New Roman" w:hAnsi="Times New Roman" w:eastAsia="仿宋_GB2312" w:cs="Times New Roman"/>
                <w:color w:val="000000"/>
                <w:sz w:val="22"/>
                <w:lang w:val="en-US" w:eastAsia="zh-CN"/>
              </w:rPr>
            </w:pPr>
            <w:r>
              <w:rPr>
                <w:rFonts w:hint="eastAsia" w:ascii="Times New Roman" w:hAnsi="Times New Roman" w:eastAsia="仿宋_GB2312" w:cs="Times New Roman"/>
                <w:color w:val="000000"/>
                <w:sz w:val="22"/>
                <w:lang w:val="en-US" w:eastAsia="zh-CN"/>
              </w:rPr>
              <w:t>0</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415.11</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17.77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4.11</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年初结转结余资金减少。</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387.19</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387.17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99.99</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0.02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0.01</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401.14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374.80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93.43</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26.34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6.57</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393.17</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33.15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9.21</w:t>
      </w:r>
      <w:r>
        <w:rPr>
          <w:rFonts w:ascii="Times New Roman" w:hAnsi="Times New Roman" w:eastAsia="仿宋_GB2312" w:cs="Times New Roman"/>
          <w:sz w:val="32"/>
          <w:szCs w:val="32"/>
        </w:rPr>
        <w:t>%，主要是</w:t>
      </w:r>
      <w:r>
        <w:rPr>
          <w:rFonts w:ascii="Times New Roman" w:hAnsi="Times New Roman" w:eastAsia="仿宋_GB2312" w:cs="Times New Roman"/>
          <w:sz w:val="32"/>
          <w:szCs w:val="32"/>
          <w:highlight w:val="none"/>
        </w:rPr>
        <w:t>因为</w:t>
      </w:r>
      <w:r>
        <w:rPr>
          <w:rFonts w:hint="eastAsia" w:ascii="仿宋_GB2312" w:hAnsi="仿宋_GB2312" w:eastAsia="仿宋_GB2312" w:cs="仿宋_GB2312"/>
          <w:color w:val="auto"/>
          <w:sz w:val="32"/>
          <w:szCs w:val="32"/>
          <w:highlight w:val="none"/>
          <w:lang w:eastAsia="zh-CN"/>
        </w:rPr>
        <w:t>新增入编人员，人员经费增加</w:t>
      </w:r>
      <w:r>
        <w:rPr>
          <w:rFonts w:hint="eastAsia" w:ascii="Times New Roman" w:hAnsi="Times New Roman" w:eastAsia="仿宋_GB2312" w:cs="Times New Roman"/>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379.20</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94.53</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25.77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7.29</w:t>
      </w:r>
      <w:r>
        <w:rPr>
          <w:rFonts w:ascii="Times New Roman" w:hAnsi="Times New Roman" w:eastAsia="仿宋_GB2312" w:cs="Times New Roman"/>
          <w:sz w:val="32"/>
          <w:szCs w:val="32"/>
        </w:rPr>
        <w:t>%，主要是因为</w:t>
      </w:r>
      <w:r>
        <w:rPr>
          <w:rFonts w:hint="eastAsia" w:ascii="仿宋_GB2312" w:hAnsi="仿宋_GB2312" w:eastAsia="仿宋_GB2312" w:cs="仿宋_GB2312"/>
          <w:color w:val="auto"/>
          <w:sz w:val="32"/>
          <w:szCs w:val="32"/>
          <w:highlight w:val="none"/>
          <w:lang w:eastAsia="zh-CN"/>
        </w:rPr>
        <w:t>新增入编人员，人员经费支出增加。</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379.20</w:t>
      </w:r>
      <w:r>
        <w:rPr>
          <w:rFonts w:ascii="Times New Roman" w:hAnsi="Times New Roman" w:eastAsia="仿宋_GB2312" w:cs="Times New Roman"/>
          <w:sz w:val="32"/>
          <w:szCs w:val="32"/>
        </w:rPr>
        <w:t>万元，主要用于以下方面：</w:t>
      </w:r>
      <w:r>
        <w:rPr>
          <w:rFonts w:hint="eastAsia" w:ascii="仿宋_GB2312" w:hAnsi="仿宋_GB2312" w:eastAsia="仿宋_GB2312" w:cs="仿宋_GB2312"/>
          <w:color w:val="auto"/>
          <w:sz w:val="32"/>
          <w:szCs w:val="32"/>
          <w:highlight w:val="none"/>
        </w:rPr>
        <w:t>社会保障和就业(类)支出</w:t>
      </w:r>
      <w:r>
        <w:rPr>
          <w:rFonts w:hint="eastAsia" w:ascii="仿宋_GB2312" w:hAnsi="仿宋_GB2312" w:eastAsia="仿宋_GB2312" w:cs="仿宋_GB2312"/>
          <w:color w:val="auto"/>
          <w:sz w:val="32"/>
          <w:szCs w:val="32"/>
          <w:highlight w:val="none"/>
          <w:lang w:val="en-US" w:eastAsia="zh-CN"/>
        </w:rPr>
        <w:t>33.38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8.80</w:t>
      </w:r>
      <w:r>
        <w:rPr>
          <w:rFonts w:hint="eastAsia" w:ascii="仿宋_GB2312" w:hAnsi="仿宋_GB2312" w:eastAsia="仿宋_GB2312" w:cs="仿宋_GB2312"/>
          <w:color w:val="auto"/>
          <w:sz w:val="32"/>
          <w:szCs w:val="32"/>
          <w:highlight w:val="none"/>
        </w:rPr>
        <w:t>%；农林水（类）支出</w:t>
      </w:r>
      <w:r>
        <w:rPr>
          <w:rFonts w:hint="eastAsia" w:ascii="仿宋_GB2312" w:hAnsi="仿宋_GB2312" w:eastAsia="仿宋_GB2312" w:cs="仿宋_GB2312"/>
          <w:color w:val="auto"/>
          <w:sz w:val="32"/>
          <w:szCs w:val="32"/>
          <w:highlight w:val="none"/>
          <w:lang w:val="en-US" w:eastAsia="zh-CN"/>
        </w:rPr>
        <w:t>319.33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84.21</w:t>
      </w:r>
      <w:r>
        <w:rPr>
          <w:rFonts w:hint="eastAsia" w:ascii="仿宋_GB2312" w:hAnsi="仿宋_GB2312" w:eastAsia="仿宋_GB2312" w:cs="仿宋_GB2312"/>
          <w:color w:val="auto"/>
          <w:sz w:val="32"/>
          <w:szCs w:val="32"/>
          <w:highlight w:val="none"/>
        </w:rPr>
        <w:t>%；住房保障（类）支出</w:t>
      </w:r>
      <w:r>
        <w:rPr>
          <w:rFonts w:hint="eastAsia" w:ascii="仿宋_GB2312" w:hAnsi="仿宋_GB2312" w:eastAsia="仿宋_GB2312" w:cs="仿宋_GB2312"/>
          <w:color w:val="auto"/>
          <w:sz w:val="32"/>
          <w:szCs w:val="32"/>
          <w:highlight w:val="none"/>
          <w:lang w:val="en-US" w:eastAsia="zh-CN"/>
        </w:rPr>
        <w:t>26.49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6.99</w:t>
      </w:r>
      <w:r>
        <w:rPr>
          <w:rFonts w:hint="eastAsia" w:ascii="仿宋_GB2312" w:hAnsi="仿宋_GB2312" w:eastAsia="仿宋_GB2312" w:cs="仿宋_GB2312"/>
          <w:color w:val="auto"/>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w:t>
      </w:r>
      <w:r>
        <w:rPr>
          <w:rFonts w:hint="eastAsia" w:ascii="Times New Roman" w:hAnsi="Times New Roman" w:eastAsia="仿宋_GB2312" w:cs="Times New Roman"/>
          <w:sz w:val="32"/>
          <w:szCs w:val="32"/>
          <w:lang w:val="en-US" w:eastAsia="zh-CN"/>
        </w:rPr>
        <w:t>383.17</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379.20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98.96</w:t>
      </w:r>
      <w:r>
        <w:rPr>
          <w:rFonts w:ascii="Times New Roman" w:hAnsi="Times New Roman" w:eastAsia="仿宋_GB2312" w:cs="Times New Roman"/>
          <w:sz w:val="32"/>
          <w:szCs w:val="32"/>
        </w:rPr>
        <w:t>%，其中：</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、社会保障和就业支出（类）行政事业单位养老支出（款）事业单位离退休（项）</w:t>
      </w:r>
    </w:p>
    <w:p>
      <w:pPr>
        <w:pStyle w:val="15"/>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6.63</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6.63</w:t>
      </w:r>
      <w:r>
        <w:rPr>
          <w:rFonts w:hint="eastAsia" w:ascii="仿宋_GB2312" w:hAnsi="仿宋_GB2312" w:eastAsia="仿宋_GB2312" w:cs="仿宋_GB2312"/>
          <w:color w:val="auto"/>
          <w:sz w:val="32"/>
          <w:szCs w:val="32"/>
          <w:highlight w:val="none"/>
        </w:rPr>
        <w:t>万元，完成年初预算的100%</w:t>
      </w:r>
      <w:r>
        <w:rPr>
          <w:rFonts w:hint="eastAsia" w:ascii="仿宋_GB2312" w:hAnsi="仿宋_GB2312" w:eastAsia="仿宋_GB2312" w:cs="仿宋_GB2312"/>
          <w:color w:val="auto"/>
          <w:sz w:val="32"/>
          <w:szCs w:val="32"/>
          <w:highlight w:val="none"/>
          <w:lang w:val="en-US" w:eastAsia="zh-CN"/>
        </w:rPr>
        <w:t>。</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、社会保障和就业支出（类）行政事业单位养老支出（款）机关事业单位基本养老保险缴费支出（项）</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26.75</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26.75</w:t>
      </w:r>
      <w:r>
        <w:rPr>
          <w:rFonts w:hint="eastAsia" w:ascii="仿宋_GB2312" w:hAnsi="仿宋_GB2312" w:eastAsia="仿宋_GB2312" w:cs="仿宋_GB2312"/>
          <w:color w:val="auto"/>
          <w:sz w:val="32"/>
          <w:szCs w:val="32"/>
          <w:highlight w:val="none"/>
        </w:rPr>
        <w:t>万元，完成年初预算的100%</w:t>
      </w:r>
      <w:r>
        <w:rPr>
          <w:rFonts w:hint="eastAsia" w:ascii="仿宋_GB2312" w:hAnsi="仿宋_GB2312" w:eastAsia="仿宋_GB2312" w:cs="仿宋_GB2312"/>
          <w:color w:val="auto"/>
          <w:sz w:val="32"/>
          <w:szCs w:val="32"/>
          <w:highlight w:val="none"/>
          <w:lang w:val="en-US" w:eastAsia="zh-CN"/>
        </w:rPr>
        <w:t>。</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、农林水支出（类）农业农村（款）事业运行（项）。</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315.54</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314.91</w:t>
      </w:r>
      <w:r>
        <w:rPr>
          <w:rFonts w:hint="eastAsia" w:ascii="仿宋_GB2312" w:hAnsi="仿宋_GB2312" w:eastAsia="仿宋_GB2312" w:cs="仿宋_GB2312"/>
          <w:color w:val="auto"/>
          <w:sz w:val="32"/>
          <w:szCs w:val="32"/>
          <w:highlight w:val="none"/>
        </w:rPr>
        <w:t>万元，完成年初预算的</w:t>
      </w:r>
      <w:r>
        <w:rPr>
          <w:rFonts w:hint="eastAsia" w:ascii="仿宋_GB2312" w:hAnsi="仿宋_GB2312" w:eastAsia="仿宋_GB2312" w:cs="仿宋_GB2312"/>
          <w:color w:val="auto"/>
          <w:sz w:val="32"/>
          <w:szCs w:val="32"/>
          <w:highlight w:val="none"/>
          <w:lang w:val="en-US" w:eastAsia="zh-CN"/>
        </w:rPr>
        <w:t>99.8</w:t>
      </w:r>
      <w:r>
        <w:rPr>
          <w:rFonts w:hint="eastAsia" w:ascii="仿宋_GB2312" w:hAnsi="仿宋_GB2312" w:eastAsia="仿宋_GB2312" w:cs="仿宋_GB2312"/>
          <w:color w:val="auto"/>
          <w:sz w:val="32"/>
          <w:szCs w:val="32"/>
          <w:highlight w:val="none"/>
        </w:rPr>
        <w:t>%，决算数小于年初预算数主要</w:t>
      </w:r>
      <w:r>
        <w:rPr>
          <w:rFonts w:hint="eastAsia" w:ascii="仿宋_GB2312" w:hAnsi="仿宋_GB2312" w:eastAsia="仿宋_GB2312" w:cs="仿宋_GB2312"/>
          <w:color w:val="auto"/>
          <w:sz w:val="32"/>
          <w:szCs w:val="32"/>
          <w:highlight w:val="none"/>
          <w:lang w:eastAsia="zh-CN"/>
        </w:rPr>
        <w:t>原因</w:t>
      </w:r>
      <w:r>
        <w:rPr>
          <w:rFonts w:hint="eastAsia" w:ascii="仿宋_GB2312" w:hAnsi="仿宋_GB2312" w:eastAsia="仿宋_GB2312" w:cs="仿宋_GB2312"/>
          <w:color w:val="auto"/>
          <w:sz w:val="32"/>
          <w:szCs w:val="32"/>
          <w:highlight w:val="none"/>
        </w:rPr>
        <w:t>是</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厉行节约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“三公”经费</w:t>
      </w:r>
      <w:r>
        <w:rPr>
          <w:rFonts w:hint="eastAsia" w:ascii="仿宋_GB2312" w:hAnsi="仿宋_GB2312" w:eastAsia="仿宋_GB2312" w:cs="仿宋_GB2312"/>
          <w:color w:val="auto"/>
          <w:sz w:val="32"/>
          <w:szCs w:val="32"/>
          <w:highlight w:val="none"/>
          <w:lang w:val="en-US" w:eastAsia="zh-CN"/>
        </w:rPr>
        <w:t>有结余</w:t>
      </w:r>
      <w:r>
        <w:rPr>
          <w:rFonts w:hint="eastAsia" w:ascii="仿宋_GB2312" w:hAnsi="仿宋_GB2312" w:eastAsia="仿宋_GB2312" w:cs="仿宋_GB2312"/>
          <w:color w:val="auto"/>
          <w:sz w:val="32"/>
          <w:szCs w:val="32"/>
          <w:highlight w:val="none"/>
        </w:rPr>
        <w:t>。</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、农林水支出（类）农业农村（款）农业生产发展（项）。</w:t>
      </w:r>
    </w:p>
    <w:p>
      <w:pPr>
        <w:pStyle w:val="15"/>
        <w:ind w:firstLine="640" w:firstLineChars="200"/>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2.67</w:t>
      </w:r>
      <w:r>
        <w:rPr>
          <w:rFonts w:hint="eastAsia" w:ascii="仿宋_GB2312" w:hAnsi="仿宋_GB2312" w:eastAsia="仿宋_GB2312" w:cs="仿宋_GB2312"/>
          <w:color w:val="auto"/>
          <w:sz w:val="32"/>
          <w:szCs w:val="32"/>
          <w:highlight w:val="none"/>
        </w:rPr>
        <w:t>万元，完成年初预算的</w:t>
      </w:r>
      <w:r>
        <w:rPr>
          <w:rFonts w:hint="eastAsia" w:ascii="仿宋_GB2312" w:hAnsi="仿宋_GB2312" w:eastAsia="仿宋_GB2312" w:cs="仿宋_GB2312"/>
          <w:color w:val="auto"/>
          <w:sz w:val="32"/>
          <w:szCs w:val="32"/>
          <w:highlight w:val="none"/>
          <w:lang w:val="en-US" w:eastAsia="zh-CN"/>
        </w:rPr>
        <w:t>44.5</w:t>
      </w:r>
      <w:r>
        <w:rPr>
          <w:rFonts w:hint="eastAsia" w:ascii="仿宋_GB2312" w:hAnsi="仿宋_GB2312" w:eastAsia="仿宋_GB2312" w:cs="仿宋_GB2312"/>
          <w:color w:val="auto"/>
          <w:sz w:val="32"/>
          <w:szCs w:val="32"/>
          <w:highlight w:val="none"/>
        </w:rPr>
        <w:t>%，决算数小于年初预算数的主要原因是</w:t>
      </w:r>
      <w:r>
        <w:rPr>
          <w:rFonts w:hint="eastAsia" w:ascii="仿宋_GB2312" w:hAnsi="仿宋_GB2312" w:eastAsia="仿宋_GB2312" w:cs="仿宋_GB2312"/>
          <w:color w:val="auto"/>
          <w:sz w:val="32"/>
          <w:szCs w:val="32"/>
          <w:highlight w:val="none"/>
          <w:lang w:val="en-US" w:eastAsia="zh-CN"/>
        </w:rPr>
        <w:t>:安排部署早稻集中育秧工作任务减少，且坚持专款专用，导致集中早稻育秧专项资金有结余。</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、农林水支出（类）其他农林水支出（款）其他农林水支出（项）。</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1.76</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1.76</w:t>
      </w:r>
      <w:r>
        <w:rPr>
          <w:rFonts w:hint="eastAsia" w:ascii="仿宋_GB2312" w:hAnsi="仿宋_GB2312" w:eastAsia="仿宋_GB2312" w:cs="仿宋_GB2312"/>
          <w:color w:val="auto"/>
          <w:sz w:val="32"/>
          <w:szCs w:val="32"/>
          <w:highlight w:val="none"/>
        </w:rPr>
        <w:t>万元，完成年初预算的100%。</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、住房保障支出（类）住房改革支出（款）住房公积金（项）。</w:t>
      </w:r>
    </w:p>
    <w:p>
      <w:pPr>
        <w:pStyle w:val="15"/>
        <w:ind w:firstLine="640" w:firstLineChars="200"/>
        <w:rPr>
          <w:rFonts w:ascii="Times New Roman" w:hAnsi="Times New Roman" w:eastAsia="楷体_GB2312" w:cs="Times New Roman"/>
          <w:b/>
          <w:bCs/>
          <w:i/>
          <w:color w:val="auto"/>
          <w:sz w:val="32"/>
          <w:szCs w:val="32"/>
        </w:rPr>
      </w:pPr>
      <w:r>
        <w:rPr>
          <w:rFonts w:hint="eastAsia" w:ascii="仿宋_GB2312" w:hAnsi="仿宋_GB2312" w:eastAsia="仿宋_GB2312" w:cs="仿宋_GB2312"/>
          <w:color w:val="auto"/>
          <w:sz w:val="32"/>
          <w:szCs w:val="32"/>
          <w:highlight w:val="none"/>
        </w:rPr>
        <w:t>年初预算为</w:t>
      </w:r>
      <w:r>
        <w:rPr>
          <w:rFonts w:hint="eastAsia" w:ascii="仿宋_GB2312" w:hAnsi="仿宋_GB2312" w:eastAsia="仿宋_GB2312" w:cs="仿宋_GB2312"/>
          <w:color w:val="auto"/>
          <w:sz w:val="32"/>
          <w:szCs w:val="32"/>
          <w:highlight w:val="none"/>
          <w:lang w:val="en-US" w:eastAsia="zh-CN"/>
        </w:rPr>
        <w:t>26.49</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26.49</w:t>
      </w:r>
      <w:r>
        <w:rPr>
          <w:rFonts w:hint="eastAsia" w:ascii="仿宋_GB2312" w:hAnsi="仿宋_GB2312" w:eastAsia="仿宋_GB2312" w:cs="仿宋_GB2312"/>
          <w:color w:val="auto"/>
          <w:sz w:val="32"/>
          <w:szCs w:val="32"/>
          <w:highlight w:val="none"/>
        </w:rPr>
        <w:t>万元，完成年初预算的100%</w:t>
      </w:r>
      <w:r>
        <w:rPr>
          <w:rFonts w:hint="eastAsia" w:ascii="仿宋_GB2312" w:hAnsi="仿宋_GB2312" w:eastAsia="仿宋_GB2312" w:cs="仿宋_GB2312"/>
          <w:color w:val="auto"/>
          <w:sz w:val="32"/>
          <w:szCs w:val="32"/>
          <w:highlight w:val="none"/>
          <w:lang w:val="en-US"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374.78</w:t>
      </w:r>
      <w:r>
        <w:rPr>
          <w:rFonts w:ascii="Times New Roman" w:hAnsi="Times New Roman" w:eastAsia="仿宋_GB2312" w:cs="Times New Roman"/>
          <w:sz w:val="32"/>
          <w:szCs w:val="32"/>
        </w:rPr>
        <w:t>万元，其中：</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348.15</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92.90</w:t>
      </w:r>
      <w:r>
        <w:rPr>
          <w:rFonts w:ascii="Times New Roman" w:hAnsi="Times New Roman" w:eastAsia="仿宋_GB2312" w:cs="Times New Roman"/>
          <w:sz w:val="32"/>
          <w:szCs w:val="32"/>
        </w:rPr>
        <w:t>%,主要包括</w:t>
      </w:r>
      <w:r>
        <w:rPr>
          <w:rFonts w:hint="eastAsia" w:ascii="仿宋_GB2312" w:hAnsi="仿宋_GB2312" w:eastAsia="仿宋_GB2312" w:cs="仿宋_GB2312"/>
          <w:color w:val="auto"/>
          <w:sz w:val="32"/>
          <w:szCs w:val="32"/>
          <w:highlight w:val="none"/>
        </w:rPr>
        <w:t>基本工资、绩效工资、津贴补贴、机关事业单位基本养老保险缴费、职工基本医疗保险缴费、住房公积金、</w:t>
      </w:r>
      <w:r>
        <w:rPr>
          <w:rFonts w:hint="eastAsia" w:ascii="仿宋_GB2312" w:hAnsi="仿宋_GB2312" w:eastAsia="仿宋_GB2312" w:cs="仿宋_GB2312"/>
          <w:color w:val="auto"/>
          <w:sz w:val="32"/>
          <w:szCs w:val="32"/>
          <w:highlight w:val="none"/>
          <w:lang w:eastAsia="zh-CN"/>
        </w:rPr>
        <w:t>退休费、</w:t>
      </w:r>
      <w:r>
        <w:rPr>
          <w:rFonts w:hint="eastAsia" w:ascii="仿宋_GB2312" w:hAnsi="仿宋_GB2312" w:eastAsia="仿宋_GB2312" w:cs="仿宋_GB2312"/>
          <w:color w:val="auto"/>
          <w:sz w:val="32"/>
          <w:szCs w:val="32"/>
          <w:highlight w:val="none"/>
        </w:rPr>
        <w:t>奖励金等</w:t>
      </w:r>
      <w:r>
        <w:rPr>
          <w:rFonts w:hint="eastAsia" w:ascii="仿宋_GB2312" w:hAnsi="仿宋_GB2312" w:eastAsia="仿宋_GB2312" w:cs="仿宋_GB2312"/>
          <w:color w:val="auto"/>
          <w:sz w:val="32"/>
          <w:szCs w:val="32"/>
          <w:highlight w:val="none"/>
          <w:lang w:eastAsia="zh-CN"/>
        </w:rPr>
        <w:t>；</w:t>
      </w:r>
    </w:p>
    <w:p>
      <w:pPr>
        <w:pStyle w:val="15"/>
        <w:ind w:firstLine="640" w:firstLineChars="200"/>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26.62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7.10</w:t>
      </w:r>
      <w:r>
        <w:rPr>
          <w:rFonts w:ascii="Times New Roman" w:hAnsi="Times New Roman" w:eastAsia="仿宋_GB2312" w:cs="Times New Roman"/>
          <w:sz w:val="32"/>
          <w:szCs w:val="32"/>
        </w:rPr>
        <w:t>%，主要包括</w:t>
      </w:r>
      <w:r>
        <w:rPr>
          <w:rFonts w:hint="eastAsia" w:ascii="仿宋_GB2312" w:hAnsi="仿宋_GB2312" w:eastAsia="仿宋_GB2312" w:cs="仿宋_GB2312"/>
          <w:color w:val="auto"/>
          <w:sz w:val="32"/>
          <w:szCs w:val="32"/>
          <w:highlight w:val="none"/>
        </w:rPr>
        <w:t>办公费、</w:t>
      </w:r>
      <w:r>
        <w:rPr>
          <w:rFonts w:hint="eastAsia" w:ascii="仿宋_GB2312" w:hAnsi="仿宋_GB2312" w:eastAsia="仿宋_GB2312" w:cs="仿宋_GB2312"/>
          <w:color w:val="auto"/>
          <w:sz w:val="32"/>
          <w:szCs w:val="32"/>
          <w:highlight w:val="none"/>
          <w:lang w:eastAsia="zh-CN"/>
        </w:rPr>
        <w:t>印刷费、差旅费、</w:t>
      </w:r>
      <w:r>
        <w:rPr>
          <w:rFonts w:hint="eastAsia" w:ascii="仿宋_GB2312" w:hAnsi="仿宋_GB2312" w:eastAsia="仿宋_GB2312" w:cs="仿宋_GB2312"/>
          <w:color w:val="auto"/>
          <w:sz w:val="32"/>
          <w:szCs w:val="32"/>
          <w:highlight w:val="none"/>
        </w:rPr>
        <w:t>工会经费、其他交通费用、福利费等。</w:t>
      </w:r>
    </w:p>
    <w:p>
      <w:pPr>
        <w:pStyle w:val="15"/>
        <w:numPr>
          <w:ilvl w:val="0"/>
          <w:numId w:val="1"/>
        </w:numPr>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财政拨款“三公”经费支出决算情况说明</w:t>
      </w:r>
    </w:p>
    <w:p>
      <w:pPr>
        <w:pStyle w:val="15"/>
        <w:numPr>
          <w:ilvl w:val="0"/>
          <w:numId w:val="0"/>
        </w:numPr>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color w:val="auto"/>
          <w:sz w:val="32"/>
          <w:szCs w:val="32"/>
          <w:highlight w:val="none"/>
        </w:rPr>
        <w:t>厉行节约，严格在预算范围内控制“三公”经费支出</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eastAsia="zh-CN"/>
        </w:rPr>
        <w:t>公务</w:t>
      </w:r>
      <w:r>
        <w:rPr>
          <w:rFonts w:hint="eastAsia" w:ascii="仿宋_GB2312" w:hAnsi="仿宋_GB2312" w:eastAsia="仿宋_GB2312" w:cs="仿宋_GB2312"/>
          <w:color w:val="auto"/>
          <w:sz w:val="32"/>
          <w:szCs w:val="32"/>
          <w:highlight w:val="none"/>
          <w:lang w:eastAsia="zh-CN"/>
        </w:rPr>
        <w:t>接待任务减少</w:t>
      </w:r>
      <w:r>
        <w:rPr>
          <w:rFonts w:ascii="Times New Roman" w:hAnsi="Times New Roman" w:eastAsia="仿宋_GB2312" w:cs="Times New Roman"/>
          <w:sz w:val="32"/>
          <w:szCs w:val="32"/>
          <w:highlight w:val="none"/>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湖南省农情分析研究中心</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ascii="Times New Roman" w:hAnsi="Times New Roman" w:eastAsia="仿宋_GB2312" w:cs="Times New Roman"/>
          <w:color w:val="000000" w:themeColor="text1"/>
          <w:sz w:val="32"/>
          <w:szCs w:val="32"/>
          <w14:textFill>
            <w14:solidFill>
              <w14:schemeClr w14:val="tx1"/>
            </w14:solidFill>
          </w14:textFill>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5"/>
        <w:keepNext w:val="0"/>
        <w:keepLines w:val="0"/>
        <w:pageBreakBefore w:val="0"/>
        <w:widowControl w:val="0"/>
        <w:numPr>
          <w:ilvl w:val="0"/>
          <w:numId w:val="2"/>
        </w:numPr>
        <w:kinsoku w:val="0"/>
        <w:wordWrap/>
        <w:overflowPunct w:val="0"/>
        <w:topLinePunct w:val="0"/>
        <w:autoSpaceDE/>
        <w:autoSpaceDN/>
        <w:bidi w:val="0"/>
        <w:adjustRightInd w:val="0"/>
        <w:snapToGrid/>
        <w:spacing w:line="60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0.6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厉行节约，严格在预算范围内控制“三公”经费支出</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决算数小于上年数的主要原因是</w:t>
      </w:r>
      <w:r>
        <w:rPr>
          <w:rFonts w:hint="eastAsia" w:ascii="Times New Roman" w:hAnsi="Times New Roman" w:eastAsia="仿宋_GB2312" w:cs="Times New Roman"/>
          <w:sz w:val="32"/>
          <w:szCs w:val="32"/>
          <w:highlight w:val="none"/>
          <w:lang w:eastAsia="zh-CN"/>
        </w:rPr>
        <w:t>公务接待任务减少</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lang w:val="en-US" w:eastAsia="zh-CN"/>
        </w:rPr>
        <w:t xml:space="preserve">                                                                     </w:t>
      </w:r>
    </w:p>
    <w:p>
      <w:pPr>
        <w:pStyle w:val="15"/>
        <w:keepNext w:val="0"/>
        <w:keepLines w:val="0"/>
        <w:pageBreakBefore w:val="0"/>
        <w:widowControl w:val="0"/>
        <w:numPr>
          <w:ilvl w:val="0"/>
          <w:numId w:val="0"/>
        </w:numPr>
        <w:kinsoku w:val="0"/>
        <w:wordWrap/>
        <w:overflowPunct w:val="0"/>
        <w:topLinePunct w:val="0"/>
        <w:autoSpaceDE/>
        <w:autoSpaceDN/>
        <w:bidi w:val="0"/>
        <w:adjustRightInd w:val="0"/>
        <w:snapToGrid/>
        <w:spacing w:line="600" w:lineRule="exact"/>
        <w:ind w:firstLine="640" w:firstLineChars="200"/>
        <w:jc w:val="left"/>
        <w:textAlignment w:val="auto"/>
        <w:rPr>
          <w:rFonts w:ascii="Times New Roman" w:hAnsi="Times New Roman" w:cs="Times New Roman"/>
          <w:bCs/>
          <w:sz w:val="32"/>
          <w:szCs w:val="32"/>
        </w:rPr>
      </w:pPr>
      <w:r>
        <w:rPr>
          <w:rFonts w:hint="eastAsia" w:ascii="Times New Roman" w:hAnsi="Times New Roman" w:cs="Times New Roman"/>
          <w:bCs/>
          <w:sz w:val="32"/>
          <w:szCs w:val="32"/>
          <w:lang w:val="en-US" w:eastAsia="zh-CN"/>
        </w:rPr>
        <w:t>八、</w:t>
      </w:r>
      <w:r>
        <w:rPr>
          <w:rFonts w:ascii="Times New Roman" w:hAnsi="Times New Roman" w:cs="Times New Roman"/>
          <w:bCs/>
          <w:sz w:val="32"/>
          <w:szCs w:val="32"/>
        </w:rPr>
        <w:t>政府性基金预算收入支出决算情况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楷体" w:cs="Times New Roman"/>
          <w:b/>
          <w:bCs/>
          <w:i/>
          <w:color w:val="auto"/>
          <w:sz w:val="32"/>
          <w:szCs w:val="32"/>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年度本单位无政府性基金收支。</w:t>
      </w:r>
    </w:p>
    <w:p>
      <w:pPr>
        <w:pStyle w:val="15"/>
        <w:numPr>
          <w:ilvl w:val="0"/>
          <w:numId w:val="3"/>
        </w:numPr>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关于机关运行经费支出说明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本部门2024年度机关运行经费支</w:t>
      </w:r>
      <w:r>
        <w:rPr>
          <w:rFonts w:hint="eastAsia" w:ascii="Times New Roman" w:hAnsi="Times New Roman" w:eastAsia="仿宋_GB2312" w:cs="Times New Roman"/>
          <w:sz w:val="32"/>
          <w:szCs w:val="32"/>
          <w:highlight w:val="none"/>
          <w:lang w:val="en-US" w:eastAsia="zh-CN"/>
        </w:rPr>
        <w:t>出0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与</w:t>
      </w:r>
      <w:bookmarkStart w:id="3" w:name="_GoBack"/>
      <w:bookmarkEnd w:id="3"/>
      <w:r>
        <w:rPr>
          <w:rFonts w:ascii="Times New Roman" w:hAnsi="Times New Roman" w:eastAsia="仿宋_GB2312" w:cs="Times New Roman"/>
          <w:sz w:val="32"/>
          <w:szCs w:val="32"/>
          <w:highlight w:val="none"/>
        </w:rPr>
        <w:t>上年决算数</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w:t>
      </w:r>
    </w:p>
    <w:p>
      <w:pPr>
        <w:pStyle w:val="15"/>
        <w:numPr>
          <w:ilvl w:val="0"/>
          <w:numId w:val="3"/>
        </w:numPr>
        <w:overflowPunct w:val="0"/>
        <w:autoSpaceDE/>
        <w:autoSpaceDN/>
        <w:spacing w:line="600" w:lineRule="exact"/>
        <w:ind w:left="0" w:leftChars="0"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rPr>
        <w:t>一般性支出情况说明</w:t>
      </w:r>
    </w:p>
    <w:p>
      <w:pPr>
        <w:pStyle w:val="15"/>
        <w:ind w:firstLine="640" w:firstLineChars="200"/>
        <w:rPr>
          <w:rFonts w:hint="eastAsia" w:ascii="Times New Roman" w:hAnsi="Times New Roman" w:eastAsia="仿宋_GB2312" w:cs="Times New Roman"/>
          <w:bCs/>
          <w:sz w:val="32"/>
          <w:szCs w:val="32"/>
          <w:highlight w:val="none"/>
          <w:lang w:eastAsia="zh-CN"/>
        </w:rPr>
      </w:pPr>
      <w:r>
        <w:rPr>
          <w:rFonts w:ascii="Times New Roman" w:hAnsi="Times New Roman" w:eastAsia="仿宋_GB2312" w:cs="Times New Roman"/>
          <w:sz w:val="32"/>
          <w:szCs w:val="32"/>
          <w:highlight w:val="none"/>
        </w:rPr>
        <w:t>2024年本</w:t>
      </w:r>
      <w:r>
        <w:rPr>
          <w:rFonts w:hint="eastAsia" w:ascii="Times New Roman" w:hAnsi="Times New Roman" w:eastAsia="仿宋_GB2312" w:cs="Times New Roman"/>
          <w:sz w:val="32"/>
          <w:szCs w:val="32"/>
          <w:highlight w:val="none"/>
          <w:lang w:eastAsia="zh-CN"/>
        </w:rPr>
        <w:t>部门</w:t>
      </w:r>
      <w:r>
        <w:rPr>
          <w:rFonts w:ascii="Times New Roman" w:hAnsi="Times New Roman" w:eastAsia="仿宋_GB2312" w:cs="Times New Roman"/>
          <w:sz w:val="32"/>
          <w:szCs w:val="32"/>
          <w:highlight w:val="none"/>
        </w:rPr>
        <w:t>开支会议费</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万元；开支培训费</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未</w:t>
      </w:r>
      <w:r>
        <w:rPr>
          <w:rFonts w:ascii="Times New Roman" w:hAnsi="Times New Roman" w:eastAsia="仿宋_GB2312" w:cs="Times New Roman"/>
          <w:sz w:val="32"/>
          <w:szCs w:val="32"/>
          <w:highlight w:val="none"/>
        </w:rPr>
        <w:t>举办节庆、晚会、论坛、赛事</w:t>
      </w:r>
      <w:r>
        <w:rPr>
          <w:rFonts w:hint="eastAsia" w:ascii="Times New Roman" w:hAnsi="Times New Roman" w:eastAsia="仿宋_GB2312" w:cs="Times New Roman"/>
          <w:sz w:val="32"/>
          <w:szCs w:val="32"/>
          <w:highlight w:val="none"/>
          <w:lang w:eastAsia="zh-CN"/>
        </w:rPr>
        <w:t>等</w:t>
      </w:r>
      <w:r>
        <w:rPr>
          <w:rFonts w:ascii="Times New Roman" w:hAnsi="Times New Roman" w:eastAsia="仿宋_GB2312" w:cs="Times New Roman"/>
          <w:sz w:val="32"/>
          <w:szCs w:val="32"/>
          <w:highlight w:val="none"/>
        </w:rPr>
        <w:t>活动。</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21.16</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17.86</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3.3</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21.16</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21.16</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17.76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17.76</w:t>
      </w:r>
      <w:r>
        <w:rPr>
          <w:rFonts w:ascii="Times New Roman" w:hAnsi="Times New Roman" w:eastAsia="仿宋_GB2312" w:cs="Times New Roman"/>
          <w:kern w:val="0"/>
          <w:sz w:val="32"/>
          <w:szCs w:val="32"/>
        </w:rPr>
        <w:t>万元，占</w:t>
      </w:r>
      <w:r>
        <w:rPr>
          <w:rFonts w:ascii="Times New Roman" w:hAnsi="Times New Roman" w:eastAsia="仿宋_GB2312" w:cs="Times New Roman"/>
          <w:kern w:val="0"/>
          <w:sz w:val="32"/>
          <w:szCs w:val="32"/>
          <w:highlight w:val="none"/>
        </w:rPr>
        <w:t>一般公共预算支出总额的</w:t>
      </w:r>
      <w:r>
        <w:rPr>
          <w:rFonts w:hint="eastAsia" w:ascii="Times New Roman" w:hAnsi="Times New Roman" w:eastAsia="仿宋_GB2312" w:cs="Times New Roman"/>
          <w:kern w:val="0"/>
          <w:sz w:val="32"/>
          <w:szCs w:val="32"/>
          <w:highlight w:val="none"/>
          <w:lang w:val="en-US" w:eastAsia="zh-CN"/>
        </w:rPr>
        <w:t>4.68</w:t>
      </w:r>
      <w:r>
        <w:rPr>
          <w:rFonts w:ascii="Times New Roman" w:hAnsi="Times New Roman" w:eastAsia="仿宋_GB2312" w:cs="Times New Roman"/>
          <w:kern w:val="0"/>
          <w:sz w:val="32"/>
          <w:szCs w:val="32"/>
          <w:highlight w:val="none"/>
        </w:rPr>
        <w:t>%</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393.17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379.2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96.45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9.65</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w:t>
      </w:r>
      <w:r>
        <w:rPr>
          <w:rFonts w:ascii="Times New Roman" w:hAnsi="Times New Roman" w:eastAsia="仿宋_GB2312" w:cs="Times New Roman"/>
          <w:kern w:val="0"/>
          <w:sz w:val="32"/>
          <w:szCs w:val="32"/>
        </w:rPr>
        <w:t>一是</w:t>
      </w:r>
      <w:r>
        <w:rPr>
          <w:rFonts w:hint="eastAsia" w:ascii="Times New Roman" w:hAnsi="Times New Roman" w:eastAsia="仿宋_GB2312" w:cs="Times New Roman"/>
          <w:kern w:val="0"/>
          <w:sz w:val="32"/>
          <w:szCs w:val="32"/>
          <w:lang w:val="en-US" w:eastAsia="zh-CN"/>
        </w:rPr>
        <w:t>高质量完成每季度农业农村经济形势分析报告，供厅党组参阅，得到高度肯定。农业农村经济形势研判分析能力有效提升</w:t>
      </w:r>
      <w:r>
        <w:rPr>
          <w:rFonts w:ascii="Times New Roman" w:hAnsi="Times New Roman" w:eastAsia="仿宋_GB2312" w:cs="Times New Roman"/>
          <w:kern w:val="0"/>
          <w:sz w:val="32"/>
          <w:szCs w:val="32"/>
        </w:rPr>
        <w:t>；二是</w:t>
      </w:r>
      <w:r>
        <w:rPr>
          <w:rFonts w:hint="eastAsia" w:ascii="Times New Roman" w:hAnsi="Times New Roman" w:eastAsia="仿宋_GB2312" w:cs="Times New Roman"/>
          <w:kern w:val="0"/>
          <w:sz w:val="32"/>
          <w:szCs w:val="32"/>
          <w:lang w:val="en-US" w:eastAsia="zh-CN"/>
        </w:rPr>
        <w:t>精准完成农情日调度表格填报，完成各类农情信息报送，会同气象、统计、国调等部门开展了重要农作物产量预测分析；三是强化农情队伍建设，加强市州农情队伍沟通交流，工作能力有效提升；四是先后开展了早稻集中育秧、农业防灾减灾体系调研，形成了高质量调研报告</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sz w:val="72"/>
          <w:szCs w:val="72"/>
        </w:rPr>
      </w:pPr>
      <w:r>
        <w:rPr>
          <w:rFonts w:ascii="Times New Roman" w:hAnsi="Times New Roman" w:eastAsia="楷体_GB2312" w:cs="Times New Roman"/>
          <w:b/>
          <w:bCs/>
          <w:color w:val="auto"/>
          <w:kern w:val="2"/>
          <w:sz w:val="32"/>
          <w:szCs w:val="32"/>
        </w:rPr>
        <w:t>（三）评价结果应用情况。</w:t>
      </w:r>
      <w:r>
        <w:rPr>
          <w:rFonts w:hint="eastAsia" w:ascii="Times New Roman" w:hAnsi="Times New Roman" w:eastAsia="仿宋_GB2312" w:cs="Times New Roman"/>
          <w:color w:val="auto"/>
          <w:kern w:val="2"/>
          <w:sz w:val="32"/>
          <w:szCs w:val="32"/>
          <w:lang w:val="en-US" w:eastAsia="zh-CN" w:bidi="ar-SA"/>
        </w:rPr>
        <w:t>本单位高度重视绩效评价工作,坚持问题导向,将自评结果作为改进管理和编制下一年度预算的重要依据，优先保障绩效突出的项目。</w:t>
      </w: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基本支出：指为保障机构正常运转、完成日常工作任务而发生的各项支出，包括人员支出和公用支出。</w:t>
      </w:r>
    </w:p>
    <w:p>
      <w:pPr>
        <w:pStyle w:val="15"/>
        <w:ind w:firstLine="320" w:firstLineChars="1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rPr>
        <w:t xml:space="preserve">项目支出：指在基本支出以外为完成相关行政任务和事业发展目标所发生的各项支出。 </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三、</w:t>
      </w:r>
      <w:r>
        <w:rPr>
          <w:rFonts w:hint="eastAsia" w:ascii="仿宋_GB2312" w:hAnsi="仿宋_GB2312" w:eastAsia="仿宋_GB2312" w:cs="仿宋_GB2312"/>
          <w:color w:val="auto"/>
          <w:sz w:val="32"/>
          <w:szCs w:val="32"/>
          <w:highlight w:val="none"/>
        </w:rPr>
        <w:t xml:space="preserve">“三公”经费：指通过财政拨款资金安排的因公出国（境）费、公务用车购置及运行费和公务接待费支出。 </w:t>
      </w:r>
    </w:p>
    <w:p>
      <w:pPr>
        <w:pStyle w:val="15"/>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四、</w:t>
      </w:r>
      <w:r>
        <w:rPr>
          <w:rFonts w:hint="eastAsia" w:ascii="仿宋_GB2312" w:hAnsi="仿宋_GB2312" w:eastAsia="仿宋_GB2312" w:cs="仿宋_GB2312"/>
          <w:color w:val="auto"/>
          <w:sz w:val="32"/>
          <w:szCs w:val="32"/>
          <w:highlight w:val="none"/>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15"/>
        <w:jc w:val="both"/>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2"/>
      </w:pPr>
    </w:p>
    <w:p/>
    <w:p>
      <w:pPr>
        <w:pStyle w:val="2"/>
      </w:pPr>
    </w:p>
    <w:p/>
    <w:p>
      <w:pPr>
        <w:pStyle w:val="2"/>
      </w:pPr>
    </w:p>
    <w:p/>
    <w:p>
      <w:pPr>
        <w:pStyle w:val="2"/>
      </w:pPr>
    </w:p>
    <w:p/>
    <w:p>
      <w:pPr>
        <w:pStyle w:val="2"/>
      </w:pPr>
    </w:p>
    <w:p/>
    <w:p>
      <w:pPr>
        <w:pStyle w:val="2"/>
      </w:pPr>
    </w:p>
    <w:p/>
    <w:p>
      <w:pPr>
        <w:pStyle w:val="2"/>
      </w:pPr>
    </w:p>
    <w:p/>
    <w:p>
      <w:pPr>
        <w:keepNext/>
        <w:keepLines/>
        <w:adjustRightInd/>
        <w:snapToGrid/>
        <w:spacing w:line="700" w:lineRule="exact"/>
        <w:ind w:firstLine="0" w:firstLineChars="0"/>
        <w:jc w:val="both"/>
        <w:outlineLvl w:val="0"/>
        <w:rPr>
          <w:rFonts w:ascii="Times New Roman" w:hAnsi="Times New Roman" w:eastAsia="仿宋_GB2312" w:cs="Times New Roman"/>
          <w:b/>
          <w:bCs/>
          <w:sz w:val="32"/>
          <w:szCs w:val="32"/>
        </w:rPr>
      </w:pPr>
    </w:p>
    <w:p>
      <w:pPr>
        <w:keepNext/>
        <w:keepLines/>
        <w:adjustRightInd/>
        <w:snapToGrid/>
        <w:spacing w:line="700" w:lineRule="exact"/>
        <w:ind w:firstLine="0" w:firstLineChars="0"/>
        <w:jc w:val="center"/>
        <w:outlineLvl w:val="0"/>
        <w:rPr>
          <w:rFonts w:hint="eastAsia" w:ascii="Times New Roman" w:hAnsi="Times New Roman" w:eastAsia="仿宋_GB2312" w:cs="Times New Roman"/>
          <w:b/>
          <w:bCs/>
          <w:sz w:val="32"/>
          <w:szCs w:val="32"/>
          <w:lang w:eastAsia="zh-CN"/>
        </w:rPr>
      </w:pPr>
      <w:r>
        <w:rPr>
          <w:rFonts w:ascii="Times New Roman" w:hAnsi="Times New Roman" w:eastAsia="仿宋_GB2312" w:cs="Times New Roman"/>
          <w:b/>
          <w:bCs/>
          <w:sz w:val="32"/>
          <w:szCs w:val="32"/>
        </w:rPr>
        <w:t>2024年度</w:t>
      </w:r>
      <w:r>
        <w:rPr>
          <w:rFonts w:hint="eastAsia" w:ascii="Times New Roman" w:hAnsi="Times New Roman" w:eastAsia="仿宋_GB2312" w:cs="Times New Roman"/>
          <w:b/>
          <w:bCs/>
          <w:sz w:val="32"/>
          <w:szCs w:val="32"/>
          <w:lang w:eastAsia="zh-CN"/>
        </w:rPr>
        <w:t>湖南省农情分析研究中心</w:t>
      </w:r>
    </w:p>
    <w:p>
      <w:pPr>
        <w:pStyle w:val="15"/>
        <w:spacing w:line="600" w:lineRule="exact"/>
        <w:ind w:firstLine="2880" w:firstLineChars="9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整体支出绩效自评报告</w:t>
      </w: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（一）基本情况</w:t>
      </w:r>
    </w:p>
    <w:p>
      <w:pPr>
        <w:snapToGrid w:val="0"/>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1、</w:t>
      </w:r>
      <w:r>
        <w:rPr>
          <w:rFonts w:hint="eastAsia" w:eastAsia="仿宋_GB2312"/>
          <w:sz w:val="32"/>
          <w:szCs w:val="32"/>
          <w:lang w:eastAsia="zh-CN"/>
        </w:rPr>
        <w:t>主要职能</w:t>
      </w:r>
    </w:p>
    <w:p>
      <w:pPr>
        <w:snapToGrid w:val="0"/>
        <w:spacing w:line="600" w:lineRule="exact"/>
        <w:ind w:firstLine="640" w:firstLineChars="200"/>
        <w:rPr>
          <w:rFonts w:eastAsia="仿宋_GB2312"/>
          <w:sz w:val="32"/>
          <w:szCs w:val="32"/>
        </w:rPr>
      </w:pPr>
      <w:r>
        <w:rPr>
          <w:rFonts w:hint="eastAsia" w:eastAsia="仿宋_GB2312"/>
          <w:sz w:val="32"/>
          <w:szCs w:val="32"/>
        </w:rPr>
        <w:t>湖南省农情分析研究中心（以下简称省农情分析研究中心）</w:t>
      </w:r>
      <w:r>
        <w:rPr>
          <w:rFonts w:eastAsia="仿宋_GB2312"/>
          <w:sz w:val="32"/>
          <w:szCs w:val="32"/>
        </w:rPr>
        <w:t>为湖南省农业农村厅直属</w:t>
      </w:r>
      <w:r>
        <w:rPr>
          <w:rFonts w:hint="eastAsia" w:eastAsia="仿宋_GB2312"/>
          <w:sz w:val="32"/>
          <w:szCs w:val="32"/>
        </w:rPr>
        <w:t>二级</w:t>
      </w:r>
      <w:r>
        <w:rPr>
          <w:rFonts w:eastAsia="仿宋_GB2312"/>
          <w:sz w:val="32"/>
          <w:szCs w:val="32"/>
        </w:rPr>
        <w:t>机构</w:t>
      </w:r>
      <w:r>
        <w:rPr>
          <w:rFonts w:hint="eastAsia" w:eastAsia="仿宋_GB2312"/>
          <w:sz w:val="32"/>
          <w:szCs w:val="32"/>
        </w:rPr>
        <w:t>，为公益一类正处级事业单位。</w:t>
      </w:r>
    </w:p>
    <w:p>
      <w:pPr>
        <w:snapToGrid w:val="0"/>
        <w:spacing w:line="600" w:lineRule="exact"/>
        <w:ind w:firstLine="640" w:firstLineChars="200"/>
        <w:rPr>
          <w:rFonts w:eastAsia="仿宋_GB2312"/>
          <w:sz w:val="32"/>
          <w:szCs w:val="32"/>
        </w:rPr>
      </w:pPr>
      <w:r>
        <w:rPr>
          <w:rFonts w:hint="eastAsia" w:eastAsia="仿宋_GB2312"/>
          <w:sz w:val="32"/>
          <w:szCs w:val="32"/>
        </w:rPr>
        <w:t>省农情分析研究中心</w:t>
      </w:r>
      <w:r>
        <w:rPr>
          <w:rFonts w:eastAsia="仿宋_GB2312"/>
          <w:sz w:val="32"/>
          <w:szCs w:val="32"/>
        </w:rPr>
        <w:t>对全省农业农村经济情况进行调查分析研究，对农业经济领域的重大问题、重要决策进行分析研究论证，找准影响农业发展的主要矛盾，提出解决问题的对策建议，为促进我省农业农村经济稳定健康发展提供有力保障。</w:t>
      </w:r>
      <w:r>
        <w:rPr>
          <w:rFonts w:hint="eastAsia" w:eastAsia="仿宋_GB2312"/>
          <w:sz w:val="32"/>
          <w:szCs w:val="32"/>
        </w:rPr>
        <w:t>主要职责是：</w:t>
      </w:r>
    </w:p>
    <w:p>
      <w:pPr>
        <w:snapToGrid w:val="0"/>
        <w:spacing w:line="60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收集、整理、分析、报送和发布农业生产动态、阶段性生产形势，反映生产中的特点、热点和存在问题</w:t>
      </w:r>
      <w:r>
        <w:rPr>
          <w:rFonts w:hint="eastAsia" w:eastAsia="仿宋_GB2312"/>
          <w:sz w:val="32"/>
          <w:szCs w:val="32"/>
        </w:rPr>
        <w:t>。</w:t>
      </w:r>
    </w:p>
    <w:p>
      <w:pPr>
        <w:snapToGrid w:val="0"/>
        <w:spacing w:line="600" w:lineRule="exact"/>
        <w:ind w:firstLine="640" w:firstLineChars="200"/>
        <w:rPr>
          <w:rFonts w:eastAsia="仿宋_GB2312"/>
          <w:sz w:val="32"/>
          <w:szCs w:val="32"/>
        </w:rPr>
      </w:pPr>
      <w:r>
        <w:rPr>
          <w:rFonts w:hint="eastAsia" w:eastAsia="仿宋_GB2312"/>
          <w:sz w:val="32"/>
          <w:szCs w:val="32"/>
        </w:rPr>
        <w:t>（2）调查分析研究农业情况，组织和指导农情监测基地县的监测工作。</w:t>
      </w:r>
    </w:p>
    <w:p>
      <w:pPr>
        <w:snapToGrid w:val="0"/>
        <w:spacing w:line="600" w:lineRule="exact"/>
        <w:ind w:firstLine="640" w:firstLineChars="200"/>
        <w:rPr>
          <w:rFonts w:eastAsia="仿宋_GB2312"/>
          <w:sz w:val="32"/>
          <w:szCs w:val="32"/>
        </w:rPr>
      </w:pPr>
      <w:r>
        <w:rPr>
          <w:rFonts w:hint="eastAsia" w:eastAsia="仿宋_GB2312"/>
          <w:sz w:val="32"/>
          <w:szCs w:val="32"/>
        </w:rPr>
        <w:t>（3）编印农情简报和农业农村统计分析资料。</w:t>
      </w:r>
    </w:p>
    <w:p>
      <w:pPr>
        <w:snapToGrid w:val="0"/>
        <w:spacing w:line="600" w:lineRule="exact"/>
        <w:ind w:firstLine="640" w:firstLineChars="200"/>
        <w:rPr>
          <w:rFonts w:eastAsia="仿宋_GB2312"/>
          <w:sz w:val="32"/>
          <w:szCs w:val="32"/>
        </w:rPr>
      </w:pPr>
      <w:r>
        <w:rPr>
          <w:rFonts w:hint="eastAsia" w:eastAsia="仿宋_GB2312"/>
          <w:sz w:val="32"/>
          <w:szCs w:val="32"/>
        </w:rPr>
        <w:t>（4）调查统计和报送农业灾情，指导农业防灾抗灾减灾工作。</w:t>
      </w:r>
    </w:p>
    <w:p>
      <w:pPr>
        <w:snapToGrid w:val="0"/>
        <w:spacing w:line="600" w:lineRule="exact"/>
        <w:ind w:firstLine="640" w:firstLineChars="200"/>
        <w:rPr>
          <w:rFonts w:eastAsia="仿宋_GB2312"/>
          <w:sz w:val="32"/>
          <w:szCs w:val="32"/>
        </w:rPr>
      </w:pPr>
      <w:r>
        <w:rPr>
          <w:rFonts w:hint="eastAsia" w:eastAsia="仿宋_GB2312"/>
          <w:sz w:val="32"/>
          <w:szCs w:val="32"/>
        </w:rPr>
        <w:t>（5）开展全省农业农村经济形势分析。</w:t>
      </w:r>
    </w:p>
    <w:p>
      <w:pPr>
        <w:snapToGrid w:val="0"/>
        <w:spacing w:line="600" w:lineRule="exact"/>
        <w:ind w:firstLine="640" w:firstLineChars="200"/>
        <w:rPr>
          <w:rFonts w:hint="eastAsia" w:eastAsia="仿宋_GB2312"/>
          <w:sz w:val="32"/>
          <w:szCs w:val="32"/>
          <w:lang w:eastAsia="zh-CN"/>
        </w:rPr>
      </w:pPr>
      <w:r>
        <w:rPr>
          <w:rFonts w:hint="eastAsia" w:eastAsia="仿宋_GB2312"/>
          <w:sz w:val="32"/>
          <w:szCs w:val="32"/>
        </w:rPr>
        <w:t>（</w:t>
      </w:r>
      <w:r>
        <w:rPr>
          <w:rFonts w:hint="eastAsia"/>
          <w:sz w:val="32"/>
          <w:szCs w:val="32"/>
          <w:lang w:val="en-US" w:eastAsia="zh-CN"/>
        </w:rPr>
        <w:t>6</w:t>
      </w:r>
      <w:r>
        <w:rPr>
          <w:rFonts w:hint="eastAsia" w:eastAsia="仿宋_GB2312"/>
          <w:sz w:val="32"/>
          <w:szCs w:val="32"/>
        </w:rPr>
        <w:t>）负责农业农村部、省政府和省农业农村厅安排的其他方面的工作。</w:t>
      </w:r>
    </w:p>
    <w:p>
      <w:pPr>
        <w:snapToGrid w:val="0"/>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2、</w:t>
      </w:r>
      <w:r>
        <w:rPr>
          <w:rFonts w:hint="eastAsia" w:eastAsia="仿宋_GB2312"/>
          <w:sz w:val="32"/>
          <w:szCs w:val="32"/>
          <w:lang w:eastAsia="zh-CN"/>
        </w:rPr>
        <w:t>机构情况</w:t>
      </w:r>
    </w:p>
    <w:p>
      <w:pPr>
        <w:snapToGrid w:val="0"/>
        <w:spacing w:line="600" w:lineRule="exact"/>
        <w:ind w:firstLine="640" w:firstLineChars="200"/>
        <w:rPr>
          <w:rFonts w:hint="eastAsia" w:eastAsia="仿宋_GB2312"/>
          <w:sz w:val="32"/>
          <w:szCs w:val="32"/>
          <w:lang w:eastAsia="zh-CN"/>
        </w:rPr>
      </w:pPr>
      <w:r>
        <w:rPr>
          <w:rFonts w:hint="eastAsia" w:eastAsia="仿宋_GB2312"/>
          <w:sz w:val="32"/>
          <w:szCs w:val="32"/>
        </w:rPr>
        <w:t>省农情分析研究中心设有</w:t>
      </w:r>
      <w:r>
        <w:rPr>
          <w:rFonts w:hint="eastAsia" w:eastAsia="仿宋_GB2312"/>
          <w:sz w:val="32"/>
          <w:szCs w:val="32"/>
          <w:lang w:eastAsia="zh-CN"/>
        </w:rPr>
        <w:t>综合</w:t>
      </w:r>
      <w:r>
        <w:rPr>
          <w:rFonts w:hint="eastAsia" w:eastAsia="仿宋_GB2312"/>
          <w:sz w:val="32"/>
          <w:szCs w:val="32"/>
        </w:rPr>
        <w:t>财务科、</w:t>
      </w:r>
      <w:r>
        <w:rPr>
          <w:rFonts w:hint="eastAsia" w:eastAsia="仿宋_GB2312"/>
          <w:sz w:val="32"/>
          <w:szCs w:val="32"/>
          <w:lang w:eastAsia="zh-CN"/>
        </w:rPr>
        <w:t>组织</w:t>
      </w:r>
      <w:r>
        <w:rPr>
          <w:rFonts w:hint="eastAsia" w:eastAsia="仿宋_GB2312"/>
          <w:sz w:val="32"/>
          <w:szCs w:val="32"/>
        </w:rPr>
        <w:t>人事科、农情体系科、农情调度科、农情信息</w:t>
      </w:r>
      <w:r>
        <w:rPr>
          <w:rFonts w:hint="eastAsia" w:eastAsia="仿宋_GB2312"/>
          <w:sz w:val="32"/>
          <w:szCs w:val="32"/>
          <w:lang w:eastAsia="zh-CN"/>
        </w:rPr>
        <w:t>（档案）</w:t>
      </w:r>
      <w:r>
        <w:rPr>
          <w:rFonts w:hint="eastAsia" w:eastAsia="仿宋_GB2312"/>
          <w:sz w:val="32"/>
          <w:szCs w:val="32"/>
        </w:rPr>
        <w:t>科。</w:t>
      </w:r>
    </w:p>
    <w:p>
      <w:pPr>
        <w:snapToGrid w:val="0"/>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lang w:eastAsia="zh-CN"/>
        </w:rPr>
        <w:t>人员情况</w:t>
      </w:r>
    </w:p>
    <w:p>
      <w:pPr>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本单位年末在职人员14人，较上年增加2人，主要是因工作需要公开招聘工作人员；退休人数19人。</w:t>
      </w:r>
    </w:p>
    <w:p>
      <w:pPr>
        <w:numPr>
          <w:ilvl w:val="0"/>
          <w:numId w:val="4"/>
        </w:numPr>
        <w:spacing w:line="600" w:lineRule="exact"/>
        <w:ind w:firstLine="640" w:firstLineChars="200"/>
        <w:rPr>
          <w:rFonts w:eastAsia="楷体_GB2312"/>
          <w:b/>
          <w:sz w:val="32"/>
          <w:szCs w:val="32"/>
        </w:rPr>
      </w:pPr>
      <w:r>
        <w:rPr>
          <w:rFonts w:hint="eastAsia" w:eastAsia="楷体_GB2312"/>
          <w:b/>
          <w:sz w:val="32"/>
          <w:szCs w:val="32"/>
          <w:lang w:eastAsia="zh-CN"/>
        </w:rPr>
        <w:t>绩效目标</w:t>
      </w:r>
    </w:p>
    <w:p>
      <w:pPr>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1、单位年度整体支出绩效目标</w:t>
      </w:r>
    </w:p>
    <w:p>
      <w:pPr>
        <w:numPr>
          <w:ilvl w:val="0"/>
          <w:numId w:val="0"/>
        </w:numPr>
        <w:adjustRightInd/>
        <w:snapToGrid/>
        <w:ind w:firstLine="640" w:firstLineChars="200"/>
        <w:rPr>
          <w:rFonts w:hint="eastAsia" w:eastAsia="仿宋_GB2312"/>
          <w:sz w:val="32"/>
          <w:szCs w:val="32"/>
          <w:lang w:val="en-US" w:eastAsia="zh-CN"/>
        </w:rPr>
      </w:pPr>
      <w:r>
        <w:rPr>
          <w:rFonts w:hint="eastAsia" w:eastAsia="仿宋_GB2312"/>
          <w:sz w:val="32"/>
          <w:szCs w:val="32"/>
          <w:lang w:val="en-US" w:eastAsia="zh-CN"/>
        </w:rPr>
        <w:t>加强农情体系建设，充分开展农情基点县工作调研，扩增农情调度范畴，在农情数据调度上更有作为，切实为厅领导决策做好参谋；认真做好农业农村经济形势分析；开展农业农村综合调研，督促落实集中育秧任务，帮助解决实际问题，确保早稻面积任务落实；迅速及时统计调度灾情，为抗灾救灾指导提供保障。</w:t>
      </w:r>
    </w:p>
    <w:p>
      <w:pPr>
        <w:numPr>
          <w:ilvl w:val="0"/>
          <w:numId w:val="0"/>
        </w:numPr>
        <w:adjustRightInd/>
        <w:snapToGrid/>
        <w:ind w:firstLine="640" w:firstLineChars="200"/>
        <w:rPr>
          <w:rFonts w:hint="eastAsia" w:eastAsia="仿宋_GB2312"/>
          <w:sz w:val="32"/>
          <w:szCs w:val="32"/>
          <w:lang w:val="en-US" w:eastAsia="zh-CN"/>
        </w:rPr>
      </w:pPr>
      <w:r>
        <w:rPr>
          <w:rFonts w:hint="eastAsia" w:eastAsia="仿宋_GB2312"/>
          <w:sz w:val="32"/>
          <w:szCs w:val="32"/>
          <w:lang w:val="en-US" w:eastAsia="zh-CN"/>
        </w:rPr>
        <w:t>2、省级专项资金绩效目标</w:t>
      </w:r>
    </w:p>
    <w:p>
      <w:pPr>
        <w:numPr>
          <w:ilvl w:val="0"/>
          <w:numId w:val="0"/>
        </w:numPr>
        <w:adjustRightInd/>
        <w:snapToGrid/>
        <w:ind w:firstLine="640" w:firstLineChars="200"/>
        <w:rPr>
          <w:rFonts w:hint="eastAsia" w:eastAsia="仿宋_GB2312"/>
          <w:sz w:val="32"/>
          <w:szCs w:val="32"/>
          <w:lang w:val="en-US" w:eastAsia="zh-CN"/>
        </w:rPr>
      </w:pPr>
      <w:r>
        <w:rPr>
          <w:rFonts w:hint="eastAsia" w:eastAsia="仿宋_GB2312"/>
          <w:sz w:val="32"/>
          <w:szCs w:val="32"/>
          <w:lang w:val="en-US" w:eastAsia="zh-CN"/>
        </w:rPr>
        <w:t>抓好2024年早稻集中育秧督导工作，确保早稻面积任务完成；做好经济形势分析、农情调查与研究工作，争取农业农村经济形势相关报告材料获得省委、省政府相关领导肯定批示</w:t>
      </w:r>
      <w:r>
        <w:rPr>
          <w:rFonts w:hint="eastAsia"/>
          <w:sz w:val="32"/>
          <w:szCs w:val="32"/>
          <w:lang w:val="en-US" w:eastAsia="zh-CN"/>
        </w:rPr>
        <w:t>。</w:t>
      </w:r>
    </w:p>
    <w:p>
      <w:pPr>
        <w:numPr>
          <w:ilvl w:val="0"/>
          <w:numId w:val="5"/>
        </w:numPr>
        <w:adjustRightInd/>
        <w:snapToGrid/>
        <w:ind w:firstLine="640" w:firstLineChars="200"/>
        <w:rPr>
          <w:rFonts w:hint="eastAsia" w:eastAsia="仿宋_GB2312"/>
          <w:sz w:val="32"/>
          <w:szCs w:val="32"/>
          <w:lang w:val="en-US" w:eastAsia="zh-CN"/>
        </w:rPr>
      </w:pPr>
      <w:r>
        <w:rPr>
          <w:rFonts w:hint="eastAsia" w:eastAsia="仿宋_GB2312"/>
          <w:sz w:val="32"/>
          <w:szCs w:val="32"/>
          <w:lang w:val="en-US" w:eastAsia="zh-CN"/>
        </w:rPr>
        <w:t>其他项目支出绩效目标</w:t>
      </w:r>
    </w:p>
    <w:p>
      <w:pPr>
        <w:pStyle w:val="2"/>
        <w:numPr>
          <w:ilvl w:val="0"/>
          <w:numId w:val="0"/>
        </w:numPr>
        <w:rPr>
          <w:rFonts w:hint="eastAsia"/>
          <w:lang w:val="en-US" w:eastAsia="zh-CN"/>
        </w:rPr>
      </w:pPr>
    </w:p>
    <w:p>
      <w:pPr>
        <w:widowControl/>
        <w:numPr>
          <w:ilvl w:val="0"/>
          <w:numId w:val="0"/>
        </w:numPr>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提升农情工作水平，在农情数据调度上更有作为，争取农情工作在农业农村部考核中继续保持先进水平。　</w:t>
      </w:r>
    </w:p>
    <w:p>
      <w:pPr>
        <w:pStyle w:val="16"/>
        <w:adjustRightInd/>
        <w:snapToGrid/>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6"/>
        <w:adjustRightInd/>
        <w:snapToGrid/>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widowControl/>
        <w:numPr>
          <w:ilvl w:val="0"/>
          <w:numId w:val="0"/>
        </w:numPr>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2024年度基本支出374.77万元，其中：</w:t>
      </w:r>
    </w:p>
    <w:p>
      <w:pPr>
        <w:widowControl/>
        <w:numPr>
          <w:ilvl w:val="0"/>
          <w:numId w:val="0"/>
        </w:numPr>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人员经费支出348.15万元，占基本支出的92.9%，主要包括基本工资、绩效工资、津贴补贴、机关事业单位基本养老保险缴费、职工基本医疗保险缴费、住房公积金、奖励金等；</w:t>
      </w:r>
    </w:p>
    <w:p>
      <w:pPr>
        <w:widowControl/>
        <w:numPr>
          <w:ilvl w:val="0"/>
          <w:numId w:val="0"/>
        </w:numPr>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公用经费支出26.62万元，占基本支出的7.1%，主要包括办公费、印刷费、差旅费、工会经费、其他交通费用、福利费等。</w:t>
      </w:r>
    </w:p>
    <w:p>
      <w:pPr>
        <w:pStyle w:val="16"/>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widowControl/>
        <w:numPr>
          <w:ilvl w:val="0"/>
          <w:numId w:val="0"/>
        </w:numPr>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2024年度安排本单位省级专项资金2项，共计16万元，其中：现代农业发展专项（2023结转）6万，支出0.46万；农业农村数据统计检测10万，支出2.21万；除省级专项资金外，其他农林水支出1.76万元。</w:t>
      </w:r>
    </w:p>
    <w:p>
      <w:pPr>
        <w:pStyle w:val="16"/>
        <w:numPr>
          <w:ilvl w:val="0"/>
          <w:numId w:val="6"/>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16"/>
        <w:numPr>
          <w:ilvl w:val="0"/>
          <w:numId w:val="0"/>
        </w:numPr>
        <w:spacing w:line="600" w:lineRule="exact"/>
        <w:ind w:firstLine="640" w:firstLineChars="20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本单位无政府性基金预算支出。</w:t>
      </w:r>
    </w:p>
    <w:p>
      <w:pPr>
        <w:pStyle w:val="16"/>
        <w:numPr>
          <w:ilvl w:val="0"/>
          <w:numId w:val="6"/>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6"/>
        <w:numPr>
          <w:ilvl w:val="0"/>
          <w:numId w:val="0"/>
        </w:numPr>
        <w:spacing w:line="600" w:lineRule="exact"/>
        <w:ind w:firstLine="640" w:firstLineChars="200"/>
        <w:rPr>
          <w:rFonts w:ascii="Times New Roman" w:hAnsi="Times New Roman" w:eastAsia="黑体"/>
          <w:sz w:val="32"/>
          <w:szCs w:val="32"/>
        </w:rPr>
      </w:pPr>
      <w:r>
        <w:rPr>
          <w:rFonts w:hint="eastAsia" w:ascii="仿宋_GB2312" w:hAnsi="仿宋_GB2312" w:eastAsia="仿宋_GB2312" w:cs="仿宋_GB2312"/>
          <w:color w:val="auto"/>
          <w:sz w:val="32"/>
          <w:szCs w:val="32"/>
          <w:highlight w:val="none"/>
          <w:lang w:val="en-US" w:eastAsia="zh-CN" w:bidi="ar-SA"/>
        </w:rPr>
        <w:t>本单位无国有资本经营预算支出。</w:t>
      </w:r>
    </w:p>
    <w:p>
      <w:pPr>
        <w:pStyle w:val="16"/>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pStyle w:val="16"/>
        <w:numPr>
          <w:ilvl w:val="0"/>
          <w:numId w:val="0"/>
        </w:numPr>
        <w:spacing w:line="600" w:lineRule="exact"/>
        <w:ind w:firstLine="640" w:firstLineChars="200"/>
        <w:rPr>
          <w:rFonts w:eastAsia="黑体"/>
          <w:sz w:val="32"/>
          <w:szCs w:val="32"/>
        </w:rPr>
      </w:pPr>
      <w:r>
        <w:rPr>
          <w:rFonts w:hint="eastAsia" w:ascii="仿宋_GB2312" w:hAnsi="仿宋_GB2312" w:eastAsia="仿宋_GB2312" w:cs="仿宋_GB2312"/>
          <w:color w:val="auto"/>
          <w:sz w:val="32"/>
          <w:szCs w:val="32"/>
          <w:highlight w:val="none"/>
          <w:lang w:val="en-US" w:eastAsia="zh-CN" w:bidi="ar-SA"/>
        </w:rPr>
        <w:t>本单位无社会保险基金预算支出。</w:t>
      </w:r>
    </w:p>
    <w:p>
      <w:pPr>
        <w:spacing w:line="600" w:lineRule="exact"/>
        <w:ind w:firstLine="640" w:firstLineChars="200"/>
        <w:rPr>
          <w:rFonts w:eastAsia="华文细黑"/>
          <w:bCs/>
          <w:szCs w:val="32"/>
        </w:rPr>
      </w:pPr>
      <w:r>
        <w:rPr>
          <w:rFonts w:eastAsia="黑体"/>
          <w:sz w:val="32"/>
          <w:szCs w:val="32"/>
        </w:rPr>
        <w:t>六、部门整体支出绩效情况</w:t>
      </w:r>
    </w:p>
    <w:p>
      <w:pPr>
        <w:numPr>
          <w:ilvl w:val="0"/>
          <w:numId w:val="7"/>
        </w:numPr>
        <w:adjustRightInd/>
        <w:snapToGrid/>
        <w:ind w:firstLine="640" w:firstLineChars="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运行成本</w:t>
      </w:r>
    </w:p>
    <w:p>
      <w:pPr>
        <w:pStyle w:val="15"/>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进一步建立健全内部控制制度，修订《财务管理办法》，规范各项财务行为，明确服务购买程序，坚持依法依规依程序、保障运转、勤俭节约的原则，严格控制运行成本。</w:t>
      </w:r>
    </w:p>
    <w:p>
      <w:pPr>
        <w:numPr>
          <w:ilvl w:val="0"/>
          <w:numId w:val="7"/>
        </w:numPr>
        <w:adjustRightInd/>
        <w:snapToGrid/>
        <w:ind w:firstLine="640" w:firstLineChars="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管理效率</w:t>
      </w:r>
    </w:p>
    <w:p>
      <w:pPr>
        <w:pStyle w:val="15"/>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年部门整体预算数</w:t>
      </w:r>
      <w:r>
        <w:rPr>
          <w:rFonts w:hint="eastAsia" w:ascii="仿宋_GB2312" w:hAnsi="仿宋_GB2312" w:eastAsia="仿宋_GB2312" w:cs="仿宋_GB2312"/>
          <w:color w:val="auto"/>
          <w:sz w:val="32"/>
          <w:szCs w:val="32"/>
          <w:highlight w:val="none"/>
          <w:lang w:val="en-US" w:eastAsia="zh-CN"/>
        </w:rPr>
        <w:t>415.11</w:t>
      </w:r>
      <w:r>
        <w:rPr>
          <w:rFonts w:hint="eastAsia" w:ascii="仿宋_GB2312" w:hAnsi="仿宋_GB2312" w:eastAsia="仿宋_GB2312" w:cs="仿宋_GB2312"/>
          <w:color w:val="auto"/>
          <w:sz w:val="32"/>
          <w:szCs w:val="32"/>
          <w:highlight w:val="none"/>
        </w:rPr>
        <w:t>万元，执行数</w:t>
      </w:r>
      <w:r>
        <w:rPr>
          <w:rFonts w:hint="eastAsia" w:ascii="仿宋_GB2312" w:hAnsi="仿宋_GB2312" w:eastAsia="仿宋_GB2312" w:cs="仿宋_GB2312"/>
          <w:color w:val="auto"/>
          <w:sz w:val="32"/>
          <w:szCs w:val="32"/>
          <w:highlight w:val="none"/>
          <w:lang w:val="en-US" w:eastAsia="zh-CN"/>
        </w:rPr>
        <w:t>401.14</w:t>
      </w:r>
      <w:r>
        <w:rPr>
          <w:rFonts w:hint="eastAsia" w:ascii="仿宋_GB2312" w:hAnsi="仿宋_GB2312" w:eastAsia="仿宋_GB2312" w:cs="仿宋_GB2312"/>
          <w:color w:val="auto"/>
          <w:sz w:val="32"/>
          <w:szCs w:val="32"/>
          <w:highlight w:val="none"/>
        </w:rPr>
        <w:t>万元，预算整体执行率为</w:t>
      </w:r>
      <w:r>
        <w:rPr>
          <w:rFonts w:hint="eastAsia" w:ascii="仿宋_GB2312" w:hAnsi="仿宋_GB2312" w:eastAsia="仿宋_GB2312" w:cs="仿宋_GB2312"/>
          <w:color w:val="auto"/>
          <w:sz w:val="32"/>
          <w:szCs w:val="32"/>
          <w:highlight w:val="none"/>
          <w:lang w:val="en-US" w:eastAsia="zh-CN"/>
        </w:rPr>
        <w:t>96.63</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年财政拨款预算数</w:t>
      </w:r>
      <w:r>
        <w:rPr>
          <w:rFonts w:hint="eastAsia" w:ascii="仿宋_GB2312" w:hAnsi="仿宋_GB2312" w:eastAsia="仿宋_GB2312" w:cs="仿宋_GB2312"/>
          <w:color w:val="auto"/>
          <w:sz w:val="32"/>
          <w:szCs w:val="32"/>
          <w:highlight w:val="none"/>
          <w:lang w:val="en-US" w:eastAsia="zh-CN"/>
        </w:rPr>
        <w:t>393.17</w:t>
      </w:r>
      <w:r>
        <w:rPr>
          <w:rFonts w:hint="eastAsia" w:ascii="仿宋_GB2312" w:hAnsi="仿宋_GB2312" w:eastAsia="仿宋_GB2312" w:cs="仿宋_GB2312"/>
          <w:color w:val="auto"/>
          <w:sz w:val="32"/>
          <w:szCs w:val="32"/>
          <w:highlight w:val="none"/>
        </w:rPr>
        <w:t>万元，执行数</w:t>
      </w:r>
      <w:r>
        <w:rPr>
          <w:rFonts w:hint="eastAsia" w:ascii="仿宋_GB2312" w:hAnsi="仿宋_GB2312" w:eastAsia="仿宋_GB2312" w:cs="仿宋_GB2312"/>
          <w:color w:val="auto"/>
          <w:sz w:val="32"/>
          <w:szCs w:val="32"/>
          <w:highlight w:val="none"/>
          <w:lang w:val="en-US" w:eastAsia="zh-CN"/>
        </w:rPr>
        <w:t>379.2</w:t>
      </w:r>
      <w:r>
        <w:rPr>
          <w:rFonts w:hint="eastAsia" w:ascii="仿宋_GB2312" w:hAnsi="仿宋_GB2312" w:eastAsia="仿宋_GB2312" w:cs="仿宋_GB2312"/>
          <w:color w:val="auto"/>
          <w:sz w:val="32"/>
          <w:szCs w:val="32"/>
          <w:highlight w:val="none"/>
        </w:rPr>
        <w:t>万元，财政拨款部分预算执行率为</w:t>
      </w:r>
      <w:r>
        <w:rPr>
          <w:rFonts w:hint="eastAsia" w:ascii="仿宋_GB2312" w:hAnsi="仿宋_GB2312" w:eastAsia="仿宋_GB2312" w:cs="仿宋_GB2312"/>
          <w:color w:val="auto"/>
          <w:sz w:val="32"/>
          <w:szCs w:val="32"/>
          <w:highlight w:val="none"/>
          <w:lang w:val="en-US" w:eastAsia="zh-CN"/>
        </w:rPr>
        <w:t>96.45</w:t>
      </w:r>
      <w:r>
        <w:rPr>
          <w:rFonts w:hint="eastAsia" w:ascii="仿宋_GB2312" w:hAnsi="仿宋_GB2312" w:eastAsia="仿宋_GB2312" w:cs="仿宋_GB2312"/>
          <w:color w:val="auto"/>
          <w:sz w:val="32"/>
          <w:szCs w:val="32"/>
          <w:highlight w:val="none"/>
        </w:rPr>
        <w:t>%。</w:t>
      </w:r>
    </w:p>
    <w:p>
      <w:pPr>
        <w:numPr>
          <w:ilvl w:val="0"/>
          <w:numId w:val="7"/>
        </w:numPr>
        <w:adjustRightInd/>
        <w:snapToGrid/>
        <w:ind w:firstLine="640" w:firstLineChars="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履职效能、社会效应等</w:t>
      </w:r>
    </w:p>
    <w:p>
      <w:pPr>
        <w:keepNext w:val="0"/>
        <w:keepLines w:val="0"/>
        <w:pageBreakBefore w:val="0"/>
        <w:widowControl w:val="0"/>
        <w:kinsoku/>
        <w:wordWrap/>
        <w:overflowPunct/>
        <w:topLinePunct w:val="0"/>
        <w:autoSpaceDE w:val="0"/>
        <w:autoSpaceDN/>
        <w:bidi w:val="0"/>
        <w:adjustRightInd/>
        <w:snapToGrid/>
        <w:spacing w:line="600" w:lineRule="exact"/>
        <w:ind w:firstLine="640" w:firstLineChars="200"/>
        <w:textAlignment w:val="auto"/>
        <w:outlineLvl w:val="3"/>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是精准研判农业农村经济新形势。今年农业农村经济运行是近年来最困难的一年，个别指标受多重因素影响，下滑明显，对农业农村经济研判分析带来巨大压力。在厅党组关心支持下，我们承担起了经济调度专班的重任，紧紧围绕每季度省委常委会、省政府常务会、“八大行动”月调度会，以及省领导赴市州调研等重要会议和活动，为厅党组完成了上百篇的报告材料，发挥了重要参谋作用。同时，初步构建了分产业、分县市区的经济调度运行机制，召开农业经济统计调度会议2次，开展统计培训1次，陪同厅领导赴统计、国调等部门7次，自主对接拜访12次，抓准每一个增量因素、每一个利好环节、每一个实效举措，来支撑农业农村经济运行的各方面研判。</w:t>
      </w:r>
    </w:p>
    <w:p>
      <w:pPr>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是稳步推进农情调度运行新模式。严格按照《农情调度月历》要求，按时、按质完成农情数据上报任务。按照部种植业司农情处要求，密切关注农业生产动态，加强农情综合分析，共向部种植业司农情处报送农业生产动态信息45余篇，共报告厅党组《农情快报》48期，为领导及时掌握农业生产动态、科学决策农业生产提供了积极参谋。同时，联合气象部门先后开展油菜产量预测、水稻产量预测等研判分析会，并形成预测报告报厅领导及其他相关单位。在春耕、油菜收获、中晚稻种植等关键农时，联合气象部门发布农事建议专报20预期，在晚间气象预报、“为农服务APP”等媒体平台播放、发布，发挥了较好服务作用。</w:t>
      </w:r>
    </w:p>
    <w:p>
      <w:pPr>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是坚决落实防灾减灾工作新要求。今年，我省先后经历春节前后的3轮低温雨雪冰冻灾害和6月连续8轮的强降雨过程。中心全体干部在灾害发生期间，坚决落实值班值守、预警预报和灾情日报等工作制度。省、市、县三级农情员在灾害发生期间每天定时收集、分析和报送灾情，及时掌握全省灾情发生发展动态，特别是春节期间，各级农情员均取消休假，坚持灾情调度工作至除夕，6月洪涝灾害更是全月实行每日一报。全年，共联合气象部门发布农业灾情联合预警16期，起草防灾电报3次，报厅领导灾情报告25期，报部种植业司防灾减灾处情况6次，为全省农业防灾减灾工作做出了应有贡献。其中，早稻受损数据与统计最后公布数据，逻辑性实现了高度一致，农业灾情调度精准性进一步提高。</w:t>
      </w:r>
    </w:p>
    <w:p>
      <w:pPr>
        <w:numPr>
          <w:ilvl w:val="0"/>
          <w:numId w:val="7"/>
        </w:numPr>
        <w:adjustRightInd/>
        <w:snapToGrid/>
        <w:ind w:firstLine="640" w:firstLineChars="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可持续发展能力</w:t>
      </w:r>
    </w:p>
    <w:p>
      <w:pPr>
        <w:widowControl w:val="0"/>
        <w:numPr>
          <w:ilvl w:val="0"/>
          <w:numId w:val="0"/>
        </w:numPr>
        <w:adjustRightInd/>
        <w:snapToGrid/>
        <w:spacing w:line="579" w:lineRule="atLeast"/>
        <w:ind w:firstLine="640" w:firstLineChars="200"/>
        <w:jc w:val="both"/>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初步构建农业农村经济形势分析主要指标体系，为后段农业农村经济形势分析开展打牢工作基础。</w:t>
      </w:r>
    </w:p>
    <w:p>
      <w:pPr>
        <w:numPr>
          <w:ilvl w:val="0"/>
          <w:numId w:val="7"/>
        </w:numPr>
        <w:adjustRightInd/>
        <w:snapToGrid/>
        <w:ind w:firstLine="640" w:firstLineChars="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服务对象满意度</w:t>
      </w:r>
    </w:p>
    <w:p>
      <w:pPr>
        <w:pStyle w:val="10"/>
        <w:keepNext w:val="0"/>
        <w:keepLines w:val="0"/>
        <w:widowControl/>
        <w:suppressLineNumbers w:val="0"/>
        <w:shd w:val="clear" w:color="auto" w:fill="FFFFFF"/>
        <w:wordWrap/>
        <w:spacing w:before="0" w:beforeAutospacing="0" w:after="0" w:afterAutospacing="0"/>
        <w:ind w:left="0" w:leftChars="0" w:right="0"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农情工作再获全国2等奖，收到部种植业司来函感谢。</w:t>
      </w:r>
    </w:p>
    <w:p>
      <w:pPr>
        <w:pStyle w:val="16"/>
        <w:spacing w:line="600" w:lineRule="exact"/>
        <w:ind w:firstLine="640"/>
        <w:rPr>
          <w:rFonts w:eastAsia="华文细黑"/>
          <w:bCs/>
          <w:szCs w:val="32"/>
        </w:rPr>
      </w:pPr>
      <w:r>
        <w:rPr>
          <w:rFonts w:ascii="Times New Roman" w:hAnsi="Times New Roman" w:eastAsia="黑体"/>
          <w:sz w:val="32"/>
          <w:szCs w:val="32"/>
        </w:rPr>
        <w:t>七、存在的问题及原因分析</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预算执行过程中，因不可预见因素需要对预算进行调整时，由于调整流程繁琐耗时，导致无法及时应对变化，从而影响预算的执行效果。</w:t>
      </w:r>
    </w:p>
    <w:p>
      <w:pPr>
        <w:numPr>
          <w:ilvl w:val="0"/>
          <w:numId w:val="8"/>
        </w:numPr>
        <w:spacing w:line="600" w:lineRule="exact"/>
        <w:ind w:firstLine="640" w:firstLineChars="200"/>
        <w:rPr>
          <w:rFonts w:eastAsia="黑体"/>
          <w:sz w:val="32"/>
          <w:szCs w:val="32"/>
        </w:rPr>
      </w:pPr>
      <w:r>
        <w:rPr>
          <w:rFonts w:eastAsia="黑体"/>
          <w:sz w:val="32"/>
          <w:szCs w:val="32"/>
        </w:rPr>
        <w:t>下一步改进措施</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强化部门间沟通与协作，在充分了解本单位工作任务和各科室实际需求基础上，进一步提高预算编制准确性和合理性；同时，增强预算的刚性约束，强化预算对执行的控制，严格把关各项经费开支。</w:t>
      </w:r>
    </w:p>
    <w:p>
      <w:pPr>
        <w:numPr>
          <w:ilvl w:val="0"/>
          <w:numId w:val="8"/>
        </w:numPr>
        <w:spacing w:line="600" w:lineRule="exact"/>
        <w:ind w:left="0" w:leftChars="0" w:firstLine="640" w:firstLineChars="200"/>
        <w:rPr>
          <w:rFonts w:eastAsia="黑体"/>
          <w:sz w:val="32"/>
          <w:szCs w:val="32"/>
          <w:highlight w:val="none"/>
        </w:rPr>
      </w:pPr>
      <w:r>
        <w:rPr>
          <w:rFonts w:eastAsia="黑体"/>
          <w:sz w:val="32"/>
          <w:szCs w:val="32"/>
          <w:highlight w:val="none"/>
        </w:rPr>
        <w:t>绩效自评结果拟应用和公开情况</w:t>
      </w:r>
    </w:p>
    <w:p>
      <w:pPr>
        <w:widowControl w:val="0"/>
        <w:numPr>
          <w:ilvl w:val="0"/>
          <w:numId w:val="0"/>
        </w:numPr>
        <w:adjustRightInd/>
        <w:snapToGrid/>
        <w:spacing w:line="579" w:lineRule="atLeast"/>
        <w:ind w:firstLine="640" w:firstLineChars="200"/>
        <w:jc w:val="both"/>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将自评结果作为下一年度预算编制的依据，优先保障绩效突出的项目，针对自评中发现的短板，继续跟进落实，必要时重新设定绩效目标；根据政府信息公开要求，通过官网等形式向社会公开。</w:t>
      </w:r>
    </w:p>
    <w:p>
      <w:pPr>
        <w:numPr>
          <w:ilvl w:val="0"/>
          <w:numId w:val="0"/>
        </w:numPr>
        <w:spacing w:line="600" w:lineRule="exact"/>
        <w:ind w:firstLine="640" w:firstLineChars="200"/>
        <w:rPr>
          <w:rFonts w:eastAsia="黑体"/>
          <w:sz w:val="32"/>
          <w:szCs w:val="32"/>
        </w:rPr>
      </w:pPr>
      <w:r>
        <w:rPr>
          <w:rFonts w:hint="eastAsia" w:eastAsia="黑体"/>
          <w:sz w:val="32"/>
          <w:szCs w:val="32"/>
          <w:lang w:eastAsia="zh-CN"/>
        </w:rPr>
        <w:t>十、</w:t>
      </w:r>
      <w:r>
        <w:rPr>
          <w:rFonts w:eastAsia="黑体"/>
          <w:sz w:val="32"/>
          <w:szCs w:val="32"/>
        </w:rPr>
        <w:t>其他需要说明的情况</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无。</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附件1:部门整体支出绩效评价基础数据表</w:t>
      </w:r>
    </w:p>
    <w:p>
      <w:pPr>
        <w:widowControl w:val="0"/>
        <w:numPr>
          <w:ilvl w:val="0"/>
          <w:numId w:val="0"/>
        </w:numPr>
        <w:adjustRightInd/>
        <w:snapToGrid/>
        <w:spacing w:line="579" w:lineRule="atLeast"/>
        <w:ind w:firstLine="640" w:firstLineChars="200"/>
        <w:jc w:val="both"/>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附件2:部门整体支出绩效自评表</w:t>
      </w:r>
    </w:p>
    <w:p>
      <w:pPr>
        <w:pStyle w:val="2"/>
        <w:ind w:left="0" w:leftChars="0" w:firstLine="0" w:firstLineChars="0"/>
        <w:rPr>
          <w:rFonts w:hint="eastAsia"/>
          <w:lang w:val="en-US" w:eastAsia="zh-CN"/>
        </w:rPr>
      </w:pPr>
    </w:p>
    <w:p>
      <w:pPr>
        <w:pStyle w:val="3"/>
        <w:ind w:firstLine="0" w:firstLineChars="0"/>
        <w:rPr>
          <w:highlight w:val="none"/>
        </w:rPr>
      </w:pPr>
    </w:p>
    <w:p>
      <w:pPr>
        <w:pStyle w:val="3"/>
        <w:ind w:firstLine="0" w:firstLineChars="0"/>
        <w:rPr>
          <w:rFonts w:hint="eastAsia"/>
          <w:lang w:val="en-US" w:eastAsia="zh-CN"/>
        </w:rPr>
      </w:pPr>
      <w:r>
        <w:rPr>
          <w:highlight w:val="none"/>
        </w:rPr>
        <w:t>附件</w:t>
      </w:r>
      <w:r>
        <w:rPr>
          <w:rFonts w:hint="eastAsia"/>
          <w:highlight w:val="none"/>
          <w:lang w:val="en-US" w:eastAsia="zh-CN"/>
        </w:rPr>
        <w:t>1：</w:t>
      </w: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w:t>
      </w:r>
      <w:r>
        <w:rPr>
          <w:rFonts w:hint="eastAsia" w:eastAsia="方正小标宋简体"/>
          <w:color w:val="000000"/>
          <w:sz w:val="36"/>
          <w:szCs w:val="36"/>
          <w:lang w:val="en-US" w:eastAsia="zh-CN"/>
        </w:rPr>
        <w:t>4</w:t>
      </w:r>
      <w:r>
        <w:rPr>
          <w:rFonts w:eastAsia="方正小标宋简体"/>
          <w:color w:val="000000"/>
          <w:sz w:val="36"/>
          <w:szCs w:val="36"/>
        </w:rPr>
        <w:t>年度部门整体支出绩效评价基础数据表</w:t>
      </w:r>
    </w:p>
    <w:tbl>
      <w:tblPr>
        <w:tblStyle w:val="11"/>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4</w:t>
            </w:r>
            <w:r>
              <w:rPr>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控制率</w:t>
            </w:r>
          </w:p>
        </w:tc>
      </w:tr>
      <w:tr>
        <w:tblPrEx>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sz w:val="20"/>
                <w:szCs w:val="20"/>
              </w:rPr>
              <w:t>　</w:t>
            </w:r>
            <w:r>
              <w:rPr>
                <w:rFonts w:hint="eastAsia"/>
                <w:sz w:val="20"/>
                <w:szCs w:val="20"/>
                <w:lang w:val="en-US" w:eastAsia="zh-CN"/>
              </w:rPr>
              <w:t>17</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14</w:t>
            </w:r>
            <w:r>
              <w:rPr>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82.35%</w:t>
            </w:r>
            <w:r>
              <w:rPr>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3</w:t>
            </w:r>
            <w:r>
              <w:rPr>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4</w:t>
            </w:r>
            <w:r>
              <w:rPr>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4</w:t>
            </w:r>
            <w:r>
              <w:rPr>
                <w:b/>
                <w:bCs/>
                <w:sz w:val="20"/>
                <w:szCs w:val="20"/>
              </w:rPr>
              <w:t>年决算数</w:t>
            </w:r>
          </w:p>
        </w:tc>
      </w:tr>
      <w:tr>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0.11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0.11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7.89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17.76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4.43</w:t>
            </w:r>
            <w:r>
              <w:rPr>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color w:val="000000"/>
                <w:sz w:val="20"/>
                <w:szCs w:val="20"/>
              </w:rPr>
            </w:pPr>
            <w:r>
              <w:rPr>
                <w:color w:val="000000"/>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000000"/>
                <w:sz w:val="20"/>
                <w:szCs w:val="20"/>
                <w:lang w:val="en-US"/>
              </w:rPr>
            </w:pPr>
            <w:r>
              <w:rPr>
                <w:rFonts w:hint="eastAsia"/>
                <w:color w:val="000000"/>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rPr>
            </w:pPr>
            <w:r>
              <w:rPr>
                <w:rFonts w:hint="eastAsia"/>
                <w:color w:val="auto"/>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rPr>
            </w:pPr>
            <w:r>
              <w:rPr>
                <w:rFonts w:hint="eastAsia"/>
                <w:color w:val="auto"/>
                <w:sz w:val="20"/>
                <w:szCs w:val="20"/>
                <w:lang w:val="en-US" w:eastAsia="zh-CN"/>
              </w:rPr>
              <w:t>0</w:t>
            </w:r>
          </w:p>
        </w:tc>
      </w:tr>
      <w:tr>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3、省级专项资金（每个专项一行）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2.89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2.67</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3.1现代农业农村发展专项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2.89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16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2.67</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rFonts w:hint="default"/>
                <w:sz w:val="20"/>
                <w:szCs w:val="20"/>
                <w:lang w:val="en-US" w:eastAsia="zh-CN"/>
              </w:rPr>
            </w:pPr>
            <w:r>
              <w:rPr>
                <w:rFonts w:hint="eastAsia"/>
                <w:sz w:val="20"/>
                <w:szCs w:val="20"/>
                <w:lang w:val="en-US" w:eastAsia="zh-CN"/>
              </w:rPr>
              <w:t>4其他事业发展资金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1.76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1.76</w:t>
            </w:r>
          </w:p>
        </w:tc>
      </w:tr>
      <w:tr>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25.29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27.26</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26.62</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0.5</w:t>
            </w:r>
            <w:r>
              <w:rPr>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highlight w:val="none"/>
                <w:lang w:val="en-US" w:eastAsia="zh-CN"/>
              </w:rPr>
            </w:pPr>
            <w:r>
              <w:rPr>
                <w:rFonts w:hint="eastAsia"/>
                <w:color w:val="auto"/>
                <w:sz w:val="20"/>
                <w:szCs w:val="20"/>
                <w:highlight w:val="none"/>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0.5</w:t>
            </w:r>
            <w:r>
              <w:rPr>
                <w:color w:val="auto"/>
                <w:sz w:val="20"/>
                <w:szCs w:val="20"/>
                <w:highlight w:val="none"/>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0.5</w:t>
            </w:r>
            <w:r>
              <w:rPr>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highlight w:val="none"/>
                <w:lang w:val="en-US" w:eastAsia="zh-CN"/>
              </w:rPr>
            </w:pPr>
            <w:r>
              <w:rPr>
                <w:rFonts w:hint="eastAsia"/>
                <w:color w:val="auto"/>
                <w:sz w:val="20"/>
                <w:szCs w:val="20"/>
                <w:highlight w:val="none"/>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0.5</w:t>
            </w:r>
            <w:r>
              <w:rPr>
                <w:color w:val="auto"/>
                <w:sz w:val="20"/>
                <w:szCs w:val="20"/>
                <w:highlight w:val="none"/>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w:t>
            </w:r>
            <w:r>
              <w:rPr>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w:t>
            </w:r>
            <w:r>
              <w:rPr>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highlight w:val="none"/>
              </w:rPr>
            </w:pPr>
            <w:r>
              <w:rPr>
                <w:rFonts w:hint="eastAsia"/>
                <w:color w:val="auto"/>
                <w:sz w:val="20"/>
                <w:szCs w:val="20"/>
                <w:highlight w:val="none"/>
                <w:lang w:val="en-US" w:eastAsia="zh-CN"/>
              </w:rPr>
              <w:t>0</w:t>
            </w:r>
            <w:r>
              <w:rPr>
                <w:color w:val="auto"/>
                <w:sz w:val="20"/>
                <w:szCs w:val="20"/>
                <w:highlight w:val="none"/>
              </w:rPr>
              <w:t>　</w:t>
            </w:r>
          </w:p>
        </w:tc>
      </w:tr>
      <w:tr>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21.16</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楼堂馆所控制情况</w:t>
            </w:r>
            <w:r>
              <w:rPr>
                <w:sz w:val="20"/>
                <w:szCs w:val="20"/>
              </w:rPr>
              <w:br w:type="textWrapping"/>
            </w:r>
            <w:r>
              <w:rPr>
                <w:sz w:val="20"/>
                <w:szCs w:val="20"/>
              </w:rPr>
              <w:t>（202</w:t>
            </w:r>
            <w:r>
              <w:rPr>
                <w:rFonts w:hint="eastAsia"/>
                <w:sz w:val="20"/>
                <w:szCs w:val="20"/>
                <w:lang w:val="en-US" w:eastAsia="zh-CN"/>
              </w:rPr>
              <w:t>4</w:t>
            </w:r>
            <w:r>
              <w:rPr>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批复规模</w:t>
            </w:r>
            <w:r>
              <w:rPr>
                <w:bCs/>
                <w:sz w:val="20"/>
                <w:szCs w:val="20"/>
              </w:rPr>
              <w:br w:type="textWrapping"/>
            </w:r>
            <w:r>
              <w:rPr>
                <w:bCs/>
                <w:sz w:val="20"/>
                <w:szCs w:val="20"/>
              </w:rPr>
              <w:t>（</w:t>
            </w:r>
            <w:r>
              <w:rPr>
                <w:rFonts w:eastAsia="宋体"/>
                <w:bCs/>
                <w:sz w:val="20"/>
                <w:szCs w:val="20"/>
              </w:rPr>
              <w:t>㎡</w:t>
            </w:r>
            <w:r>
              <w:rPr>
                <w:bCs/>
                <w:sz w:val="20"/>
                <w:szCs w:val="20"/>
              </w:rPr>
              <w:t>）</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实际规模（</w:t>
            </w:r>
            <w:r>
              <w:rPr>
                <w:rFonts w:eastAsia="宋体"/>
                <w:bCs/>
                <w:sz w:val="20"/>
                <w:szCs w:val="20"/>
              </w:rPr>
              <w:t>㎡</w:t>
            </w:r>
            <w:r>
              <w:rPr>
                <w:bCs/>
                <w:sz w:val="20"/>
                <w:szCs w:val="20"/>
              </w:rPr>
              <w:t>）</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投资概算控制率</w:t>
            </w:r>
          </w:p>
        </w:tc>
      </w:tr>
      <w:tr>
        <w:tblPrEx>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r>
      <w:tr>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left"/>
              <w:textAlignment w:val="center"/>
              <w:rPr>
                <w:sz w:val="20"/>
                <w:szCs w:val="20"/>
              </w:rPr>
            </w:pPr>
            <w:r>
              <w:rPr>
                <w:rFonts w:hint="eastAsia"/>
                <w:sz w:val="20"/>
                <w:szCs w:val="20"/>
                <w:lang w:val="en-US" w:eastAsia="zh-CN"/>
              </w:rPr>
              <w:t>加强公用经费管理，推行无纸化办公，控制出差人数和会议规模，不安排没有实际意义的公务和会议活动。</w:t>
            </w:r>
          </w:p>
        </w:tc>
      </w:tr>
    </w:tbl>
    <w:p>
      <w:pPr>
        <w:widowControl/>
        <w:adjustRightInd/>
        <w:snapToGrid/>
        <w:spacing w:line="400" w:lineRule="exact"/>
        <w:ind w:firstLine="0" w:firstLineChars="0"/>
        <w:jc w:val="left"/>
        <w:rPr>
          <w:sz w:val="22"/>
        </w:rPr>
      </w:pPr>
      <w:r>
        <w:rPr>
          <w:sz w:val="22"/>
        </w:rPr>
        <w:t>说明：“项目支出”需要填报基本支出以外的所有项目支出情况，“公用经费”填报基本支出中的一般商品和服务支出。</w:t>
      </w:r>
    </w:p>
    <w:p>
      <w:pPr>
        <w:keepNext w:val="0"/>
        <w:keepLines w:val="0"/>
        <w:pageBreakBefore w:val="0"/>
        <w:widowControl w:val="0"/>
        <w:kinsoku/>
        <w:wordWrap/>
        <w:overflowPunct/>
        <w:topLinePunct w:val="0"/>
        <w:autoSpaceDE w:val="0"/>
        <w:autoSpaceDN/>
        <w:bidi w:val="0"/>
        <w:adjustRightInd/>
        <w:snapToGrid/>
        <w:spacing w:line="600" w:lineRule="exact"/>
        <w:ind w:left="0" w:leftChars="0" w:firstLine="0" w:firstLineChars="0"/>
        <w:textAlignment w:val="auto"/>
        <w:outlineLvl w:val="3"/>
        <w:rPr>
          <w:rFonts w:hint="eastAsia" w:ascii="仿宋_GB2312" w:hAnsi="仿宋_GB2312" w:cs="仿宋_GB2312"/>
          <w:bCs/>
          <w:spacing w:val="-2"/>
          <w:sz w:val="32"/>
          <w:szCs w:val="32"/>
          <w:lang w:val="en-US" w:eastAsia="zh-CN"/>
        </w:rPr>
      </w:pPr>
    </w:p>
    <w:p>
      <w:pPr>
        <w:keepNext w:val="0"/>
        <w:keepLines w:val="0"/>
        <w:pageBreakBefore w:val="0"/>
        <w:widowControl w:val="0"/>
        <w:kinsoku/>
        <w:wordWrap/>
        <w:overflowPunct/>
        <w:topLinePunct w:val="0"/>
        <w:autoSpaceDE w:val="0"/>
        <w:autoSpaceDN/>
        <w:bidi w:val="0"/>
        <w:adjustRightInd/>
        <w:snapToGrid/>
        <w:spacing w:line="600" w:lineRule="exact"/>
        <w:textAlignment w:val="auto"/>
        <w:outlineLvl w:val="3"/>
        <w:rPr>
          <w:rFonts w:hint="default" w:ascii="仿宋_GB2312" w:hAnsi="仿宋_GB2312" w:cs="仿宋_GB2312"/>
          <w:bCs/>
          <w:spacing w:val="-2"/>
          <w:sz w:val="32"/>
          <w:szCs w:val="32"/>
          <w:lang w:val="en-US" w:eastAsia="zh-CN"/>
        </w:rPr>
      </w:pPr>
    </w:p>
    <w:p>
      <w:pPr>
        <w:pStyle w:val="2"/>
        <w:rPr>
          <w:rFonts w:hint="default"/>
          <w:lang w:val="en-US" w:eastAsia="zh-CN"/>
        </w:rPr>
      </w:pPr>
    </w:p>
    <w:p>
      <w:pPr>
        <w:pStyle w:val="2"/>
        <w:rPr>
          <w:rFonts w:hint="default"/>
          <w:lang w:val="en-US" w:eastAsia="zh-CN"/>
        </w:rPr>
      </w:pPr>
    </w:p>
    <w:p>
      <w:pPr>
        <w:pStyle w:val="3"/>
        <w:ind w:firstLine="0" w:firstLineChars="0"/>
        <w:rPr>
          <w:rFonts w:hint="eastAsia"/>
          <w:highlight w:val="none"/>
          <w:lang w:eastAsia="zh-CN"/>
        </w:rPr>
      </w:pPr>
      <w:r>
        <w:rPr>
          <w:highlight w:val="none"/>
        </w:rPr>
        <w:t>附件</w:t>
      </w:r>
      <w:r>
        <w:rPr>
          <w:rFonts w:hint="eastAsia"/>
          <w:highlight w:val="none"/>
          <w:lang w:val="en-US" w:eastAsia="zh-CN"/>
        </w:rPr>
        <w:t>2：</w:t>
      </w:r>
    </w:p>
    <w:p>
      <w:pPr>
        <w:widowControl/>
        <w:adjustRightInd/>
        <w:snapToGrid/>
        <w:spacing w:line="240" w:lineRule="auto"/>
        <w:ind w:firstLine="0" w:firstLineChars="0"/>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w:t>
      </w:r>
      <w:r>
        <w:rPr>
          <w:rFonts w:hint="eastAsia" w:eastAsia="仿宋_GB2312"/>
          <w:color w:val="000000"/>
          <w:kern w:val="0"/>
          <w:sz w:val="21"/>
          <w:szCs w:val="21"/>
          <w:lang w:val="en-US" w:eastAsia="zh-CN"/>
        </w:rPr>
        <w:t>2024</w:t>
      </w:r>
      <w:r>
        <w:rPr>
          <w:rFonts w:eastAsia="仿宋_GB2312"/>
          <w:color w:val="000000"/>
          <w:kern w:val="0"/>
          <w:sz w:val="21"/>
          <w:szCs w:val="21"/>
        </w:rPr>
        <w:t>年度）</w:t>
      </w:r>
    </w:p>
    <w:tbl>
      <w:tblPr>
        <w:tblStyle w:val="11"/>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377"/>
        <w:gridCol w:w="777"/>
        <w:gridCol w:w="1553"/>
        <w:gridCol w:w="92"/>
        <w:gridCol w:w="1194"/>
        <w:gridCol w:w="1126"/>
        <w:gridCol w:w="706"/>
        <w:gridCol w:w="10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省级预算部门名称</w:t>
            </w:r>
          </w:p>
        </w:tc>
        <w:tc>
          <w:tcPr>
            <w:tcW w:w="9260" w:type="dxa"/>
            <w:gridSpan w:val="9"/>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宋体"/>
                <w:color w:val="000000"/>
                <w:sz w:val="20"/>
                <w:szCs w:val="20"/>
              </w:rPr>
              <w:t>　</w:t>
            </w:r>
            <w:r>
              <w:rPr>
                <w:rFonts w:hint="eastAsia" w:eastAsia="宋体"/>
                <w:color w:val="000000"/>
                <w:sz w:val="20"/>
                <w:szCs w:val="20"/>
                <w:lang w:eastAsia="zh-CN"/>
              </w:rPr>
              <w:t>湖南省农情分析研究中心</w:t>
            </w: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年度预</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算申请</w:t>
            </w:r>
            <w:r>
              <w:rPr>
                <w:rFonts w:eastAsia="仿宋_GB2312"/>
                <w:color w:val="000000"/>
                <w:kern w:val="0"/>
                <w:sz w:val="21"/>
                <w:szCs w:val="21"/>
              </w:rPr>
              <w:br w:type="textWrapping"/>
            </w:r>
            <w:r>
              <w:rPr>
                <w:rFonts w:eastAsia="仿宋_GB2312"/>
                <w:color w:val="000000"/>
                <w:kern w:val="0"/>
                <w:sz w:val="21"/>
                <w:szCs w:val="21"/>
              </w:rPr>
              <w:t>（万元）</w:t>
            </w:r>
          </w:p>
        </w:tc>
        <w:tc>
          <w:tcPr>
            <w:tcW w:w="2154" w:type="dxa"/>
            <w:gridSpan w:val="2"/>
            <w:noWrap w:val="0"/>
            <w:vAlign w:val="center"/>
          </w:tcPr>
          <w:p>
            <w:pPr>
              <w:adjustRightInd/>
              <w:snapToGrid/>
              <w:spacing w:line="240" w:lineRule="auto"/>
              <w:ind w:firstLine="0" w:firstLineChars="0"/>
              <w:jc w:val="center"/>
              <w:rPr>
                <w:rFonts w:eastAsia="仿宋_GB2312"/>
                <w:sz w:val="21"/>
                <w:szCs w:val="21"/>
              </w:rPr>
            </w:pPr>
          </w:p>
        </w:tc>
        <w:tc>
          <w:tcPr>
            <w:tcW w:w="1553" w:type="dxa"/>
            <w:noWrap w:val="0"/>
            <w:vAlign w:val="center"/>
          </w:tcPr>
          <w:p>
            <w:pPr>
              <w:adjustRightInd/>
              <w:snapToGrid/>
              <w:spacing w:line="240" w:lineRule="auto"/>
              <w:ind w:firstLine="0" w:firstLineChars="0"/>
              <w:jc w:val="center"/>
              <w:rPr>
                <w:rFonts w:hint="eastAsia" w:eastAsia="仿宋_GB2312"/>
                <w:sz w:val="21"/>
                <w:szCs w:val="21"/>
              </w:rPr>
            </w:pPr>
            <w:r>
              <w:rPr>
                <w:rFonts w:eastAsia="仿宋_GB2312"/>
                <w:sz w:val="21"/>
                <w:szCs w:val="21"/>
              </w:rPr>
              <w:t>年初</w:t>
            </w:r>
          </w:p>
          <w:p>
            <w:pPr>
              <w:adjustRightInd/>
              <w:snapToGrid/>
              <w:spacing w:line="240" w:lineRule="auto"/>
              <w:ind w:firstLine="0" w:firstLineChars="0"/>
              <w:jc w:val="center"/>
              <w:rPr>
                <w:rFonts w:eastAsia="仿宋_GB2312"/>
                <w:sz w:val="21"/>
                <w:szCs w:val="21"/>
              </w:rPr>
            </w:pPr>
            <w:r>
              <w:rPr>
                <w:rFonts w:eastAsia="仿宋_GB2312"/>
                <w:sz w:val="21"/>
                <w:szCs w:val="21"/>
              </w:rPr>
              <w:t>预算数</w:t>
            </w:r>
          </w:p>
        </w:tc>
        <w:tc>
          <w:tcPr>
            <w:tcW w:w="1286" w:type="dxa"/>
            <w:gridSpan w:val="2"/>
            <w:noWrap w:val="0"/>
            <w:vAlign w:val="center"/>
          </w:tcPr>
          <w:p>
            <w:pPr>
              <w:adjustRightInd/>
              <w:snapToGrid/>
              <w:spacing w:line="240" w:lineRule="auto"/>
              <w:ind w:firstLine="0" w:firstLineChars="0"/>
              <w:jc w:val="center"/>
              <w:rPr>
                <w:rFonts w:eastAsia="仿宋_GB2312"/>
                <w:sz w:val="21"/>
                <w:szCs w:val="21"/>
              </w:rPr>
            </w:pPr>
            <w:r>
              <w:rPr>
                <w:rFonts w:eastAsia="仿宋_GB2312"/>
                <w:sz w:val="21"/>
                <w:szCs w:val="21"/>
              </w:rPr>
              <w:t>全年预算数</w:t>
            </w:r>
          </w:p>
        </w:tc>
        <w:tc>
          <w:tcPr>
            <w:tcW w:w="1126" w:type="dxa"/>
            <w:noWrap w:val="0"/>
            <w:vAlign w:val="center"/>
          </w:tcPr>
          <w:p>
            <w:pPr>
              <w:adjustRightInd/>
              <w:snapToGrid/>
              <w:spacing w:line="240" w:lineRule="auto"/>
              <w:ind w:firstLine="0" w:firstLineChars="0"/>
              <w:jc w:val="center"/>
              <w:rPr>
                <w:rFonts w:hint="eastAsia" w:eastAsia="仿宋_GB2312"/>
                <w:sz w:val="21"/>
                <w:szCs w:val="21"/>
              </w:rPr>
            </w:pPr>
            <w:r>
              <w:rPr>
                <w:rFonts w:eastAsia="仿宋_GB2312"/>
                <w:sz w:val="21"/>
                <w:szCs w:val="21"/>
              </w:rPr>
              <w:t>全年</w:t>
            </w:r>
          </w:p>
          <w:p>
            <w:pPr>
              <w:adjustRightInd/>
              <w:snapToGrid/>
              <w:spacing w:line="240" w:lineRule="auto"/>
              <w:ind w:firstLine="0" w:firstLineChars="0"/>
              <w:jc w:val="center"/>
              <w:rPr>
                <w:rFonts w:eastAsia="仿宋_GB2312"/>
                <w:sz w:val="21"/>
                <w:szCs w:val="21"/>
              </w:rPr>
            </w:pPr>
            <w:r>
              <w:rPr>
                <w:rFonts w:eastAsia="仿宋_GB2312"/>
                <w:sz w:val="21"/>
                <w:szCs w:val="21"/>
              </w:rPr>
              <w:t>执行数</w:t>
            </w:r>
          </w:p>
        </w:tc>
        <w:tc>
          <w:tcPr>
            <w:tcW w:w="706" w:type="dxa"/>
            <w:noWrap w:val="0"/>
            <w:vAlign w:val="center"/>
          </w:tcPr>
          <w:p>
            <w:pPr>
              <w:adjustRightInd/>
              <w:snapToGrid/>
              <w:spacing w:line="240" w:lineRule="auto"/>
              <w:ind w:firstLine="0" w:firstLineChars="0"/>
              <w:jc w:val="center"/>
              <w:rPr>
                <w:rFonts w:eastAsia="仿宋_GB2312"/>
                <w:sz w:val="21"/>
                <w:szCs w:val="21"/>
              </w:rPr>
            </w:pPr>
            <w:r>
              <w:rPr>
                <w:rFonts w:eastAsia="仿宋_GB2312"/>
                <w:sz w:val="21"/>
                <w:szCs w:val="21"/>
              </w:rPr>
              <w:t>分值</w:t>
            </w:r>
          </w:p>
        </w:tc>
        <w:tc>
          <w:tcPr>
            <w:tcW w:w="1017" w:type="dxa"/>
            <w:noWrap w:val="0"/>
            <w:vAlign w:val="center"/>
          </w:tcPr>
          <w:p>
            <w:pPr>
              <w:adjustRightInd/>
              <w:snapToGrid/>
              <w:spacing w:line="240" w:lineRule="auto"/>
              <w:ind w:firstLine="0" w:firstLineChars="0"/>
              <w:jc w:val="center"/>
              <w:rPr>
                <w:rFonts w:eastAsia="仿宋_GB2312"/>
                <w:sz w:val="21"/>
                <w:szCs w:val="21"/>
              </w:rPr>
            </w:pPr>
            <w:r>
              <w:rPr>
                <w:rFonts w:eastAsia="仿宋_GB2312"/>
                <w:sz w:val="21"/>
                <w:szCs w:val="21"/>
              </w:rPr>
              <w:t>执行率</w:t>
            </w:r>
          </w:p>
        </w:tc>
        <w:tc>
          <w:tcPr>
            <w:tcW w:w="1418" w:type="dxa"/>
            <w:noWrap w:val="0"/>
            <w:vAlign w:val="center"/>
          </w:tcPr>
          <w:p>
            <w:pPr>
              <w:adjustRightInd/>
              <w:snapToGrid/>
              <w:spacing w:line="240" w:lineRule="auto"/>
              <w:ind w:firstLine="0" w:firstLineChars="0"/>
              <w:jc w:val="center"/>
              <w:rPr>
                <w:rFonts w:eastAsia="仿宋_GB2312"/>
                <w:sz w:val="21"/>
                <w:szCs w:val="21"/>
              </w:rPr>
            </w:pPr>
            <w:r>
              <w:rPr>
                <w:rFonts w:eastAsia="仿宋_GB2312"/>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2154" w:type="dxa"/>
            <w:gridSpan w:val="2"/>
            <w:noWrap w:val="0"/>
            <w:vAlign w:val="center"/>
          </w:tcPr>
          <w:p>
            <w:pPr>
              <w:adjustRightInd/>
              <w:snapToGrid/>
              <w:spacing w:line="240" w:lineRule="auto"/>
              <w:ind w:firstLine="0" w:firstLineChars="0"/>
              <w:jc w:val="center"/>
              <w:rPr>
                <w:rFonts w:eastAsia="仿宋_GB2312"/>
                <w:sz w:val="21"/>
                <w:szCs w:val="21"/>
              </w:rPr>
            </w:pPr>
            <w:r>
              <w:rPr>
                <w:rFonts w:eastAsia="仿宋_GB2312"/>
                <w:color w:val="000000"/>
                <w:kern w:val="0"/>
                <w:sz w:val="21"/>
                <w:szCs w:val="21"/>
              </w:rPr>
              <w:t>年度资金总额</w:t>
            </w:r>
          </w:p>
        </w:tc>
        <w:tc>
          <w:tcPr>
            <w:tcW w:w="1553" w:type="dxa"/>
            <w:noWrap w:val="0"/>
            <w:vAlign w:val="center"/>
          </w:tcPr>
          <w:p>
            <w:pPr>
              <w:adjustRightInd/>
              <w:snapToGrid/>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383.17</w:t>
            </w:r>
          </w:p>
        </w:tc>
        <w:tc>
          <w:tcPr>
            <w:tcW w:w="1286" w:type="dxa"/>
            <w:gridSpan w:val="2"/>
            <w:noWrap w:val="0"/>
            <w:vAlign w:val="center"/>
          </w:tcPr>
          <w:p>
            <w:pPr>
              <w:adjustRightInd/>
              <w:snapToGrid/>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393.17</w:t>
            </w:r>
          </w:p>
        </w:tc>
        <w:tc>
          <w:tcPr>
            <w:tcW w:w="1126" w:type="dxa"/>
            <w:noWrap w:val="0"/>
            <w:vAlign w:val="center"/>
          </w:tcPr>
          <w:p>
            <w:pPr>
              <w:adjustRightInd/>
              <w:snapToGrid/>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379.2</w:t>
            </w:r>
          </w:p>
        </w:tc>
        <w:tc>
          <w:tcPr>
            <w:tcW w:w="706" w:type="dxa"/>
            <w:noWrap w:val="0"/>
            <w:vAlign w:val="center"/>
          </w:tcPr>
          <w:p>
            <w:pPr>
              <w:adjustRightInd/>
              <w:snapToGrid/>
              <w:spacing w:line="240" w:lineRule="auto"/>
              <w:ind w:firstLine="0" w:firstLineChars="0"/>
              <w:jc w:val="center"/>
              <w:rPr>
                <w:rFonts w:eastAsia="仿宋_GB2312"/>
                <w:sz w:val="21"/>
                <w:szCs w:val="21"/>
              </w:rPr>
            </w:pPr>
            <w:r>
              <w:rPr>
                <w:rFonts w:eastAsia="仿宋_GB2312"/>
                <w:sz w:val="21"/>
                <w:szCs w:val="21"/>
              </w:rPr>
              <w:t>10</w:t>
            </w:r>
          </w:p>
        </w:tc>
        <w:tc>
          <w:tcPr>
            <w:tcW w:w="1017" w:type="dxa"/>
            <w:noWrap w:val="0"/>
            <w:vAlign w:val="center"/>
          </w:tcPr>
          <w:p>
            <w:pPr>
              <w:adjustRightInd/>
              <w:snapToGrid/>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96.45%</w:t>
            </w:r>
          </w:p>
        </w:tc>
        <w:tc>
          <w:tcPr>
            <w:tcW w:w="1418" w:type="dxa"/>
            <w:noWrap w:val="0"/>
            <w:vAlign w:val="center"/>
          </w:tcPr>
          <w:p>
            <w:pPr>
              <w:adjustRightInd/>
              <w:snapToGrid/>
              <w:spacing w:line="240" w:lineRule="auto"/>
              <w:ind w:firstLine="0" w:firstLineChars="0"/>
              <w:jc w:val="center"/>
              <w:rPr>
                <w:rFonts w:hint="default" w:eastAsia="仿宋_GB2312"/>
                <w:sz w:val="21"/>
                <w:szCs w:val="21"/>
                <w:lang w:val="en-US" w:eastAsia="zh-CN"/>
              </w:rPr>
            </w:pPr>
            <w:r>
              <w:rPr>
                <w:rFonts w:hint="eastAsia" w:eastAsia="仿宋_GB2312"/>
                <w:sz w:val="21"/>
                <w:szCs w:val="21"/>
                <w:lang w:val="en-US" w:eastAsia="zh-C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4993" w:type="dxa"/>
            <w:gridSpan w:val="5"/>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按收入性质分：</w:t>
            </w:r>
          </w:p>
        </w:tc>
        <w:tc>
          <w:tcPr>
            <w:tcW w:w="4267" w:type="dxa"/>
            <w:gridSpan w:val="4"/>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4993" w:type="dxa"/>
            <w:gridSpan w:val="5"/>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xml:space="preserve">  其中： 一般公共预算：</w:t>
            </w:r>
            <w:r>
              <w:rPr>
                <w:rFonts w:hint="eastAsia" w:eastAsia="仿宋_GB2312"/>
                <w:color w:val="000000"/>
                <w:kern w:val="0"/>
                <w:sz w:val="21"/>
                <w:szCs w:val="21"/>
                <w:lang w:val="en-US" w:eastAsia="zh-CN"/>
              </w:rPr>
              <w:t>393.17</w:t>
            </w:r>
          </w:p>
        </w:tc>
        <w:tc>
          <w:tcPr>
            <w:tcW w:w="4267" w:type="dxa"/>
            <w:gridSpan w:val="4"/>
            <w:noWrap w:val="0"/>
            <w:vAlign w:val="center"/>
          </w:tcPr>
          <w:p>
            <w:pPr>
              <w:widowControl/>
              <w:adjustRightInd/>
              <w:snapToGrid/>
              <w:spacing w:line="240" w:lineRule="auto"/>
              <w:ind w:firstLine="0" w:firstLineChars="0"/>
              <w:jc w:val="left"/>
              <w:rPr>
                <w:rFonts w:hint="default" w:eastAsia="仿宋_GB2312"/>
                <w:color w:val="auto"/>
                <w:kern w:val="0"/>
                <w:sz w:val="21"/>
                <w:szCs w:val="21"/>
                <w:highlight w:val="none"/>
                <w:lang w:val="en-US" w:eastAsia="zh-CN"/>
              </w:rPr>
            </w:pPr>
            <w:r>
              <w:rPr>
                <w:rFonts w:eastAsia="仿宋_GB2312"/>
                <w:color w:val="auto"/>
                <w:kern w:val="0"/>
                <w:sz w:val="21"/>
                <w:szCs w:val="21"/>
                <w:highlight w:val="none"/>
              </w:rPr>
              <w:t>其中：基本支出：</w:t>
            </w:r>
            <w:r>
              <w:rPr>
                <w:rFonts w:hint="eastAsia" w:eastAsia="仿宋_GB2312"/>
                <w:color w:val="auto"/>
                <w:kern w:val="0"/>
                <w:sz w:val="21"/>
                <w:szCs w:val="21"/>
                <w:highlight w:val="none"/>
                <w:lang w:val="en-US" w:eastAsia="zh-CN"/>
              </w:rPr>
              <w:t>374.77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4993" w:type="dxa"/>
            <w:gridSpan w:val="5"/>
            <w:noWrap w:val="0"/>
            <w:vAlign w:val="center"/>
          </w:tcPr>
          <w:p>
            <w:pPr>
              <w:widowControl/>
              <w:adjustRightInd/>
              <w:snapToGrid/>
              <w:spacing w:line="240" w:lineRule="auto"/>
              <w:ind w:firstLine="840" w:firstLineChars="400"/>
              <w:jc w:val="left"/>
              <w:rPr>
                <w:rFonts w:hint="eastAsia" w:eastAsia="仿宋_GB2312"/>
                <w:color w:val="000000"/>
                <w:kern w:val="0"/>
                <w:sz w:val="21"/>
                <w:szCs w:val="21"/>
                <w:lang w:val="en-US" w:eastAsia="zh-CN"/>
              </w:rPr>
            </w:pPr>
            <w:r>
              <w:rPr>
                <w:rFonts w:eastAsia="仿宋_GB2312"/>
                <w:color w:val="000000"/>
                <w:kern w:val="0"/>
                <w:sz w:val="21"/>
                <w:szCs w:val="21"/>
              </w:rPr>
              <w:t>政府性基金拨款：</w:t>
            </w:r>
            <w:r>
              <w:rPr>
                <w:rFonts w:hint="eastAsia" w:eastAsia="仿宋_GB2312"/>
                <w:color w:val="000000"/>
                <w:kern w:val="0"/>
                <w:sz w:val="21"/>
                <w:szCs w:val="21"/>
                <w:lang w:val="en-US" w:eastAsia="zh-CN"/>
              </w:rPr>
              <w:t>0</w:t>
            </w:r>
          </w:p>
        </w:tc>
        <w:tc>
          <w:tcPr>
            <w:tcW w:w="4267" w:type="dxa"/>
            <w:gridSpan w:val="4"/>
            <w:noWrap w:val="0"/>
            <w:vAlign w:val="center"/>
          </w:tcPr>
          <w:p>
            <w:pPr>
              <w:widowControl/>
              <w:adjustRightInd/>
              <w:snapToGrid/>
              <w:spacing w:line="240" w:lineRule="auto"/>
              <w:ind w:firstLine="630" w:firstLineChars="300"/>
              <w:jc w:val="left"/>
              <w:rPr>
                <w:rFonts w:hint="default" w:eastAsia="仿宋_GB2312"/>
                <w:color w:val="auto"/>
                <w:kern w:val="0"/>
                <w:sz w:val="21"/>
                <w:szCs w:val="21"/>
                <w:highlight w:val="none"/>
                <w:lang w:val="en-US" w:eastAsia="zh-CN"/>
              </w:rPr>
            </w:pPr>
            <w:r>
              <w:rPr>
                <w:rFonts w:eastAsia="仿宋_GB2312"/>
                <w:color w:val="auto"/>
                <w:kern w:val="0"/>
                <w:sz w:val="21"/>
                <w:szCs w:val="21"/>
                <w:highlight w:val="none"/>
              </w:rPr>
              <w:t>项目支出：</w:t>
            </w:r>
            <w:r>
              <w:rPr>
                <w:rFonts w:hint="eastAsia" w:eastAsia="仿宋_GB2312"/>
                <w:color w:val="auto"/>
                <w:kern w:val="0"/>
                <w:sz w:val="21"/>
                <w:szCs w:val="21"/>
                <w:highlight w:val="none"/>
                <w:lang w:val="en-US" w:eastAsia="zh-CN"/>
              </w:rPr>
              <w:t>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4993" w:type="dxa"/>
            <w:gridSpan w:val="5"/>
            <w:noWrap w:val="0"/>
            <w:vAlign w:val="center"/>
          </w:tcPr>
          <w:p>
            <w:pPr>
              <w:widowControl/>
              <w:adjustRightInd/>
              <w:snapToGrid/>
              <w:spacing w:line="240" w:lineRule="auto"/>
              <w:ind w:firstLine="0" w:firstLineChars="0"/>
              <w:jc w:val="left"/>
              <w:rPr>
                <w:rFonts w:hint="eastAsia" w:eastAsia="仿宋_GB2312"/>
                <w:color w:val="000000"/>
                <w:kern w:val="0"/>
                <w:sz w:val="21"/>
                <w:szCs w:val="21"/>
                <w:lang w:val="en-US" w:eastAsia="zh-CN"/>
              </w:rPr>
            </w:pPr>
            <w:r>
              <w:rPr>
                <w:rFonts w:eastAsia="仿宋_GB2312"/>
                <w:color w:val="000000"/>
                <w:kern w:val="0"/>
                <w:sz w:val="21"/>
                <w:szCs w:val="21"/>
              </w:rPr>
              <w:t>纳入专户管理的非税收入拨款：</w:t>
            </w:r>
            <w:r>
              <w:rPr>
                <w:rFonts w:hint="eastAsia" w:eastAsia="仿宋_GB2312"/>
                <w:color w:val="000000"/>
                <w:kern w:val="0"/>
                <w:sz w:val="21"/>
                <w:szCs w:val="21"/>
                <w:lang w:val="en-US" w:eastAsia="zh-CN"/>
              </w:rPr>
              <w:t>0</w:t>
            </w:r>
          </w:p>
        </w:tc>
        <w:tc>
          <w:tcPr>
            <w:tcW w:w="4267" w:type="dxa"/>
            <w:gridSpan w:val="4"/>
            <w:noWrap w:val="0"/>
            <w:vAlign w:val="center"/>
          </w:tcPr>
          <w:p>
            <w:pPr>
              <w:widowControl/>
              <w:adjustRightInd/>
              <w:snapToGrid/>
              <w:spacing w:line="240" w:lineRule="auto"/>
              <w:ind w:firstLine="0" w:firstLineChars="0"/>
              <w:jc w:val="left"/>
              <w:rPr>
                <w:rFonts w:eastAsia="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4993" w:type="dxa"/>
            <w:gridSpan w:val="5"/>
            <w:noWrap w:val="0"/>
            <w:vAlign w:val="center"/>
          </w:tcPr>
          <w:p>
            <w:pPr>
              <w:widowControl/>
              <w:adjustRightInd/>
              <w:snapToGrid/>
              <w:spacing w:line="240" w:lineRule="auto"/>
              <w:ind w:firstLine="1470" w:firstLineChars="700"/>
              <w:jc w:val="left"/>
              <w:rPr>
                <w:rFonts w:hint="default" w:eastAsia="仿宋_GB2312"/>
                <w:color w:val="000000"/>
                <w:kern w:val="0"/>
                <w:sz w:val="21"/>
                <w:szCs w:val="21"/>
                <w:lang w:val="en-US" w:eastAsia="zh-CN"/>
              </w:rPr>
            </w:pPr>
            <w:r>
              <w:rPr>
                <w:rFonts w:eastAsia="仿宋_GB2312"/>
                <w:color w:val="000000"/>
                <w:kern w:val="0"/>
                <w:sz w:val="21"/>
                <w:szCs w:val="21"/>
              </w:rPr>
              <w:t>其他资金：</w:t>
            </w:r>
            <w:r>
              <w:rPr>
                <w:rFonts w:hint="eastAsia" w:eastAsia="仿宋_GB2312"/>
                <w:color w:val="000000"/>
                <w:kern w:val="0"/>
                <w:sz w:val="21"/>
                <w:szCs w:val="21"/>
                <w:lang w:val="en-US" w:eastAsia="zh-CN"/>
              </w:rPr>
              <w:t>0</w:t>
            </w:r>
          </w:p>
        </w:tc>
        <w:tc>
          <w:tcPr>
            <w:tcW w:w="4267" w:type="dxa"/>
            <w:gridSpan w:val="4"/>
            <w:noWrap w:val="0"/>
            <w:vAlign w:val="center"/>
          </w:tcPr>
          <w:p>
            <w:pPr>
              <w:widowControl/>
              <w:adjustRightInd/>
              <w:snapToGrid/>
              <w:spacing w:line="240" w:lineRule="auto"/>
              <w:ind w:firstLine="0" w:firstLineChars="0"/>
              <w:jc w:val="left"/>
              <w:rPr>
                <w:rFonts w:eastAsia="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年度总体目标</w:t>
            </w:r>
          </w:p>
        </w:tc>
        <w:tc>
          <w:tcPr>
            <w:tcW w:w="4993" w:type="dxa"/>
            <w:gridSpan w:val="5"/>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预期目标</w:t>
            </w:r>
          </w:p>
        </w:tc>
        <w:tc>
          <w:tcPr>
            <w:tcW w:w="4267" w:type="dxa"/>
            <w:gridSpan w:val="4"/>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63"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4993" w:type="dxa"/>
            <w:gridSpan w:val="5"/>
            <w:noWrap w:val="0"/>
            <w:vAlign w:val="center"/>
          </w:tcPr>
          <w:p>
            <w:pPr>
              <w:widowControl/>
              <w:numPr>
                <w:ilvl w:val="0"/>
                <w:numId w:val="0"/>
              </w:numPr>
              <w:adjustRightInd/>
              <w:snapToGrid/>
              <w:spacing w:line="240" w:lineRule="exact"/>
              <w:ind w:firstLine="0" w:firstLineChars="0"/>
              <w:jc w:val="both"/>
              <w:rPr>
                <w:rFonts w:hint="eastAsia" w:eastAsia="宋体"/>
                <w:color w:val="000000"/>
                <w:sz w:val="20"/>
                <w:szCs w:val="20"/>
                <w:lang w:val="en-US" w:eastAsia="zh-CN"/>
              </w:rPr>
            </w:pPr>
            <w:r>
              <w:rPr>
                <w:rFonts w:hint="eastAsia" w:eastAsia="宋体"/>
                <w:color w:val="000000"/>
                <w:sz w:val="20"/>
                <w:szCs w:val="20"/>
                <w:lang w:val="en-US" w:eastAsia="zh-CN"/>
              </w:rPr>
              <w:t>1.加强农情体系建设，充分开展农情基点县工作调研，扩增农情调度范畴，在农情数据调度上更有作为，切实为厅领导决策做好参谋；</w:t>
            </w:r>
          </w:p>
          <w:p>
            <w:pPr>
              <w:widowControl/>
              <w:numPr>
                <w:ilvl w:val="0"/>
                <w:numId w:val="0"/>
              </w:numPr>
              <w:adjustRightInd/>
              <w:snapToGrid/>
              <w:spacing w:line="240" w:lineRule="exact"/>
              <w:ind w:firstLine="0" w:firstLineChars="0"/>
              <w:jc w:val="both"/>
              <w:rPr>
                <w:rFonts w:hint="eastAsia" w:eastAsia="宋体"/>
                <w:color w:val="000000"/>
                <w:sz w:val="20"/>
                <w:szCs w:val="20"/>
                <w:lang w:val="en-US" w:eastAsia="zh-CN"/>
              </w:rPr>
            </w:pPr>
            <w:r>
              <w:rPr>
                <w:rFonts w:hint="eastAsia" w:eastAsia="宋体"/>
                <w:color w:val="000000"/>
                <w:sz w:val="20"/>
                <w:szCs w:val="20"/>
                <w:lang w:val="en-US" w:eastAsia="zh-CN"/>
              </w:rPr>
              <w:t>2.加强30个部属农情基点县田间定点数据的采集，提升农情信息员队伍素质；</w:t>
            </w:r>
          </w:p>
          <w:p>
            <w:pPr>
              <w:widowControl/>
              <w:numPr>
                <w:ilvl w:val="0"/>
                <w:numId w:val="0"/>
              </w:numPr>
              <w:adjustRightInd/>
              <w:snapToGrid/>
              <w:spacing w:line="240" w:lineRule="exact"/>
              <w:ind w:firstLine="0" w:firstLineChars="0"/>
              <w:jc w:val="both"/>
              <w:rPr>
                <w:rFonts w:hint="eastAsia" w:eastAsia="宋体"/>
                <w:color w:val="000000"/>
                <w:sz w:val="20"/>
                <w:szCs w:val="20"/>
                <w:lang w:val="en-US" w:eastAsia="zh-CN"/>
              </w:rPr>
            </w:pPr>
            <w:r>
              <w:rPr>
                <w:rFonts w:hint="eastAsia" w:eastAsia="宋体"/>
                <w:color w:val="000000"/>
                <w:sz w:val="20"/>
                <w:szCs w:val="20"/>
                <w:lang w:val="en-US" w:eastAsia="zh-CN"/>
              </w:rPr>
              <w:t>3.认真做好农业农村经济形势分析，编撰好农业农村统计资料和《湖南年鉴》农业农村部分；</w:t>
            </w:r>
          </w:p>
          <w:p>
            <w:pPr>
              <w:widowControl/>
              <w:numPr>
                <w:ilvl w:val="0"/>
                <w:numId w:val="0"/>
              </w:numPr>
              <w:adjustRightInd/>
              <w:snapToGrid/>
              <w:spacing w:line="240" w:lineRule="exact"/>
              <w:ind w:firstLine="0" w:firstLineChars="0"/>
              <w:jc w:val="both"/>
              <w:rPr>
                <w:rFonts w:hint="eastAsia" w:eastAsia="宋体"/>
                <w:color w:val="000000"/>
                <w:sz w:val="20"/>
                <w:szCs w:val="20"/>
                <w:lang w:val="en-US" w:eastAsia="zh-CN"/>
              </w:rPr>
            </w:pPr>
            <w:r>
              <w:rPr>
                <w:rFonts w:hint="eastAsia" w:eastAsia="宋体"/>
                <w:color w:val="000000"/>
                <w:sz w:val="20"/>
                <w:szCs w:val="20"/>
                <w:lang w:val="en-US" w:eastAsia="zh-CN"/>
              </w:rPr>
              <w:t>4.开展农业农村综合调研，督促落实集中育秧任务，帮助解决实际问题，确保早稻面积任务落实；</w:t>
            </w:r>
          </w:p>
          <w:p>
            <w:pPr>
              <w:widowControl/>
              <w:adjustRightInd/>
              <w:snapToGrid/>
              <w:spacing w:line="240" w:lineRule="auto"/>
              <w:ind w:firstLine="0" w:firstLineChars="0"/>
              <w:jc w:val="both"/>
              <w:rPr>
                <w:rFonts w:eastAsia="仿宋_GB2312"/>
                <w:color w:val="000000"/>
                <w:kern w:val="0"/>
                <w:sz w:val="21"/>
                <w:szCs w:val="21"/>
              </w:rPr>
            </w:pPr>
            <w:r>
              <w:rPr>
                <w:rFonts w:hint="eastAsia" w:eastAsia="宋体"/>
                <w:color w:val="000000"/>
                <w:sz w:val="20"/>
                <w:szCs w:val="20"/>
                <w:lang w:val="en-US" w:eastAsia="zh-CN"/>
              </w:rPr>
              <w:t>5.迅速及时统计调度灾情，为抗灾救灾指导提供保障。</w:t>
            </w:r>
            <w:r>
              <w:rPr>
                <w:rFonts w:eastAsia="仿宋_GB2312"/>
                <w:color w:val="000000"/>
                <w:kern w:val="0"/>
                <w:sz w:val="21"/>
                <w:szCs w:val="21"/>
              </w:rPr>
              <w:t>　　</w:t>
            </w:r>
          </w:p>
        </w:tc>
        <w:tc>
          <w:tcPr>
            <w:tcW w:w="4267" w:type="dxa"/>
            <w:gridSpan w:val="4"/>
            <w:noWrap w:val="0"/>
            <w:vAlign w:val="center"/>
          </w:tcPr>
          <w:p>
            <w:pPr>
              <w:widowControl/>
              <w:adjustRightInd/>
              <w:snapToGrid/>
              <w:spacing w:line="240" w:lineRule="exact"/>
              <w:ind w:firstLine="0" w:firstLineChars="0"/>
              <w:jc w:val="left"/>
              <w:rPr>
                <w:rFonts w:hint="eastAsia" w:eastAsia="宋体"/>
                <w:color w:val="000000"/>
                <w:sz w:val="20"/>
                <w:szCs w:val="20"/>
                <w:lang w:val="en-US" w:eastAsia="zh-CN"/>
              </w:rPr>
            </w:pPr>
          </w:p>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val="en-US" w:eastAsia="zh-CN"/>
              </w:rPr>
              <w:t>1、高质量完成每季度农业农村经济形势分析报告，供厅党组参阅，得到高度肯定。农业农村经济形势研判分析能力有效提升；</w:t>
            </w:r>
          </w:p>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val="en-US" w:eastAsia="zh-CN"/>
              </w:rPr>
              <w:t>2、精准完成农情日调度表格填报，完成各类农情信息报送，会同气象、统计、国调等部门开展了重要农作物产量预测分析；</w:t>
            </w:r>
          </w:p>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val="en-US" w:eastAsia="zh-CN"/>
              </w:rPr>
              <w:t>3、强化农情队伍建设，加强市州农情队伍沟通交流，工作能力有效提升；</w:t>
            </w:r>
          </w:p>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val="en-US" w:eastAsia="zh-CN"/>
              </w:rPr>
              <w:t>4、先后开展了早稻集中育秧、农业防灾减灾体系调研，形成了高质量调研报告。</w:t>
            </w:r>
          </w:p>
          <w:p>
            <w:pPr>
              <w:widowControl/>
              <w:adjustRightInd/>
              <w:snapToGrid/>
              <w:spacing w:line="240" w:lineRule="auto"/>
              <w:ind w:firstLine="0" w:firstLineChars="0"/>
              <w:jc w:val="left"/>
              <w:rPr>
                <w:rFonts w:eastAsia="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63"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绩</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效</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指</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标</w:t>
            </w:r>
          </w:p>
        </w:tc>
        <w:tc>
          <w:tcPr>
            <w:tcW w:w="1377" w:type="dxa"/>
            <w:noWrap w:val="0"/>
            <w:vAlign w:val="center"/>
          </w:tcPr>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一级指标</w:t>
            </w:r>
          </w:p>
        </w:tc>
        <w:tc>
          <w:tcPr>
            <w:tcW w:w="777" w:type="dxa"/>
            <w:noWrap w:val="0"/>
            <w:vAlign w:val="center"/>
          </w:tcPr>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二级指标</w:t>
            </w:r>
          </w:p>
        </w:tc>
        <w:tc>
          <w:tcPr>
            <w:tcW w:w="1645" w:type="dxa"/>
            <w:gridSpan w:val="2"/>
            <w:noWrap w:val="0"/>
            <w:vAlign w:val="center"/>
          </w:tcPr>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三级指标</w:t>
            </w:r>
          </w:p>
        </w:tc>
        <w:tc>
          <w:tcPr>
            <w:tcW w:w="1194" w:type="dxa"/>
            <w:noWrap w:val="0"/>
            <w:vAlign w:val="center"/>
          </w:tcPr>
          <w:p>
            <w:pPr>
              <w:widowControl/>
              <w:adjustRightInd/>
              <w:snapToGrid/>
              <w:spacing w:line="240" w:lineRule="exact"/>
              <w:ind w:firstLine="0" w:firstLineChars="0"/>
              <w:jc w:val="center"/>
              <w:rPr>
                <w:rFonts w:hint="eastAsia" w:eastAsia="仿宋_GB2312"/>
                <w:color w:val="000000"/>
                <w:kern w:val="0"/>
                <w:sz w:val="21"/>
                <w:szCs w:val="21"/>
              </w:rPr>
            </w:pPr>
            <w:r>
              <w:rPr>
                <w:rFonts w:eastAsia="仿宋_GB2312"/>
                <w:color w:val="000000"/>
                <w:kern w:val="0"/>
                <w:sz w:val="21"/>
                <w:szCs w:val="21"/>
              </w:rPr>
              <w:t>年度</w:t>
            </w:r>
          </w:p>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指标值</w:t>
            </w:r>
          </w:p>
        </w:tc>
        <w:tc>
          <w:tcPr>
            <w:tcW w:w="1126" w:type="dxa"/>
            <w:noWrap w:val="0"/>
            <w:vAlign w:val="center"/>
          </w:tcPr>
          <w:p>
            <w:pPr>
              <w:widowControl/>
              <w:adjustRightInd/>
              <w:snapToGrid/>
              <w:spacing w:line="240" w:lineRule="exact"/>
              <w:ind w:firstLine="0" w:firstLineChars="0"/>
              <w:jc w:val="center"/>
              <w:rPr>
                <w:rFonts w:hint="eastAsia" w:eastAsia="仿宋_GB2312"/>
                <w:color w:val="000000"/>
                <w:kern w:val="0"/>
                <w:sz w:val="21"/>
                <w:szCs w:val="21"/>
              </w:rPr>
            </w:pPr>
            <w:r>
              <w:rPr>
                <w:rFonts w:eastAsia="仿宋_GB2312"/>
                <w:color w:val="000000"/>
                <w:kern w:val="0"/>
                <w:sz w:val="21"/>
                <w:szCs w:val="21"/>
              </w:rPr>
              <w:t>实际</w:t>
            </w:r>
          </w:p>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完成值</w:t>
            </w:r>
          </w:p>
        </w:tc>
        <w:tc>
          <w:tcPr>
            <w:tcW w:w="706" w:type="dxa"/>
            <w:noWrap w:val="0"/>
            <w:vAlign w:val="center"/>
          </w:tcPr>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分值</w:t>
            </w:r>
          </w:p>
        </w:tc>
        <w:tc>
          <w:tcPr>
            <w:tcW w:w="1017" w:type="dxa"/>
            <w:noWrap w:val="0"/>
            <w:vAlign w:val="center"/>
          </w:tcPr>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得分</w:t>
            </w:r>
          </w:p>
        </w:tc>
        <w:tc>
          <w:tcPr>
            <w:tcW w:w="1418" w:type="dxa"/>
            <w:noWrap w:val="0"/>
            <w:vAlign w:val="top"/>
          </w:tcPr>
          <w:p>
            <w:pPr>
              <w:widowControl/>
              <w:adjustRightInd/>
              <w:snapToGrid/>
              <w:spacing w:line="240" w:lineRule="exact"/>
              <w:ind w:firstLine="0" w:firstLineChars="0"/>
              <w:jc w:val="center"/>
              <w:rPr>
                <w:rFonts w:hint="eastAsia" w:eastAsia="仿宋_GB2312"/>
                <w:color w:val="000000"/>
                <w:kern w:val="0"/>
                <w:sz w:val="21"/>
                <w:szCs w:val="21"/>
              </w:rPr>
            </w:pPr>
            <w:r>
              <w:rPr>
                <w:rFonts w:eastAsia="仿宋_GB2312"/>
                <w:color w:val="000000"/>
                <w:kern w:val="0"/>
                <w:sz w:val="21"/>
                <w:szCs w:val="21"/>
              </w:rPr>
              <w:t>偏差原因</w:t>
            </w:r>
          </w:p>
          <w:p>
            <w:pPr>
              <w:widowControl/>
              <w:adjustRightInd/>
              <w:snapToGrid/>
              <w:spacing w:line="240" w:lineRule="exact"/>
              <w:ind w:firstLine="0" w:firstLineChars="0"/>
              <w:jc w:val="center"/>
              <w:rPr>
                <w:rFonts w:hint="eastAsia" w:eastAsia="仿宋_GB2312"/>
                <w:color w:val="000000"/>
                <w:kern w:val="0"/>
                <w:sz w:val="21"/>
                <w:szCs w:val="21"/>
              </w:rPr>
            </w:pPr>
            <w:r>
              <w:rPr>
                <w:rFonts w:eastAsia="仿宋_GB2312"/>
                <w:color w:val="000000"/>
                <w:kern w:val="0"/>
                <w:sz w:val="21"/>
                <w:szCs w:val="21"/>
              </w:rPr>
              <w:t>分析及</w:t>
            </w:r>
          </w:p>
          <w:p>
            <w:pPr>
              <w:widowControl/>
              <w:adjustRightInd/>
              <w:snapToGrid/>
              <w:spacing w:line="240" w:lineRule="exact"/>
              <w:ind w:firstLine="0" w:firstLineChars="0"/>
              <w:jc w:val="center"/>
              <w:rPr>
                <w:rFonts w:eastAsia="仿宋_GB2312"/>
                <w:color w:val="000000"/>
                <w:kern w:val="0"/>
                <w:sz w:val="21"/>
                <w:szCs w:val="21"/>
              </w:rPr>
            </w:pPr>
            <w:r>
              <w:rPr>
                <w:rFonts w:eastAsia="仿宋_GB2312"/>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产出指标</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(50分)</w:t>
            </w:r>
          </w:p>
        </w:tc>
        <w:tc>
          <w:tcPr>
            <w:tcW w:w="777"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数量</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指标</w:t>
            </w:r>
          </w:p>
        </w:tc>
        <w:tc>
          <w:tcPr>
            <w:tcW w:w="1645" w:type="dxa"/>
            <w:gridSpan w:val="2"/>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完成季度农业农村经济形势分析报告数量</w:t>
            </w:r>
          </w:p>
        </w:tc>
        <w:tc>
          <w:tcPr>
            <w:tcW w:w="1194" w:type="dxa"/>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auto"/>
                <w:kern w:val="2"/>
                <w:sz w:val="20"/>
                <w:szCs w:val="20"/>
                <w:lang w:val="en-US" w:eastAsia="zh-CN" w:bidi="ar-SA"/>
              </w:rPr>
            </w:pPr>
            <w:r>
              <w:rPr>
                <w:rFonts w:hint="eastAsia" w:ascii="Arial" w:hAnsi="Arial" w:eastAsia="宋体" w:cs="Arial"/>
                <w:color w:val="auto"/>
                <w:sz w:val="20"/>
                <w:szCs w:val="20"/>
                <w:lang w:val="en-US" w:eastAsia="zh-CN"/>
              </w:rPr>
              <w:t xml:space="preserve">  </w:t>
            </w:r>
            <w:r>
              <w:rPr>
                <w:rFonts w:hint="default" w:ascii="Arial" w:hAnsi="Arial" w:eastAsia="宋体" w:cs="Arial"/>
                <w:color w:val="auto"/>
                <w:sz w:val="20"/>
                <w:szCs w:val="20"/>
              </w:rPr>
              <w:t>≥</w:t>
            </w:r>
            <w:r>
              <w:rPr>
                <w:rFonts w:hint="eastAsia" w:eastAsia="宋体"/>
                <w:color w:val="auto"/>
                <w:sz w:val="20"/>
                <w:szCs w:val="20"/>
                <w:lang w:val="en-US" w:eastAsia="zh-CN"/>
              </w:rPr>
              <w:t>4篇</w:t>
            </w:r>
          </w:p>
        </w:tc>
        <w:tc>
          <w:tcPr>
            <w:tcW w:w="1126" w:type="dxa"/>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lang w:val="en-US" w:eastAsia="zh-CN"/>
              </w:rPr>
              <w:t>4篇</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1645" w:type="dxa"/>
            <w:gridSpan w:val="2"/>
            <w:noWrap w:val="0"/>
            <w:vAlign w:val="center"/>
          </w:tcPr>
          <w:p>
            <w:pPr>
              <w:widowControl/>
              <w:adjustRightInd/>
              <w:snapToGrid/>
              <w:spacing w:line="240" w:lineRule="exact"/>
              <w:ind w:firstLine="0" w:firstLineChars="0"/>
              <w:jc w:val="left"/>
              <w:rPr>
                <w:rFonts w:hint="eastAsia" w:eastAsia="宋体"/>
                <w:color w:val="000000"/>
                <w:sz w:val="20"/>
                <w:szCs w:val="20"/>
                <w:lang w:eastAsia="zh-CN"/>
              </w:rPr>
            </w:pPr>
            <w:r>
              <w:rPr>
                <w:rFonts w:hint="eastAsia" w:eastAsia="宋体"/>
                <w:color w:val="000000"/>
                <w:sz w:val="20"/>
                <w:szCs w:val="20"/>
                <w:lang w:eastAsia="zh-CN"/>
              </w:rPr>
              <w:t>农情信息员培训次数</w:t>
            </w:r>
          </w:p>
        </w:tc>
        <w:tc>
          <w:tcPr>
            <w:tcW w:w="1194" w:type="dxa"/>
            <w:noWrap w:val="0"/>
            <w:vAlign w:val="center"/>
          </w:tcPr>
          <w:p>
            <w:pPr>
              <w:widowControl/>
              <w:adjustRightInd/>
              <w:snapToGrid/>
              <w:spacing w:line="240" w:lineRule="exact"/>
              <w:ind w:firstLine="200" w:firstLineChars="100"/>
              <w:jc w:val="left"/>
              <w:rPr>
                <w:rFonts w:hint="eastAsia" w:eastAsia="宋体"/>
                <w:color w:val="auto"/>
                <w:sz w:val="20"/>
                <w:szCs w:val="20"/>
                <w:lang w:val="en-US" w:eastAsia="zh-CN"/>
              </w:rPr>
            </w:pPr>
            <w:r>
              <w:rPr>
                <w:rFonts w:hint="default" w:ascii="Arial" w:hAnsi="Arial" w:eastAsia="宋体" w:cs="Arial"/>
                <w:color w:val="auto"/>
                <w:sz w:val="20"/>
                <w:szCs w:val="20"/>
              </w:rPr>
              <w:t>≥</w:t>
            </w:r>
            <w:r>
              <w:rPr>
                <w:rFonts w:hint="eastAsia" w:eastAsia="宋体"/>
                <w:color w:val="auto"/>
                <w:sz w:val="20"/>
                <w:szCs w:val="20"/>
                <w:lang w:val="en-US" w:eastAsia="zh-CN"/>
              </w:rPr>
              <w:t>1次</w:t>
            </w:r>
          </w:p>
        </w:tc>
        <w:tc>
          <w:tcPr>
            <w:tcW w:w="1126" w:type="dxa"/>
            <w:noWrap w:val="0"/>
            <w:vAlign w:val="center"/>
          </w:tcPr>
          <w:p>
            <w:pPr>
              <w:widowControl/>
              <w:adjustRightInd/>
              <w:snapToGrid/>
              <w:spacing w:line="240" w:lineRule="exact"/>
              <w:ind w:firstLine="200" w:firstLineChars="100"/>
              <w:jc w:val="left"/>
              <w:rPr>
                <w:rFonts w:hint="eastAsia" w:ascii="Times New Roman" w:hAnsi="Times New Roman" w:eastAsia="宋体" w:cs="Times New Roman"/>
                <w:color w:val="000000"/>
                <w:kern w:val="2"/>
                <w:sz w:val="20"/>
                <w:szCs w:val="20"/>
                <w:lang w:val="en-US" w:eastAsia="zh-CN" w:bidi="ar-SA"/>
              </w:rPr>
            </w:pPr>
            <w:r>
              <w:rPr>
                <w:rFonts w:hint="eastAsia" w:eastAsia="宋体"/>
                <w:color w:val="000000"/>
                <w:sz w:val="20"/>
                <w:szCs w:val="20"/>
                <w:lang w:val="en-US" w:eastAsia="zh-CN"/>
              </w:rPr>
              <w:t>1次</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1645" w:type="dxa"/>
            <w:gridSpan w:val="2"/>
            <w:noWrap w:val="0"/>
            <w:vAlign w:val="center"/>
          </w:tcPr>
          <w:p>
            <w:pPr>
              <w:widowControl/>
              <w:adjustRightInd/>
              <w:snapToGrid/>
              <w:spacing w:line="240" w:lineRule="exact"/>
              <w:ind w:firstLine="0" w:firstLineChars="0"/>
              <w:jc w:val="left"/>
              <w:rPr>
                <w:rFonts w:hint="eastAsia" w:eastAsia="宋体"/>
                <w:color w:val="000000"/>
                <w:sz w:val="20"/>
                <w:szCs w:val="20"/>
                <w:lang w:eastAsia="zh-CN"/>
              </w:rPr>
            </w:pPr>
            <w:r>
              <w:rPr>
                <w:rFonts w:hint="eastAsia" w:eastAsia="宋体"/>
                <w:color w:val="000000"/>
                <w:sz w:val="20"/>
                <w:szCs w:val="20"/>
                <w:lang w:eastAsia="zh-CN"/>
              </w:rPr>
              <w:t>完成灾情报告数量</w:t>
            </w:r>
          </w:p>
        </w:tc>
        <w:tc>
          <w:tcPr>
            <w:tcW w:w="1194" w:type="dxa"/>
            <w:noWrap w:val="0"/>
            <w:vAlign w:val="center"/>
          </w:tcPr>
          <w:p>
            <w:pPr>
              <w:widowControl/>
              <w:adjustRightInd/>
              <w:snapToGrid/>
              <w:spacing w:line="240" w:lineRule="exact"/>
              <w:ind w:firstLine="0" w:firstLineChars="0"/>
              <w:jc w:val="left"/>
              <w:rPr>
                <w:rFonts w:hint="default" w:eastAsia="宋体"/>
                <w:color w:val="auto"/>
                <w:sz w:val="20"/>
                <w:szCs w:val="20"/>
                <w:lang w:val="en-US" w:eastAsia="zh-CN"/>
              </w:rPr>
            </w:pPr>
            <w:r>
              <w:rPr>
                <w:rFonts w:hint="eastAsia" w:ascii="Arial" w:hAnsi="Arial" w:eastAsia="宋体" w:cs="Arial"/>
                <w:color w:val="auto"/>
                <w:sz w:val="20"/>
                <w:szCs w:val="20"/>
                <w:lang w:val="en-US" w:eastAsia="zh-CN"/>
              </w:rPr>
              <w:t xml:space="preserve">  </w:t>
            </w:r>
            <w:r>
              <w:rPr>
                <w:rFonts w:hint="default" w:ascii="Arial" w:hAnsi="Arial" w:eastAsia="宋体" w:cs="Arial"/>
                <w:color w:val="auto"/>
                <w:sz w:val="20"/>
                <w:szCs w:val="20"/>
              </w:rPr>
              <w:t>≥</w:t>
            </w:r>
            <w:r>
              <w:rPr>
                <w:rFonts w:hint="eastAsia" w:eastAsia="宋体"/>
                <w:color w:val="auto"/>
                <w:sz w:val="20"/>
                <w:szCs w:val="20"/>
                <w:lang w:val="en-US" w:eastAsia="zh-CN"/>
              </w:rPr>
              <w:t xml:space="preserve"> 10篇</w:t>
            </w:r>
          </w:p>
        </w:tc>
        <w:tc>
          <w:tcPr>
            <w:tcW w:w="1126" w:type="dxa"/>
            <w:noWrap w:val="0"/>
            <w:vAlign w:val="center"/>
          </w:tcPr>
          <w:p>
            <w:pPr>
              <w:widowControl/>
              <w:adjustRightInd/>
              <w:snapToGrid/>
              <w:spacing w:line="240" w:lineRule="exact"/>
              <w:ind w:firstLine="0" w:firstLineChars="0"/>
              <w:jc w:val="left"/>
              <w:rPr>
                <w:rFonts w:hint="default" w:ascii="Times New Roman" w:hAnsi="Times New Roman" w:eastAsia="宋体" w:cs="Times New Roman"/>
                <w:color w:val="000000"/>
                <w:kern w:val="2"/>
                <w:sz w:val="20"/>
                <w:szCs w:val="20"/>
                <w:lang w:val="en-US" w:eastAsia="zh-CN" w:bidi="ar-SA"/>
              </w:rPr>
            </w:pPr>
            <w:r>
              <w:rPr>
                <w:rFonts w:hint="eastAsia" w:eastAsia="宋体"/>
                <w:color w:val="000000"/>
                <w:sz w:val="20"/>
                <w:szCs w:val="20"/>
                <w:lang w:val="en-US" w:eastAsia="zh-CN"/>
              </w:rPr>
              <w:t xml:space="preserve">  10篇</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1645" w:type="dxa"/>
            <w:gridSpan w:val="2"/>
            <w:noWrap w:val="0"/>
            <w:vAlign w:val="center"/>
          </w:tcPr>
          <w:p>
            <w:pPr>
              <w:widowControl/>
              <w:adjustRightInd/>
              <w:snapToGrid/>
              <w:spacing w:line="240" w:lineRule="exact"/>
              <w:ind w:firstLine="0" w:firstLineChars="0"/>
              <w:jc w:val="left"/>
              <w:rPr>
                <w:rFonts w:hint="eastAsia" w:eastAsia="宋体"/>
                <w:color w:val="000000"/>
                <w:sz w:val="20"/>
                <w:szCs w:val="20"/>
                <w:lang w:eastAsia="zh-CN"/>
              </w:rPr>
            </w:pPr>
            <w:r>
              <w:rPr>
                <w:rFonts w:hint="eastAsia" w:eastAsia="宋体"/>
                <w:color w:val="000000"/>
                <w:sz w:val="20"/>
                <w:szCs w:val="20"/>
                <w:lang w:eastAsia="zh-CN"/>
              </w:rPr>
              <w:t>完成农情数据报表统计数量</w:t>
            </w:r>
          </w:p>
        </w:tc>
        <w:tc>
          <w:tcPr>
            <w:tcW w:w="1194" w:type="dxa"/>
            <w:noWrap w:val="0"/>
            <w:vAlign w:val="center"/>
          </w:tcPr>
          <w:p>
            <w:pPr>
              <w:widowControl/>
              <w:adjustRightInd/>
              <w:snapToGrid/>
              <w:spacing w:line="240" w:lineRule="exact"/>
              <w:ind w:firstLine="200" w:firstLineChars="100"/>
              <w:jc w:val="left"/>
              <w:rPr>
                <w:rFonts w:hint="default" w:eastAsia="宋体"/>
                <w:color w:val="auto"/>
                <w:sz w:val="20"/>
                <w:szCs w:val="20"/>
                <w:lang w:val="en-US" w:eastAsia="zh-CN"/>
              </w:rPr>
            </w:pPr>
            <w:r>
              <w:rPr>
                <w:rFonts w:hint="default" w:ascii="Arial" w:hAnsi="Arial" w:eastAsia="宋体" w:cs="Arial"/>
                <w:color w:val="auto"/>
                <w:sz w:val="20"/>
                <w:szCs w:val="20"/>
              </w:rPr>
              <w:t>≥</w:t>
            </w:r>
            <w:r>
              <w:rPr>
                <w:rFonts w:hint="eastAsia" w:eastAsia="宋体"/>
                <w:color w:val="auto"/>
                <w:sz w:val="20"/>
                <w:szCs w:val="20"/>
                <w:lang w:val="en-US" w:eastAsia="zh-CN"/>
              </w:rPr>
              <w:t>260张</w:t>
            </w:r>
          </w:p>
        </w:tc>
        <w:tc>
          <w:tcPr>
            <w:tcW w:w="1126" w:type="dxa"/>
            <w:noWrap w:val="0"/>
            <w:vAlign w:val="center"/>
          </w:tcPr>
          <w:p>
            <w:pPr>
              <w:widowControl/>
              <w:adjustRightInd/>
              <w:snapToGrid/>
              <w:spacing w:line="240" w:lineRule="exact"/>
              <w:ind w:firstLine="200" w:firstLineChars="100"/>
              <w:jc w:val="left"/>
              <w:rPr>
                <w:rFonts w:hint="default" w:ascii="Times New Roman" w:hAnsi="Times New Roman" w:eastAsia="宋体" w:cs="Times New Roman"/>
                <w:color w:val="000000"/>
                <w:kern w:val="2"/>
                <w:sz w:val="20"/>
                <w:szCs w:val="20"/>
                <w:lang w:val="en-US" w:eastAsia="zh-CN" w:bidi="ar-SA"/>
              </w:rPr>
            </w:pPr>
            <w:r>
              <w:rPr>
                <w:rFonts w:hint="eastAsia" w:eastAsia="宋体"/>
                <w:color w:val="000000"/>
                <w:sz w:val="20"/>
                <w:szCs w:val="20"/>
                <w:lang w:val="en-US" w:eastAsia="zh-CN"/>
              </w:rPr>
              <w:t>260张</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1645" w:type="dxa"/>
            <w:gridSpan w:val="2"/>
            <w:noWrap w:val="0"/>
            <w:vAlign w:val="center"/>
          </w:tcPr>
          <w:p>
            <w:pPr>
              <w:widowControl/>
              <w:adjustRightInd/>
              <w:snapToGrid/>
              <w:spacing w:line="240" w:lineRule="exact"/>
              <w:ind w:firstLine="0" w:firstLineChars="0"/>
              <w:jc w:val="left"/>
              <w:rPr>
                <w:rFonts w:hint="eastAsia" w:ascii="Times New Roman" w:hAnsi="Times New Roman" w:eastAsia="宋体" w:cs="Times New Roman"/>
                <w:color w:val="000000"/>
                <w:kern w:val="2"/>
                <w:sz w:val="20"/>
                <w:szCs w:val="20"/>
                <w:lang w:val="en-US" w:eastAsia="zh-CN" w:bidi="ar-SA"/>
              </w:rPr>
            </w:pPr>
            <w:r>
              <w:rPr>
                <w:rFonts w:hint="eastAsia" w:eastAsia="宋体"/>
                <w:color w:val="000000"/>
                <w:sz w:val="20"/>
                <w:szCs w:val="20"/>
              </w:rPr>
              <w:t>完成农业农村综合调研报告</w:t>
            </w:r>
            <w:r>
              <w:rPr>
                <w:rFonts w:hint="eastAsia" w:eastAsia="宋体"/>
                <w:color w:val="000000"/>
                <w:sz w:val="20"/>
                <w:szCs w:val="20"/>
                <w:lang w:eastAsia="zh-CN"/>
              </w:rPr>
              <w:t>数量</w:t>
            </w:r>
          </w:p>
        </w:tc>
        <w:tc>
          <w:tcPr>
            <w:tcW w:w="1194" w:type="dxa"/>
            <w:noWrap w:val="0"/>
            <w:vAlign w:val="center"/>
          </w:tcPr>
          <w:p>
            <w:pPr>
              <w:widowControl/>
              <w:adjustRightInd/>
              <w:snapToGrid/>
              <w:spacing w:line="240" w:lineRule="exact"/>
              <w:ind w:firstLine="0" w:firstLineChars="0"/>
              <w:jc w:val="left"/>
              <w:rPr>
                <w:rFonts w:ascii="Times New Roman" w:hAnsi="Times New Roman" w:eastAsia="宋体" w:cs="Times New Roman"/>
                <w:color w:val="auto"/>
                <w:kern w:val="2"/>
                <w:sz w:val="20"/>
                <w:szCs w:val="20"/>
                <w:lang w:val="en-US" w:eastAsia="zh-CN" w:bidi="ar-SA"/>
              </w:rPr>
            </w:pPr>
            <w:r>
              <w:rPr>
                <w:rFonts w:hint="eastAsia" w:ascii="Arial" w:hAnsi="Arial" w:eastAsia="宋体" w:cs="Arial"/>
                <w:color w:val="auto"/>
                <w:sz w:val="20"/>
                <w:szCs w:val="20"/>
                <w:lang w:val="en-US" w:eastAsia="zh-CN"/>
              </w:rPr>
              <w:t xml:space="preserve">  </w:t>
            </w:r>
            <w:r>
              <w:rPr>
                <w:rFonts w:hint="default" w:ascii="Arial" w:hAnsi="Arial" w:eastAsia="宋体" w:cs="Arial"/>
                <w:color w:val="auto"/>
                <w:sz w:val="20"/>
                <w:szCs w:val="20"/>
              </w:rPr>
              <w:t>≥</w:t>
            </w:r>
            <w:r>
              <w:rPr>
                <w:rFonts w:hint="eastAsia" w:eastAsia="宋体"/>
                <w:color w:val="auto"/>
                <w:sz w:val="20"/>
                <w:szCs w:val="20"/>
              </w:rPr>
              <w:t>3篇</w:t>
            </w:r>
          </w:p>
        </w:tc>
        <w:tc>
          <w:tcPr>
            <w:tcW w:w="1126" w:type="dxa"/>
            <w:noWrap w:val="0"/>
            <w:vAlign w:val="center"/>
          </w:tcPr>
          <w:p>
            <w:pPr>
              <w:widowControl/>
              <w:adjustRightInd/>
              <w:snapToGrid/>
              <w:spacing w:line="240" w:lineRule="exact"/>
              <w:ind w:firstLine="0" w:firstLineChars="0"/>
              <w:jc w:val="left"/>
              <w:rPr>
                <w:rFonts w:ascii="Times New Roman" w:hAnsi="Times New Roman" w:eastAsia="宋体"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rPr>
              <w:t>3篇</w:t>
            </w:r>
          </w:p>
        </w:tc>
        <w:tc>
          <w:tcPr>
            <w:tcW w:w="706"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质量</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指标</w:t>
            </w:r>
          </w:p>
        </w:tc>
        <w:tc>
          <w:tcPr>
            <w:tcW w:w="1645" w:type="dxa"/>
            <w:gridSpan w:val="2"/>
            <w:noWrap w:val="0"/>
            <w:vAlign w:val="center"/>
          </w:tcPr>
          <w:p>
            <w:pPr>
              <w:widowControl/>
              <w:adjustRightInd/>
              <w:snapToGrid/>
              <w:spacing w:line="240" w:lineRule="exact"/>
              <w:ind w:firstLine="0" w:firstLineChars="0"/>
              <w:jc w:val="left"/>
              <w:rPr>
                <w:rFonts w:hint="default"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农情报表、文字信息、临时调度信息上报质量</w:t>
            </w:r>
          </w:p>
        </w:tc>
        <w:tc>
          <w:tcPr>
            <w:tcW w:w="1194" w:type="dxa"/>
            <w:noWrap w:val="0"/>
            <w:vAlign w:val="center"/>
          </w:tcPr>
          <w:p>
            <w:pPr>
              <w:widowControl/>
              <w:adjustRightInd/>
              <w:snapToGrid/>
              <w:spacing w:line="240" w:lineRule="exact"/>
              <w:ind w:firstLine="0" w:firstLineChars="0"/>
              <w:jc w:val="left"/>
              <w:rPr>
                <w:rFonts w:hint="eastAsia" w:ascii="Times New Roman" w:hAnsi="Times New Roman" w:eastAsia="宋体"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lang w:eastAsia="zh-CN"/>
              </w:rPr>
              <w:t>较高</w:t>
            </w:r>
          </w:p>
        </w:tc>
        <w:tc>
          <w:tcPr>
            <w:tcW w:w="1126" w:type="dxa"/>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质量较高，为厅党组决策提供精准依据</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1645" w:type="dxa"/>
            <w:gridSpan w:val="2"/>
            <w:noWrap w:val="0"/>
            <w:vAlign w:val="center"/>
          </w:tcPr>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val="en-US" w:eastAsia="zh-CN"/>
              </w:rPr>
              <w:t>农情工作考核</w:t>
            </w:r>
          </w:p>
        </w:tc>
        <w:tc>
          <w:tcPr>
            <w:tcW w:w="1194" w:type="dxa"/>
            <w:noWrap w:val="0"/>
            <w:vAlign w:val="center"/>
          </w:tcPr>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eastAsia="zh-CN"/>
              </w:rPr>
              <w:t>考核获得好评</w:t>
            </w:r>
          </w:p>
        </w:tc>
        <w:tc>
          <w:tcPr>
            <w:tcW w:w="1126" w:type="dxa"/>
            <w:noWrap w:val="0"/>
            <w:vAlign w:val="center"/>
          </w:tcPr>
          <w:p>
            <w:pPr>
              <w:widowControl/>
              <w:adjustRightInd/>
              <w:snapToGrid/>
              <w:spacing w:line="240" w:lineRule="exact"/>
              <w:ind w:firstLine="0" w:firstLineChars="0"/>
              <w:jc w:val="left"/>
              <w:rPr>
                <w:rFonts w:hint="eastAsia" w:eastAsia="宋体"/>
                <w:color w:val="000000"/>
                <w:sz w:val="20"/>
                <w:szCs w:val="20"/>
                <w:lang w:val="en-US" w:eastAsia="zh-CN"/>
              </w:rPr>
            </w:pPr>
            <w:r>
              <w:rPr>
                <w:rFonts w:hint="eastAsia" w:eastAsia="宋体"/>
                <w:color w:val="000000"/>
                <w:sz w:val="20"/>
                <w:szCs w:val="20"/>
                <w:lang w:val="en-US" w:eastAsia="zh-CN"/>
              </w:rPr>
              <w:t>获得厅系统好评</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时效</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指标</w:t>
            </w:r>
          </w:p>
        </w:tc>
        <w:tc>
          <w:tcPr>
            <w:tcW w:w="1645" w:type="dxa"/>
            <w:gridSpan w:val="2"/>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val="en-US" w:eastAsia="zh-CN"/>
              </w:rPr>
              <w:t>报送数据统计时效性</w:t>
            </w:r>
          </w:p>
        </w:tc>
        <w:tc>
          <w:tcPr>
            <w:tcW w:w="1194" w:type="dxa"/>
            <w:noWrap w:val="0"/>
            <w:vAlign w:val="center"/>
          </w:tcPr>
          <w:p>
            <w:pPr>
              <w:widowControl/>
              <w:adjustRightInd/>
              <w:snapToGrid/>
              <w:spacing w:line="240" w:lineRule="exact"/>
              <w:ind w:firstLine="0" w:firstLineChars="0"/>
              <w:jc w:val="left"/>
              <w:rPr>
                <w:rFonts w:hint="eastAsia" w:ascii="Times New Roman" w:hAnsi="Times New Roman" w:eastAsia="宋体" w:cs="Times New Roman"/>
                <w:color w:val="000000"/>
                <w:kern w:val="2"/>
                <w:sz w:val="20"/>
                <w:szCs w:val="20"/>
                <w:lang w:val="en-US" w:eastAsia="zh-CN" w:bidi="ar-SA"/>
              </w:rPr>
            </w:pPr>
            <w:r>
              <w:rPr>
                <w:rFonts w:hint="eastAsia" w:eastAsia="宋体"/>
                <w:color w:val="000000"/>
                <w:sz w:val="20"/>
                <w:szCs w:val="20"/>
                <w:lang w:eastAsia="zh-CN"/>
              </w:rPr>
              <w:t>及时报送</w:t>
            </w:r>
          </w:p>
        </w:tc>
        <w:tc>
          <w:tcPr>
            <w:tcW w:w="1126" w:type="dxa"/>
            <w:noWrap w:val="0"/>
            <w:vAlign w:val="center"/>
          </w:tcPr>
          <w:p>
            <w:pPr>
              <w:widowControl/>
              <w:adjustRightInd/>
              <w:snapToGrid/>
              <w:spacing w:line="240" w:lineRule="exact"/>
              <w:ind w:firstLine="0" w:firstLineChars="0"/>
              <w:jc w:val="left"/>
              <w:rPr>
                <w:rFonts w:hint="default" w:ascii="Times New Roman" w:hAnsi="Times New Roman" w:eastAsia="仿宋_GB2312" w:cs="Times New Roman"/>
                <w:color w:val="000000"/>
                <w:kern w:val="2"/>
                <w:sz w:val="20"/>
                <w:szCs w:val="20"/>
                <w:lang w:val="en-US" w:eastAsia="zh-CN" w:bidi="ar-SA"/>
              </w:rPr>
            </w:pPr>
            <w:r>
              <w:rPr>
                <w:rFonts w:hint="eastAsia" w:eastAsia="仿宋_GB2312" w:cs="Times New Roman"/>
                <w:color w:val="000000"/>
                <w:kern w:val="2"/>
                <w:sz w:val="20"/>
                <w:szCs w:val="20"/>
                <w:lang w:val="en-US" w:eastAsia="zh-CN" w:bidi="ar-SA"/>
              </w:rPr>
              <w:t>及时报送</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成本</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指标</w:t>
            </w:r>
          </w:p>
        </w:tc>
        <w:tc>
          <w:tcPr>
            <w:tcW w:w="1645" w:type="dxa"/>
            <w:gridSpan w:val="2"/>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控制单位整体运行成本</w:t>
            </w:r>
          </w:p>
        </w:tc>
        <w:tc>
          <w:tcPr>
            <w:tcW w:w="1194" w:type="dxa"/>
            <w:noWrap w:val="0"/>
            <w:vAlign w:val="center"/>
          </w:tcPr>
          <w:p>
            <w:pPr>
              <w:widowControl/>
              <w:adjustRightInd/>
              <w:snapToGrid/>
              <w:spacing w:line="240" w:lineRule="exact"/>
              <w:ind w:firstLine="0" w:firstLineChars="0"/>
              <w:jc w:val="left"/>
              <w:rPr>
                <w:rFonts w:hint="default" w:ascii="Times New Roman" w:hAnsi="Times New Roman" w:eastAsia="宋体"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lang w:eastAsia="zh-CN"/>
              </w:rPr>
              <w:t>经费开支</w:t>
            </w:r>
            <w:r>
              <w:rPr>
                <w:rFonts w:hint="default" w:ascii="Arial" w:hAnsi="Arial" w:eastAsia="宋体" w:cs="Arial"/>
                <w:color w:val="000000"/>
                <w:sz w:val="20"/>
                <w:szCs w:val="20"/>
                <w:lang w:eastAsia="zh-CN"/>
              </w:rPr>
              <w:t>≤</w:t>
            </w:r>
            <w:r>
              <w:rPr>
                <w:rFonts w:hint="eastAsia" w:eastAsia="宋体"/>
                <w:color w:val="000000"/>
                <w:sz w:val="20"/>
                <w:szCs w:val="20"/>
                <w:lang w:val="en-US" w:eastAsia="zh-CN"/>
              </w:rPr>
              <w:t>415.11万元</w:t>
            </w:r>
          </w:p>
        </w:tc>
        <w:tc>
          <w:tcPr>
            <w:tcW w:w="1126" w:type="dxa"/>
            <w:noWrap w:val="0"/>
            <w:vAlign w:val="center"/>
          </w:tcPr>
          <w:p>
            <w:pPr>
              <w:widowControl/>
              <w:adjustRightInd/>
              <w:snapToGrid/>
              <w:spacing w:line="240" w:lineRule="exact"/>
              <w:ind w:firstLine="0" w:firstLineChars="0"/>
              <w:jc w:val="left"/>
              <w:rPr>
                <w:rFonts w:hint="default" w:ascii="Times New Roman" w:hAnsi="Times New Roman" w:eastAsia="仿宋_GB2312"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lang w:val="en-US" w:eastAsia="zh-CN"/>
              </w:rPr>
              <w:t>401.14万元</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777"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1645" w:type="dxa"/>
            <w:gridSpan w:val="2"/>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在预算范围内保障人员和公用经费</w:t>
            </w:r>
          </w:p>
        </w:tc>
        <w:tc>
          <w:tcPr>
            <w:tcW w:w="1194" w:type="dxa"/>
            <w:noWrap w:val="0"/>
            <w:vAlign w:val="center"/>
          </w:tcPr>
          <w:p>
            <w:pPr>
              <w:widowControl/>
              <w:adjustRightInd/>
              <w:snapToGrid/>
              <w:spacing w:line="240" w:lineRule="exact"/>
              <w:ind w:firstLine="0" w:firstLineChars="0"/>
              <w:jc w:val="left"/>
              <w:rPr>
                <w:rFonts w:hint="default"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保障人员工资正常发放和机构有序运行</w:t>
            </w:r>
          </w:p>
        </w:tc>
        <w:tc>
          <w:tcPr>
            <w:tcW w:w="1126" w:type="dxa"/>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人员工资正常发放、机构有序运行</w:t>
            </w:r>
          </w:p>
        </w:tc>
        <w:tc>
          <w:tcPr>
            <w:tcW w:w="706"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restart"/>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效益指标</w:t>
            </w:r>
          </w:p>
          <w:p>
            <w:pPr>
              <w:widowControl/>
              <w:adjustRightInd/>
              <w:snapToGrid/>
              <w:spacing w:line="240" w:lineRule="auto"/>
              <w:ind w:firstLine="210" w:firstLineChars="100"/>
              <w:jc w:val="left"/>
              <w:rPr>
                <w:rFonts w:eastAsia="仿宋_GB2312"/>
                <w:color w:val="000000"/>
                <w:kern w:val="0"/>
                <w:sz w:val="21"/>
                <w:szCs w:val="21"/>
              </w:rPr>
            </w:pPr>
            <w:r>
              <w:rPr>
                <w:rFonts w:eastAsia="仿宋_GB2312"/>
                <w:color w:val="000000"/>
                <w:kern w:val="0"/>
                <w:sz w:val="21"/>
                <w:szCs w:val="21"/>
              </w:rPr>
              <w:t>（30分）　</w:t>
            </w:r>
          </w:p>
        </w:tc>
        <w:tc>
          <w:tcPr>
            <w:tcW w:w="7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经济效</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益指标</w:t>
            </w:r>
          </w:p>
        </w:tc>
        <w:tc>
          <w:tcPr>
            <w:tcW w:w="1645" w:type="dxa"/>
            <w:gridSpan w:val="2"/>
            <w:noWrap w:val="0"/>
            <w:vAlign w:val="center"/>
          </w:tcPr>
          <w:p>
            <w:pPr>
              <w:widowControl/>
              <w:adjustRightInd/>
              <w:snapToGrid/>
              <w:spacing w:line="240" w:lineRule="exact"/>
              <w:ind w:firstLine="0" w:firstLineChars="0"/>
              <w:jc w:val="center"/>
              <w:rPr>
                <w:rFonts w:hint="eastAsia" w:ascii="Times New Roman" w:hAnsi="Times New Roman" w:eastAsia="仿宋_GB2312" w:cs="Times New Roman"/>
                <w:color w:val="000000"/>
                <w:kern w:val="2"/>
                <w:sz w:val="20"/>
                <w:szCs w:val="20"/>
                <w:lang w:val="en-US" w:eastAsia="zh-CN" w:bidi="ar-SA"/>
              </w:rPr>
            </w:pPr>
            <w:r>
              <w:rPr>
                <w:rFonts w:hint="eastAsia" w:eastAsia="仿宋_GB2312" w:cs="Times New Roman"/>
                <w:color w:val="000000"/>
                <w:kern w:val="2"/>
                <w:sz w:val="20"/>
                <w:szCs w:val="20"/>
                <w:lang w:val="en-US" w:eastAsia="zh-CN" w:bidi="ar-SA"/>
              </w:rPr>
              <w:t>无</w:t>
            </w:r>
          </w:p>
        </w:tc>
        <w:tc>
          <w:tcPr>
            <w:tcW w:w="1194" w:type="dxa"/>
            <w:noWrap w:val="0"/>
            <w:vAlign w:val="center"/>
          </w:tcPr>
          <w:p>
            <w:pPr>
              <w:widowControl/>
              <w:adjustRightInd/>
              <w:snapToGrid/>
              <w:spacing w:line="240" w:lineRule="exact"/>
              <w:ind w:firstLine="0" w:firstLineChars="0"/>
              <w:jc w:val="center"/>
              <w:rPr>
                <w:rFonts w:hint="eastAsia" w:ascii="Times New Roman" w:hAnsi="Times New Roman" w:eastAsia="仿宋_GB2312" w:cs="Times New Roman"/>
                <w:color w:val="000000"/>
                <w:kern w:val="2"/>
                <w:sz w:val="20"/>
                <w:szCs w:val="20"/>
                <w:lang w:val="en-US" w:eastAsia="zh-CN" w:bidi="ar-SA"/>
              </w:rPr>
            </w:pPr>
            <w:r>
              <w:rPr>
                <w:rFonts w:hint="eastAsia" w:eastAsia="仿宋_GB2312" w:cs="Times New Roman"/>
                <w:color w:val="000000"/>
                <w:kern w:val="2"/>
                <w:sz w:val="20"/>
                <w:szCs w:val="20"/>
                <w:lang w:val="en-US" w:eastAsia="zh-CN" w:bidi="ar-SA"/>
              </w:rPr>
              <w:t>无</w:t>
            </w:r>
          </w:p>
        </w:tc>
        <w:tc>
          <w:tcPr>
            <w:tcW w:w="1126" w:type="dxa"/>
            <w:noWrap w:val="0"/>
            <w:vAlign w:val="center"/>
          </w:tcPr>
          <w:p>
            <w:pPr>
              <w:widowControl/>
              <w:adjustRightInd/>
              <w:snapToGrid/>
              <w:spacing w:line="240" w:lineRule="exact"/>
              <w:ind w:firstLine="0" w:firstLineChars="0"/>
              <w:jc w:val="left"/>
              <w:rPr>
                <w:rFonts w:hint="default" w:ascii="Times New Roman" w:hAnsi="Times New Roman" w:eastAsia="仿宋_GB2312"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lang w:val="en-US" w:eastAsia="zh-CN"/>
              </w:rPr>
              <w:t xml:space="preserve"> </w:t>
            </w:r>
          </w:p>
        </w:tc>
        <w:tc>
          <w:tcPr>
            <w:tcW w:w="706" w:type="dxa"/>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w:t>
            </w:r>
            <w:r>
              <w:rPr>
                <w:rFonts w:hint="eastAsia" w:eastAsia="仿宋_GB2312"/>
                <w:color w:val="000000"/>
                <w:kern w:val="0"/>
                <w:sz w:val="21"/>
                <w:szCs w:val="21"/>
                <w:lang w:val="en-US" w:eastAsia="zh-CN"/>
              </w:rPr>
              <w:t>7.5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0</w:t>
            </w:r>
          </w:p>
        </w:tc>
        <w:tc>
          <w:tcPr>
            <w:tcW w:w="1418" w:type="dxa"/>
            <w:noWrap w:val="0"/>
            <w:vAlign w:val="center"/>
          </w:tcPr>
          <w:p>
            <w:pPr>
              <w:widowControl/>
              <w:adjustRightInd/>
              <w:snapToGrid/>
              <w:spacing w:line="240" w:lineRule="auto"/>
              <w:ind w:firstLine="0" w:firstLineChars="0"/>
              <w:jc w:val="left"/>
              <w:rPr>
                <w:rFonts w:eastAsia="仿宋_GB2312"/>
                <w:color w:val="FF0000"/>
                <w:kern w:val="0"/>
                <w:sz w:val="21"/>
                <w:szCs w:val="21"/>
              </w:rPr>
            </w:pPr>
            <w:r>
              <w:rPr>
                <w:rFonts w:eastAsia="仿宋_GB2312"/>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社会效</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益指标</w:t>
            </w:r>
          </w:p>
        </w:tc>
        <w:tc>
          <w:tcPr>
            <w:tcW w:w="1645" w:type="dxa"/>
            <w:gridSpan w:val="2"/>
            <w:noWrap w:val="0"/>
            <w:vAlign w:val="center"/>
          </w:tcPr>
          <w:p>
            <w:pPr>
              <w:widowControl/>
              <w:adjustRightInd/>
              <w:snapToGrid/>
              <w:spacing w:line="240" w:lineRule="exact"/>
              <w:ind w:firstLine="0" w:firstLineChars="0"/>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0"/>
                <w:sz w:val="21"/>
                <w:szCs w:val="21"/>
                <w:highlight w:val="none"/>
                <w:lang w:eastAsia="zh-CN"/>
              </w:rPr>
              <w:t>农资价格信息调度和指导</w:t>
            </w:r>
          </w:p>
        </w:tc>
        <w:tc>
          <w:tcPr>
            <w:tcW w:w="1194" w:type="dxa"/>
            <w:noWrap w:val="0"/>
            <w:vAlign w:val="center"/>
          </w:tcPr>
          <w:p>
            <w:pPr>
              <w:widowControl/>
              <w:adjustRightInd/>
              <w:snapToGrid/>
              <w:spacing w:line="240" w:lineRule="exact"/>
              <w:ind w:firstLine="0" w:firstLineChars="0"/>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0"/>
                <w:sz w:val="21"/>
                <w:szCs w:val="21"/>
                <w:highlight w:val="none"/>
                <w:lang w:eastAsia="zh-CN"/>
              </w:rPr>
              <w:t>为保供稳价提供数据参考</w:t>
            </w:r>
          </w:p>
        </w:tc>
        <w:tc>
          <w:tcPr>
            <w:tcW w:w="1126" w:type="dxa"/>
            <w:noWrap w:val="0"/>
            <w:vAlign w:val="center"/>
          </w:tcPr>
          <w:p>
            <w:pPr>
              <w:widowControl/>
              <w:adjustRightInd/>
              <w:snapToGrid/>
              <w:spacing w:line="240" w:lineRule="exact"/>
              <w:ind w:firstLine="0" w:firstLineChars="0"/>
              <w:jc w:val="left"/>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0"/>
                <w:sz w:val="21"/>
                <w:szCs w:val="21"/>
                <w:highlight w:val="none"/>
                <w:lang w:eastAsia="zh-CN"/>
              </w:rPr>
              <w:t>为保供稳价提供数据参考</w:t>
            </w:r>
          </w:p>
        </w:tc>
        <w:tc>
          <w:tcPr>
            <w:tcW w:w="706" w:type="dxa"/>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w:t>
            </w:r>
            <w:r>
              <w:rPr>
                <w:rFonts w:hint="eastAsia" w:eastAsia="仿宋_GB2312"/>
                <w:color w:val="000000"/>
                <w:kern w:val="0"/>
                <w:sz w:val="21"/>
                <w:szCs w:val="21"/>
                <w:lang w:val="en-US" w:eastAsia="zh-CN"/>
              </w:rPr>
              <w:t>7.5</w:t>
            </w:r>
          </w:p>
        </w:tc>
        <w:tc>
          <w:tcPr>
            <w:tcW w:w="1017" w:type="dxa"/>
            <w:noWrap w:val="0"/>
            <w:vAlign w:val="center"/>
          </w:tcPr>
          <w:p>
            <w:pPr>
              <w:widowControl/>
              <w:adjustRightInd/>
              <w:snapToGrid/>
              <w:spacing w:line="240" w:lineRule="auto"/>
              <w:ind w:firstLine="0" w:firstLineChars="0"/>
              <w:jc w:val="center"/>
              <w:rPr>
                <w:rFonts w:hint="default" w:eastAsia="仿宋_GB2312"/>
                <w:color w:val="000000"/>
                <w:kern w:val="0"/>
                <w:sz w:val="21"/>
                <w:szCs w:val="21"/>
                <w:lang w:val="en-US" w:eastAsia="zh-CN"/>
              </w:rPr>
            </w:pPr>
            <w:r>
              <w:rPr>
                <w:rFonts w:hint="eastAsia" w:eastAsia="仿宋_GB2312"/>
                <w:color w:val="000000"/>
                <w:kern w:val="0"/>
                <w:sz w:val="21"/>
                <w:szCs w:val="21"/>
                <w:lang w:val="en-US" w:eastAsia="zh-CN"/>
              </w:rPr>
              <w:t>7.5</w:t>
            </w:r>
          </w:p>
        </w:tc>
        <w:tc>
          <w:tcPr>
            <w:tcW w:w="1418" w:type="dxa"/>
            <w:noWrap w:val="0"/>
            <w:vAlign w:val="center"/>
          </w:tcPr>
          <w:p>
            <w:pPr>
              <w:widowControl/>
              <w:adjustRightInd/>
              <w:snapToGrid/>
              <w:spacing w:line="240" w:lineRule="auto"/>
              <w:ind w:firstLine="0" w:firstLineChars="0"/>
              <w:jc w:val="left"/>
              <w:rPr>
                <w:rFonts w:eastAsia="仿宋_GB2312"/>
                <w:color w:val="FF0000"/>
                <w:kern w:val="0"/>
                <w:sz w:val="21"/>
                <w:szCs w:val="21"/>
              </w:rPr>
            </w:pPr>
            <w:r>
              <w:rPr>
                <w:rFonts w:eastAsia="仿宋_GB2312"/>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7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生态效</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益指标</w:t>
            </w:r>
          </w:p>
        </w:tc>
        <w:tc>
          <w:tcPr>
            <w:tcW w:w="1645" w:type="dxa"/>
            <w:gridSpan w:val="2"/>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eastAsia="zh-CN"/>
              </w:rPr>
            </w:pPr>
            <w:r>
              <w:rPr>
                <w:rFonts w:hint="eastAsia" w:eastAsia="仿宋_GB2312"/>
                <w:color w:val="000000"/>
                <w:kern w:val="0"/>
                <w:sz w:val="21"/>
                <w:szCs w:val="21"/>
                <w:lang w:eastAsia="zh-CN"/>
              </w:rPr>
              <w:t>无</w:t>
            </w:r>
          </w:p>
        </w:tc>
        <w:tc>
          <w:tcPr>
            <w:tcW w:w="1194"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eastAsia="zh-CN"/>
              </w:rPr>
            </w:pPr>
            <w:r>
              <w:rPr>
                <w:rFonts w:hint="eastAsia" w:eastAsia="仿宋_GB2312"/>
                <w:color w:val="000000"/>
                <w:kern w:val="0"/>
                <w:sz w:val="21"/>
                <w:szCs w:val="21"/>
                <w:lang w:eastAsia="zh-CN"/>
              </w:rPr>
              <w:t>无</w:t>
            </w:r>
          </w:p>
        </w:tc>
        <w:tc>
          <w:tcPr>
            <w:tcW w:w="1126"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c>
          <w:tcPr>
            <w:tcW w:w="706" w:type="dxa"/>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w:t>
            </w:r>
            <w:r>
              <w:rPr>
                <w:rFonts w:hint="eastAsia" w:eastAsia="仿宋_GB2312"/>
                <w:color w:val="000000"/>
                <w:kern w:val="0"/>
                <w:sz w:val="21"/>
                <w:szCs w:val="21"/>
                <w:lang w:val="en-US" w:eastAsia="zh-CN"/>
              </w:rPr>
              <w:t>7.5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0</w:t>
            </w:r>
          </w:p>
        </w:tc>
        <w:tc>
          <w:tcPr>
            <w:tcW w:w="1418" w:type="dxa"/>
            <w:noWrap w:val="0"/>
            <w:vAlign w:val="center"/>
          </w:tcPr>
          <w:p>
            <w:pPr>
              <w:widowControl/>
              <w:adjustRightInd/>
              <w:snapToGrid/>
              <w:spacing w:line="240" w:lineRule="auto"/>
              <w:ind w:firstLine="0" w:firstLineChars="0"/>
              <w:jc w:val="left"/>
              <w:rPr>
                <w:rFonts w:eastAsia="仿宋_GB2312"/>
                <w:color w:val="FF0000"/>
                <w:kern w:val="0"/>
                <w:sz w:val="21"/>
                <w:szCs w:val="21"/>
              </w:rPr>
            </w:pPr>
            <w:r>
              <w:rPr>
                <w:rFonts w:eastAsia="仿宋_GB2312"/>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063" w:type="dxa"/>
            <w:vMerge w:val="continue"/>
            <w:noWrap w:val="0"/>
            <w:vAlign w:val="center"/>
          </w:tcPr>
          <w:p>
            <w:pPr>
              <w:widowControl/>
              <w:adjustRightInd/>
              <w:snapToGrid/>
              <w:spacing w:line="240" w:lineRule="auto"/>
              <w:ind w:firstLine="0" w:firstLineChars="0"/>
              <w:jc w:val="center"/>
              <w:rPr>
                <w:rFonts w:eastAsia="仿宋_GB2312"/>
                <w:color w:val="000000"/>
                <w:kern w:val="0"/>
                <w:sz w:val="21"/>
                <w:szCs w:val="21"/>
              </w:rPr>
            </w:pPr>
          </w:p>
        </w:tc>
        <w:tc>
          <w:tcPr>
            <w:tcW w:w="1377" w:type="dxa"/>
            <w:vMerge w:val="continue"/>
            <w:noWrap w:val="0"/>
            <w:vAlign w:val="center"/>
          </w:tcPr>
          <w:p>
            <w:pPr>
              <w:widowControl/>
              <w:adjustRightInd/>
              <w:snapToGrid/>
              <w:spacing w:line="240" w:lineRule="auto"/>
              <w:ind w:firstLine="0" w:firstLineChars="0"/>
              <w:jc w:val="left"/>
              <w:rPr>
                <w:rFonts w:eastAsia="仿宋_GB2312"/>
                <w:color w:val="000000"/>
                <w:kern w:val="0"/>
                <w:sz w:val="21"/>
                <w:szCs w:val="21"/>
              </w:rPr>
            </w:pPr>
          </w:p>
        </w:tc>
        <w:tc>
          <w:tcPr>
            <w:tcW w:w="7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可持续影响指标</w:t>
            </w:r>
          </w:p>
        </w:tc>
        <w:tc>
          <w:tcPr>
            <w:tcW w:w="1645" w:type="dxa"/>
            <w:gridSpan w:val="2"/>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eastAsia="zh-CN"/>
              </w:rPr>
            </w:pPr>
            <w:r>
              <w:rPr>
                <w:rFonts w:hint="eastAsia" w:eastAsia="仿宋_GB2312"/>
                <w:color w:val="000000"/>
                <w:kern w:val="0"/>
                <w:sz w:val="21"/>
                <w:szCs w:val="21"/>
                <w:lang w:eastAsia="zh-CN"/>
              </w:rPr>
              <w:t>无</w:t>
            </w:r>
          </w:p>
        </w:tc>
        <w:tc>
          <w:tcPr>
            <w:tcW w:w="1194"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eastAsia="zh-CN"/>
              </w:rPr>
            </w:pPr>
            <w:r>
              <w:rPr>
                <w:rFonts w:hint="eastAsia" w:eastAsia="仿宋_GB2312"/>
                <w:color w:val="000000"/>
                <w:kern w:val="0"/>
                <w:sz w:val="21"/>
                <w:szCs w:val="21"/>
                <w:lang w:eastAsia="zh-CN"/>
              </w:rPr>
              <w:t>无</w:t>
            </w:r>
          </w:p>
        </w:tc>
        <w:tc>
          <w:tcPr>
            <w:tcW w:w="1126"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c>
          <w:tcPr>
            <w:tcW w:w="706" w:type="dxa"/>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w:t>
            </w:r>
            <w:r>
              <w:rPr>
                <w:rFonts w:hint="eastAsia" w:eastAsia="仿宋_GB2312"/>
                <w:color w:val="000000"/>
                <w:kern w:val="0"/>
                <w:sz w:val="21"/>
                <w:szCs w:val="21"/>
                <w:lang w:val="en-US" w:eastAsia="zh-CN"/>
              </w:rPr>
              <w:t>7.5</w:t>
            </w:r>
          </w:p>
        </w:tc>
        <w:tc>
          <w:tcPr>
            <w:tcW w:w="1017" w:type="dxa"/>
            <w:noWrap w:val="0"/>
            <w:vAlign w:val="center"/>
          </w:tcPr>
          <w:p>
            <w:pPr>
              <w:widowControl/>
              <w:adjustRightInd/>
              <w:snapToGrid/>
              <w:spacing w:line="240" w:lineRule="auto"/>
              <w:ind w:firstLine="0" w:firstLineChars="0"/>
              <w:jc w:val="center"/>
              <w:rPr>
                <w:rFonts w:hint="eastAsia" w:eastAsia="仿宋_GB2312"/>
                <w:color w:val="000000"/>
                <w:kern w:val="0"/>
                <w:sz w:val="21"/>
                <w:szCs w:val="21"/>
                <w:lang w:val="en-US" w:eastAsia="zh-CN"/>
              </w:rPr>
            </w:pPr>
            <w:r>
              <w:rPr>
                <w:rFonts w:hint="eastAsia" w:eastAsia="仿宋_GB2312"/>
                <w:color w:val="000000"/>
                <w:kern w:val="0"/>
                <w:sz w:val="21"/>
                <w:szCs w:val="21"/>
                <w:lang w:val="en-US" w:eastAsia="zh-CN"/>
              </w:rPr>
              <w:t>0</w:t>
            </w:r>
          </w:p>
        </w:tc>
        <w:tc>
          <w:tcPr>
            <w:tcW w:w="1418" w:type="dxa"/>
            <w:noWrap w:val="0"/>
            <w:vAlign w:val="center"/>
          </w:tcPr>
          <w:p>
            <w:pPr>
              <w:widowControl/>
              <w:adjustRightInd/>
              <w:snapToGrid/>
              <w:spacing w:line="240" w:lineRule="auto"/>
              <w:ind w:firstLine="0" w:firstLineChars="0"/>
              <w:jc w:val="left"/>
              <w:rPr>
                <w:rFonts w:eastAsia="仿宋_GB2312"/>
                <w:color w:val="FF0000"/>
                <w:kern w:val="0"/>
                <w:sz w:val="21"/>
                <w:szCs w:val="21"/>
              </w:rPr>
            </w:pPr>
            <w:r>
              <w:rPr>
                <w:rFonts w:eastAsia="仿宋_GB2312"/>
                <w:color w:val="FF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3" w:type="dxa"/>
            <w:vMerge w:val="continue"/>
            <w:noWrap w:val="0"/>
            <w:vAlign w:val="center"/>
          </w:tcPr>
          <w:p>
            <w:pPr>
              <w:adjustRightInd/>
              <w:snapToGrid/>
              <w:spacing w:line="240" w:lineRule="auto"/>
              <w:ind w:firstLine="0" w:firstLineChars="0"/>
              <w:jc w:val="left"/>
              <w:rPr>
                <w:rFonts w:eastAsia="仿宋_GB2312"/>
                <w:color w:val="000000"/>
                <w:kern w:val="0"/>
                <w:sz w:val="21"/>
                <w:szCs w:val="21"/>
              </w:rPr>
            </w:pPr>
          </w:p>
        </w:tc>
        <w:tc>
          <w:tcPr>
            <w:tcW w:w="13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满意度</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指标</w:t>
            </w:r>
          </w:p>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（10分）</w:t>
            </w:r>
          </w:p>
        </w:tc>
        <w:tc>
          <w:tcPr>
            <w:tcW w:w="777"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服务对象满意度指标</w:t>
            </w:r>
          </w:p>
        </w:tc>
        <w:tc>
          <w:tcPr>
            <w:tcW w:w="1645" w:type="dxa"/>
            <w:gridSpan w:val="2"/>
            <w:noWrap w:val="0"/>
            <w:vAlign w:val="center"/>
          </w:tcPr>
          <w:p>
            <w:pPr>
              <w:widowControl/>
              <w:adjustRightInd/>
              <w:snapToGrid/>
              <w:spacing w:line="240" w:lineRule="exact"/>
              <w:ind w:firstLine="0" w:firstLineChars="0"/>
              <w:jc w:val="center"/>
              <w:rPr>
                <w:rFonts w:hint="eastAsia" w:ascii="Times New Roman" w:hAnsi="Times New Roman" w:eastAsia="仿宋_GB2312" w:cs="Times New Roman"/>
                <w:color w:val="000000"/>
                <w:kern w:val="2"/>
                <w:sz w:val="20"/>
                <w:szCs w:val="20"/>
                <w:lang w:val="en-US" w:eastAsia="zh-CN" w:bidi="ar-SA"/>
              </w:rPr>
            </w:pPr>
            <w:r>
              <w:rPr>
                <w:rFonts w:hint="eastAsia" w:eastAsia="宋体"/>
                <w:color w:val="000000"/>
                <w:sz w:val="20"/>
                <w:szCs w:val="20"/>
                <w:lang w:eastAsia="zh-CN"/>
              </w:rPr>
              <w:t>服务对象或农民满意程度</w:t>
            </w:r>
          </w:p>
        </w:tc>
        <w:tc>
          <w:tcPr>
            <w:tcW w:w="1194" w:type="dxa"/>
            <w:noWrap w:val="0"/>
            <w:vAlign w:val="center"/>
          </w:tcPr>
          <w:p>
            <w:pPr>
              <w:widowControl/>
              <w:adjustRightInd/>
              <w:snapToGrid/>
              <w:spacing w:line="240" w:lineRule="exact"/>
              <w:ind w:firstLine="0" w:firstLineChars="0"/>
              <w:jc w:val="left"/>
              <w:rPr>
                <w:rFonts w:hint="default" w:ascii="Times New Roman" w:hAnsi="Times New Roman" w:eastAsia="仿宋_GB2312" w:cs="Times New Roman"/>
                <w:color w:val="000000"/>
                <w:kern w:val="2"/>
                <w:sz w:val="20"/>
                <w:szCs w:val="20"/>
                <w:lang w:val="en-US" w:eastAsia="zh-CN" w:bidi="ar-SA"/>
              </w:rPr>
            </w:pPr>
            <w:r>
              <w:rPr>
                <w:rFonts w:hint="eastAsia" w:eastAsia="宋体"/>
                <w:color w:val="auto"/>
                <w:sz w:val="20"/>
                <w:szCs w:val="20"/>
                <w:lang w:val="en-US" w:eastAsia="zh-CN"/>
              </w:rPr>
              <w:t xml:space="preserve"> </w:t>
            </w:r>
            <w:r>
              <w:rPr>
                <w:rFonts w:eastAsia="宋体"/>
                <w:color w:val="auto"/>
                <w:sz w:val="20"/>
                <w:szCs w:val="20"/>
              </w:rPr>
              <w:t>　</w:t>
            </w:r>
            <w:r>
              <w:rPr>
                <w:rFonts w:hint="default" w:ascii="Arial" w:hAnsi="Arial" w:eastAsia="宋体" w:cs="Arial"/>
                <w:color w:val="auto"/>
                <w:sz w:val="20"/>
                <w:szCs w:val="20"/>
              </w:rPr>
              <w:t>≥</w:t>
            </w:r>
            <w:r>
              <w:rPr>
                <w:rFonts w:hint="eastAsia" w:eastAsia="宋体"/>
                <w:color w:val="auto"/>
                <w:sz w:val="20"/>
                <w:szCs w:val="20"/>
                <w:lang w:val="en-US" w:eastAsia="zh-CN"/>
              </w:rPr>
              <w:t>85%</w:t>
            </w:r>
          </w:p>
        </w:tc>
        <w:tc>
          <w:tcPr>
            <w:tcW w:w="1126" w:type="dxa"/>
            <w:noWrap w:val="0"/>
            <w:vAlign w:val="center"/>
          </w:tcPr>
          <w:p>
            <w:pPr>
              <w:widowControl/>
              <w:adjustRightInd/>
              <w:snapToGrid/>
              <w:spacing w:line="240" w:lineRule="exact"/>
              <w:ind w:firstLine="0" w:firstLineChars="0"/>
              <w:jc w:val="left"/>
              <w:rPr>
                <w:rFonts w:hint="default" w:ascii="Times New Roman" w:hAnsi="Times New Roman" w:eastAsia="宋体" w:cs="Times New Roman"/>
                <w:color w:val="000000"/>
                <w:kern w:val="2"/>
                <w:sz w:val="20"/>
                <w:szCs w:val="20"/>
                <w:lang w:val="en-US" w:eastAsia="zh-CN" w:bidi="ar-SA"/>
              </w:rPr>
            </w:pPr>
            <w:r>
              <w:rPr>
                <w:rFonts w:eastAsia="宋体"/>
                <w:color w:val="000000"/>
                <w:sz w:val="20"/>
                <w:szCs w:val="20"/>
              </w:rPr>
              <w:t>　</w:t>
            </w:r>
            <w:r>
              <w:rPr>
                <w:rFonts w:hint="eastAsia" w:eastAsia="宋体"/>
                <w:color w:val="000000"/>
                <w:sz w:val="20"/>
                <w:szCs w:val="20"/>
                <w:lang w:val="en-US" w:eastAsia="zh-CN"/>
              </w:rPr>
              <w:t>85%</w:t>
            </w:r>
          </w:p>
        </w:tc>
        <w:tc>
          <w:tcPr>
            <w:tcW w:w="706" w:type="dxa"/>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w:t>
            </w:r>
            <w:r>
              <w:rPr>
                <w:rFonts w:hint="eastAsia" w:eastAsia="仿宋_GB2312"/>
                <w:color w:val="000000"/>
                <w:kern w:val="0"/>
                <w:sz w:val="21"/>
                <w:szCs w:val="21"/>
                <w:lang w:val="en-US" w:eastAsia="zh-CN"/>
              </w:rPr>
              <w:t>10</w:t>
            </w:r>
          </w:p>
        </w:tc>
        <w:tc>
          <w:tcPr>
            <w:tcW w:w="1017" w:type="dxa"/>
            <w:noWrap w:val="0"/>
            <w:vAlign w:val="center"/>
          </w:tcPr>
          <w:p>
            <w:pPr>
              <w:widowControl/>
              <w:adjustRightInd/>
              <w:snapToGrid/>
              <w:spacing w:line="240" w:lineRule="auto"/>
              <w:ind w:firstLine="0" w:firstLineChars="0"/>
              <w:jc w:val="left"/>
              <w:rPr>
                <w:rFonts w:hint="default" w:eastAsia="仿宋_GB2312"/>
                <w:color w:val="000000"/>
                <w:kern w:val="0"/>
                <w:sz w:val="21"/>
                <w:szCs w:val="21"/>
                <w:lang w:val="en-US" w:eastAsia="zh-CN"/>
              </w:rPr>
            </w:pPr>
            <w:r>
              <w:rPr>
                <w:rFonts w:eastAsia="仿宋_GB2312"/>
                <w:color w:val="000000"/>
                <w:kern w:val="0"/>
                <w:sz w:val="21"/>
                <w:szCs w:val="21"/>
              </w:rPr>
              <w:t>　</w:t>
            </w:r>
            <w:r>
              <w:rPr>
                <w:rFonts w:hint="eastAsia" w:eastAsia="仿宋_GB2312"/>
                <w:color w:val="000000"/>
                <w:kern w:val="0"/>
                <w:sz w:val="21"/>
                <w:szCs w:val="21"/>
                <w:lang w:val="en-US" w:eastAsia="zh-CN"/>
              </w:rPr>
              <w:t>10</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7182" w:type="dxa"/>
            <w:gridSpan w:val="7"/>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总分</w:t>
            </w:r>
          </w:p>
        </w:tc>
        <w:tc>
          <w:tcPr>
            <w:tcW w:w="706" w:type="dxa"/>
            <w:noWrap w:val="0"/>
            <w:vAlign w:val="center"/>
          </w:tcPr>
          <w:p>
            <w:pPr>
              <w:widowControl/>
              <w:adjustRightInd/>
              <w:snapToGrid/>
              <w:spacing w:line="240" w:lineRule="auto"/>
              <w:ind w:firstLine="0" w:firstLineChars="0"/>
              <w:jc w:val="center"/>
              <w:rPr>
                <w:rFonts w:eastAsia="仿宋_GB2312"/>
                <w:color w:val="000000"/>
                <w:kern w:val="0"/>
                <w:sz w:val="21"/>
                <w:szCs w:val="21"/>
              </w:rPr>
            </w:pPr>
            <w:r>
              <w:rPr>
                <w:rFonts w:eastAsia="仿宋_GB2312"/>
                <w:color w:val="000000"/>
                <w:kern w:val="0"/>
                <w:sz w:val="21"/>
                <w:szCs w:val="21"/>
              </w:rPr>
              <w:t>100</w:t>
            </w:r>
          </w:p>
        </w:tc>
        <w:tc>
          <w:tcPr>
            <w:tcW w:w="1017" w:type="dxa"/>
            <w:noWrap w:val="0"/>
            <w:vAlign w:val="center"/>
          </w:tcPr>
          <w:p>
            <w:pPr>
              <w:widowControl/>
              <w:adjustRightInd/>
              <w:snapToGrid/>
              <w:spacing w:line="240" w:lineRule="auto"/>
              <w:ind w:firstLine="0" w:firstLineChars="0"/>
              <w:jc w:val="center"/>
              <w:rPr>
                <w:rFonts w:hint="default" w:eastAsia="仿宋_GB2312"/>
                <w:color w:val="000000"/>
                <w:kern w:val="0"/>
                <w:sz w:val="21"/>
                <w:szCs w:val="21"/>
                <w:lang w:val="en-US" w:eastAsia="zh-CN"/>
              </w:rPr>
            </w:pPr>
            <w:r>
              <w:rPr>
                <w:rFonts w:hint="eastAsia" w:eastAsia="仿宋_GB2312"/>
                <w:color w:val="000000"/>
                <w:kern w:val="0"/>
                <w:sz w:val="21"/>
                <w:szCs w:val="21"/>
                <w:lang w:val="en-US" w:eastAsia="zh-CN"/>
              </w:rPr>
              <w:t>77.15</w:t>
            </w:r>
          </w:p>
        </w:tc>
        <w:tc>
          <w:tcPr>
            <w:tcW w:w="1418" w:type="dxa"/>
            <w:noWrap w:val="0"/>
            <w:vAlign w:val="center"/>
          </w:tcPr>
          <w:p>
            <w:pPr>
              <w:widowControl/>
              <w:adjustRightInd/>
              <w:snapToGrid/>
              <w:spacing w:line="240" w:lineRule="auto"/>
              <w:ind w:firstLine="0" w:firstLineChars="0"/>
              <w:jc w:val="left"/>
              <w:rPr>
                <w:rFonts w:eastAsia="仿宋_GB2312"/>
                <w:color w:val="000000"/>
                <w:kern w:val="0"/>
                <w:sz w:val="21"/>
                <w:szCs w:val="21"/>
              </w:rPr>
            </w:pPr>
            <w:r>
              <w:rPr>
                <w:rFonts w:eastAsia="仿宋_GB2312"/>
                <w:color w:val="000000"/>
                <w:kern w:val="0"/>
                <w:sz w:val="21"/>
                <w:szCs w:val="21"/>
              </w:rPr>
              <w:t>　</w:t>
            </w:r>
          </w:p>
        </w:tc>
      </w:tr>
    </w:tbl>
    <w:p>
      <w:pPr>
        <w:adjustRightInd/>
        <w:snapToGrid/>
        <w:spacing w:line="240" w:lineRule="auto"/>
        <w:ind w:firstLine="0" w:firstLineChars="0"/>
        <w:rPr>
          <w:rFonts w:eastAsia="宋体"/>
          <w:sz w:val="21"/>
        </w:rPr>
      </w:pPr>
    </w:p>
    <w:p>
      <w:pPr>
        <w:keepNext w:val="0"/>
        <w:keepLines w:val="0"/>
        <w:pageBreakBefore w:val="0"/>
        <w:widowControl w:val="0"/>
        <w:kinsoku/>
        <w:wordWrap/>
        <w:overflowPunct/>
        <w:topLinePunct w:val="0"/>
        <w:autoSpaceDE w:val="0"/>
        <w:autoSpaceDN/>
        <w:bidi w:val="0"/>
        <w:adjustRightInd/>
        <w:snapToGrid/>
        <w:spacing w:line="600" w:lineRule="exact"/>
        <w:ind w:firstLine="632" w:firstLineChars="200"/>
        <w:textAlignment w:val="auto"/>
        <w:outlineLvl w:val="3"/>
        <w:rPr>
          <w:rFonts w:hint="eastAsia" w:ascii="仿宋_GB2312" w:hAnsi="仿宋_GB2312" w:cs="仿宋_GB2312"/>
          <w:bCs/>
          <w:spacing w:val="-2"/>
          <w:sz w:val="32"/>
          <w:szCs w:val="32"/>
          <w:lang w:val="en-US" w:eastAsia="zh-CN"/>
        </w:rPr>
      </w:pPr>
    </w:p>
    <w:p>
      <w:pPr>
        <w:pStyle w:val="15"/>
        <w:spacing w:line="600" w:lineRule="exact"/>
        <w:ind w:firstLine="640" w:firstLineChars="200"/>
        <w:rPr>
          <w:rFonts w:ascii="Times New Roman" w:hAnsi="Times New Roman" w:eastAsia="仿宋_GB2312" w:cs="Times New Roman"/>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E8ABF"/>
    <w:multiLevelType w:val="singleLevel"/>
    <w:tmpl w:val="9F6E8ABF"/>
    <w:lvl w:ilvl="0" w:tentative="0">
      <w:start w:val="3"/>
      <w:numFmt w:val="decimal"/>
      <w:lvlText w:val="%1."/>
      <w:lvlJc w:val="left"/>
      <w:pPr>
        <w:tabs>
          <w:tab w:val="left" w:pos="312"/>
        </w:tabs>
      </w:pPr>
    </w:lvl>
  </w:abstractNum>
  <w:abstractNum w:abstractNumId="1">
    <w:nsid w:val="ABFF190C"/>
    <w:multiLevelType w:val="singleLevel"/>
    <w:tmpl w:val="ABFF190C"/>
    <w:lvl w:ilvl="0" w:tentative="0">
      <w:start w:val="8"/>
      <w:numFmt w:val="chineseCounting"/>
      <w:suff w:val="nothing"/>
      <w:lvlText w:val="%1、"/>
      <w:lvlJc w:val="left"/>
      <w:rPr>
        <w:rFonts w:hint="eastAsia"/>
      </w:rPr>
    </w:lvl>
  </w:abstractNum>
  <w:abstractNum w:abstractNumId="2">
    <w:nsid w:val="BBEE543C"/>
    <w:multiLevelType w:val="singleLevel"/>
    <w:tmpl w:val="BBEE543C"/>
    <w:lvl w:ilvl="0" w:tentative="0">
      <w:start w:val="7"/>
      <w:numFmt w:val="chineseCounting"/>
      <w:suff w:val="nothing"/>
      <w:lvlText w:val="%1、"/>
      <w:lvlJc w:val="left"/>
      <w:rPr>
        <w:rFonts w:hint="eastAsia"/>
      </w:rPr>
    </w:lvl>
  </w:abstractNum>
  <w:abstractNum w:abstractNumId="3">
    <w:nsid w:val="DF776D41"/>
    <w:multiLevelType w:val="singleLevel"/>
    <w:tmpl w:val="DF776D41"/>
    <w:lvl w:ilvl="0" w:tentative="0">
      <w:start w:val="2"/>
      <w:numFmt w:val="chineseCounting"/>
      <w:suff w:val="nothing"/>
      <w:lvlText w:val="（%1）"/>
      <w:lvlJc w:val="left"/>
      <w:rPr>
        <w:rFonts w:hint="eastAsia"/>
      </w:rPr>
    </w:lvl>
  </w:abstractNum>
  <w:abstractNum w:abstractNumId="4">
    <w:nsid w:val="E8DEAD49"/>
    <w:multiLevelType w:val="singleLevel"/>
    <w:tmpl w:val="E8DEAD49"/>
    <w:lvl w:ilvl="0" w:tentative="0">
      <w:start w:val="1"/>
      <w:numFmt w:val="chineseCounting"/>
      <w:suff w:val="nothing"/>
      <w:lvlText w:val="（%1）"/>
      <w:lvlJc w:val="left"/>
      <w:rPr>
        <w:rFonts w:hint="eastAsia"/>
      </w:rPr>
    </w:lvl>
  </w:abstractNum>
  <w:abstractNum w:abstractNumId="5">
    <w:nsid w:val="FBFEE30F"/>
    <w:multiLevelType w:val="singleLevel"/>
    <w:tmpl w:val="FBFEE30F"/>
    <w:lvl w:ilvl="0" w:tentative="0">
      <w:start w:val="3"/>
      <w:numFmt w:val="chineseCounting"/>
      <w:suff w:val="nothing"/>
      <w:lvlText w:val="%1、"/>
      <w:lvlJc w:val="left"/>
      <w:rPr>
        <w:rFonts w:hint="eastAsia"/>
      </w:rPr>
    </w:lvl>
  </w:abstractNum>
  <w:abstractNum w:abstractNumId="6">
    <w:nsid w:val="FDDC6D4D"/>
    <w:multiLevelType w:val="singleLevel"/>
    <w:tmpl w:val="FDDC6D4D"/>
    <w:lvl w:ilvl="0" w:tentative="0">
      <w:start w:val="9"/>
      <w:numFmt w:val="chineseCounting"/>
      <w:suff w:val="nothing"/>
      <w:lvlText w:val="%1、"/>
      <w:lvlJc w:val="left"/>
      <w:rPr>
        <w:rFonts w:hint="eastAsia"/>
      </w:rPr>
    </w:lvl>
  </w:abstractNum>
  <w:abstractNum w:abstractNumId="7">
    <w:nsid w:val="FFEE29EB"/>
    <w:multiLevelType w:val="singleLevel"/>
    <w:tmpl w:val="FFEE29EB"/>
    <w:lvl w:ilvl="0" w:tentative="0">
      <w:start w:val="3"/>
      <w:numFmt w:val="decimal"/>
      <w:suff w:val="nothing"/>
      <w:lvlText w:val="%1、"/>
      <w:lvlJc w:val="left"/>
    </w:lvl>
  </w:abstractNum>
  <w:num w:numId="1">
    <w:abstractNumId w:val="2"/>
  </w:num>
  <w:num w:numId="2">
    <w:abstractNumId w:val="0"/>
  </w:num>
  <w:num w:numId="3">
    <w:abstractNumId w:val="6"/>
  </w:num>
  <w:num w:numId="4">
    <w:abstractNumId w:val="3"/>
  </w:num>
  <w:num w:numId="5">
    <w:abstractNumId w:val="7"/>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5F1656"/>
    <w:rsid w:val="05B3EA25"/>
    <w:rsid w:val="05BF0F52"/>
    <w:rsid w:val="05EFC6A2"/>
    <w:rsid w:val="067DD4B9"/>
    <w:rsid w:val="07D7275D"/>
    <w:rsid w:val="07EF4BF0"/>
    <w:rsid w:val="07FFEB10"/>
    <w:rsid w:val="0B9F3537"/>
    <w:rsid w:val="0BDD6188"/>
    <w:rsid w:val="0CFF8EF1"/>
    <w:rsid w:val="0D7F1722"/>
    <w:rsid w:val="0DBF9078"/>
    <w:rsid w:val="0DFB113C"/>
    <w:rsid w:val="0DFEC0DB"/>
    <w:rsid w:val="0EC621B9"/>
    <w:rsid w:val="0EF65F6B"/>
    <w:rsid w:val="0EFA2ADF"/>
    <w:rsid w:val="0EFB00CF"/>
    <w:rsid w:val="0FCF8CEA"/>
    <w:rsid w:val="0FFDA12E"/>
    <w:rsid w:val="13271708"/>
    <w:rsid w:val="133E8664"/>
    <w:rsid w:val="1375A758"/>
    <w:rsid w:val="13EE4564"/>
    <w:rsid w:val="14B6D56E"/>
    <w:rsid w:val="14BF8818"/>
    <w:rsid w:val="153FB60C"/>
    <w:rsid w:val="159D214D"/>
    <w:rsid w:val="15DF8728"/>
    <w:rsid w:val="15DFFF8E"/>
    <w:rsid w:val="15F768F8"/>
    <w:rsid w:val="162EAAF1"/>
    <w:rsid w:val="166DDC0A"/>
    <w:rsid w:val="167FB588"/>
    <w:rsid w:val="16BF5B59"/>
    <w:rsid w:val="16FE5B44"/>
    <w:rsid w:val="175D5ABE"/>
    <w:rsid w:val="175DF69C"/>
    <w:rsid w:val="17CF8308"/>
    <w:rsid w:val="17EFA57D"/>
    <w:rsid w:val="17F6792C"/>
    <w:rsid w:val="17F73BDF"/>
    <w:rsid w:val="17FF0FC4"/>
    <w:rsid w:val="192B9607"/>
    <w:rsid w:val="19CF3890"/>
    <w:rsid w:val="1AFD49D6"/>
    <w:rsid w:val="1B2B951D"/>
    <w:rsid w:val="1B5F259F"/>
    <w:rsid w:val="1B7CDB2C"/>
    <w:rsid w:val="1BB9E1DD"/>
    <w:rsid w:val="1BBE8939"/>
    <w:rsid w:val="1BEEAADA"/>
    <w:rsid w:val="1BFF060F"/>
    <w:rsid w:val="1CBDA6E3"/>
    <w:rsid w:val="1D7E18F7"/>
    <w:rsid w:val="1D7F93E3"/>
    <w:rsid w:val="1D97DEFF"/>
    <w:rsid w:val="1DADC242"/>
    <w:rsid w:val="1DBB23C4"/>
    <w:rsid w:val="1DD3834E"/>
    <w:rsid w:val="1DF2C3DB"/>
    <w:rsid w:val="1DFF72E5"/>
    <w:rsid w:val="1E6E64B8"/>
    <w:rsid w:val="1E771F56"/>
    <w:rsid w:val="1E7F259D"/>
    <w:rsid w:val="1EDD0496"/>
    <w:rsid w:val="1EFA9994"/>
    <w:rsid w:val="1EFC6F07"/>
    <w:rsid w:val="1EFFA58D"/>
    <w:rsid w:val="1EFFD7FD"/>
    <w:rsid w:val="1F1F1CC1"/>
    <w:rsid w:val="1F3E518B"/>
    <w:rsid w:val="1F77044A"/>
    <w:rsid w:val="1F7BE799"/>
    <w:rsid w:val="1F7F8A69"/>
    <w:rsid w:val="1FB30D16"/>
    <w:rsid w:val="1FB3B331"/>
    <w:rsid w:val="1FBEB344"/>
    <w:rsid w:val="1FDFC073"/>
    <w:rsid w:val="1FE6536A"/>
    <w:rsid w:val="1FEB2A93"/>
    <w:rsid w:val="1FF70902"/>
    <w:rsid w:val="1FF77FBC"/>
    <w:rsid w:val="1FFA95FC"/>
    <w:rsid w:val="1FFBCD85"/>
    <w:rsid w:val="1FFD41FE"/>
    <w:rsid w:val="1FFD66EE"/>
    <w:rsid w:val="1FFEC58C"/>
    <w:rsid w:val="23FF1B41"/>
    <w:rsid w:val="247670A7"/>
    <w:rsid w:val="247F9988"/>
    <w:rsid w:val="24FF4B36"/>
    <w:rsid w:val="25FEE9EF"/>
    <w:rsid w:val="26A3397F"/>
    <w:rsid w:val="26B7204C"/>
    <w:rsid w:val="27DAC988"/>
    <w:rsid w:val="27FFB45A"/>
    <w:rsid w:val="297ED94C"/>
    <w:rsid w:val="29FE1186"/>
    <w:rsid w:val="2AEF205E"/>
    <w:rsid w:val="2AF75B41"/>
    <w:rsid w:val="2AFF117B"/>
    <w:rsid w:val="2AFFA69D"/>
    <w:rsid w:val="2B3E44F1"/>
    <w:rsid w:val="2B738BA2"/>
    <w:rsid w:val="2BBB1633"/>
    <w:rsid w:val="2BCE2921"/>
    <w:rsid w:val="2BF31FAB"/>
    <w:rsid w:val="2BFBD95D"/>
    <w:rsid w:val="2BFF23BD"/>
    <w:rsid w:val="2BFFA19C"/>
    <w:rsid w:val="2CBFDD18"/>
    <w:rsid w:val="2CF1BA78"/>
    <w:rsid w:val="2CF780D0"/>
    <w:rsid w:val="2CFD2B3A"/>
    <w:rsid w:val="2CFF8F76"/>
    <w:rsid w:val="2D1F6A4E"/>
    <w:rsid w:val="2D5BED9B"/>
    <w:rsid w:val="2D7E0F1B"/>
    <w:rsid w:val="2DE43691"/>
    <w:rsid w:val="2DFE52F2"/>
    <w:rsid w:val="2DFF82FC"/>
    <w:rsid w:val="2E77DD33"/>
    <w:rsid w:val="2EBF49B9"/>
    <w:rsid w:val="2EDEF522"/>
    <w:rsid w:val="2EF9DDB0"/>
    <w:rsid w:val="2EFB89BB"/>
    <w:rsid w:val="2EFE7FB1"/>
    <w:rsid w:val="2EFEF941"/>
    <w:rsid w:val="2EFF9BF4"/>
    <w:rsid w:val="2F2DE930"/>
    <w:rsid w:val="2F331FFA"/>
    <w:rsid w:val="2F336D28"/>
    <w:rsid w:val="2F624CD1"/>
    <w:rsid w:val="2F7BBD7A"/>
    <w:rsid w:val="2F7D7AFA"/>
    <w:rsid w:val="2FB96967"/>
    <w:rsid w:val="2FBAA806"/>
    <w:rsid w:val="2FBF1BB7"/>
    <w:rsid w:val="2FBFB75B"/>
    <w:rsid w:val="2FBFFCEC"/>
    <w:rsid w:val="2FC9B6F8"/>
    <w:rsid w:val="2FDBBD51"/>
    <w:rsid w:val="2FDF85B8"/>
    <w:rsid w:val="2FE57DFF"/>
    <w:rsid w:val="2FEB9B77"/>
    <w:rsid w:val="2FEDD51A"/>
    <w:rsid w:val="2FF91E7C"/>
    <w:rsid w:val="2FFB51FD"/>
    <w:rsid w:val="2FFE5F05"/>
    <w:rsid w:val="2FFF71AB"/>
    <w:rsid w:val="2FFF9D2C"/>
    <w:rsid w:val="2FFFB1E2"/>
    <w:rsid w:val="2FFFE889"/>
    <w:rsid w:val="2FFFE9FC"/>
    <w:rsid w:val="2FFFEE04"/>
    <w:rsid w:val="313D67E0"/>
    <w:rsid w:val="31DF0D64"/>
    <w:rsid w:val="32175CFC"/>
    <w:rsid w:val="326F6D27"/>
    <w:rsid w:val="32BDDAF4"/>
    <w:rsid w:val="32C7E08A"/>
    <w:rsid w:val="32FFA276"/>
    <w:rsid w:val="32FFDE00"/>
    <w:rsid w:val="3376E0C6"/>
    <w:rsid w:val="337D6DB1"/>
    <w:rsid w:val="337EC435"/>
    <w:rsid w:val="33EB1BEC"/>
    <w:rsid w:val="33F54733"/>
    <w:rsid w:val="33FF1FCD"/>
    <w:rsid w:val="33FF6A23"/>
    <w:rsid w:val="34DF85B0"/>
    <w:rsid w:val="359258C7"/>
    <w:rsid w:val="35AFEB8E"/>
    <w:rsid w:val="35CDA788"/>
    <w:rsid w:val="35DD63DC"/>
    <w:rsid w:val="35DF2B05"/>
    <w:rsid w:val="35E7BDF8"/>
    <w:rsid w:val="35FF8AB3"/>
    <w:rsid w:val="363B76ED"/>
    <w:rsid w:val="36ADB9B2"/>
    <w:rsid w:val="36CB6328"/>
    <w:rsid w:val="36DFD477"/>
    <w:rsid w:val="36E83955"/>
    <w:rsid w:val="36EF9766"/>
    <w:rsid w:val="36FB8D0E"/>
    <w:rsid w:val="36FBFE42"/>
    <w:rsid w:val="3711D7CB"/>
    <w:rsid w:val="371F9240"/>
    <w:rsid w:val="373D6655"/>
    <w:rsid w:val="37461628"/>
    <w:rsid w:val="377B2CBB"/>
    <w:rsid w:val="37BDDBCE"/>
    <w:rsid w:val="37CFE2BC"/>
    <w:rsid w:val="37DFA9A2"/>
    <w:rsid w:val="37EB3E50"/>
    <w:rsid w:val="37EB51D1"/>
    <w:rsid w:val="37ED1AC5"/>
    <w:rsid w:val="37EDD18C"/>
    <w:rsid w:val="37F65652"/>
    <w:rsid w:val="37FA92E4"/>
    <w:rsid w:val="37FB9A43"/>
    <w:rsid w:val="37FD2BCA"/>
    <w:rsid w:val="37FE48FA"/>
    <w:rsid w:val="37FE4F98"/>
    <w:rsid w:val="37FFD6B8"/>
    <w:rsid w:val="3864A40B"/>
    <w:rsid w:val="38DF6708"/>
    <w:rsid w:val="399F2342"/>
    <w:rsid w:val="39DF82BC"/>
    <w:rsid w:val="39DFCC3E"/>
    <w:rsid w:val="39EB9F0E"/>
    <w:rsid w:val="39EDF782"/>
    <w:rsid w:val="39FDE1BE"/>
    <w:rsid w:val="39FE9286"/>
    <w:rsid w:val="3AB3E394"/>
    <w:rsid w:val="3ACFFB31"/>
    <w:rsid w:val="3AD41E81"/>
    <w:rsid w:val="3AEDEB10"/>
    <w:rsid w:val="3AFD52B5"/>
    <w:rsid w:val="3AFEA8A1"/>
    <w:rsid w:val="3B4DF48F"/>
    <w:rsid w:val="3B6B3F5E"/>
    <w:rsid w:val="3B8F36BC"/>
    <w:rsid w:val="3BAF88DC"/>
    <w:rsid w:val="3BD13B79"/>
    <w:rsid w:val="3BD58E1E"/>
    <w:rsid w:val="3BE669F3"/>
    <w:rsid w:val="3BF35277"/>
    <w:rsid w:val="3BF3B36E"/>
    <w:rsid w:val="3BF8FE2B"/>
    <w:rsid w:val="3BFD49F8"/>
    <w:rsid w:val="3BFD765C"/>
    <w:rsid w:val="3BFDAB99"/>
    <w:rsid w:val="3BFDE1B8"/>
    <w:rsid w:val="3BFE23DB"/>
    <w:rsid w:val="3BFE8823"/>
    <w:rsid w:val="3C1F34B7"/>
    <w:rsid w:val="3CF76433"/>
    <w:rsid w:val="3CF7EE60"/>
    <w:rsid w:val="3CFD1549"/>
    <w:rsid w:val="3CFF48DB"/>
    <w:rsid w:val="3D65E519"/>
    <w:rsid w:val="3D71C8F4"/>
    <w:rsid w:val="3D7D04E0"/>
    <w:rsid w:val="3D7E9757"/>
    <w:rsid w:val="3D7F57CB"/>
    <w:rsid w:val="3DCDBBDA"/>
    <w:rsid w:val="3DD79176"/>
    <w:rsid w:val="3DDAEAE5"/>
    <w:rsid w:val="3DDDC11F"/>
    <w:rsid w:val="3DE35B5E"/>
    <w:rsid w:val="3DED3517"/>
    <w:rsid w:val="3DEFC85F"/>
    <w:rsid w:val="3DF5391E"/>
    <w:rsid w:val="3DF77C4A"/>
    <w:rsid w:val="3DFFD436"/>
    <w:rsid w:val="3E2D5B42"/>
    <w:rsid w:val="3E3D2687"/>
    <w:rsid w:val="3E5F7A0A"/>
    <w:rsid w:val="3E5FA5D0"/>
    <w:rsid w:val="3E7E700D"/>
    <w:rsid w:val="3E9F255B"/>
    <w:rsid w:val="3EADDCCC"/>
    <w:rsid w:val="3EB34E88"/>
    <w:rsid w:val="3EDE63FE"/>
    <w:rsid w:val="3EF7E3AC"/>
    <w:rsid w:val="3EF9A730"/>
    <w:rsid w:val="3EFBB626"/>
    <w:rsid w:val="3EFD962B"/>
    <w:rsid w:val="3F2D6C06"/>
    <w:rsid w:val="3F2FB508"/>
    <w:rsid w:val="3F3B3881"/>
    <w:rsid w:val="3F52324F"/>
    <w:rsid w:val="3F5E68DE"/>
    <w:rsid w:val="3F5F92E7"/>
    <w:rsid w:val="3F6D40CE"/>
    <w:rsid w:val="3F6F17F0"/>
    <w:rsid w:val="3F6FAC7B"/>
    <w:rsid w:val="3F76E96F"/>
    <w:rsid w:val="3F7B71BA"/>
    <w:rsid w:val="3F7E0A88"/>
    <w:rsid w:val="3F7FC3CE"/>
    <w:rsid w:val="3F8EF425"/>
    <w:rsid w:val="3F93A7EE"/>
    <w:rsid w:val="3F9F660B"/>
    <w:rsid w:val="3FA72E08"/>
    <w:rsid w:val="3FAB63C8"/>
    <w:rsid w:val="3FAE0C72"/>
    <w:rsid w:val="3FB5E127"/>
    <w:rsid w:val="3FB6EA90"/>
    <w:rsid w:val="3FB7C337"/>
    <w:rsid w:val="3FBA8708"/>
    <w:rsid w:val="3FBA94A1"/>
    <w:rsid w:val="3FBB13CC"/>
    <w:rsid w:val="3FBC6BF0"/>
    <w:rsid w:val="3FBE4525"/>
    <w:rsid w:val="3FD313A4"/>
    <w:rsid w:val="3FDA7CC0"/>
    <w:rsid w:val="3FDB814C"/>
    <w:rsid w:val="3FDB87DA"/>
    <w:rsid w:val="3FDD5FCF"/>
    <w:rsid w:val="3FDFA0B3"/>
    <w:rsid w:val="3FE92F63"/>
    <w:rsid w:val="3FE99FA4"/>
    <w:rsid w:val="3FEB47BD"/>
    <w:rsid w:val="3FEB5BDC"/>
    <w:rsid w:val="3FEEFF70"/>
    <w:rsid w:val="3FEF6DBD"/>
    <w:rsid w:val="3FEF9271"/>
    <w:rsid w:val="3FF40F70"/>
    <w:rsid w:val="3FF7DD8D"/>
    <w:rsid w:val="3FF98B45"/>
    <w:rsid w:val="3FFA5D4E"/>
    <w:rsid w:val="3FFAD917"/>
    <w:rsid w:val="3FFB25FC"/>
    <w:rsid w:val="3FFB3426"/>
    <w:rsid w:val="3FFB3D6E"/>
    <w:rsid w:val="3FFB5DA1"/>
    <w:rsid w:val="3FFB99C1"/>
    <w:rsid w:val="3FFBBF6C"/>
    <w:rsid w:val="3FFD33A7"/>
    <w:rsid w:val="3FFD7961"/>
    <w:rsid w:val="3FFDEF07"/>
    <w:rsid w:val="3FFE0CE8"/>
    <w:rsid w:val="3FFE1B7D"/>
    <w:rsid w:val="3FFE5E5E"/>
    <w:rsid w:val="3FFEE61E"/>
    <w:rsid w:val="3FFFFC87"/>
    <w:rsid w:val="41F67B93"/>
    <w:rsid w:val="41FF08BC"/>
    <w:rsid w:val="43F30D5A"/>
    <w:rsid w:val="453F01FD"/>
    <w:rsid w:val="45BD6BC4"/>
    <w:rsid w:val="45C7EE70"/>
    <w:rsid w:val="462B308C"/>
    <w:rsid w:val="46EFA379"/>
    <w:rsid w:val="47778A6C"/>
    <w:rsid w:val="477F8EEA"/>
    <w:rsid w:val="47954B1C"/>
    <w:rsid w:val="4797F333"/>
    <w:rsid w:val="479F4122"/>
    <w:rsid w:val="47B10E7A"/>
    <w:rsid w:val="47D7A80A"/>
    <w:rsid w:val="487FA88D"/>
    <w:rsid w:val="491FF225"/>
    <w:rsid w:val="49F7DDF9"/>
    <w:rsid w:val="4ABE94A9"/>
    <w:rsid w:val="4BBE5336"/>
    <w:rsid w:val="4BD18D28"/>
    <w:rsid w:val="4BFFDF8D"/>
    <w:rsid w:val="4CF808AA"/>
    <w:rsid w:val="4D71639A"/>
    <w:rsid w:val="4DB7AA1F"/>
    <w:rsid w:val="4DBFCDBE"/>
    <w:rsid w:val="4DEF0B47"/>
    <w:rsid w:val="4DFFC3EC"/>
    <w:rsid w:val="4E36B043"/>
    <w:rsid w:val="4EDBDC8A"/>
    <w:rsid w:val="4F3963FB"/>
    <w:rsid w:val="4F5D4038"/>
    <w:rsid w:val="4F5F1F9D"/>
    <w:rsid w:val="4F6D386C"/>
    <w:rsid w:val="4F9EE51D"/>
    <w:rsid w:val="4FB7E2C7"/>
    <w:rsid w:val="4FDBF2F7"/>
    <w:rsid w:val="4FDF120D"/>
    <w:rsid w:val="4FDF2925"/>
    <w:rsid w:val="4FDF4553"/>
    <w:rsid w:val="4FE69691"/>
    <w:rsid w:val="4FEBBF5C"/>
    <w:rsid w:val="4FEF15C2"/>
    <w:rsid w:val="4FEF64A9"/>
    <w:rsid w:val="4FEFF165"/>
    <w:rsid w:val="4FF6B05D"/>
    <w:rsid w:val="4FFD214C"/>
    <w:rsid w:val="4FFF2FB8"/>
    <w:rsid w:val="4FFF67A4"/>
    <w:rsid w:val="4FFFF087"/>
    <w:rsid w:val="516FD7E5"/>
    <w:rsid w:val="520F7485"/>
    <w:rsid w:val="526D6349"/>
    <w:rsid w:val="52D82EF5"/>
    <w:rsid w:val="52EB9F75"/>
    <w:rsid w:val="5355B289"/>
    <w:rsid w:val="537F8F54"/>
    <w:rsid w:val="539F240F"/>
    <w:rsid w:val="53D3133F"/>
    <w:rsid w:val="53E29721"/>
    <w:rsid w:val="53EF12A8"/>
    <w:rsid w:val="53EF564C"/>
    <w:rsid w:val="53FC6C00"/>
    <w:rsid w:val="54DFD309"/>
    <w:rsid w:val="555F4C23"/>
    <w:rsid w:val="557D1A9A"/>
    <w:rsid w:val="55B58599"/>
    <w:rsid w:val="55E92D1B"/>
    <w:rsid w:val="55FF6943"/>
    <w:rsid w:val="55FFB7A7"/>
    <w:rsid w:val="567413CF"/>
    <w:rsid w:val="56ED9744"/>
    <w:rsid w:val="573B0DE7"/>
    <w:rsid w:val="573C36C4"/>
    <w:rsid w:val="57579682"/>
    <w:rsid w:val="577651F4"/>
    <w:rsid w:val="5777A5BD"/>
    <w:rsid w:val="5777D4F5"/>
    <w:rsid w:val="57B5F1E3"/>
    <w:rsid w:val="57BBBAEC"/>
    <w:rsid w:val="57BDE7BE"/>
    <w:rsid w:val="57BE7132"/>
    <w:rsid w:val="57BFD041"/>
    <w:rsid w:val="57DD0302"/>
    <w:rsid w:val="57EB2D45"/>
    <w:rsid w:val="57EF9915"/>
    <w:rsid w:val="57F13AB9"/>
    <w:rsid w:val="57F3C6EB"/>
    <w:rsid w:val="57F64CD3"/>
    <w:rsid w:val="57F74C38"/>
    <w:rsid w:val="57FA0CF1"/>
    <w:rsid w:val="57FE9BAA"/>
    <w:rsid w:val="583F525C"/>
    <w:rsid w:val="58FB02D8"/>
    <w:rsid w:val="597D2622"/>
    <w:rsid w:val="597FA1E8"/>
    <w:rsid w:val="59B795F8"/>
    <w:rsid w:val="59BA9200"/>
    <w:rsid w:val="59DD8326"/>
    <w:rsid w:val="59DFAF23"/>
    <w:rsid w:val="59EAED64"/>
    <w:rsid w:val="59EFDC73"/>
    <w:rsid w:val="5A716FFA"/>
    <w:rsid w:val="5A7BF539"/>
    <w:rsid w:val="5AE524E6"/>
    <w:rsid w:val="5AEB893C"/>
    <w:rsid w:val="5AEBD710"/>
    <w:rsid w:val="5AF77ED6"/>
    <w:rsid w:val="5AFF63B3"/>
    <w:rsid w:val="5AFFA02F"/>
    <w:rsid w:val="5AFFAD01"/>
    <w:rsid w:val="5B3D367C"/>
    <w:rsid w:val="5B5F1DBA"/>
    <w:rsid w:val="5B5FA494"/>
    <w:rsid w:val="5B615892"/>
    <w:rsid w:val="5B6FFCC2"/>
    <w:rsid w:val="5B77304E"/>
    <w:rsid w:val="5B79F601"/>
    <w:rsid w:val="5BAD203C"/>
    <w:rsid w:val="5BB7F01E"/>
    <w:rsid w:val="5BBA1E10"/>
    <w:rsid w:val="5BD29659"/>
    <w:rsid w:val="5BDD8D48"/>
    <w:rsid w:val="5BDE8607"/>
    <w:rsid w:val="5BDFB13B"/>
    <w:rsid w:val="5BDFC435"/>
    <w:rsid w:val="5BE37FEE"/>
    <w:rsid w:val="5BE7C710"/>
    <w:rsid w:val="5BEB57C0"/>
    <w:rsid w:val="5BECEAAB"/>
    <w:rsid w:val="5BFDE54A"/>
    <w:rsid w:val="5BFF1BEB"/>
    <w:rsid w:val="5BFF31DE"/>
    <w:rsid w:val="5BFFA2F3"/>
    <w:rsid w:val="5BFFAAFE"/>
    <w:rsid w:val="5C5D26A3"/>
    <w:rsid w:val="5C7EAEB0"/>
    <w:rsid w:val="5CAB9AD0"/>
    <w:rsid w:val="5CBFC203"/>
    <w:rsid w:val="5CDF328C"/>
    <w:rsid w:val="5CE554D3"/>
    <w:rsid w:val="5CF5A88B"/>
    <w:rsid w:val="5CFB2D48"/>
    <w:rsid w:val="5CFF7781"/>
    <w:rsid w:val="5CFF84A0"/>
    <w:rsid w:val="5D439292"/>
    <w:rsid w:val="5D71B89F"/>
    <w:rsid w:val="5D7E9781"/>
    <w:rsid w:val="5D8F656B"/>
    <w:rsid w:val="5D8FAE94"/>
    <w:rsid w:val="5DAF67C0"/>
    <w:rsid w:val="5DBDD7C3"/>
    <w:rsid w:val="5DCF0008"/>
    <w:rsid w:val="5DEF592A"/>
    <w:rsid w:val="5DFD9DCC"/>
    <w:rsid w:val="5DFE3B20"/>
    <w:rsid w:val="5DFEDE6B"/>
    <w:rsid w:val="5DFFB6C5"/>
    <w:rsid w:val="5E0F33E6"/>
    <w:rsid w:val="5E7914C3"/>
    <w:rsid w:val="5E7A6E6D"/>
    <w:rsid w:val="5E8F0841"/>
    <w:rsid w:val="5EB988AD"/>
    <w:rsid w:val="5EBF3E90"/>
    <w:rsid w:val="5EBFFBF3"/>
    <w:rsid w:val="5ED460EC"/>
    <w:rsid w:val="5EDEDC59"/>
    <w:rsid w:val="5EEAA87A"/>
    <w:rsid w:val="5EF62700"/>
    <w:rsid w:val="5EFB4379"/>
    <w:rsid w:val="5EFFAFF5"/>
    <w:rsid w:val="5F2EA0E3"/>
    <w:rsid w:val="5F2F6E7B"/>
    <w:rsid w:val="5F37BF69"/>
    <w:rsid w:val="5F3B90A5"/>
    <w:rsid w:val="5F4C0B8A"/>
    <w:rsid w:val="5F5BFD0F"/>
    <w:rsid w:val="5F5E6A21"/>
    <w:rsid w:val="5F6A645D"/>
    <w:rsid w:val="5F6E23A8"/>
    <w:rsid w:val="5F6F2DE0"/>
    <w:rsid w:val="5F6F70C7"/>
    <w:rsid w:val="5F77EB8B"/>
    <w:rsid w:val="5F7F08DC"/>
    <w:rsid w:val="5F7F8F11"/>
    <w:rsid w:val="5F7FFABB"/>
    <w:rsid w:val="5F920E25"/>
    <w:rsid w:val="5FAB999D"/>
    <w:rsid w:val="5FB0DB88"/>
    <w:rsid w:val="5FB7E65B"/>
    <w:rsid w:val="5FBB0A89"/>
    <w:rsid w:val="5FBBE27B"/>
    <w:rsid w:val="5FBFE8B3"/>
    <w:rsid w:val="5FC6BB1E"/>
    <w:rsid w:val="5FCCB5D3"/>
    <w:rsid w:val="5FCD904B"/>
    <w:rsid w:val="5FCF36AC"/>
    <w:rsid w:val="5FCF89DB"/>
    <w:rsid w:val="5FCF9579"/>
    <w:rsid w:val="5FD5F8E1"/>
    <w:rsid w:val="5FD72A5E"/>
    <w:rsid w:val="5FD7B474"/>
    <w:rsid w:val="5FDB2694"/>
    <w:rsid w:val="5FDC6649"/>
    <w:rsid w:val="5FDF8F9B"/>
    <w:rsid w:val="5FDFA2D9"/>
    <w:rsid w:val="5FE06ED1"/>
    <w:rsid w:val="5FE4C6D2"/>
    <w:rsid w:val="5FE7D598"/>
    <w:rsid w:val="5FE7DF00"/>
    <w:rsid w:val="5FEC3A68"/>
    <w:rsid w:val="5FEFEC05"/>
    <w:rsid w:val="5FEFEE66"/>
    <w:rsid w:val="5FF20AF5"/>
    <w:rsid w:val="5FF21BE1"/>
    <w:rsid w:val="5FF3F9EC"/>
    <w:rsid w:val="5FF5F2B2"/>
    <w:rsid w:val="5FF720F1"/>
    <w:rsid w:val="5FF77BA9"/>
    <w:rsid w:val="5FF7CC12"/>
    <w:rsid w:val="5FF7F4AE"/>
    <w:rsid w:val="5FF91294"/>
    <w:rsid w:val="5FF92377"/>
    <w:rsid w:val="5FF94DAB"/>
    <w:rsid w:val="5FFBE920"/>
    <w:rsid w:val="5FFD74C1"/>
    <w:rsid w:val="5FFDAF24"/>
    <w:rsid w:val="5FFDAFB1"/>
    <w:rsid w:val="5FFE4AFC"/>
    <w:rsid w:val="5FFE5EE8"/>
    <w:rsid w:val="5FFEC090"/>
    <w:rsid w:val="5FFF1341"/>
    <w:rsid w:val="5FFF343F"/>
    <w:rsid w:val="5FFF756A"/>
    <w:rsid w:val="5FFFC53C"/>
    <w:rsid w:val="5FFFD57F"/>
    <w:rsid w:val="5FFFDF07"/>
    <w:rsid w:val="5FFFF269"/>
    <w:rsid w:val="61771381"/>
    <w:rsid w:val="61B399AE"/>
    <w:rsid w:val="61ED5F9B"/>
    <w:rsid w:val="61FF1F8C"/>
    <w:rsid w:val="62DB1A99"/>
    <w:rsid w:val="635F953E"/>
    <w:rsid w:val="6363D8EC"/>
    <w:rsid w:val="637F3BF6"/>
    <w:rsid w:val="63DF2460"/>
    <w:rsid w:val="63ED4CC4"/>
    <w:rsid w:val="63FFCBD3"/>
    <w:rsid w:val="64BD61C5"/>
    <w:rsid w:val="64FDF104"/>
    <w:rsid w:val="64FF7103"/>
    <w:rsid w:val="653B798E"/>
    <w:rsid w:val="657FCD00"/>
    <w:rsid w:val="65DDDAA3"/>
    <w:rsid w:val="65EB9416"/>
    <w:rsid w:val="65F8A377"/>
    <w:rsid w:val="65FDDE10"/>
    <w:rsid w:val="661F8055"/>
    <w:rsid w:val="66735DB8"/>
    <w:rsid w:val="6679ED0E"/>
    <w:rsid w:val="667A6895"/>
    <w:rsid w:val="667DE40E"/>
    <w:rsid w:val="66CA2678"/>
    <w:rsid w:val="66D9CD7A"/>
    <w:rsid w:val="66EF84F1"/>
    <w:rsid w:val="66F76FE3"/>
    <w:rsid w:val="673F25E4"/>
    <w:rsid w:val="674B8C14"/>
    <w:rsid w:val="674BC479"/>
    <w:rsid w:val="675F98A4"/>
    <w:rsid w:val="6776A954"/>
    <w:rsid w:val="678FCE2E"/>
    <w:rsid w:val="67B26D1A"/>
    <w:rsid w:val="67BFDE90"/>
    <w:rsid w:val="67DFE6F5"/>
    <w:rsid w:val="67EBF6BA"/>
    <w:rsid w:val="67EDA2F4"/>
    <w:rsid w:val="67EE4D47"/>
    <w:rsid w:val="67F76E19"/>
    <w:rsid w:val="67FE17BB"/>
    <w:rsid w:val="67FF5A08"/>
    <w:rsid w:val="67FF5C0B"/>
    <w:rsid w:val="68F7BDED"/>
    <w:rsid w:val="68FF8794"/>
    <w:rsid w:val="6957ED85"/>
    <w:rsid w:val="69BB3A19"/>
    <w:rsid w:val="69F77D00"/>
    <w:rsid w:val="69F7D1E9"/>
    <w:rsid w:val="69FEE4D4"/>
    <w:rsid w:val="6AAEF1E6"/>
    <w:rsid w:val="6AB71ABF"/>
    <w:rsid w:val="6AD211A0"/>
    <w:rsid w:val="6ADB5F87"/>
    <w:rsid w:val="6AF94411"/>
    <w:rsid w:val="6AFD39B7"/>
    <w:rsid w:val="6AFDB5E6"/>
    <w:rsid w:val="6AFF0C5A"/>
    <w:rsid w:val="6B3BC7C6"/>
    <w:rsid w:val="6B3F2D69"/>
    <w:rsid w:val="6B3F3BD8"/>
    <w:rsid w:val="6B5F916A"/>
    <w:rsid w:val="6B74BDD6"/>
    <w:rsid w:val="6B7E6558"/>
    <w:rsid w:val="6B957B4C"/>
    <w:rsid w:val="6BA7C3CF"/>
    <w:rsid w:val="6BB5A11C"/>
    <w:rsid w:val="6BB98E29"/>
    <w:rsid w:val="6BBB7241"/>
    <w:rsid w:val="6BBFE048"/>
    <w:rsid w:val="6BCE3239"/>
    <w:rsid w:val="6BD5166D"/>
    <w:rsid w:val="6BDACA79"/>
    <w:rsid w:val="6BF5D99C"/>
    <w:rsid w:val="6BFE4057"/>
    <w:rsid w:val="6BFF0FAB"/>
    <w:rsid w:val="6C58A0DD"/>
    <w:rsid w:val="6C6B417E"/>
    <w:rsid w:val="6CDCCD57"/>
    <w:rsid w:val="6CFB8160"/>
    <w:rsid w:val="6CFFA993"/>
    <w:rsid w:val="6D3EA1DF"/>
    <w:rsid w:val="6D7AE9A5"/>
    <w:rsid w:val="6D7D2540"/>
    <w:rsid w:val="6D7D5C7D"/>
    <w:rsid w:val="6DADFF86"/>
    <w:rsid w:val="6DBF75DA"/>
    <w:rsid w:val="6DD16E37"/>
    <w:rsid w:val="6DD76E06"/>
    <w:rsid w:val="6DDDFB73"/>
    <w:rsid w:val="6DEE1491"/>
    <w:rsid w:val="6DEE90E3"/>
    <w:rsid w:val="6DF3FDB1"/>
    <w:rsid w:val="6DF6C79C"/>
    <w:rsid w:val="6DFB07CB"/>
    <w:rsid w:val="6DFF1571"/>
    <w:rsid w:val="6E3D93E3"/>
    <w:rsid w:val="6E57C7F0"/>
    <w:rsid w:val="6E636004"/>
    <w:rsid w:val="6E7E1752"/>
    <w:rsid w:val="6E7F2ADF"/>
    <w:rsid w:val="6EABCFCA"/>
    <w:rsid w:val="6EAE2045"/>
    <w:rsid w:val="6EAF782C"/>
    <w:rsid w:val="6EAFB42E"/>
    <w:rsid w:val="6EB65DCF"/>
    <w:rsid w:val="6EBAC2FE"/>
    <w:rsid w:val="6EBD1C7D"/>
    <w:rsid w:val="6EBD3EDB"/>
    <w:rsid w:val="6EBDEB18"/>
    <w:rsid w:val="6EBE2160"/>
    <w:rsid w:val="6EDA6510"/>
    <w:rsid w:val="6EDF9174"/>
    <w:rsid w:val="6EE7CEF3"/>
    <w:rsid w:val="6EE9341F"/>
    <w:rsid w:val="6EEE9F22"/>
    <w:rsid w:val="6EF71F75"/>
    <w:rsid w:val="6EFA40D7"/>
    <w:rsid w:val="6EFC0924"/>
    <w:rsid w:val="6EFC58EB"/>
    <w:rsid w:val="6EFD72BB"/>
    <w:rsid w:val="6EFE69FF"/>
    <w:rsid w:val="6EFF23F8"/>
    <w:rsid w:val="6EFF6271"/>
    <w:rsid w:val="6EFF6671"/>
    <w:rsid w:val="6EFFB6FF"/>
    <w:rsid w:val="6EFFEE1A"/>
    <w:rsid w:val="6F1CAB22"/>
    <w:rsid w:val="6F27EA02"/>
    <w:rsid w:val="6F2FD82B"/>
    <w:rsid w:val="6F3B90E7"/>
    <w:rsid w:val="6F3DAC97"/>
    <w:rsid w:val="6F3E566B"/>
    <w:rsid w:val="6F3E5D19"/>
    <w:rsid w:val="6F3EF7CC"/>
    <w:rsid w:val="6F3F9678"/>
    <w:rsid w:val="6F4FE96F"/>
    <w:rsid w:val="6F516F01"/>
    <w:rsid w:val="6F5F4D35"/>
    <w:rsid w:val="6F6B26C0"/>
    <w:rsid w:val="6F77741C"/>
    <w:rsid w:val="6F7DC6E5"/>
    <w:rsid w:val="6F7F2EA6"/>
    <w:rsid w:val="6F7F4CE1"/>
    <w:rsid w:val="6F7FFB58"/>
    <w:rsid w:val="6FA3E62B"/>
    <w:rsid w:val="6FA6A057"/>
    <w:rsid w:val="6FAD6C2E"/>
    <w:rsid w:val="6FB679BF"/>
    <w:rsid w:val="6FB74722"/>
    <w:rsid w:val="6FBB1F4C"/>
    <w:rsid w:val="6FBB6980"/>
    <w:rsid w:val="6FBD9B3B"/>
    <w:rsid w:val="6FBEB64D"/>
    <w:rsid w:val="6FBF9973"/>
    <w:rsid w:val="6FBFB731"/>
    <w:rsid w:val="6FCA95EA"/>
    <w:rsid w:val="6FD6AD5F"/>
    <w:rsid w:val="6FD71726"/>
    <w:rsid w:val="6FD7A7F0"/>
    <w:rsid w:val="6FD7FDF8"/>
    <w:rsid w:val="6FDB5898"/>
    <w:rsid w:val="6FDE62B6"/>
    <w:rsid w:val="6FDECFED"/>
    <w:rsid w:val="6FDFB35B"/>
    <w:rsid w:val="6FE5B767"/>
    <w:rsid w:val="6FEAED03"/>
    <w:rsid w:val="6FEB43F3"/>
    <w:rsid w:val="6FEBF2B1"/>
    <w:rsid w:val="6FEE81E3"/>
    <w:rsid w:val="6FEF8B2C"/>
    <w:rsid w:val="6FEF8B7E"/>
    <w:rsid w:val="6FEFD32D"/>
    <w:rsid w:val="6FF379B3"/>
    <w:rsid w:val="6FF74695"/>
    <w:rsid w:val="6FF7DC50"/>
    <w:rsid w:val="6FF91253"/>
    <w:rsid w:val="6FF9B64E"/>
    <w:rsid w:val="6FFA1957"/>
    <w:rsid w:val="6FFA9860"/>
    <w:rsid w:val="6FFB0992"/>
    <w:rsid w:val="6FFBD92B"/>
    <w:rsid w:val="6FFD616E"/>
    <w:rsid w:val="6FFDA5DF"/>
    <w:rsid w:val="6FFF41CB"/>
    <w:rsid w:val="6FFF8507"/>
    <w:rsid w:val="6FFF896F"/>
    <w:rsid w:val="6FFFC6B6"/>
    <w:rsid w:val="6FFFF5E4"/>
    <w:rsid w:val="70F76AA1"/>
    <w:rsid w:val="70FF2424"/>
    <w:rsid w:val="713A7C47"/>
    <w:rsid w:val="713F8531"/>
    <w:rsid w:val="715D2A7E"/>
    <w:rsid w:val="71A6591B"/>
    <w:rsid w:val="71BDDC4E"/>
    <w:rsid w:val="71D90DB4"/>
    <w:rsid w:val="71DF2F64"/>
    <w:rsid w:val="71DFB48C"/>
    <w:rsid w:val="71E32009"/>
    <w:rsid w:val="71EB3380"/>
    <w:rsid w:val="71FDAC05"/>
    <w:rsid w:val="71FFDAB2"/>
    <w:rsid w:val="722EAC67"/>
    <w:rsid w:val="727E3FDB"/>
    <w:rsid w:val="729A80F8"/>
    <w:rsid w:val="72D020C6"/>
    <w:rsid w:val="72E44466"/>
    <w:rsid w:val="72EDE2FA"/>
    <w:rsid w:val="72F0D79D"/>
    <w:rsid w:val="72F7B2ED"/>
    <w:rsid w:val="72FD54E4"/>
    <w:rsid w:val="735D6E28"/>
    <w:rsid w:val="737BC6AA"/>
    <w:rsid w:val="737D59BA"/>
    <w:rsid w:val="737E0DFD"/>
    <w:rsid w:val="737F3652"/>
    <w:rsid w:val="739FEF9B"/>
    <w:rsid w:val="73B51F63"/>
    <w:rsid w:val="73BB5D10"/>
    <w:rsid w:val="73BF041C"/>
    <w:rsid w:val="73D70A50"/>
    <w:rsid w:val="73D71437"/>
    <w:rsid w:val="73D7A351"/>
    <w:rsid w:val="73DDAE36"/>
    <w:rsid w:val="73DFC372"/>
    <w:rsid w:val="73E67A19"/>
    <w:rsid w:val="73E76A09"/>
    <w:rsid w:val="73EFDB80"/>
    <w:rsid w:val="73F266A2"/>
    <w:rsid w:val="73F7A862"/>
    <w:rsid w:val="73FB0AB2"/>
    <w:rsid w:val="73FB12FC"/>
    <w:rsid w:val="73FC51BD"/>
    <w:rsid w:val="73FDBBDA"/>
    <w:rsid w:val="73FE6A3C"/>
    <w:rsid w:val="73FFCE46"/>
    <w:rsid w:val="745523B9"/>
    <w:rsid w:val="746F31B4"/>
    <w:rsid w:val="749B75A2"/>
    <w:rsid w:val="74F37468"/>
    <w:rsid w:val="74FEE813"/>
    <w:rsid w:val="751F0F68"/>
    <w:rsid w:val="753FF760"/>
    <w:rsid w:val="75574982"/>
    <w:rsid w:val="757D5502"/>
    <w:rsid w:val="7587D82C"/>
    <w:rsid w:val="759574D6"/>
    <w:rsid w:val="75AF4FA8"/>
    <w:rsid w:val="75CB56E6"/>
    <w:rsid w:val="75DDAFDB"/>
    <w:rsid w:val="75E50B20"/>
    <w:rsid w:val="75E7D151"/>
    <w:rsid w:val="75EAC0CF"/>
    <w:rsid w:val="75ECD06C"/>
    <w:rsid w:val="75F5687A"/>
    <w:rsid w:val="75FD027E"/>
    <w:rsid w:val="75FDA91C"/>
    <w:rsid w:val="75FE8A7D"/>
    <w:rsid w:val="75FE9A82"/>
    <w:rsid w:val="75FF19E8"/>
    <w:rsid w:val="75FF7ABA"/>
    <w:rsid w:val="75FFB757"/>
    <w:rsid w:val="763D0BB0"/>
    <w:rsid w:val="7677DF2C"/>
    <w:rsid w:val="767B804E"/>
    <w:rsid w:val="76B388CA"/>
    <w:rsid w:val="76BEADAA"/>
    <w:rsid w:val="76BF11E4"/>
    <w:rsid w:val="76BF2139"/>
    <w:rsid w:val="76BFAEEF"/>
    <w:rsid w:val="76DEA94A"/>
    <w:rsid w:val="76DF59DF"/>
    <w:rsid w:val="76E70D4A"/>
    <w:rsid w:val="76EF32CE"/>
    <w:rsid w:val="76EF3FA0"/>
    <w:rsid w:val="76F7BF46"/>
    <w:rsid w:val="76FB3763"/>
    <w:rsid w:val="76FD6E5C"/>
    <w:rsid w:val="76FEDFE0"/>
    <w:rsid w:val="76FF3A20"/>
    <w:rsid w:val="76FF7369"/>
    <w:rsid w:val="76FFA9A1"/>
    <w:rsid w:val="76FFF4DB"/>
    <w:rsid w:val="771B5814"/>
    <w:rsid w:val="773E2E75"/>
    <w:rsid w:val="7757E1EA"/>
    <w:rsid w:val="7757EA66"/>
    <w:rsid w:val="775F62C5"/>
    <w:rsid w:val="776D14DD"/>
    <w:rsid w:val="776E86F8"/>
    <w:rsid w:val="776ECF6F"/>
    <w:rsid w:val="7776C0EC"/>
    <w:rsid w:val="7777AE25"/>
    <w:rsid w:val="7779E3AD"/>
    <w:rsid w:val="777BA9A8"/>
    <w:rsid w:val="777CA79A"/>
    <w:rsid w:val="777DF3B1"/>
    <w:rsid w:val="777EBC9C"/>
    <w:rsid w:val="777F6FD7"/>
    <w:rsid w:val="777FBDAC"/>
    <w:rsid w:val="778E952C"/>
    <w:rsid w:val="7793A4B1"/>
    <w:rsid w:val="77A51A5A"/>
    <w:rsid w:val="77AD6220"/>
    <w:rsid w:val="77B64D86"/>
    <w:rsid w:val="77B9B698"/>
    <w:rsid w:val="77BA1E1A"/>
    <w:rsid w:val="77BCCAEF"/>
    <w:rsid w:val="77BF57C5"/>
    <w:rsid w:val="77BFD33C"/>
    <w:rsid w:val="77C37683"/>
    <w:rsid w:val="77C7B588"/>
    <w:rsid w:val="77CCEEE3"/>
    <w:rsid w:val="77DE6FC5"/>
    <w:rsid w:val="77DFB6E8"/>
    <w:rsid w:val="77DFF344"/>
    <w:rsid w:val="77E5589A"/>
    <w:rsid w:val="77E59131"/>
    <w:rsid w:val="77E75916"/>
    <w:rsid w:val="77EAB491"/>
    <w:rsid w:val="77ED3E4C"/>
    <w:rsid w:val="77ED5825"/>
    <w:rsid w:val="77ED5C7A"/>
    <w:rsid w:val="77ED68D2"/>
    <w:rsid w:val="77EF019F"/>
    <w:rsid w:val="77F36182"/>
    <w:rsid w:val="77F73887"/>
    <w:rsid w:val="77F7E8DC"/>
    <w:rsid w:val="77F7FA58"/>
    <w:rsid w:val="77FC4F09"/>
    <w:rsid w:val="77FD4FE7"/>
    <w:rsid w:val="77FD67BF"/>
    <w:rsid w:val="77FD834E"/>
    <w:rsid w:val="77FDE3F3"/>
    <w:rsid w:val="77FF2612"/>
    <w:rsid w:val="77FFA3A8"/>
    <w:rsid w:val="77FFEC55"/>
    <w:rsid w:val="787D488E"/>
    <w:rsid w:val="787FE1FF"/>
    <w:rsid w:val="78BAA594"/>
    <w:rsid w:val="78CFB93A"/>
    <w:rsid w:val="78FF9F91"/>
    <w:rsid w:val="792368AC"/>
    <w:rsid w:val="793DC29C"/>
    <w:rsid w:val="79AC1697"/>
    <w:rsid w:val="79BF1602"/>
    <w:rsid w:val="79BF29EE"/>
    <w:rsid w:val="79CE4DFC"/>
    <w:rsid w:val="79CF562F"/>
    <w:rsid w:val="79D19834"/>
    <w:rsid w:val="79EC1129"/>
    <w:rsid w:val="79F19ACA"/>
    <w:rsid w:val="79F3E901"/>
    <w:rsid w:val="79F7EB03"/>
    <w:rsid w:val="79FBADBB"/>
    <w:rsid w:val="79FF4691"/>
    <w:rsid w:val="79FF515B"/>
    <w:rsid w:val="7A37CAFD"/>
    <w:rsid w:val="7A3F7A34"/>
    <w:rsid w:val="7A5F9EBD"/>
    <w:rsid w:val="7A699868"/>
    <w:rsid w:val="7A77D6C1"/>
    <w:rsid w:val="7A79A198"/>
    <w:rsid w:val="7A9E3E59"/>
    <w:rsid w:val="7AA32203"/>
    <w:rsid w:val="7AAF1C3F"/>
    <w:rsid w:val="7ACFF300"/>
    <w:rsid w:val="7AD96CB1"/>
    <w:rsid w:val="7ADDAD90"/>
    <w:rsid w:val="7ADFF327"/>
    <w:rsid w:val="7AEB1ACB"/>
    <w:rsid w:val="7AF67930"/>
    <w:rsid w:val="7AFAC54E"/>
    <w:rsid w:val="7AFB21D0"/>
    <w:rsid w:val="7AFB458C"/>
    <w:rsid w:val="7AFD17E8"/>
    <w:rsid w:val="7AFD1CE8"/>
    <w:rsid w:val="7AFDC827"/>
    <w:rsid w:val="7AFE8278"/>
    <w:rsid w:val="7AFF22BC"/>
    <w:rsid w:val="7AFF39AC"/>
    <w:rsid w:val="7AFF5AFB"/>
    <w:rsid w:val="7B1F331B"/>
    <w:rsid w:val="7B2E47DE"/>
    <w:rsid w:val="7B35311A"/>
    <w:rsid w:val="7B57EEBB"/>
    <w:rsid w:val="7B6F7000"/>
    <w:rsid w:val="7B7172D8"/>
    <w:rsid w:val="7B79C00D"/>
    <w:rsid w:val="7B7AEBBF"/>
    <w:rsid w:val="7B7DB2FF"/>
    <w:rsid w:val="7B7ED81A"/>
    <w:rsid w:val="7B7FACD5"/>
    <w:rsid w:val="7B9B6465"/>
    <w:rsid w:val="7B9F480B"/>
    <w:rsid w:val="7B9FFADF"/>
    <w:rsid w:val="7BAF4EDA"/>
    <w:rsid w:val="7BB74A71"/>
    <w:rsid w:val="7BBB59EE"/>
    <w:rsid w:val="7BBC31E0"/>
    <w:rsid w:val="7BBF3D8A"/>
    <w:rsid w:val="7BBF54D4"/>
    <w:rsid w:val="7BBF5C93"/>
    <w:rsid w:val="7BBFDE2D"/>
    <w:rsid w:val="7BCA36C2"/>
    <w:rsid w:val="7BCF1D62"/>
    <w:rsid w:val="7BD7F60E"/>
    <w:rsid w:val="7BDD5DD6"/>
    <w:rsid w:val="7BDFC787"/>
    <w:rsid w:val="7BEDAD00"/>
    <w:rsid w:val="7BEF8176"/>
    <w:rsid w:val="7BF20E51"/>
    <w:rsid w:val="7BF25173"/>
    <w:rsid w:val="7BF3F8F4"/>
    <w:rsid w:val="7BF4CCD0"/>
    <w:rsid w:val="7BF4CE15"/>
    <w:rsid w:val="7BF5ACA6"/>
    <w:rsid w:val="7BF6718E"/>
    <w:rsid w:val="7BF674A9"/>
    <w:rsid w:val="7BFBC227"/>
    <w:rsid w:val="7BFBCE30"/>
    <w:rsid w:val="7BFD1104"/>
    <w:rsid w:val="7BFDB3EF"/>
    <w:rsid w:val="7BFE0DAC"/>
    <w:rsid w:val="7BFE7DBB"/>
    <w:rsid w:val="7BFE829E"/>
    <w:rsid w:val="7BFED1C7"/>
    <w:rsid w:val="7BFF253B"/>
    <w:rsid w:val="7BFF291A"/>
    <w:rsid w:val="7BFF39B4"/>
    <w:rsid w:val="7BFF67A1"/>
    <w:rsid w:val="7BFF9EC7"/>
    <w:rsid w:val="7C1FCF2B"/>
    <w:rsid w:val="7C67A152"/>
    <w:rsid w:val="7C6F186F"/>
    <w:rsid w:val="7C7F5172"/>
    <w:rsid w:val="7C97286E"/>
    <w:rsid w:val="7CB98FA2"/>
    <w:rsid w:val="7CCB7081"/>
    <w:rsid w:val="7CD40FBF"/>
    <w:rsid w:val="7CDD0A0D"/>
    <w:rsid w:val="7CDE3AC7"/>
    <w:rsid w:val="7CF986ED"/>
    <w:rsid w:val="7CFBE061"/>
    <w:rsid w:val="7CFDF4C1"/>
    <w:rsid w:val="7CFFB1AD"/>
    <w:rsid w:val="7D06B74E"/>
    <w:rsid w:val="7D1D9EC5"/>
    <w:rsid w:val="7D2D288E"/>
    <w:rsid w:val="7D396E32"/>
    <w:rsid w:val="7D399F6C"/>
    <w:rsid w:val="7D3B3C23"/>
    <w:rsid w:val="7D5F81D4"/>
    <w:rsid w:val="7D671F36"/>
    <w:rsid w:val="7D67D7B9"/>
    <w:rsid w:val="7D75EFAC"/>
    <w:rsid w:val="7D7AA2A3"/>
    <w:rsid w:val="7D7B2164"/>
    <w:rsid w:val="7D7B30C4"/>
    <w:rsid w:val="7D7B880F"/>
    <w:rsid w:val="7D7CA9C0"/>
    <w:rsid w:val="7D7FB9CF"/>
    <w:rsid w:val="7D87E2F8"/>
    <w:rsid w:val="7D8C9ABA"/>
    <w:rsid w:val="7D93FD8F"/>
    <w:rsid w:val="7D9F8229"/>
    <w:rsid w:val="7D9FAB31"/>
    <w:rsid w:val="7DA89389"/>
    <w:rsid w:val="7DAE806D"/>
    <w:rsid w:val="7DB3E819"/>
    <w:rsid w:val="7DB71AD3"/>
    <w:rsid w:val="7DBB5C92"/>
    <w:rsid w:val="7DBD8217"/>
    <w:rsid w:val="7DBDE567"/>
    <w:rsid w:val="7DBEAE3B"/>
    <w:rsid w:val="7DBF454E"/>
    <w:rsid w:val="7DBFB4D3"/>
    <w:rsid w:val="7DC23162"/>
    <w:rsid w:val="7DCC3ADC"/>
    <w:rsid w:val="7DCD7A5C"/>
    <w:rsid w:val="7DCE99AF"/>
    <w:rsid w:val="7DD75FC6"/>
    <w:rsid w:val="7DDDDB7C"/>
    <w:rsid w:val="7DDF68D3"/>
    <w:rsid w:val="7DE62268"/>
    <w:rsid w:val="7DECF6F1"/>
    <w:rsid w:val="7DEEF123"/>
    <w:rsid w:val="7DEF607A"/>
    <w:rsid w:val="7DEFE230"/>
    <w:rsid w:val="7DF55DEB"/>
    <w:rsid w:val="7DF77954"/>
    <w:rsid w:val="7DF79C5C"/>
    <w:rsid w:val="7DF89AAC"/>
    <w:rsid w:val="7DFAFB01"/>
    <w:rsid w:val="7DFB7231"/>
    <w:rsid w:val="7DFBA64A"/>
    <w:rsid w:val="7DFC4CAF"/>
    <w:rsid w:val="7DFCAAA1"/>
    <w:rsid w:val="7DFD3BDC"/>
    <w:rsid w:val="7DFE211A"/>
    <w:rsid w:val="7DFE2AED"/>
    <w:rsid w:val="7DFE50D3"/>
    <w:rsid w:val="7DFF38F8"/>
    <w:rsid w:val="7DFF6D6D"/>
    <w:rsid w:val="7DFF8B17"/>
    <w:rsid w:val="7DFF91A7"/>
    <w:rsid w:val="7DFFA861"/>
    <w:rsid w:val="7DFFBE43"/>
    <w:rsid w:val="7DFFC41C"/>
    <w:rsid w:val="7DFFF129"/>
    <w:rsid w:val="7E16E084"/>
    <w:rsid w:val="7E481ADE"/>
    <w:rsid w:val="7E528359"/>
    <w:rsid w:val="7E5FADA9"/>
    <w:rsid w:val="7E66F6C7"/>
    <w:rsid w:val="7E678252"/>
    <w:rsid w:val="7E69E2C4"/>
    <w:rsid w:val="7E7351E6"/>
    <w:rsid w:val="7E740BBC"/>
    <w:rsid w:val="7E753707"/>
    <w:rsid w:val="7E78E528"/>
    <w:rsid w:val="7E7B4AA8"/>
    <w:rsid w:val="7E7DAAF5"/>
    <w:rsid w:val="7E7DE37E"/>
    <w:rsid w:val="7E7ED8CB"/>
    <w:rsid w:val="7E94F12E"/>
    <w:rsid w:val="7E988015"/>
    <w:rsid w:val="7E98FF14"/>
    <w:rsid w:val="7E9D51F1"/>
    <w:rsid w:val="7E9E1962"/>
    <w:rsid w:val="7E9F11B4"/>
    <w:rsid w:val="7E9F8790"/>
    <w:rsid w:val="7EAFAFDA"/>
    <w:rsid w:val="7EAFF0C0"/>
    <w:rsid w:val="7EB60454"/>
    <w:rsid w:val="7EB8E97A"/>
    <w:rsid w:val="7EBA0C1C"/>
    <w:rsid w:val="7EBC1824"/>
    <w:rsid w:val="7EBD35DD"/>
    <w:rsid w:val="7EBDE30D"/>
    <w:rsid w:val="7EBE3FC2"/>
    <w:rsid w:val="7EBFFC56"/>
    <w:rsid w:val="7ECB8D39"/>
    <w:rsid w:val="7ED9062D"/>
    <w:rsid w:val="7EDAB28D"/>
    <w:rsid w:val="7EDE61DD"/>
    <w:rsid w:val="7EDE64F4"/>
    <w:rsid w:val="7EDE8EE6"/>
    <w:rsid w:val="7EDF4490"/>
    <w:rsid w:val="7EEB45FA"/>
    <w:rsid w:val="7EEDD55F"/>
    <w:rsid w:val="7EEE6687"/>
    <w:rsid w:val="7EEF26A0"/>
    <w:rsid w:val="7EEFD5E2"/>
    <w:rsid w:val="7EF6B0F9"/>
    <w:rsid w:val="7EFB2631"/>
    <w:rsid w:val="7EFB2A7D"/>
    <w:rsid w:val="7EFBDEDB"/>
    <w:rsid w:val="7EFC0B75"/>
    <w:rsid w:val="7EFCC8A7"/>
    <w:rsid w:val="7EFE2A5A"/>
    <w:rsid w:val="7EFECF7E"/>
    <w:rsid w:val="7EFF27C5"/>
    <w:rsid w:val="7EFF5CED"/>
    <w:rsid w:val="7EFF712A"/>
    <w:rsid w:val="7EFF81A3"/>
    <w:rsid w:val="7EFFC9F9"/>
    <w:rsid w:val="7EFFE506"/>
    <w:rsid w:val="7EFFEAFA"/>
    <w:rsid w:val="7F163F64"/>
    <w:rsid w:val="7F375F8A"/>
    <w:rsid w:val="7F379B6E"/>
    <w:rsid w:val="7F37EC1E"/>
    <w:rsid w:val="7F3F3A0F"/>
    <w:rsid w:val="7F3F7FB2"/>
    <w:rsid w:val="7F3FF1EE"/>
    <w:rsid w:val="7F4EF6A9"/>
    <w:rsid w:val="7F4F5692"/>
    <w:rsid w:val="7F556121"/>
    <w:rsid w:val="7F5D7426"/>
    <w:rsid w:val="7F5F1FFF"/>
    <w:rsid w:val="7F5F20AF"/>
    <w:rsid w:val="7F5F384B"/>
    <w:rsid w:val="7F672B6F"/>
    <w:rsid w:val="7F691C94"/>
    <w:rsid w:val="7F6BA8FC"/>
    <w:rsid w:val="7F6CCA6A"/>
    <w:rsid w:val="7F6E29E0"/>
    <w:rsid w:val="7F6E52A1"/>
    <w:rsid w:val="7F71D94F"/>
    <w:rsid w:val="7F76826A"/>
    <w:rsid w:val="7F772903"/>
    <w:rsid w:val="7F774916"/>
    <w:rsid w:val="7F77809F"/>
    <w:rsid w:val="7F778359"/>
    <w:rsid w:val="7F778481"/>
    <w:rsid w:val="7F77BB2B"/>
    <w:rsid w:val="7F77FC15"/>
    <w:rsid w:val="7F7B0A96"/>
    <w:rsid w:val="7F7B6D46"/>
    <w:rsid w:val="7F7BCDA6"/>
    <w:rsid w:val="7F7C2666"/>
    <w:rsid w:val="7F7C390F"/>
    <w:rsid w:val="7F7D54D5"/>
    <w:rsid w:val="7F7D7241"/>
    <w:rsid w:val="7F7D7506"/>
    <w:rsid w:val="7F7D7B37"/>
    <w:rsid w:val="7F7D8042"/>
    <w:rsid w:val="7F7DCD9D"/>
    <w:rsid w:val="7F7DD04A"/>
    <w:rsid w:val="7F7F13C7"/>
    <w:rsid w:val="7F7F5818"/>
    <w:rsid w:val="7F7F63F1"/>
    <w:rsid w:val="7F7F6747"/>
    <w:rsid w:val="7F7F8187"/>
    <w:rsid w:val="7F7FC28A"/>
    <w:rsid w:val="7F7FF75C"/>
    <w:rsid w:val="7F970A6F"/>
    <w:rsid w:val="7F996F98"/>
    <w:rsid w:val="7F9A0C2F"/>
    <w:rsid w:val="7F9C0F93"/>
    <w:rsid w:val="7F9C29F6"/>
    <w:rsid w:val="7F9DB1D3"/>
    <w:rsid w:val="7F9E27FD"/>
    <w:rsid w:val="7F9EF5BF"/>
    <w:rsid w:val="7FA7AC82"/>
    <w:rsid w:val="7FABCE2F"/>
    <w:rsid w:val="7FAD1A71"/>
    <w:rsid w:val="7FAD9676"/>
    <w:rsid w:val="7FAE018B"/>
    <w:rsid w:val="7FAEE2F7"/>
    <w:rsid w:val="7FB3695D"/>
    <w:rsid w:val="7FB5AF37"/>
    <w:rsid w:val="7FB68E8A"/>
    <w:rsid w:val="7FB737F8"/>
    <w:rsid w:val="7FB75914"/>
    <w:rsid w:val="7FB7CB3C"/>
    <w:rsid w:val="7FB7F59B"/>
    <w:rsid w:val="7FB95B76"/>
    <w:rsid w:val="7FBB31AF"/>
    <w:rsid w:val="7FBBE077"/>
    <w:rsid w:val="7FBBF766"/>
    <w:rsid w:val="7FBD6F06"/>
    <w:rsid w:val="7FBE53A7"/>
    <w:rsid w:val="7FBF1A56"/>
    <w:rsid w:val="7FBF309B"/>
    <w:rsid w:val="7FBF4CCF"/>
    <w:rsid w:val="7FBF6965"/>
    <w:rsid w:val="7FBF8F09"/>
    <w:rsid w:val="7FBFA172"/>
    <w:rsid w:val="7FBFA59F"/>
    <w:rsid w:val="7FBFC337"/>
    <w:rsid w:val="7FBFFDE0"/>
    <w:rsid w:val="7FC1FFF3"/>
    <w:rsid w:val="7FC69637"/>
    <w:rsid w:val="7FC70E7B"/>
    <w:rsid w:val="7FC9BEB4"/>
    <w:rsid w:val="7FCD08CD"/>
    <w:rsid w:val="7FD0C823"/>
    <w:rsid w:val="7FD50446"/>
    <w:rsid w:val="7FD6D1F2"/>
    <w:rsid w:val="7FD6DADE"/>
    <w:rsid w:val="7FD7EA88"/>
    <w:rsid w:val="7FD8AF33"/>
    <w:rsid w:val="7FDA7689"/>
    <w:rsid w:val="7FDB4918"/>
    <w:rsid w:val="7FDB594B"/>
    <w:rsid w:val="7FDB9686"/>
    <w:rsid w:val="7FDC5A9E"/>
    <w:rsid w:val="7FDCF5BC"/>
    <w:rsid w:val="7FDD92FB"/>
    <w:rsid w:val="7FDE3BC8"/>
    <w:rsid w:val="7FDE61D4"/>
    <w:rsid w:val="7FDEDBE2"/>
    <w:rsid w:val="7FDF1F90"/>
    <w:rsid w:val="7FDF3348"/>
    <w:rsid w:val="7FDF8620"/>
    <w:rsid w:val="7FDF9224"/>
    <w:rsid w:val="7FDFA7D8"/>
    <w:rsid w:val="7FDFC02C"/>
    <w:rsid w:val="7FDFEB9E"/>
    <w:rsid w:val="7FDFEE1D"/>
    <w:rsid w:val="7FE12808"/>
    <w:rsid w:val="7FE138F9"/>
    <w:rsid w:val="7FE15FFC"/>
    <w:rsid w:val="7FE3EE87"/>
    <w:rsid w:val="7FE6F680"/>
    <w:rsid w:val="7FE7A545"/>
    <w:rsid w:val="7FE8C8F7"/>
    <w:rsid w:val="7FEB107A"/>
    <w:rsid w:val="7FEB23F2"/>
    <w:rsid w:val="7FEB39BB"/>
    <w:rsid w:val="7FEC1C1A"/>
    <w:rsid w:val="7FED595C"/>
    <w:rsid w:val="7FEDD712"/>
    <w:rsid w:val="7FEEF550"/>
    <w:rsid w:val="7FEF169F"/>
    <w:rsid w:val="7FEF340E"/>
    <w:rsid w:val="7FEF64A9"/>
    <w:rsid w:val="7FEF6EBE"/>
    <w:rsid w:val="7FEF71B9"/>
    <w:rsid w:val="7FEF95D5"/>
    <w:rsid w:val="7FEFA33C"/>
    <w:rsid w:val="7FEFB4CB"/>
    <w:rsid w:val="7FEFBA3C"/>
    <w:rsid w:val="7FEFF90C"/>
    <w:rsid w:val="7FF323BD"/>
    <w:rsid w:val="7FF3A71F"/>
    <w:rsid w:val="7FF448B0"/>
    <w:rsid w:val="7FF47EA7"/>
    <w:rsid w:val="7FF50841"/>
    <w:rsid w:val="7FF59135"/>
    <w:rsid w:val="7FF689C0"/>
    <w:rsid w:val="7FF73ED3"/>
    <w:rsid w:val="7FF75E2B"/>
    <w:rsid w:val="7FF7AA0D"/>
    <w:rsid w:val="7FF7D2CF"/>
    <w:rsid w:val="7FF8B300"/>
    <w:rsid w:val="7FFAF228"/>
    <w:rsid w:val="7FFB242F"/>
    <w:rsid w:val="7FFB38C4"/>
    <w:rsid w:val="7FFB8612"/>
    <w:rsid w:val="7FFBD35B"/>
    <w:rsid w:val="7FFC54C3"/>
    <w:rsid w:val="7FFC555C"/>
    <w:rsid w:val="7FFC823E"/>
    <w:rsid w:val="7FFC976C"/>
    <w:rsid w:val="7FFCA79D"/>
    <w:rsid w:val="7FFCB80D"/>
    <w:rsid w:val="7FFCD0B3"/>
    <w:rsid w:val="7FFCFEA1"/>
    <w:rsid w:val="7FFD8DC3"/>
    <w:rsid w:val="7FFDB408"/>
    <w:rsid w:val="7FFDC658"/>
    <w:rsid w:val="7FFE239D"/>
    <w:rsid w:val="7FFE2D67"/>
    <w:rsid w:val="7FFE4199"/>
    <w:rsid w:val="7FFE4EEB"/>
    <w:rsid w:val="7FFED539"/>
    <w:rsid w:val="7FFF263D"/>
    <w:rsid w:val="7FFF284D"/>
    <w:rsid w:val="7FFF38A2"/>
    <w:rsid w:val="7FFF46E6"/>
    <w:rsid w:val="7FFF5C36"/>
    <w:rsid w:val="7FFF5F66"/>
    <w:rsid w:val="7FFF70B4"/>
    <w:rsid w:val="7FFF7730"/>
    <w:rsid w:val="7FFF8D84"/>
    <w:rsid w:val="7FFF8FDF"/>
    <w:rsid w:val="7FFF9A55"/>
    <w:rsid w:val="7FFFDE93"/>
    <w:rsid w:val="7FFFDF2A"/>
    <w:rsid w:val="7FFFEDBB"/>
    <w:rsid w:val="87F763D6"/>
    <w:rsid w:val="89FE0402"/>
    <w:rsid w:val="8C3794DF"/>
    <w:rsid w:val="8C72B7CC"/>
    <w:rsid w:val="8C7E31EF"/>
    <w:rsid w:val="8DF65A0E"/>
    <w:rsid w:val="8DF71DF8"/>
    <w:rsid w:val="8E778875"/>
    <w:rsid w:val="8E9CC0C2"/>
    <w:rsid w:val="8F793F32"/>
    <w:rsid w:val="8FDEBD3A"/>
    <w:rsid w:val="8FDF999E"/>
    <w:rsid w:val="8FED2C59"/>
    <w:rsid w:val="8FF58D4C"/>
    <w:rsid w:val="8FF5D338"/>
    <w:rsid w:val="8FFDD7DE"/>
    <w:rsid w:val="8FFF7760"/>
    <w:rsid w:val="91F60444"/>
    <w:rsid w:val="923D18A7"/>
    <w:rsid w:val="92EB42E8"/>
    <w:rsid w:val="93664200"/>
    <w:rsid w:val="93975759"/>
    <w:rsid w:val="947B681C"/>
    <w:rsid w:val="947FAD58"/>
    <w:rsid w:val="94FD28A0"/>
    <w:rsid w:val="95592522"/>
    <w:rsid w:val="959787F6"/>
    <w:rsid w:val="95F5B13B"/>
    <w:rsid w:val="95FB2B98"/>
    <w:rsid w:val="95FF8356"/>
    <w:rsid w:val="9677AC69"/>
    <w:rsid w:val="967979D7"/>
    <w:rsid w:val="967B2633"/>
    <w:rsid w:val="96FFEF44"/>
    <w:rsid w:val="973F2B4D"/>
    <w:rsid w:val="979711CD"/>
    <w:rsid w:val="97BF3DBA"/>
    <w:rsid w:val="97F5E0FC"/>
    <w:rsid w:val="98FFC8AA"/>
    <w:rsid w:val="9977889D"/>
    <w:rsid w:val="99DF3081"/>
    <w:rsid w:val="9A639BC2"/>
    <w:rsid w:val="9B3FB7D7"/>
    <w:rsid w:val="9B6E4F6C"/>
    <w:rsid w:val="9B9BA5CE"/>
    <w:rsid w:val="9B9E25BC"/>
    <w:rsid w:val="9BCFF7DA"/>
    <w:rsid w:val="9BD604D5"/>
    <w:rsid w:val="9BDDEBDE"/>
    <w:rsid w:val="9CF2AD72"/>
    <w:rsid w:val="9DDFF22B"/>
    <w:rsid w:val="9DE0BD39"/>
    <w:rsid w:val="9DEFBA9C"/>
    <w:rsid w:val="9DF714BF"/>
    <w:rsid w:val="9DFBE49B"/>
    <w:rsid w:val="9E76C258"/>
    <w:rsid w:val="9E7F3D15"/>
    <w:rsid w:val="9E9B7329"/>
    <w:rsid w:val="9EBDB655"/>
    <w:rsid w:val="9ECF19ED"/>
    <w:rsid w:val="9EF26C6C"/>
    <w:rsid w:val="9EFBAB76"/>
    <w:rsid w:val="9EFF8ADC"/>
    <w:rsid w:val="9F37D096"/>
    <w:rsid w:val="9F54FE14"/>
    <w:rsid w:val="9F5538DC"/>
    <w:rsid w:val="9F7D63FA"/>
    <w:rsid w:val="9F7DCD90"/>
    <w:rsid w:val="9F7F1BE3"/>
    <w:rsid w:val="9F7F3189"/>
    <w:rsid w:val="9F7F89E3"/>
    <w:rsid w:val="9F7FCC08"/>
    <w:rsid w:val="9FADBD5F"/>
    <w:rsid w:val="9FBF707E"/>
    <w:rsid w:val="9FCDFCF0"/>
    <w:rsid w:val="9FEAD4AA"/>
    <w:rsid w:val="9FEF4B30"/>
    <w:rsid w:val="9FF3D1E5"/>
    <w:rsid w:val="9FF7B2AD"/>
    <w:rsid w:val="9FF7D786"/>
    <w:rsid w:val="9FFB3F27"/>
    <w:rsid w:val="9FFD48B2"/>
    <w:rsid w:val="9FFDBA17"/>
    <w:rsid w:val="9FFF9499"/>
    <w:rsid w:val="9FFFC7BB"/>
    <w:rsid w:val="A3AE5669"/>
    <w:rsid w:val="A3BFA261"/>
    <w:rsid w:val="A4DB2A29"/>
    <w:rsid w:val="A5A7E0E1"/>
    <w:rsid w:val="A5BF55D8"/>
    <w:rsid w:val="A5FF0A02"/>
    <w:rsid w:val="A61D7F10"/>
    <w:rsid w:val="A63F0424"/>
    <w:rsid w:val="A699FD07"/>
    <w:rsid w:val="A6FD767C"/>
    <w:rsid w:val="A75F88AD"/>
    <w:rsid w:val="A78DF8A4"/>
    <w:rsid w:val="A7B7726E"/>
    <w:rsid w:val="A7BFA1AB"/>
    <w:rsid w:val="A7DD44F1"/>
    <w:rsid w:val="A7FDE998"/>
    <w:rsid w:val="A8FF3033"/>
    <w:rsid w:val="A9FB51A8"/>
    <w:rsid w:val="A9FFD991"/>
    <w:rsid w:val="AAC90B08"/>
    <w:rsid w:val="AAD75951"/>
    <w:rsid w:val="AAEF5AAB"/>
    <w:rsid w:val="AAF71A11"/>
    <w:rsid w:val="AAFF099B"/>
    <w:rsid w:val="AAFFCC05"/>
    <w:rsid w:val="AB7F0986"/>
    <w:rsid w:val="ABBFB23D"/>
    <w:rsid w:val="ABDF49DC"/>
    <w:rsid w:val="AC756BFC"/>
    <w:rsid w:val="ACBFC20B"/>
    <w:rsid w:val="AD3F3E4B"/>
    <w:rsid w:val="AD6FE77C"/>
    <w:rsid w:val="AD7E55E4"/>
    <w:rsid w:val="ADAE51F5"/>
    <w:rsid w:val="ADDD7796"/>
    <w:rsid w:val="ADDFF0FA"/>
    <w:rsid w:val="ADF76AB4"/>
    <w:rsid w:val="ADFAB8E4"/>
    <w:rsid w:val="ADFB37EF"/>
    <w:rsid w:val="ADFB5E85"/>
    <w:rsid w:val="ADFC6FE2"/>
    <w:rsid w:val="ADFD4B1A"/>
    <w:rsid w:val="AE4963EB"/>
    <w:rsid w:val="AE6951B3"/>
    <w:rsid w:val="AE6F6DF5"/>
    <w:rsid w:val="AE8528EB"/>
    <w:rsid w:val="AEEBB8AA"/>
    <w:rsid w:val="AEF7862C"/>
    <w:rsid w:val="AEFE31F8"/>
    <w:rsid w:val="AEFFACC0"/>
    <w:rsid w:val="AF22320D"/>
    <w:rsid w:val="AF3FD1BB"/>
    <w:rsid w:val="AF76DCB0"/>
    <w:rsid w:val="AF7E89FE"/>
    <w:rsid w:val="AF7ECEC3"/>
    <w:rsid w:val="AFA4B9FB"/>
    <w:rsid w:val="AFB38E7F"/>
    <w:rsid w:val="AFC59603"/>
    <w:rsid w:val="AFCB704C"/>
    <w:rsid w:val="AFCFDCD8"/>
    <w:rsid w:val="AFD4619E"/>
    <w:rsid w:val="AFDF29FC"/>
    <w:rsid w:val="AFDF54B2"/>
    <w:rsid w:val="AFDF5739"/>
    <w:rsid w:val="AFDF7663"/>
    <w:rsid w:val="AFDFF2B8"/>
    <w:rsid w:val="AFE107B1"/>
    <w:rsid w:val="AFEFA907"/>
    <w:rsid w:val="AFEFF105"/>
    <w:rsid w:val="AFEFFD19"/>
    <w:rsid w:val="AFFD70EB"/>
    <w:rsid w:val="AFFF0D14"/>
    <w:rsid w:val="AFFF1604"/>
    <w:rsid w:val="AFFF21D7"/>
    <w:rsid w:val="AFFF2791"/>
    <w:rsid w:val="AFFFD618"/>
    <w:rsid w:val="AFFFFFB9"/>
    <w:rsid w:val="B165CA9B"/>
    <w:rsid w:val="B1D5AFA4"/>
    <w:rsid w:val="B1F64235"/>
    <w:rsid w:val="B26CB930"/>
    <w:rsid w:val="B26FBFBA"/>
    <w:rsid w:val="B27FEFF6"/>
    <w:rsid w:val="B33B015F"/>
    <w:rsid w:val="B33F0584"/>
    <w:rsid w:val="B39DD125"/>
    <w:rsid w:val="B3B94C3E"/>
    <w:rsid w:val="B3F4C941"/>
    <w:rsid w:val="B3FD6BC5"/>
    <w:rsid w:val="B3FEBC94"/>
    <w:rsid w:val="B413D0FB"/>
    <w:rsid w:val="B4FA7775"/>
    <w:rsid w:val="B58FDDB6"/>
    <w:rsid w:val="B599C61A"/>
    <w:rsid w:val="B5E6B129"/>
    <w:rsid w:val="B5F3B3D5"/>
    <w:rsid w:val="B5FD66A0"/>
    <w:rsid w:val="B5FD762C"/>
    <w:rsid w:val="B677FE56"/>
    <w:rsid w:val="B68FABC0"/>
    <w:rsid w:val="B69FB181"/>
    <w:rsid w:val="B6BFD976"/>
    <w:rsid w:val="B6E8ADDA"/>
    <w:rsid w:val="B6EF07C2"/>
    <w:rsid w:val="B6F139DD"/>
    <w:rsid w:val="B6F514AC"/>
    <w:rsid w:val="B70D8041"/>
    <w:rsid w:val="B76D056D"/>
    <w:rsid w:val="B76FB64E"/>
    <w:rsid w:val="B79FB5A3"/>
    <w:rsid w:val="B7B84E66"/>
    <w:rsid w:val="B7C740CF"/>
    <w:rsid w:val="B7CFDF0B"/>
    <w:rsid w:val="B7D57A80"/>
    <w:rsid w:val="B7DF1DF3"/>
    <w:rsid w:val="B7E766E3"/>
    <w:rsid w:val="B7EB5CA9"/>
    <w:rsid w:val="B7EC1F23"/>
    <w:rsid w:val="B7EF6BE4"/>
    <w:rsid w:val="B7EFFE95"/>
    <w:rsid w:val="B7F7E4A0"/>
    <w:rsid w:val="B7FDC9D5"/>
    <w:rsid w:val="B7FF4394"/>
    <w:rsid w:val="B7FFA3F8"/>
    <w:rsid w:val="B7FFBE63"/>
    <w:rsid w:val="B8385016"/>
    <w:rsid w:val="B83DD451"/>
    <w:rsid w:val="B8673383"/>
    <w:rsid w:val="B86F78A7"/>
    <w:rsid w:val="B8DEFC2F"/>
    <w:rsid w:val="B8FFEC0A"/>
    <w:rsid w:val="B96708B4"/>
    <w:rsid w:val="B9B65543"/>
    <w:rsid w:val="B9EF702D"/>
    <w:rsid w:val="BAAACA83"/>
    <w:rsid w:val="BAB41926"/>
    <w:rsid w:val="BABFD109"/>
    <w:rsid w:val="BAFF74A8"/>
    <w:rsid w:val="BB3C06F5"/>
    <w:rsid w:val="BB5B5415"/>
    <w:rsid w:val="BB685B8F"/>
    <w:rsid w:val="BB7B49F5"/>
    <w:rsid w:val="BB7B9F7E"/>
    <w:rsid w:val="BB7FC462"/>
    <w:rsid w:val="BB7FF328"/>
    <w:rsid w:val="BBA9048F"/>
    <w:rsid w:val="BBB5B8E9"/>
    <w:rsid w:val="BBB6AC82"/>
    <w:rsid w:val="BBD60ACB"/>
    <w:rsid w:val="BBDD1659"/>
    <w:rsid w:val="BBDE152E"/>
    <w:rsid w:val="BBEF9BAD"/>
    <w:rsid w:val="BBFAAF95"/>
    <w:rsid w:val="BBFE0CD2"/>
    <w:rsid w:val="BBFF8808"/>
    <w:rsid w:val="BBFFB4B6"/>
    <w:rsid w:val="BC3F81AE"/>
    <w:rsid w:val="BC7B280B"/>
    <w:rsid w:val="BCBD55ED"/>
    <w:rsid w:val="BCED5AA6"/>
    <w:rsid w:val="BCF10DB7"/>
    <w:rsid w:val="BCFB074F"/>
    <w:rsid w:val="BCFBBEC7"/>
    <w:rsid w:val="BCFF28A0"/>
    <w:rsid w:val="BD1F1227"/>
    <w:rsid w:val="BD7744C3"/>
    <w:rsid w:val="BD7FE6E2"/>
    <w:rsid w:val="BDB6D5FE"/>
    <w:rsid w:val="BDBBA336"/>
    <w:rsid w:val="BDC94009"/>
    <w:rsid w:val="BDCF2EE3"/>
    <w:rsid w:val="BDCF6ECD"/>
    <w:rsid w:val="BDDB13DF"/>
    <w:rsid w:val="BDE59B29"/>
    <w:rsid w:val="BDE89C15"/>
    <w:rsid w:val="BDEFA5B1"/>
    <w:rsid w:val="BDF32F66"/>
    <w:rsid w:val="BDF5663E"/>
    <w:rsid w:val="BDF77E2B"/>
    <w:rsid w:val="BDF9C110"/>
    <w:rsid w:val="BDFD27EC"/>
    <w:rsid w:val="BDFD8FF6"/>
    <w:rsid w:val="BDFDD2B9"/>
    <w:rsid w:val="BDFF01A4"/>
    <w:rsid w:val="BDFF093D"/>
    <w:rsid w:val="BDFF81BE"/>
    <w:rsid w:val="BDFFB8B2"/>
    <w:rsid w:val="BDFFF72A"/>
    <w:rsid w:val="BE17FED6"/>
    <w:rsid w:val="BE33FA9D"/>
    <w:rsid w:val="BE5C3724"/>
    <w:rsid w:val="BE5DA6CC"/>
    <w:rsid w:val="BE69DF6B"/>
    <w:rsid w:val="BE76A511"/>
    <w:rsid w:val="BE7D0F23"/>
    <w:rsid w:val="BE7F5215"/>
    <w:rsid w:val="BE9AAB52"/>
    <w:rsid w:val="BEAB96A6"/>
    <w:rsid w:val="BEBE1DA6"/>
    <w:rsid w:val="BEBFB187"/>
    <w:rsid w:val="BEDBC2B8"/>
    <w:rsid w:val="BEDF32D2"/>
    <w:rsid w:val="BEE1B707"/>
    <w:rsid w:val="BEE70F96"/>
    <w:rsid w:val="BEEECCCD"/>
    <w:rsid w:val="BEEF0659"/>
    <w:rsid w:val="BEF3A404"/>
    <w:rsid w:val="BEF93126"/>
    <w:rsid w:val="BEF9CCEE"/>
    <w:rsid w:val="BEFA7310"/>
    <w:rsid w:val="BEFB7D33"/>
    <w:rsid w:val="BEFDC227"/>
    <w:rsid w:val="BEFDED92"/>
    <w:rsid w:val="BEFEAA64"/>
    <w:rsid w:val="BEFF2ED4"/>
    <w:rsid w:val="BEFF3DB2"/>
    <w:rsid w:val="BF1BFA0F"/>
    <w:rsid w:val="BF370169"/>
    <w:rsid w:val="BF37FF09"/>
    <w:rsid w:val="BF3A2510"/>
    <w:rsid w:val="BF3F20E2"/>
    <w:rsid w:val="BF3F30C6"/>
    <w:rsid w:val="BF468103"/>
    <w:rsid w:val="BF5EEEB7"/>
    <w:rsid w:val="BF5FC67C"/>
    <w:rsid w:val="BF6B6F34"/>
    <w:rsid w:val="BF6E1263"/>
    <w:rsid w:val="BF6FD672"/>
    <w:rsid w:val="BF7309B3"/>
    <w:rsid w:val="BF732CD1"/>
    <w:rsid w:val="BF773ED5"/>
    <w:rsid w:val="BF77558F"/>
    <w:rsid w:val="BF7ABA43"/>
    <w:rsid w:val="BF7F6E02"/>
    <w:rsid w:val="BF88CE5E"/>
    <w:rsid w:val="BF9F77EF"/>
    <w:rsid w:val="BFA7C139"/>
    <w:rsid w:val="BFAFE1F2"/>
    <w:rsid w:val="BFB54C58"/>
    <w:rsid w:val="BFB6B22F"/>
    <w:rsid w:val="BFBBB644"/>
    <w:rsid w:val="BFBFD03F"/>
    <w:rsid w:val="BFC9D358"/>
    <w:rsid w:val="BFCF3012"/>
    <w:rsid w:val="BFD31FC3"/>
    <w:rsid w:val="BFD4018B"/>
    <w:rsid w:val="BFD744D5"/>
    <w:rsid w:val="BFD7667F"/>
    <w:rsid w:val="BFDB0F63"/>
    <w:rsid w:val="BFDF04FD"/>
    <w:rsid w:val="BFDF060D"/>
    <w:rsid w:val="BFDF3020"/>
    <w:rsid w:val="BFDFB406"/>
    <w:rsid w:val="BFE7A035"/>
    <w:rsid w:val="BFED41F0"/>
    <w:rsid w:val="BFEDE41C"/>
    <w:rsid w:val="BFEF2F6B"/>
    <w:rsid w:val="BFF01217"/>
    <w:rsid w:val="BFF65C78"/>
    <w:rsid w:val="BFF67661"/>
    <w:rsid w:val="BFF6B461"/>
    <w:rsid w:val="BFF7C861"/>
    <w:rsid w:val="BFF9CC90"/>
    <w:rsid w:val="BFFBBA00"/>
    <w:rsid w:val="BFFCC5C9"/>
    <w:rsid w:val="BFFD69D5"/>
    <w:rsid w:val="BFFDE3DE"/>
    <w:rsid w:val="BFFE0377"/>
    <w:rsid w:val="BFFF4273"/>
    <w:rsid w:val="BFFF5010"/>
    <w:rsid w:val="BFFF576F"/>
    <w:rsid w:val="BFFF6984"/>
    <w:rsid w:val="BFFF88D3"/>
    <w:rsid w:val="BFFFA102"/>
    <w:rsid w:val="BFFFEF2D"/>
    <w:rsid w:val="C2FFECDA"/>
    <w:rsid w:val="C3B4DA5A"/>
    <w:rsid w:val="C57D29E7"/>
    <w:rsid w:val="C72B1CEB"/>
    <w:rsid w:val="C76222DB"/>
    <w:rsid w:val="C7BBB98F"/>
    <w:rsid w:val="C7E414CC"/>
    <w:rsid w:val="C7EF7032"/>
    <w:rsid w:val="C7FE55E6"/>
    <w:rsid w:val="C8ED4C0E"/>
    <w:rsid w:val="C9F4DCB5"/>
    <w:rsid w:val="C9FB56C0"/>
    <w:rsid w:val="CA77CC16"/>
    <w:rsid w:val="CA97C348"/>
    <w:rsid w:val="CAE6E482"/>
    <w:rsid w:val="CAEE95EB"/>
    <w:rsid w:val="CAEEFD87"/>
    <w:rsid w:val="CAF5661B"/>
    <w:rsid w:val="CB3F5A4A"/>
    <w:rsid w:val="CBBD4FCF"/>
    <w:rsid w:val="CBBD8E8F"/>
    <w:rsid w:val="CBD97620"/>
    <w:rsid w:val="CBF554EC"/>
    <w:rsid w:val="CBF6AD01"/>
    <w:rsid w:val="CBFF10C1"/>
    <w:rsid w:val="CBFF70E0"/>
    <w:rsid w:val="CC54F97A"/>
    <w:rsid w:val="CCFF4775"/>
    <w:rsid w:val="CD6DCA76"/>
    <w:rsid w:val="CD7EEEAE"/>
    <w:rsid w:val="CDD71F9D"/>
    <w:rsid w:val="CDF3E413"/>
    <w:rsid w:val="CDFE3715"/>
    <w:rsid w:val="CE5D48C4"/>
    <w:rsid w:val="CEB73463"/>
    <w:rsid w:val="CEDE82FC"/>
    <w:rsid w:val="CEF57D61"/>
    <w:rsid w:val="CEF70B5A"/>
    <w:rsid w:val="CF273D57"/>
    <w:rsid w:val="CF4B1FF0"/>
    <w:rsid w:val="CF555A19"/>
    <w:rsid w:val="CF678CEA"/>
    <w:rsid w:val="CF6F04AF"/>
    <w:rsid w:val="CF778BA7"/>
    <w:rsid w:val="CF7BF42D"/>
    <w:rsid w:val="CFA29FBD"/>
    <w:rsid w:val="CFAB5E66"/>
    <w:rsid w:val="CFAF5A05"/>
    <w:rsid w:val="CFBE0F0D"/>
    <w:rsid w:val="CFBF7233"/>
    <w:rsid w:val="CFDF1D12"/>
    <w:rsid w:val="CFDF7DB8"/>
    <w:rsid w:val="CFE70195"/>
    <w:rsid w:val="CFEF848A"/>
    <w:rsid w:val="CFF4065A"/>
    <w:rsid w:val="CFF50B82"/>
    <w:rsid w:val="CFFB0053"/>
    <w:rsid w:val="CFFB9BB0"/>
    <w:rsid w:val="CFFBFCA3"/>
    <w:rsid w:val="CFFDB413"/>
    <w:rsid w:val="CFFE6F60"/>
    <w:rsid w:val="CFFFAD89"/>
    <w:rsid w:val="CFFFC73D"/>
    <w:rsid w:val="D0FFEABF"/>
    <w:rsid w:val="D1B70DBF"/>
    <w:rsid w:val="D1FA3029"/>
    <w:rsid w:val="D1FCBC98"/>
    <w:rsid w:val="D23F66B7"/>
    <w:rsid w:val="D2F135D0"/>
    <w:rsid w:val="D37D69EC"/>
    <w:rsid w:val="D37E0AF7"/>
    <w:rsid w:val="D3BFB9CE"/>
    <w:rsid w:val="D3E536D2"/>
    <w:rsid w:val="D3ED8A2C"/>
    <w:rsid w:val="D3EF83F0"/>
    <w:rsid w:val="D3FE04DE"/>
    <w:rsid w:val="D3FE8F10"/>
    <w:rsid w:val="D4BD0D1A"/>
    <w:rsid w:val="D4FCB993"/>
    <w:rsid w:val="D4FF2CF8"/>
    <w:rsid w:val="D4FF6306"/>
    <w:rsid w:val="D5D3C1A8"/>
    <w:rsid w:val="D5F54065"/>
    <w:rsid w:val="D5FE9E75"/>
    <w:rsid w:val="D5FF52A6"/>
    <w:rsid w:val="D66E8EAE"/>
    <w:rsid w:val="D6ABC559"/>
    <w:rsid w:val="D6AE9343"/>
    <w:rsid w:val="D6BE50B0"/>
    <w:rsid w:val="D6E16EEF"/>
    <w:rsid w:val="D6FD7628"/>
    <w:rsid w:val="D72F56DA"/>
    <w:rsid w:val="D73BDA43"/>
    <w:rsid w:val="D73DC3F2"/>
    <w:rsid w:val="D75C6C07"/>
    <w:rsid w:val="D76F7788"/>
    <w:rsid w:val="D77321A5"/>
    <w:rsid w:val="D77F9E9D"/>
    <w:rsid w:val="D79114D7"/>
    <w:rsid w:val="D7FFA1E3"/>
    <w:rsid w:val="D8D3DBCC"/>
    <w:rsid w:val="D92FF721"/>
    <w:rsid w:val="D97FDB57"/>
    <w:rsid w:val="D9B9CCB0"/>
    <w:rsid w:val="D9BBABAB"/>
    <w:rsid w:val="D9BFD321"/>
    <w:rsid w:val="D9C9FECC"/>
    <w:rsid w:val="D9DDC009"/>
    <w:rsid w:val="D9FF5578"/>
    <w:rsid w:val="DA7E1701"/>
    <w:rsid w:val="DA7F1DFB"/>
    <w:rsid w:val="DADE7AE2"/>
    <w:rsid w:val="DAFE6930"/>
    <w:rsid w:val="DAFF5647"/>
    <w:rsid w:val="DB3F9DB6"/>
    <w:rsid w:val="DB4EFDFC"/>
    <w:rsid w:val="DB5341E0"/>
    <w:rsid w:val="DB6FE315"/>
    <w:rsid w:val="DB9F8052"/>
    <w:rsid w:val="DBA3DD5B"/>
    <w:rsid w:val="DBB73F3C"/>
    <w:rsid w:val="DBB7EB8B"/>
    <w:rsid w:val="DBC976DB"/>
    <w:rsid w:val="DBDD368E"/>
    <w:rsid w:val="DBDD4E89"/>
    <w:rsid w:val="DBDD953A"/>
    <w:rsid w:val="DBDF345E"/>
    <w:rsid w:val="DBDF81E9"/>
    <w:rsid w:val="DBEC013A"/>
    <w:rsid w:val="DBF1518B"/>
    <w:rsid w:val="DBFF00F0"/>
    <w:rsid w:val="DBFF8D71"/>
    <w:rsid w:val="DBFFC6A9"/>
    <w:rsid w:val="DC7382C5"/>
    <w:rsid w:val="DC7B68E3"/>
    <w:rsid w:val="DC9B9008"/>
    <w:rsid w:val="DCDFE561"/>
    <w:rsid w:val="DCF35585"/>
    <w:rsid w:val="DCFD4713"/>
    <w:rsid w:val="DD5D189A"/>
    <w:rsid w:val="DD6E9ACC"/>
    <w:rsid w:val="DD7F18F5"/>
    <w:rsid w:val="DD7F8D87"/>
    <w:rsid w:val="DDD9AF5F"/>
    <w:rsid w:val="DDDD60BE"/>
    <w:rsid w:val="DDDFC667"/>
    <w:rsid w:val="DDED2E72"/>
    <w:rsid w:val="DDEF2BA5"/>
    <w:rsid w:val="DDEFD18A"/>
    <w:rsid w:val="DDF4821D"/>
    <w:rsid w:val="DDF4F4EC"/>
    <w:rsid w:val="DDFDB280"/>
    <w:rsid w:val="DDFE48F7"/>
    <w:rsid w:val="DDFE49E1"/>
    <w:rsid w:val="DDFF6145"/>
    <w:rsid w:val="DDFF9203"/>
    <w:rsid w:val="DE3E3579"/>
    <w:rsid w:val="DE5D5601"/>
    <w:rsid w:val="DE5F3F46"/>
    <w:rsid w:val="DE74E31D"/>
    <w:rsid w:val="DE77B7A7"/>
    <w:rsid w:val="DE9AD5CF"/>
    <w:rsid w:val="DE9FC98B"/>
    <w:rsid w:val="DEA5A7E5"/>
    <w:rsid w:val="DEAB43FB"/>
    <w:rsid w:val="DEBE6BEC"/>
    <w:rsid w:val="DEBF02BC"/>
    <w:rsid w:val="DEBF5434"/>
    <w:rsid w:val="DEC91502"/>
    <w:rsid w:val="DECBF07E"/>
    <w:rsid w:val="DECF2752"/>
    <w:rsid w:val="DEE7DEF0"/>
    <w:rsid w:val="DEEF7757"/>
    <w:rsid w:val="DEF57F8A"/>
    <w:rsid w:val="DEF7496D"/>
    <w:rsid w:val="DEFBCD1C"/>
    <w:rsid w:val="DEFBDDC2"/>
    <w:rsid w:val="DEFBE067"/>
    <w:rsid w:val="DEFD96D5"/>
    <w:rsid w:val="DEFE7B4E"/>
    <w:rsid w:val="DF214D49"/>
    <w:rsid w:val="DF2D15F9"/>
    <w:rsid w:val="DF39CD65"/>
    <w:rsid w:val="DF3FA41D"/>
    <w:rsid w:val="DF3FF9DE"/>
    <w:rsid w:val="DF5493AD"/>
    <w:rsid w:val="DF592860"/>
    <w:rsid w:val="DF59D363"/>
    <w:rsid w:val="DF5BE3D3"/>
    <w:rsid w:val="DF5BE995"/>
    <w:rsid w:val="DF6EC997"/>
    <w:rsid w:val="DF6FA619"/>
    <w:rsid w:val="DF7710FA"/>
    <w:rsid w:val="DF78BDAC"/>
    <w:rsid w:val="DF7A6CEF"/>
    <w:rsid w:val="DF7BB89D"/>
    <w:rsid w:val="DF7D1B01"/>
    <w:rsid w:val="DF7DA557"/>
    <w:rsid w:val="DF7F2636"/>
    <w:rsid w:val="DF7FFBDA"/>
    <w:rsid w:val="DF9D3F35"/>
    <w:rsid w:val="DF9DB64A"/>
    <w:rsid w:val="DFA15685"/>
    <w:rsid w:val="DFAD3C7A"/>
    <w:rsid w:val="DFADDE3F"/>
    <w:rsid w:val="DFB01943"/>
    <w:rsid w:val="DFB4F30E"/>
    <w:rsid w:val="DFBEA70E"/>
    <w:rsid w:val="DFBF22AD"/>
    <w:rsid w:val="DFBF2712"/>
    <w:rsid w:val="DFBF3620"/>
    <w:rsid w:val="DFBFA478"/>
    <w:rsid w:val="DFBFAF28"/>
    <w:rsid w:val="DFBFD65D"/>
    <w:rsid w:val="DFC8B49B"/>
    <w:rsid w:val="DFCD7FB7"/>
    <w:rsid w:val="DFDB47D9"/>
    <w:rsid w:val="DFDF8D56"/>
    <w:rsid w:val="DFE73B61"/>
    <w:rsid w:val="DFE80B02"/>
    <w:rsid w:val="DFEDCEF2"/>
    <w:rsid w:val="DFEED68F"/>
    <w:rsid w:val="DFEF2259"/>
    <w:rsid w:val="DFF180D3"/>
    <w:rsid w:val="DFF35051"/>
    <w:rsid w:val="DFF44BB9"/>
    <w:rsid w:val="DFF55363"/>
    <w:rsid w:val="DFF751D2"/>
    <w:rsid w:val="DFF7E18F"/>
    <w:rsid w:val="DFF7F33C"/>
    <w:rsid w:val="DFF9A491"/>
    <w:rsid w:val="DFFB9F22"/>
    <w:rsid w:val="DFFC6086"/>
    <w:rsid w:val="DFFD2682"/>
    <w:rsid w:val="DFFD51A7"/>
    <w:rsid w:val="DFFDE68C"/>
    <w:rsid w:val="DFFE359E"/>
    <w:rsid w:val="DFFE4FFD"/>
    <w:rsid w:val="DFFE6671"/>
    <w:rsid w:val="DFFEBE98"/>
    <w:rsid w:val="DFFEE9ED"/>
    <w:rsid w:val="DFFF0F28"/>
    <w:rsid w:val="DFFF94CC"/>
    <w:rsid w:val="DFFFD71B"/>
    <w:rsid w:val="E0BCF324"/>
    <w:rsid w:val="E1FD61A5"/>
    <w:rsid w:val="E1FFE2EE"/>
    <w:rsid w:val="E2B2A19F"/>
    <w:rsid w:val="E2F9B726"/>
    <w:rsid w:val="E34FB207"/>
    <w:rsid w:val="E38B283F"/>
    <w:rsid w:val="E3ACFA69"/>
    <w:rsid w:val="E3BB6785"/>
    <w:rsid w:val="E3EF6A00"/>
    <w:rsid w:val="E3EF95FC"/>
    <w:rsid w:val="E43634B1"/>
    <w:rsid w:val="E572B27F"/>
    <w:rsid w:val="E5BF5B54"/>
    <w:rsid w:val="E5CF7E4B"/>
    <w:rsid w:val="E5DFA58E"/>
    <w:rsid w:val="E5EB8E2D"/>
    <w:rsid w:val="E5EFDEEA"/>
    <w:rsid w:val="E5F743DD"/>
    <w:rsid w:val="E5F77045"/>
    <w:rsid w:val="E667C096"/>
    <w:rsid w:val="E69F9803"/>
    <w:rsid w:val="E6DFE33E"/>
    <w:rsid w:val="E6E7361B"/>
    <w:rsid w:val="E6EF85B4"/>
    <w:rsid w:val="E6F11097"/>
    <w:rsid w:val="E6F75CB0"/>
    <w:rsid w:val="E6FF0DE2"/>
    <w:rsid w:val="E73FD011"/>
    <w:rsid w:val="E75F3AA0"/>
    <w:rsid w:val="E7679AF6"/>
    <w:rsid w:val="E76F8361"/>
    <w:rsid w:val="E77F46C9"/>
    <w:rsid w:val="E79FBD4E"/>
    <w:rsid w:val="E7D0F040"/>
    <w:rsid w:val="E7D4FD78"/>
    <w:rsid w:val="E7D52F7C"/>
    <w:rsid w:val="E7EE4792"/>
    <w:rsid w:val="E7EF1F28"/>
    <w:rsid w:val="E7EF8129"/>
    <w:rsid w:val="E7EF81B3"/>
    <w:rsid w:val="E7F72598"/>
    <w:rsid w:val="E7FBCDED"/>
    <w:rsid w:val="E7FBD213"/>
    <w:rsid w:val="E7FF44D9"/>
    <w:rsid w:val="E7FFB2F9"/>
    <w:rsid w:val="E7FFBC92"/>
    <w:rsid w:val="E7FFCBD4"/>
    <w:rsid w:val="E844EDBD"/>
    <w:rsid w:val="E86F61FB"/>
    <w:rsid w:val="E9675BBD"/>
    <w:rsid w:val="E97FC6A3"/>
    <w:rsid w:val="E9E5332D"/>
    <w:rsid w:val="E9FE8E28"/>
    <w:rsid w:val="E9FFF9E8"/>
    <w:rsid w:val="EA2BF3A6"/>
    <w:rsid w:val="EA37C4B6"/>
    <w:rsid w:val="EA3D3496"/>
    <w:rsid w:val="EA4E030B"/>
    <w:rsid w:val="EA7A2065"/>
    <w:rsid w:val="EAE72BE3"/>
    <w:rsid w:val="EAEFAB3C"/>
    <w:rsid w:val="EAFB32BF"/>
    <w:rsid w:val="EB0FDE52"/>
    <w:rsid w:val="EB537EE1"/>
    <w:rsid w:val="EB579692"/>
    <w:rsid w:val="EB7F4A91"/>
    <w:rsid w:val="EB7F6525"/>
    <w:rsid w:val="EB9D57A7"/>
    <w:rsid w:val="EB9F05E3"/>
    <w:rsid w:val="EBB36534"/>
    <w:rsid w:val="EBCA9ACC"/>
    <w:rsid w:val="EBCFA301"/>
    <w:rsid w:val="EBEDF9D9"/>
    <w:rsid w:val="EBFAF87D"/>
    <w:rsid w:val="EBFD2BA1"/>
    <w:rsid w:val="EBFF48CE"/>
    <w:rsid w:val="EBFFEFF0"/>
    <w:rsid w:val="EC0526B6"/>
    <w:rsid w:val="EC3DB5F7"/>
    <w:rsid w:val="EC4A94FB"/>
    <w:rsid w:val="EC65CDDA"/>
    <w:rsid w:val="EC7F9A24"/>
    <w:rsid w:val="ECEE6B57"/>
    <w:rsid w:val="ECFF1053"/>
    <w:rsid w:val="ED2BC7D3"/>
    <w:rsid w:val="ED3E5732"/>
    <w:rsid w:val="ED5BB6A4"/>
    <w:rsid w:val="ED6BB9F9"/>
    <w:rsid w:val="ED77D11A"/>
    <w:rsid w:val="ED77E395"/>
    <w:rsid w:val="EDBA7279"/>
    <w:rsid w:val="EDBFB0E6"/>
    <w:rsid w:val="EDD6351C"/>
    <w:rsid w:val="EDDE1B61"/>
    <w:rsid w:val="EDDE4C45"/>
    <w:rsid w:val="EDDFD9F1"/>
    <w:rsid w:val="EDE725DA"/>
    <w:rsid w:val="EDEFB62B"/>
    <w:rsid w:val="EDF2BDE0"/>
    <w:rsid w:val="EDF57F21"/>
    <w:rsid w:val="EDF6F9A4"/>
    <w:rsid w:val="EDF7395D"/>
    <w:rsid w:val="EDF7635C"/>
    <w:rsid w:val="EDF7D788"/>
    <w:rsid w:val="EDFD14FD"/>
    <w:rsid w:val="EDFF2E00"/>
    <w:rsid w:val="EDFF70D2"/>
    <w:rsid w:val="EDFF81AD"/>
    <w:rsid w:val="EDFFC545"/>
    <w:rsid w:val="EE1F773D"/>
    <w:rsid w:val="EE577BEB"/>
    <w:rsid w:val="EE77E3B9"/>
    <w:rsid w:val="EEA79822"/>
    <w:rsid w:val="EEABED75"/>
    <w:rsid w:val="EEAEE0EB"/>
    <w:rsid w:val="EEAF92A8"/>
    <w:rsid w:val="EEBD8F7C"/>
    <w:rsid w:val="EEBE3C73"/>
    <w:rsid w:val="EECFF3BC"/>
    <w:rsid w:val="EED581D8"/>
    <w:rsid w:val="EED7F209"/>
    <w:rsid w:val="EEDF22AF"/>
    <w:rsid w:val="EEDF350C"/>
    <w:rsid w:val="EEF3899A"/>
    <w:rsid w:val="EEF7C53C"/>
    <w:rsid w:val="EEFB856C"/>
    <w:rsid w:val="EEFF6D86"/>
    <w:rsid w:val="EEFFD713"/>
    <w:rsid w:val="EEFFD8AD"/>
    <w:rsid w:val="EF1B07F2"/>
    <w:rsid w:val="EF2FB2AA"/>
    <w:rsid w:val="EF38B8F9"/>
    <w:rsid w:val="EF3DB89D"/>
    <w:rsid w:val="EF3DF169"/>
    <w:rsid w:val="EF3E7464"/>
    <w:rsid w:val="EF3F6D26"/>
    <w:rsid w:val="EF5F1C58"/>
    <w:rsid w:val="EF6B4EC7"/>
    <w:rsid w:val="EF6F1F24"/>
    <w:rsid w:val="EF6FE155"/>
    <w:rsid w:val="EF758F19"/>
    <w:rsid w:val="EF7701F9"/>
    <w:rsid w:val="EF776DDE"/>
    <w:rsid w:val="EF7E8A46"/>
    <w:rsid w:val="EF7FF8E4"/>
    <w:rsid w:val="EF93B962"/>
    <w:rsid w:val="EF9F50EC"/>
    <w:rsid w:val="EF9FAEB3"/>
    <w:rsid w:val="EFAB466C"/>
    <w:rsid w:val="EFAFD153"/>
    <w:rsid w:val="EFB0E754"/>
    <w:rsid w:val="EFB66128"/>
    <w:rsid w:val="EFBBE76D"/>
    <w:rsid w:val="EFBCAB5B"/>
    <w:rsid w:val="EFBF4145"/>
    <w:rsid w:val="EFBF5BA8"/>
    <w:rsid w:val="EFCEC447"/>
    <w:rsid w:val="EFD317F0"/>
    <w:rsid w:val="EFD6EE9F"/>
    <w:rsid w:val="EFDF38F0"/>
    <w:rsid w:val="EFE26420"/>
    <w:rsid w:val="EFE4D236"/>
    <w:rsid w:val="EFE6D314"/>
    <w:rsid w:val="EFEBC55E"/>
    <w:rsid w:val="EFEBFB6E"/>
    <w:rsid w:val="EFF74440"/>
    <w:rsid w:val="EFFA6A80"/>
    <w:rsid w:val="EFFD0596"/>
    <w:rsid w:val="EFFD4FC4"/>
    <w:rsid w:val="EFFDF27A"/>
    <w:rsid w:val="EFFDF5F1"/>
    <w:rsid w:val="EFFF0111"/>
    <w:rsid w:val="EFFF1371"/>
    <w:rsid w:val="EFFF1969"/>
    <w:rsid w:val="EFFF26B9"/>
    <w:rsid w:val="EFFFB219"/>
    <w:rsid w:val="EFFFC006"/>
    <w:rsid w:val="EFFFE7B9"/>
    <w:rsid w:val="F0BAC1E3"/>
    <w:rsid w:val="F14FBF7A"/>
    <w:rsid w:val="F16328AC"/>
    <w:rsid w:val="F1EE6642"/>
    <w:rsid w:val="F1F7A536"/>
    <w:rsid w:val="F1FB1E9A"/>
    <w:rsid w:val="F2D785FE"/>
    <w:rsid w:val="F2DBE316"/>
    <w:rsid w:val="F2EB4FE6"/>
    <w:rsid w:val="F2F682B1"/>
    <w:rsid w:val="F2F96592"/>
    <w:rsid w:val="F2FF6668"/>
    <w:rsid w:val="F3595E30"/>
    <w:rsid w:val="F35BDE6B"/>
    <w:rsid w:val="F38BD99E"/>
    <w:rsid w:val="F38FEB13"/>
    <w:rsid w:val="F39D4CCB"/>
    <w:rsid w:val="F3BF0A6C"/>
    <w:rsid w:val="F3DFD287"/>
    <w:rsid w:val="F3DFE27E"/>
    <w:rsid w:val="F3EE37C0"/>
    <w:rsid w:val="F3EFECAF"/>
    <w:rsid w:val="F3F703E0"/>
    <w:rsid w:val="F3F7C6CD"/>
    <w:rsid w:val="F3FBA772"/>
    <w:rsid w:val="F3FC097F"/>
    <w:rsid w:val="F3FD2918"/>
    <w:rsid w:val="F3FD5C9C"/>
    <w:rsid w:val="F3FF5AA9"/>
    <w:rsid w:val="F3FF620B"/>
    <w:rsid w:val="F3FF68CD"/>
    <w:rsid w:val="F44F1120"/>
    <w:rsid w:val="F47AF927"/>
    <w:rsid w:val="F4B7EFF6"/>
    <w:rsid w:val="F4BFC3B6"/>
    <w:rsid w:val="F4CFA346"/>
    <w:rsid w:val="F4DDCBCB"/>
    <w:rsid w:val="F4DE5D8A"/>
    <w:rsid w:val="F4F52B68"/>
    <w:rsid w:val="F4FE008C"/>
    <w:rsid w:val="F4FE3DBD"/>
    <w:rsid w:val="F4FF8639"/>
    <w:rsid w:val="F5257EC6"/>
    <w:rsid w:val="F53B9388"/>
    <w:rsid w:val="F54FA062"/>
    <w:rsid w:val="F5521FCF"/>
    <w:rsid w:val="F56FDF51"/>
    <w:rsid w:val="F57A3B98"/>
    <w:rsid w:val="F59F9DAE"/>
    <w:rsid w:val="F59FF981"/>
    <w:rsid w:val="F5AAEB75"/>
    <w:rsid w:val="F5B3FFFD"/>
    <w:rsid w:val="F5B8F59D"/>
    <w:rsid w:val="F5CAA734"/>
    <w:rsid w:val="F5DB4DE1"/>
    <w:rsid w:val="F5DF82AB"/>
    <w:rsid w:val="F5EB0204"/>
    <w:rsid w:val="F5EF404E"/>
    <w:rsid w:val="F5F117B2"/>
    <w:rsid w:val="F5F36960"/>
    <w:rsid w:val="F5F91EE2"/>
    <w:rsid w:val="F5FB7276"/>
    <w:rsid w:val="F5FDFF7E"/>
    <w:rsid w:val="F5FE0561"/>
    <w:rsid w:val="F5FEC7C6"/>
    <w:rsid w:val="F5FECA9E"/>
    <w:rsid w:val="F5FEE06B"/>
    <w:rsid w:val="F5FF8525"/>
    <w:rsid w:val="F63FE7EA"/>
    <w:rsid w:val="F65F1988"/>
    <w:rsid w:val="F66F64FA"/>
    <w:rsid w:val="F67D072B"/>
    <w:rsid w:val="F67D9107"/>
    <w:rsid w:val="F69D25CA"/>
    <w:rsid w:val="F6B69F17"/>
    <w:rsid w:val="F6BDF504"/>
    <w:rsid w:val="F6BDFFDC"/>
    <w:rsid w:val="F6BF5608"/>
    <w:rsid w:val="F6BFDDF8"/>
    <w:rsid w:val="F6CD1F27"/>
    <w:rsid w:val="F6CF59B6"/>
    <w:rsid w:val="F6DF7932"/>
    <w:rsid w:val="F6EF99B7"/>
    <w:rsid w:val="F6F2EF36"/>
    <w:rsid w:val="F6F57241"/>
    <w:rsid w:val="F6F754BE"/>
    <w:rsid w:val="F6F7FF27"/>
    <w:rsid w:val="F6FD940F"/>
    <w:rsid w:val="F6FEB399"/>
    <w:rsid w:val="F6FF8A53"/>
    <w:rsid w:val="F6FFC00E"/>
    <w:rsid w:val="F6FFE1C5"/>
    <w:rsid w:val="F729CCEB"/>
    <w:rsid w:val="F7379104"/>
    <w:rsid w:val="F737915B"/>
    <w:rsid w:val="F73B9953"/>
    <w:rsid w:val="F73F49B1"/>
    <w:rsid w:val="F74EE853"/>
    <w:rsid w:val="F74F9287"/>
    <w:rsid w:val="F76ECD9B"/>
    <w:rsid w:val="F7772B64"/>
    <w:rsid w:val="F7775120"/>
    <w:rsid w:val="F77F1D61"/>
    <w:rsid w:val="F77FA5D5"/>
    <w:rsid w:val="F77FECD0"/>
    <w:rsid w:val="F78708D7"/>
    <w:rsid w:val="F7A07A7E"/>
    <w:rsid w:val="F7B5FE38"/>
    <w:rsid w:val="F7B74BA2"/>
    <w:rsid w:val="F7BD0D5E"/>
    <w:rsid w:val="F7BE2D26"/>
    <w:rsid w:val="F7BFC310"/>
    <w:rsid w:val="F7BFDD2D"/>
    <w:rsid w:val="F7BFE6F5"/>
    <w:rsid w:val="F7CE4F38"/>
    <w:rsid w:val="F7CF5B3B"/>
    <w:rsid w:val="F7D0A885"/>
    <w:rsid w:val="F7D53CA5"/>
    <w:rsid w:val="F7D7441B"/>
    <w:rsid w:val="F7D7DB01"/>
    <w:rsid w:val="F7D88F03"/>
    <w:rsid w:val="F7D8A5C0"/>
    <w:rsid w:val="F7DB4EA7"/>
    <w:rsid w:val="F7DB989F"/>
    <w:rsid w:val="F7DD9B0C"/>
    <w:rsid w:val="F7DE7E9F"/>
    <w:rsid w:val="F7DF3C99"/>
    <w:rsid w:val="F7DFD7BD"/>
    <w:rsid w:val="F7E548D1"/>
    <w:rsid w:val="F7EB5963"/>
    <w:rsid w:val="F7EE75CB"/>
    <w:rsid w:val="F7EE8C7F"/>
    <w:rsid w:val="F7EF0B64"/>
    <w:rsid w:val="F7EF229D"/>
    <w:rsid w:val="F7EFDDD9"/>
    <w:rsid w:val="F7F1FD8C"/>
    <w:rsid w:val="F7F5B61D"/>
    <w:rsid w:val="F7FA73FF"/>
    <w:rsid w:val="F7FB6B46"/>
    <w:rsid w:val="F7FB90FE"/>
    <w:rsid w:val="F7FD23E2"/>
    <w:rsid w:val="F7FDD1AB"/>
    <w:rsid w:val="F7FE0F95"/>
    <w:rsid w:val="F7FE17AD"/>
    <w:rsid w:val="F7FEBA01"/>
    <w:rsid w:val="F7FED3A9"/>
    <w:rsid w:val="F7FF057A"/>
    <w:rsid w:val="F7FF2BE5"/>
    <w:rsid w:val="F7FFBB7D"/>
    <w:rsid w:val="F7FFC2CE"/>
    <w:rsid w:val="F87F6C7E"/>
    <w:rsid w:val="F87FA858"/>
    <w:rsid w:val="F894E862"/>
    <w:rsid w:val="F89F5670"/>
    <w:rsid w:val="F8A5C057"/>
    <w:rsid w:val="F8BBCB5A"/>
    <w:rsid w:val="F8C35865"/>
    <w:rsid w:val="F8C9DB26"/>
    <w:rsid w:val="F8D01E0F"/>
    <w:rsid w:val="F939F96C"/>
    <w:rsid w:val="F94AB39C"/>
    <w:rsid w:val="F957164C"/>
    <w:rsid w:val="F95F516E"/>
    <w:rsid w:val="F95FF9D6"/>
    <w:rsid w:val="F96F4EFF"/>
    <w:rsid w:val="F979C7F9"/>
    <w:rsid w:val="F97DFE3B"/>
    <w:rsid w:val="F97E8EAE"/>
    <w:rsid w:val="F9BFB5ED"/>
    <w:rsid w:val="F9BFD425"/>
    <w:rsid w:val="F9C74D08"/>
    <w:rsid w:val="F9F41F77"/>
    <w:rsid w:val="F9FBCBCA"/>
    <w:rsid w:val="F9FD5181"/>
    <w:rsid w:val="F9FDD9CD"/>
    <w:rsid w:val="F9FEAFFC"/>
    <w:rsid w:val="F9FEBAAB"/>
    <w:rsid w:val="F9FF0C14"/>
    <w:rsid w:val="F9FF4017"/>
    <w:rsid w:val="F9FF67F0"/>
    <w:rsid w:val="FA0EB023"/>
    <w:rsid w:val="FA3A5E18"/>
    <w:rsid w:val="FA75520E"/>
    <w:rsid w:val="FA7BEC41"/>
    <w:rsid w:val="FA7D91B4"/>
    <w:rsid w:val="FA8FE914"/>
    <w:rsid w:val="FAA7020D"/>
    <w:rsid w:val="FACFA5ED"/>
    <w:rsid w:val="FADBF40B"/>
    <w:rsid w:val="FADE3263"/>
    <w:rsid w:val="FAE3AB75"/>
    <w:rsid w:val="FAF7D337"/>
    <w:rsid w:val="FAFABD18"/>
    <w:rsid w:val="FAFBE9D5"/>
    <w:rsid w:val="FAFD6DAA"/>
    <w:rsid w:val="FAFE24F8"/>
    <w:rsid w:val="FAFECBC2"/>
    <w:rsid w:val="FAFED112"/>
    <w:rsid w:val="FAFF3369"/>
    <w:rsid w:val="FAFF5D73"/>
    <w:rsid w:val="FB2CE25D"/>
    <w:rsid w:val="FB36E1A6"/>
    <w:rsid w:val="FB3BE134"/>
    <w:rsid w:val="FB58A301"/>
    <w:rsid w:val="FB5EB92F"/>
    <w:rsid w:val="FB5FF5FC"/>
    <w:rsid w:val="FB66D95A"/>
    <w:rsid w:val="FB758E5F"/>
    <w:rsid w:val="FB7D853E"/>
    <w:rsid w:val="FB7EF590"/>
    <w:rsid w:val="FB7F406E"/>
    <w:rsid w:val="FB7FBD39"/>
    <w:rsid w:val="FB7FE06A"/>
    <w:rsid w:val="FB9E7D4E"/>
    <w:rsid w:val="FBAF6F00"/>
    <w:rsid w:val="FBAFE273"/>
    <w:rsid w:val="FBB6F030"/>
    <w:rsid w:val="FBBB3332"/>
    <w:rsid w:val="FBBC6630"/>
    <w:rsid w:val="FBBCAD5F"/>
    <w:rsid w:val="FBBE0735"/>
    <w:rsid w:val="FBBE4AFF"/>
    <w:rsid w:val="FBBF033C"/>
    <w:rsid w:val="FBBF803B"/>
    <w:rsid w:val="FBBF9A5C"/>
    <w:rsid w:val="FBBFAC9E"/>
    <w:rsid w:val="FBC75615"/>
    <w:rsid w:val="FBCBCB62"/>
    <w:rsid w:val="FBCDD883"/>
    <w:rsid w:val="FBCE0133"/>
    <w:rsid w:val="FBCF7F1C"/>
    <w:rsid w:val="FBCF9A23"/>
    <w:rsid w:val="FBD51FEB"/>
    <w:rsid w:val="FBDAB7A0"/>
    <w:rsid w:val="FBDE95CC"/>
    <w:rsid w:val="FBDF56EB"/>
    <w:rsid w:val="FBDF9D47"/>
    <w:rsid w:val="FBE6CDC6"/>
    <w:rsid w:val="FBE823E6"/>
    <w:rsid w:val="FBE8B502"/>
    <w:rsid w:val="FBED5A33"/>
    <w:rsid w:val="FBEF65E6"/>
    <w:rsid w:val="FBF55097"/>
    <w:rsid w:val="FBF76ADC"/>
    <w:rsid w:val="FBF7D9A7"/>
    <w:rsid w:val="FBFA38D0"/>
    <w:rsid w:val="FBFBBE35"/>
    <w:rsid w:val="FBFCF287"/>
    <w:rsid w:val="FBFD470F"/>
    <w:rsid w:val="FBFD8577"/>
    <w:rsid w:val="FBFDF922"/>
    <w:rsid w:val="FBFE5603"/>
    <w:rsid w:val="FBFEB632"/>
    <w:rsid w:val="FBFF1C37"/>
    <w:rsid w:val="FBFF3897"/>
    <w:rsid w:val="FBFFDCBE"/>
    <w:rsid w:val="FBFFF408"/>
    <w:rsid w:val="FC0D34A0"/>
    <w:rsid w:val="FC16E09F"/>
    <w:rsid w:val="FC19A429"/>
    <w:rsid w:val="FC2DC1FB"/>
    <w:rsid w:val="FC5F4A8D"/>
    <w:rsid w:val="FCB755CA"/>
    <w:rsid w:val="FCB7A5EE"/>
    <w:rsid w:val="FCBB6E1A"/>
    <w:rsid w:val="FCBE8E55"/>
    <w:rsid w:val="FCCFE256"/>
    <w:rsid w:val="FCD670EC"/>
    <w:rsid w:val="FCDBD152"/>
    <w:rsid w:val="FCDE0F7D"/>
    <w:rsid w:val="FCE84447"/>
    <w:rsid w:val="FCF4989E"/>
    <w:rsid w:val="FCF53CED"/>
    <w:rsid w:val="FCFB434A"/>
    <w:rsid w:val="FCFE3EFA"/>
    <w:rsid w:val="FCFF1A3E"/>
    <w:rsid w:val="FCFF4275"/>
    <w:rsid w:val="FCFFD7C8"/>
    <w:rsid w:val="FCFFF13C"/>
    <w:rsid w:val="FCFFFDB6"/>
    <w:rsid w:val="FD371972"/>
    <w:rsid w:val="FD393951"/>
    <w:rsid w:val="FD3C5C2B"/>
    <w:rsid w:val="FD3D34C0"/>
    <w:rsid w:val="FD5E0E73"/>
    <w:rsid w:val="FD5F3CA5"/>
    <w:rsid w:val="FD5F55A5"/>
    <w:rsid w:val="FD640C19"/>
    <w:rsid w:val="FD7A7DB8"/>
    <w:rsid w:val="FD7BA437"/>
    <w:rsid w:val="FD7E799B"/>
    <w:rsid w:val="FD7E9227"/>
    <w:rsid w:val="FD7F0B2E"/>
    <w:rsid w:val="FD7F24DE"/>
    <w:rsid w:val="FD7F5A2E"/>
    <w:rsid w:val="FD7FEEEA"/>
    <w:rsid w:val="FD833BE5"/>
    <w:rsid w:val="FD97564C"/>
    <w:rsid w:val="FD9E8D66"/>
    <w:rsid w:val="FDB004CF"/>
    <w:rsid w:val="FDB4B26A"/>
    <w:rsid w:val="FDB9A6FB"/>
    <w:rsid w:val="FDBF003D"/>
    <w:rsid w:val="FDCB52E0"/>
    <w:rsid w:val="FDCFC51A"/>
    <w:rsid w:val="FDD9D254"/>
    <w:rsid w:val="FDDA77C4"/>
    <w:rsid w:val="FDDB91EB"/>
    <w:rsid w:val="FDDD7DFB"/>
    <w:rsid w:val="FDDE8CBD"/>
    <w:rsid w:val="FDDEE3BB"/>
    <w:rsid w:val="FDDEFC97"/>
    <w:rsid w:val="FDDF42E9"/>
    <w:rsid w:val="FDEBADC4"/>
    <w:rsid w:val="FDEE1D7B"/>
    <w:rsid w:val="FDEE4029"/>
    <w:rsid w:val="FDEE48F1"/>
    <w:rsid w:val="FDEF1A9C"/>
    <w:rsid w:val="FDEFB8FE"/>
    <w:rsid w:val="FDF3F24B"/>
    <w:rsid w:val="FDF5E1D0"/>
    <w:rsid w:val="FDF755DE"/>
    <w:rsid w:val="FDFAA941"/>
    <w:rsid w:val="FDFB8B3D"/>
    <w:rsid w:val="FDFB9170"/>
    <w:rsid w:val="FDFDC7DB"/>
    <w:rsid w:val="FDFECF26"/>
    <w:rsid w:val="FDFF2830"/>
    <w:rsid w:val="FDFF3AB4"/>
    <w:rsid w:val="FDFF5689"/>
    <w:rsid w:val="FDFF760F"/>
    <w:rsid w:val="FDFF91BE"/>
    <w:rsid w:val="FDFFB577"/>
    <w:rsid w:val="FDFFEE87"/>
    <w:rsid w:val="FDFFF037"/>
    <w:rsid w:val="FE0B05F1"/>
    <w:rsid w:val="FE2B7526"/>
    <w:rsid w:val="FE2FE11C"/>
    <w:rsid w:val="FE347D61"/>
    <w:rsid w:val="FE3B6EA4"/>
    <w:rsid w:val="FE4D3BFA"/>
    <w:rsid w:val="FE5F21D2"/>
    <w:rsid w:val="FE6F80D0"/>
    <w:rsid w:val="FE720B55"/>
    <w:rsid w:val="FE7C208D"/>
    <w:rsid w:val="FE7D4BF0"/>
    <w:rsid w:val="FE7FDBD5"/>
    <w:rsid w:val="FE7FE200"/>
    <w:rsid w:val="FE8F9FD5"/>
    <w:rsid w:val="FE9A6DC3"/>
    <w:rsid w:val="FE9F63F2"/>
    <w:rsid w:val="FEAEA5D2"/>
    <w:rsid w:val="FEAFF42E"/>
    <w:rsid w:val="FEB114F6"/>
    <w:rsid w:val="FEB7DB7D"/>
    <w:rsid w:val="FEBB4E01"/>
    <w:rsid w:val="FEBB812F"/>
    <w:rsid w:val="FEBD9E87"/>
    <w:rsid w:val="FEBFAABC"/>
    <w:rsid w:val="FEBFEB88"/>
    <w:rsid w:val="FEBFF8F8"/>
    <w:rsid w:val="FECD9388"/>
    <w:rsid w:val="FED09FA7"/>
    <w:rsid w:val="FED7137F"/>
    <w:rsid w:val="FED7B1FD"/>
    <w:rsid w:val="FED947EC"/>
    <w:rsid w:val="FED99702"/>
    <w:rsid w:val="FEDF3870"/>
    <w:rsid w:val="FEDFA4B1"/>
    <w:rsid w:val="FEDFF724"/>
    <w:rsid w:val="FEEA50FE"/>
    <w:rsid w:val="FEEC4595"/>
    <w:rsid w:val="FEEC7B22"/>
    <w:rsid w:val="FEED225A"/>
    <w:rsid w:val="FEED4923"/>
    <w:rsid w:val="FEED7E0F"/>
    <w:rsid w:val="FEEF127E"/>
    <w:rsid w:val="FEF22FE1"/>
    <w:rsid w:val="FEF236D5"/>
    <w:rsid w:val="FEF60F73"/>
    <w:rsid w:val="FEF62E27"/>
    <w:rsid w:val="FEF66FE0"/>
    <w:rsid w:val="FEF7240C"/>
    <w:rsid w:val="FEF76C82"/>
    <w:rsid w:val="FEF7BB0F"/>
    <w:rsid w:val="FEF882D9"/>
    <w:rsid w:val="FEF9275B"/>
    <w:rsid w:val="FEF97ED8"/>
    <w:rsid w:val="FEF9C071"/>
    <w:rsid w:val="FEFBC3B7"/>
    <w:rsid w:val="FEFC7C6E"/>
    <w:rsid w:val="FEFD1386"/>
    <w:rsid w:val="FEFDA15D"/>
    <w:rsid w:val="FEFE2077"/>
    <w:rsid w:val="FEFEA18C"/>
    <w:rsid w:val="FEFEBA85"/>
    <w:rsid w:val="FEFF065E"/>
    <w:rsid w:val="FEFF224A"/>
    <w:rsid w:val="FEFF7A12"/>
    <w:rsid w:val="FEFFE956"/>
    <w:rsid w:val="FEFFFB19"/>
    <w:rsid w:val="FF1F4489"/>
    <w:rsid w:val="FF1FE098"/>
    <w:rsid w:val="FF1FFFCE"/>
    <w:rsid w:val="FF26E436"/>
    <w:rsid w:val="FF2AF8AD"/>
    <w:rsid w:val="FF2ECCC8"/>
    <w:rsid w:val="FF39D1AD"/>
    <w:rsid w:val="FF3B8BDB"/>
    <w:rsid w:val="FF3D3B5D"/>
    <w:rsid w:val="FF3F4C62"/>
    <w:rsid w:val="FF3F654B"/>
    <w:rsid w:val="FF3FEDCA"/>
    <w:rsid w:val="FF4628CC"/>
    <w:rsid w:val="FF478498"/>
    <w:rsid w:val="FF4F243E"/>
    <w:rsid w:val="FF57AD0E"/>
    <w:rsid w:val="FF5A14D6"/>
    <w:rsid w:val="FF5A34B2"/>
    <w:rsid w:val="FF5AD188"/>
    <w:rsid w:val="FF5C4BC0"/>
    <w:rsid w:val="FF5CC2DE"/>
    <w:rsid w:val="FF5D86C3"/>
    <w:rsid w:val="FF5E972E"/>
    <w:rsid w:val="FF5EA9DB"/>
    <w:rsid w:val="FF5F257F"/>
    <w:rsid w:val="FF5FA56D"/>
    <w:rsid w:val="FF5FC911"/>
    <w:rsid w:val="FF655F71"/>
    <w:rsid w:val="FF66DEDA"/>
    <w:rsid w:val="FF68540D"/>
    <w:rsid w:val="FF6B5F6D"/>
    <w:rsid w:val="FF6B808B"/>
    <w:rsid w:val="FF6D033A"/>
    <w:rsid w:val="FF6D86D2"/>
    <w:rsid w:val="FF6E2B78"/>
    <w:rsid w:val="FF6E9ADD"/>
    <w:rsid w:val="FF6F488D"/>
    <w:rsid w:val="FF6F6389"/>
    <w:rsid w:val="FF6FF880"/>
    <w:rsid w:val="FF71F8BF"/>
    <w:rsid w:val="FF72B67E"/>
    <w:rsid w:val="FF73484D"/>
    <w:rsid w:val="FF75E6CB"/>
    <w:rsid w:val="FF7639E6"/>
    <w:rsid w:val="FF770B62"/>
    <w:rsid w:val="FF7740A6"/>
    <w:rsid w:val="FF7A9053"/>
    <w:rsid w:val="FF7AC551"/>
    <w:rsid w:val="FF7ADE55"/>
    <w:rsid w:val="FF7B07EF"/>
    <w:rsid w:val="FF7B25AF"/>
    <w:rsid w:val="FF7B3281"/>
    <w:rsid w:val="FF7B67A0"/>
    <w:rsid w:val="FF7B7559"/>
    <w:rsid w:val="FF7CD305"/>
    <w:rsid w:val="FF7D47A9"/>
    <w:rsid w:val="FF7E154A"/>
    <w:rsid w:val="FF7E474C"/>
    <w:rsid w:val="FF7E5B39"/>
    <w:rsid w:val="FF7E7A2E"/>
    <w:rsid w:val="FF7E8A72"/>
    <w:rsid w:val="FF7F281F"/>
    <w:rsid w:val="FF7F4F76"/>
    <w:rsid w:val="FF7FDE13"/>
    <w:rsid w:val="FF85A158"/>
    <w:rsid w:val="FF8F3393"/>
    <w:rsid w:val="FF9312C1"/>
    <w:rsid w:val="FF959D2F"/>
    <w:rsid w:val="FF97C2DF"/>
    <w:rsid w:val="FF97EC31"/>
    <w:rsid w:val="FFA3810C"/>
    <w:rsid w:val="FFA7BBF0"/>
    <w:rsid w:val="FFAB5E37"/>
    <w:rsid w:val="FFAB6115"/>
    <w:rsid w:val="FFABAD0B"/>
    <w:rsid w:val="FFAC282B"/>
    <w:rsid w:val="FFAD4422"/>
    <w:rsid w:val="FFAD676E"/>
    <w:rsid w:val="FFAF210C"/>
    <w:rsid w:val="FFAF5C48"/>
    <w:rsid w:val="FFB515E0"/>
    <w:rsid w:val="FFB76968"/>
    <w:rsid w:val="FFB77031"/>
    <w:rsid w:val="FFBB2494"/>
    <w:rsid w:val="FFBB4625"/>
    <w:rsid w:val="FFBC1B41"/>
    <w:rsid w:val="FFBC3042"/>
    <w:rsid w:val="FFBC5607"/>
    <w:rsid w:val="FFBD1F6B"/>
    <w:rsid w:val="FFBD6BA5"/>
    <w:rsid w:val="FFBDAA56"/>
    <w:rsid w:val="FFBEB5EE"/>
    <w:rsid w:val="FFBF02CE"/>
    <w:rsid w:val="FFBF1591"/>
    <w:rsid w:val="FFBF77DF"/>
    <w:rsid w:val="FFBF95BB"/>
    <w:rsid w:val="FFBF9E68"/>
    <w:rsid w:val="FFBFF67D"/>
    <w:rsid w:val="FFBFFD63"/>
    <w:rsid w:val="FFCB5C97"/>
    <w:rsid w:val="FFCCD700"/>
    <w:rsid w:val="FFCEE26B"/>
    <w:rsid w:val="FFCF21CB"/>
    <w:rsid w:val="FFCF3FE0"/>
    <w:rsid w:val="FFCF564F"/>
    <w:rsid w:val="FFD309BC"/>
    <w:rsid w:val="FFD3A374"/>
    <w:rsid w:val="FFD6478C"/>
    <w:rsid w:val="FFD732ED"/>
    <w:rsid w:val="FFD77B22"/>
    <w:rsid w:val="FFDA0859"/>
    <w:rsid w:val="FFDA1638"/>
    <w:rsid w:val="FFDB1D55"/>
    <w:rsid w:val="FFDD2389"/>
    <w:rsid w:val="FFDDF099"/>
    <w:rsid w:val="FFDDF145"/>
    <w:rsid w:val="FFDE4486"/>
    <w:rsid w:val="FFDEA22F"/>
    <w:rsid w:val="FFDEC4B7"/>
    <w:rsid w:val="FFDEEB46"/>
    <w:rsid w:val="FFDEF3EE"/>
    <w:rsid w:val="FFDF0AC4"/>
    <w:rsid w:val="FFDF2882"/>
    <w:rsid w:val="FFDF7C45"/>
    <w:rsid w:val="FFDF9586"/>
    <w:rsid w:val="FFDF9B99"/>
    <w:rsid w:val="FFDFA97F"/>
    <w:rsid w:val="FFDFD29A"/>
    <w:rsid w:val="FFDFE15A"/>
    <w:rsid w:val="FFDFF137"/>
    <w:rsid w:val="FFE75DCA"/>
    <w:rsid w:val="FFE779A9"/>
    <w:rsid w:val="FFE7B16A"/>
    <w:rsid w:val="FFE9794B"/>
    <w:rsid w:val="FFE9C740"/>
    <w:rsid w:val="FFEBA4F8"/>
    <w:rsid w:val="FFEBE508"/>
    <w:rsid w:val="FFECE056"/>
    <w:rsid w:val="FFED7E1E"/>
    <w:rsid w:val="FFEE555F"/>
    <w:rsid w:val="FFEEAF47"/>
    <w:rsid w:val="FFEF0ED2"/>
    <w:rsid w:val="FFEF1163"/>
    <w:rsid w:val="FFEF180C"/>
    <w:rsid w:val="FFEF2023"/>
    <w:rsid w:val="FFEF2FFF"/>
    <w:rsid w:val="FFEF370C"/>
    <w:rsid w:val="FFEF506F"/>
    <w:rsid w:val="FFEF63B7"/>
    <w:rsid w:val="FFEF8C90"/>
    <w:rsid w:val="FFF4B5F5"/>
    <w:rsid w:val="FFF4C11F"/>
    <w:rsid w:val="FFF645CA"/>
    <w:rsid w:val="FFF718A4"/>
    <w:rsid w:val="FFF725DE"/>
    <w:rsid w:val="FFF75DBF"/>
    <w:rsid w:val="FFF79DA5"/>
    <w:rsid w:val="FFF7F7A2"/>
    <w:rsid w:val="FFF9FA5F"/>
    <w:rsid w:val="FFFA08E2"/>
    <w:rsid w:val="FFFAA349"/>
    <w:rsid w:val="FFFAF235"/>
    <w:rsid w:val="FFFB6A1A"/>
    <w:rsid w:val="FFFB891A"/>
    <w:rsid w:val="FFFBBA40"/>
    <w:rsid w:val="FFFBD2CF"/>
    <w:rsid w:val="FFFBEA69"/>
    <w:rsid w:val="FFFC9B0C"/>
    <w:rsid w:val="FFFD2884"/>
    <w:rsid w:val="FFFD70EB"/>
    <w:rsid w:val="FFFD8207"/>
    <w:rsid w:val="FFFDA0E2"/>
    <w:rsid w:val="FFFDB5CE"/>
    <w:rsid w:val="FFFDEFE3"/>
    <w:rsid w:val="FFFDF287"/>
    <w:rsid w:val="FFFE0DAC"/>
    <w:rsid w:val="FFFE20B9"/>
    <w:rsid w:val="FFFE339D"/>
    <w:rsid w:val="FFFE419C"/>
    <w:rsid w:val="FFFE4654"/>
    <w:rsid w:val="FFFE6D23"/>
    <w:rsid w:val="FFFEADD2"/>
    <w:rsid w:val="FFFEB350"/>
    <w:rsid w:val="FFFEFCC5"/>
    <w:rsid w:val="FFFF01CE"/>
    <w:rsid w:val="FFFF1254"/>
    <w:rsid w:val="FFFF15A2"/>
    <w:rsid w:val="FFFF1C8B"/>
    <w:rsid w:val="FFFF20B3"/>
    <w:rsid w:val="FFFF2AF3"/>
    <w:rsid w:val="FFFF2BA7"/>
    <w:rsid w:val="FFFF3D1D"/>
    <w:rsid w:val="FFFF5B68"/>
    <w:rsid w:val="FFFF7050"/>
    <w:rsid w:val="FFFF7DB3"/>
    <w:rsid w:val="FFFF9D88"/>
    <w:rsid w:val="FFFFA3DD"/>
    <w:rsid w:val="FFFFAA52"/>
    <w:rsid w:val="FFFFC5C0"/>
    <w:rsid w:val="FF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outlineLvl w:val="1"/>
    </w:pPr>
    <w:rPr>
      <w:rFonts w:eastAsia="黑体"/>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adjustRightInd/>
      <w:snapToGrid/>
      <w:spacing w:line="360" w:lineRule="auto"/>
      <w:ind w:left="240"/>
      <w:jc w:val="left"/>
    </w:pPr>
    <w:rPr>
      <w:rFonts w:ascii="Calibri" w:hAnsi="Calibri" w:eastAsia="宋体" w:cs="Calibri"/>
      <w:smallCaps/>
      <w:sz w:val="20"/>
      <w:szCs w:val="20"/>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1</TotalTime>
  <ScaleCrop>false</ScaleCrop>
  <LinksUpToDate>false</LinksUpToDate>
  <CharactersWithSpaces>9786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2025-08-23T10:17:00Z</dcterms:created>
  <dc:creator>李航 null</dc:creator>
  <cp:lastModifiedBy>greatwall</cp:lastModifiedBy>
  <cp:lastPrinted>2024-08-13T18:20:00Z</cp:lastPrinted>
  <dcterms:modified xsi:type="dcterms:W3CDTF">2025-09-15T10:38:06Z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